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6CCDC">
      <w:pPr>
        <w:numPr>
          <w:ilvl w:val="0"/>
          <w:numId w:val="0"/>
        </w:numPr>
        <w:ind w:left="1" w:leftChars="-95" w:hanging="200" w:hangingChars="83"/>
        <w:jc w:val="center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3包：</w:t>
      </w:r>
      <w:bookmarkStart w:id="0" w:name="_GoBack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配电柜、双电源柜、电力电缆采购与安装</w:t>
      </w:r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技术参数</w:t>
      </w:r>
    </w:p>
    <w:p w14:paraId="42207CB8">
      <w:pPr>
        <w:numPr>
          <w:ilvl w:val="0"/>
          <w:numId w:val="0"/>
        </w:numPr>
        <w:ind w:left="1" w:leftChars="-95" w:hanging="200" w:hangingChars="83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803E5BB"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1. 发电机室配电柜（1台）</w:t>
      </w:r>
    </w:p>
    <w:p w14:paraId="557BAC87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（1）柜型：GGD型固定式低压配电柜（或性能参数不低于该柜型的同档次产品），柜体尺寸为宽800mm×深600mm×高2200mm（允许±5%偏差），应符合GB/T 7251.12《低压成套开关设备和控制设备》标准，防护等级不低于IP30。</w:t>
      </w:r>
    </w:p>
    <w:p w14:paraId="327E98D2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（2）隔离刀开关（进线总开关）：1只，额定绝缘电压≥1000V，额定工作电流≥1000A，3极，带灭弧装置，具备明显的隔离断开点，符合GB/T 14048.3标准。</w:t>
      </w:r>
    </w:p>
    <w:p w14:paraId="7B617586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（3）塑壳断路器（出线回路）：2只，额定电流≥630A，3极，热磁式脱扣器，极限分断能力≥35kA（AC400V），具有过载及短路保护功能，符合GB/T 14048.2标准。</w:t>
      </w:r>
    </w:p>
    <w:p w14:paraId="41709072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4）柜内应配套齐全的母排、二次控制线、接线端子、指示灯、仪表、转换开关等全套电气元器件，主母排及分支母排材质应为高导电率铜材，截面满足载流量及动热稳定要求，柜内应预留不少于15%的备用回路空间。</w:t>
      </w:r>
    </w:p>
    <w:p w14:paraId="6DCE0C12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（5）所有元器件不限定特定品牌及制造商，投标人可选用同档次或性能参数更优的产品，须在投标文件中明确所投产品的品牌、型号及详细技术参数对照表。</w:t>
      </w:r>
    </w:p>
    <w:p w14:paraId="547FD85A"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2. 一期配电室双电源柜（1台）</w:t>
      </w:r>
    </w:p>
    <w:p w14:paraId="7547D627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（1）柜型：GCS型抽出式低压配电柜（或性能参数不低于该柜型的同档次产品），柜体尺寸为宽600mm×深1000mm×高2200mm（允许±5%偏差），应符合GB/T 7251.12标准，防护等级不低于IP30。</w:t>
      </w:r>
    </w:p>
    <w:p w14:paraId="4C282394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（2）负荷隔离开关（进线隔离）：1只，额定工作电流≥600A，4极，具备带负荷分合能力及明显隔离断口，符合GB/T 14048.3标准。</w:t>
      </w:r>
    </w:p>
    <w:p w14:paraId="083204BB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（3）双电源自动转换开关（ATSE）：1只，额定电流≥630A，4极，PC级（一体式结构），符合GB/T 14048.11标准。</w:t>
      </w:r>
    </w:p>
    <w:p w14:paraId="221776F9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4）核心控制功能：具备自投自复、市电优先功能。市电失电时，ATSE应能输出无源干接点信号（常开/常闭可选），联动启动现场现有400kW柴油发电机组；发电机电压及频率稳定后（允许设定延时时间，建议≤10秒），ATSE应能自动切换至发电机电源供电；市电恢复并持续稳定（建议延时设定为5~10秒）后，ATSE应能自动切回市电供电，并延时切除发电机组的启动信号；整体转换动作时间宜≤3秒。</w:t>
      </w:r>
    </w:p>
    <w:p w14:paraId="082F0C13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（5）柜内应配套齐全的控制继电器、时间继电器、中间继电器、接线端子排、熔断器、指示灯、电压表、电流表等全套控制与显示元器件，二次控制回路应具备电气联锁及机械联锁，防止两路电源异常并列。</w:t>
      </w:r>
    </w:p>
    <w:p w14:paraId="7312E5E1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（6）所有元器件不限定特定品牌及制造商，投标人可选用同档次或性能参数更优的产品，须在投标文件中明确所投产品的品牌、型号及详细技术参数对照表。</w:t>
      </w:r>
    </w:p>
    <w:p w14:paraId="395B624F"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3. 二期配电室双电源柜（1台）</w:t>
      </w:r>
    </w:p>
    <w:p w14:paraId="4AD1DB46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（1）柜型：GCS型抽出式低压配电柜（或性能参数不低于该柜型的同档次产品），柜体尺寸为宽600mm×深1000mm×高2200mm（允许±5%偏差），应符合GB/T 7251.12标准，防护等级不低于IP30。</w:t>
      </w:r>
    </w:p>
    <w:p w14:paraId="249D8D01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（2）负荷隔离开关（进线隔离）：1只，额定工作电流≥600A，4极，具备带负荷分合能力及明显隔离断口，符合GB/T 14048.3标准。</w:t>
      </w:r>
    </w:p>
    <w:p w14:paraId="4326C3ED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（3）双电源自动转换开关（ATSE）：1只，额定电流≥630A，4极，PC级（一体式结构），符合GB/T 14048.11标准。</w:t>
      </w:r>
    </w:p>
    <w:p w14:paraId="636AC443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4）核心控制功能：具备自投自复、市电优先功能。市电失电时，ATSE应能输出无源干接点信号，联动启动现场现有400kW柴油发电机组；发电机电压及频率稳定后（允许设定延时时间，建议≤10秒），ATSE应能自动切换至发电机电源供电；市电恢复并持续稳定（建议延时设定为5~10秒）后，ATSE应能自动切回市电供电，并延时切除发电机组的启动信号；整体转换动作时间宜≤3秒。</w:t>
      </w:r>
    </w:p>
    <w:p w14:paraId="6E73FAEC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（5）柜内应配套齐全的控制继电器、时间继电器、中间继电器、接线端子排、熔断器、指示灯、电压表、电流表等全套控制与显示元器件，二次控制回路应具备电气联锁及机械联锁，防止两路电源异常并列。</w:t>
      </w:r>
    </w:p>
    <w:p w14:paraId="1E1B4368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（6）所有元器件不限定特定品牌及制造商，投标人可选用同档次或性能参数更优的产品，须在投标文件中明确所投产品的品牌、型号及详细技术参数对照表。</w:t>
      </w:r>
    </w:p>
    <w:p w14:paraId="4A4B03BD"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4. 电力电缆（一批，110米）</w:t>
      </w:r>
    </w:p>
    <w:p w14:paraId="0D4530BF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（1）电缆型号：ZR-YJV22-3×240+1×150（阻燃C级或以上，交联聚乙烯绝缘，钢带铠装，聚氯乙烯护套电力电缆），额定电压0.6/1kV，符合GB/T 12706.1标准。</w:t>
      </w:r>
    </w:p>
    <w:p w14:paraId="6F8278D1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（2）采购数量：110米（实际铺设长度以现场实测为准，报价可包含合理损耗）。</w:t>
      </w:r>
    </w:p>
    <w:p w14:paraId="552E6CB6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（3）电缆铺设时需配合现场桥架走向进行施工，转弯半径不应小于电缆外径的15倍。</w:t>
      </w:r>
    </w:p>
    <w:p w14:paraId="3B9E8DCC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（4）电缆终端头及中间接头应选用与电缆相匹配的冷缩或热缩附件，制作工艺应符合DL/T 413标准。</w:t>
      </w:r>
    </w:p>
    <w:p w14:paraId="2F53520E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（5）铺设完毕后应进行绝缘电阻测试（使用2500V兆欧表，绝缘阻值不低于10MΩ）和直流耐压试验，确保送电安全。</w:t>
      </w:r>
    </w:p>
    <w:p w14:paraId="4DF10C7E"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>5. 安装、调试及配套材料通用要求</w:t>
      </w:r>
    </w:p>
    <w:p w14:paraId="575CEE31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（1）所有配电柜的安装、电缆敷设及终端制作、设备接线、系统联调等工作，必须由具备相应资质的专业单位完成。</w:t>
      </w:r>
    </w:p>
    <w:p w14:paraId="5F49005B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2）安装完成后，须完成整套系统的通电联合调试，确保：双电源切换逻辑正常（市电失电→干接点输出→柴发启动→切换至柴发；市电恢复→切回市电→停止柴发）；保护定值整定正确，断路器动作可靠；仪表显示正常。调试完毕后须出具完整的调试报告（含各开关动作时间记录、绝缘电阻值、接地电阻值等）。</w:t>
      </w:r>
    </w:p>
    <w:p w14:paraId="0D06E1EC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（3）所有配电柜柜体外壳应具备良好的防腐及防护性能，外壳接地应可靠（接地电阻≤4Ω，如为联合接地应≤1Ω）。</w:t>
      </w:r>
    </w:p>
    <w:p w14:paraId="549B2A5E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（4）柜内一次母线及二次接线应布线规范、横平竖直，线号标识清晰、牢固（采用热缩管或线号管标记，不易脱落），柜体底部应配有安装槽钢底座，进出线孔应做好防火封堵。</w:t>
      </w:r>
    </w:p>
    <w:p w14:paraId="566133BE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5）所有设备（含配电柜、开关元器件、电缆）均须提供原厂出厂合格证书、第三方型式试验报告或委托检测报告（须覆盖所投产品型号）、3C强制性认证证书或自我声明符合性信息报送（属于强制性认证范围的元器件）；电缆需提供出厂检验报告及燃烧性能等级检测报告。</w:t>
      </w:r>
    </w:p>
    <w:p w14:paraId="102171F4">
      <w:pPr>
        <w:ind w:firstLine="240" w:firstLineChars="1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（6）整体系统质保期不低于24个月（自验收合格之日起计算），质保期内出现质量问题，中标方须在接到通知后4小时内响应，24小时内到达现场处理。</w:t>
      </w:r>
    </w:p>
    <w:p w14:paraId="6CF4EC9E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t>（7）若投标人采用替代产品或方案，由此产生的安装尺寸调整、附属配件增减等费用，应包含在投标总价中，采购人不再另行支付。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03A17"/>
    <w:rsid w:val="2B760206"/>
    <w:rsid w:val="2D3028CA"/>
    <w:rsid w:val="305C7761"/>
    <w:rsid w:val="412D708C"/>
    <w:rsid w:val="57003A17"/>
    <w:rsid w:val="5E754C65"/>
    <w:rsid w:val="60401D7E"/>
    <w:rsid w:val="7717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2272</Words>
  <Characters>2546</Characters>
  <Lines>0</Lines>
  <Paragraphs>0</Paragraphs>
  <TotalTime>223</TotalTime>
  <ScaleCrop>false</ScaleCrop>
  <LinksUpToDate>false</LinksUpToDate>
  <CharactersWithSpaces>2563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2026-08-05T01:23:00Z</dcterms:created>
  <dc:creator>Administrator</dc:creator>
  <cp:lastModifiedBy>Administrator</cp:lastModifiedBy>
  <cp:lastPrinted>2026-08-06T06:26:00Z</cp:lastPrinted>
  <dcterms:modified xsi:type="dcterms:W3CDTF">2026-08-11T07:31:11Z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DB9E33553E3746EB996F0929FD250F64_11</vt:lpwstr>
  </property>
  <property fmtid="{D5CDD505-2E9C-101B-9397-08002B2CF9AE}" pid="4" name="KSOTemplateDocerSaveRecord">
    <vt:lpwstr>eyJoZGlkIjoiYzI2YjkxMDFiODI2Nzk3ZmJmNjI2Yzk3MWUwODVlNzIiLCJ1c2VySWQiOiI1OTIzMDc3NjYifQ==</vt:lpwstr>
  </property>
</Properties>
</file>