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8ADED">
      <w:pPr>
        <w:spacing w:line="360" w:lineRule="auto"/>
        <w:ind w:firstLine="437"/>
        <w:rPr>
          <w:rFonts w:ascii="宋体" w:hAnsi="宋体" w:cs="宋体"/>
          <w:color w:val="auto"/>
          <w:sz w:val="28"/>
          <w:szCs w:val="28"/>
        </w:rPr>
      </w:pPr>
    </w:p>
    <w:p w14:paraId="7D7386F6">
      <w:pPr>
        <w:spacing w:line="360" w:lineRule="auto"/>
        <w:jc w:val="center"/>
        <w:rPr>
          <w:rFonts w:hint="default" w:ascii="宋体" w:hAnsi="宋体" w:cs="宋体"/>
          <w:color w:val="auto"/>
          <w:szCs w:val="21"/>
          <w:lang w:val="en-US"/>
        </w:rPr>
      </w:pPr>
      <w:r>
        <w:rPr>
          <w:rFonts w:hint="eastAsia" w:ascii="宋体" w:hAnsi="宋体" w:cs="宋体"/>
          <w:b/>
          <w:bCs/>
          <w:color w:val="auto"/>
          <w:sz w:val="52"/>
          <w:szCs w:val="52"/>
          <w:lang w:eastAsia="zh-CN"/>
        </w:rPr>
        <w:t>银昌路、崤山东路排水防涝改造项目</w:t>
      </w:r>
    </w:p>
    <w:p w14:paraId="523310B4">
      <w:pPr>
        <w:pStyle w:val="38"/>
        <w:spacing w:line="360" w:lineRule="auto"/>
        <w:ind w:firstLine="480"/>
        <w:rPr>
          <w:color w:val="auto"/>
        </w:rPr>
      </w:pPr>
    </w:p>
    <w:p w14:paraId="1CFCE550">
      <w:pPr>
        <w:pStyle w:val="6"/>
        <w:ind w:firstLine="400"/>
        <w:rPr>
          <w:color w:val="auto"/>
        </w:rPr>
      </w:pPr>
    </w:p>
    <w:p w14:paraId="36C04CFA">
      <w:pPr>
        <w:tabs>
          <w:tab w:val="center" w:pos="4312"/>
          <w:tab w:val="left" w:pos="7639"/>
        </w:tabs>
        <w:spacing w:line="360" w:lineRule="auto"/>
        <w:jc w:val="left"/>
        <w:rPr>
          <w:rFonts w:ascii="宋体" w:hAnsi="宋体" w:cs="宋体"/>
          <w:b/>
          <w:bCs/>
          <w:color w:val="auto"/>
          <w:spacing w:val="119"/>
          <w:sz w:val="112"/>
          <w:szCs w:val="112"/>
        </w:rPr>
      </w:pPr>
      <w:r>
        <w:rPr>
          <w:rFonts w:hint="eastAsia" w:ascii="宋体" w:hAnsi="宋体" w:cs="宋体"/>
          <w:b/>
          <w:bCs/>
          <w:color w:val="auto"/>
          <w:spacing w:val="119"/>
          <w:sz w:val="112"/>
          <w:szCs w:val="112"/>
        </w:rPr>
        <w:tab/>
      </w:r>
      <w:r>
        <w:rPr>
          <w:rFonts w:hint="eastAsia" w:ascii="宋体" w:hAnsi="宋体" w:cs="宋体"/>
          <w:b/>
          <w:bCs/>
          <w:color w:val="auto"/>
          <w:spacing w:val="119"/>
          <w:sz w:val="112"/>
          <w:szCs w:val="112"/>
        </w:rPr>
        <w:t>招标文件</w:t>
      </w:r>
    </w:p>
    <w:p w14:paraId="5B7649B6">
      <w:pPr>
        <w:tabs>
          <w:tab w:val="left" w:pos="7325"/>
        </w:tabs>
        <w:spacing w:line="360" w:lineRule="auto"/>
        <w:jc w:val="left"/>
        <w:rPr>
          <w:rFonts w:hint="eastAsia" w:ascii="宋体" w:hAnsi="宋体" w:cs="宋体"/>
          <w:b/>
          <w:bCs/>
          <w:color w:val="auto"/>
          <w:sz w:val="28"/>
          <w:szCs w:val="28"/>
          <w:lang w:val="en-US" w:eastAsia="zh-CN"/>
        </w:rPr>
      </w:pPr>
    </w:p>
    <w:p w14:paraId="3150DC92">
      <w:pPr>
        <w:tabs>
          <w:tab w:val="left" w:pos="7325"/>
        </w:tabs>
        <w:spacing w:line="360" w:lineRule="auto"/>
        <w:jc w:val="center"/>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招标编号：三财公开采购-2026-35</w:t>
      </w:r>
    </w:p>
    <w:p w14:paraId="25782114">
      <w:pPr>
        <w:keepNext w:val="0"/>
        <w:keepLines w:val="0"/>
        <w:pageBreakBefore w:val="0"/>
        <w:widowControl w:val="0"/>
        <w:tabs>
          <w:tab w:val="left" w:pos="7325"/>
        </w:tabs>
        <w:kinsoku/>
        <w:wordWrap/>
        <w:overflowPunct/>
        <w:topLinePunct w:val="0"/>
        <w:autoSpaceDE/>
        <w:autoSpaceDN/>
        <w:bidi w:val="0"/>
        <w:adjustRightInd/>
        <w:snapToGrid/>
        <w:spacing w:line="360" w:lineRule="auto"/>
        <w:ind w:firstLine="1124" w:firstLineChars="400"/>
        <w:jc w:val="center"/>
        <w:textAlignment w:val="auto"/>
        <w:rPr>
          <w:rFonts w:ascii="宋体" w:hAnsi="宋体" w:cs="宋体"/>
          <w:b/>
          <w:bCs/>
          <w:color w:val="auto"/>
          <w:sz w:val="28"/>
          <w:szCs w:val="28"/>
        </w:rPr>
      </w:pPr>
      <w:r>
        <w:rPr>
          <w:rFonts w:hint="eastAsia" w:ascii="宋体" w:hAnsi="宋体" w:cs="宋体"/>
          <w:b/>
          <w:bCs/>
          <w:color w:val="auto"/>
          <w:sz w:val="28"/>
          <w:szCs w:val="28"/>
          <w:lang w:val="en-US" w:eastAsia="zh-CN"/>
        </w:rPr>
        <w:t>SGZ[2026]252-GC043</w:t>
      </w:r>
    </w:p>
    <w:p w14:paraId="0FF5FECF">
      <w:pPr>
        <w:tabs>
          <w:tab w:val="left" w:pos="7325"/>
        </w:tabs>
        <w:spacing w:line="360" w:lineRule="auto"/>
        <w:ind w:firstLine="3614" w:firstLineChars="900"/>
        <w:jc w:val="left"/>
        <w:rPr>
          <w:rFonts w:ascii="宋体" w:hAnsi="宋体" w:cs="宋体"/>
          <w:b/>
          <w:bCs/>
          <w:color w:val="auto"/>
          <w:sz w:val="28"/>
          <w:szCs w:val="28"/>
        </w:rPr>
      </w:pPr>
      <w:r>
        <w:rPr>
          <w:rFonts w:hint="eastAsia" w:ascii="宋体" w:hAnsi="宋体" w:eastAsia="宋体" w:cs="宋体"/>
          <w:b/>
          <w:color w:val="auto"/>
          <w:sz w:val="40"/>
          <w:szCs w:val="48"/>
          <w:highlight w:val="none"/>
          <w:lang w:eastAsia="zh-CN"/>
        </w:rPr>
        <w:drawing>
          <wp:anchor distT="0" distB="0" distL="114300" distR="114300" simplePos="0" relativeHeight="251665408" behindDoc="0" locked="0" layoutInCell="1" allowOverlap="1">
            <wp:simplePos x="0" y="0"/>
            <wp:positionH relativeFrom="column">
              <wp:posOffset>1586865</wp:posOffset>
            </wp:positionH>
            <wp:positionV relativeFrom="paragraph">
              <wp:posOffset>381635</wp:posOffset>
            </wp:positionV>
            <wp:extent cx="2346325" cy="2272030"/>
            <wp:effectExtent l="0" t="0" r="635" b="13970"/>
            <wp:wrapSquare wrapText="bothSides"/>
            <wp:docPr id="1" name="图片 1" descr="9cdbb25551714d267b16ed02b6533f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cdbb25551714d267b16ed02b6533f5d"/>
                    <pic:cNvPicPr>
                      <a:picLocks noChangeAspect="1"/>
                    </pic:cNvPicPr>
                  </pic:nvPicPr>
                  <pic:blipFill>
                    <a:blip r:embed="rId11"/>
                    <a:stretch>
                      <a:fillRect/>
                    </a:stretch>
                  </pic:blipFill>
                  <pic:spPr>
                    <a:xfrm>
                      <a:off x="0" y="0"/>
                      <a:ext cx="2346325" cy="2272030"/>
                    </a:xfrm>
                    <a:prstGeom prst="rect">
                      <a:avLst/>
                    </a:prstGeom>
                  </pic:spPr>
                </pic:pic>
              </a:graphicData>
            </a:graphic>
          </wp:anchor>
        </w:drawing>
      </w:r>
    </w:p>
    <w:p w14:paraId="7A2BF79D">
      <w:pPr>
        <w:tabs>
          <w:tab w:val="left" w:pos="7325"/>
        </w:tabs>
        <w:spacing w:line="360" w:lineRule="auto"/>
        <w:ind w:firstLine="2530" w:firstLineChars="900"/>
        <w:jc w:val="left"/>
        <w:rPr>
          <w:rFonts w:ascii="宋体" w:hAnsi="宋体" w:cs="宋体"/>
          <w:b/>
          <w:bCs/>
          <w:color w:val="auto"/>
          <w:sz w:val="28"/>
          <w:szCs w:val="28"/>
        </w:rPr>
      </w:pPr>
      <w:r>
        <w:rPr>
          <w:rFonts w:hint="eastAsia" w:ascii="宋体" w:hAnsi="宋体" w:cs="宋体"/>
          <w:b/>
          <w:bCs/>
          <w:color w:val="auto"/>
          <w:sz w:val="28"/>
          <w:szCs w:val="28"/>
        </w:rPr>
        <w:tab/>
      </w:r>
    </w:p>
    <w:p w14:paraId="5A6E75F9">
      <w:pPr>
        <w:pStyle w:val="38"/>
        <w:spacing w:line="360" w:lineRule="auto"/>
        <w:ind w:firstLine="480"/>
        <w:rPr>
          <w:color w:val="auto"/>
        </w:rPr>
      </w:pPr>
    </w:p>
    <w:p w14:paraId="1EF0233F">
      <w:pPr>
        <w:pStyle w:val="40"/>
      </w:pPr>
    </w:p>
    <w:p w14:paraId="6CB2F0DB">
      <w:pPr>
        <w:spacing w:line="360" w:lineRule="auto"/>
        <w:jc w:val="center"/>
        <w:rPr>
          <w:rFonts w:ascii="宋体" w:hAnsi="宋体" w:cs="宋体"/>
          <w:color w:val="auto"/>
          <w:szCs w:val="21"/>
        </w:rPr>
      </w:pPr>
    </w:p>
    <w:p w14:paraId="5F8522B5">
      <w:pPr>
        <w:spacing w:line="360" w:lineRule="auto"/>
        <w:ind w:firstLine="437"/>
        <w:rPr>
          <w:rFonts w:ascii="宋体" w:hAnsi="宋体" w:cs="宋体"/>
          <w:color w:val="auto"/>
          <w:szCs w:val="21"/>
        </w:rPr>
      </w:pPr>
    </w:p>
    <w:p w14:paraId="0B96C03B">
      <w:pPr>
        <w:spacing w:line="360" w:lineRule="auto"/>
        <w:rPr>
          <w:rFonts w:ascii="宋体" w:hAnsi="宋体" w:cs="宋体"/>
          <w:b/>
          <w:bCs/>
          <w:color w:val="auto"/>
          <w:sz w:val="36"/>
          <w:szCs w:val="36"/>
        </w:rPr>
      </w:pPr>
    </w:p>
    <w:p w14:paraId="3657DF15">
      <w:pPr>
        <w:spacing w:line="360" w:lineRule="auto"/>
        <w:ind w:firstLine="562" w:firstLineChars="200"/>
        <w:rPr>
          <w:rFonts w:ascii="宋体" w:hAnsi="宋体" w:cs="宋体"/>
          <w:b/>
          <w:bCs/>
          <w:color w:val="auto"/>
          <w:sz w:val="28"/>
          <w:szCs w:val="28"/>
        </w:rPr>
      </w:pPr>
      <w:bookmarkStart w:id="0" w:name="_Toc15369"/>
    </w:p>
    <w:p w14:paraId="5E7B25E7">
      <w:pPr>
        <w:spacing w:line="360" w:lineRule="auto"/>
        <w:jc w:val="center"/>
        <w:rPr>
          <w:rFonts w:hint="eastAsia" w:ascii="宋体" w:hAnsi="宋体" w:cs="宋体"/>
          <w:b/>
          <w:bCs/>
          <w:color w:val="auto"/>
          <w:sz w:val="32"/>
          <w:szCs w:val="32"/>
        </w:rPr>
      </w:pPr>
    </w:p>
    <w:p w14:paraId="627BBA23">
      <w:pPr>
        <w:spacing w:line="360" w:lineRule="auto"/>
        <w:jc w:val="center"/>
        <w:rPr>
          <w:rFonts w:hint="eastAsia" w:ascii="宋体" w:hAnsi="宋体" w:cs="宋体"/>
          <w:b/>
          <w:bCs/>
          <w:color w:val="auto"/>
          <w:sz w:val="32"/>
          <w:szCs w:val="32"/>
        </w:rPr>
      </w:pPr>
    </w:p>
    <w:p w14:paraId="2226645B">
      <w:pPr>
        <w:spacing w:line="360" w:lineRule="auto"/>
        <w:jc w:val="center"/>
        <w:rPr>
          <w:rFonts w:hint="eastAsia" w:ascii="宋体" w:hAnsi="宋体" w:eastAsia="宋体" w:cs="宋体"/>
          <w:b/>
          <w:bCs/>
          <w:color w:val="auto"/>
          <w:sz w:val="32"/>
          <w:szCs w:val="32"/>
          <w:lang w:eastAsia="zh-CN"/>
        </w:rPr>
      </w:pPr>
      <w:r>
        <w:rPr>
          <w:rFonts w:hint="eastAsia" w:ascii="宋体" w:hAnsi="宋体" w:cs="宋体"/>
          <w:b/>
          <w:bCs/>
          <w:color w:val="auto"/>
          <w:sz w:val="32"/>
          <w:szCs w:val="32"/>
        </w:rPr>
        <w:t>招</w:t>
      </w:r>
      <w:r>
        <w:rPr>
          <w:rFonts w:hint="eastAsia" w:ascii="宋体" w:hAnsi="宋体" w:cs="宋体"/>
          <w:b/>
          <w:bCs/>
          <w:color w:val="auto"/>
          <w:sz w:val="32"/>
          <w:szCs w:val="32"/>
          <w:lang w:val="en-US" w:eastAsia="zh-CN"/>
        </w:rPr>
        <w:t xml:space="preserve"> </w:t>
      </w:r>
      <w:r>
        <w:rPr>
          <w:rFonts w:hint="eastAsia" w:ascii="宋体" w:hAnsi="宋体" w:cs="宋体"/>
          <w:b/>
          <w:bCs/>
          <w:color w:val="auto"/>
          <w:sz w:val="32"/>
          <w:szCs w:val="32"/>
        </w:rPr>
        <w:t>标</w:t>
      </w:r>
      <w:r>
        <w:rPr>
          <w:rFonts w:hint="eastAsia" w:ascii="宋体" w:hAnsi="宋体" w:cs="宋体"/>
          <w:b/>
          <w:bCs/>
          <w:color w:val="auto"/>
          <w:sz w:val="32"/>
          <w:szCs w:val="32"/>
          <w:lang w:val="en-US" w:eastAsia="zh-CN"/>
        </w:rPr>
        <w:t xml:space="preserve"> </w:t>
      </w:r>
      <w:r>
        <w:rPr>
          <w:rFonts w:hint="eastAsia" w:ascii="宋体" w:hAnsi="宋体" w:cs="宋体"/>
          <w:b/>
          <w:bCs/>
          <w:color w:val="auto"/>
          <w:sz w:val="32"/>
          <w:szCs w:val="32"/>
        </w:rPr>
        <w:t>人：</w:t>
      </w:r>
      <w:bookmarkEnd w:id="0"/>
      <w:r>
        <w:rPr>
          <w:rFonts w:hint="eastAsia" w:ascii="宋体" w:hAnsi="宋体" w:cs="宋体"/>
          <w:b/>
          <w:bCs/>
          <w:color w:val="auto"/>
          <w:sz w:val="32"/>
          <w:szCs w:val="32"/>
          <w:lang w:eastAsia="zh-CN"/>
        </w:rPr>
        <w:t>三门峡市住房和城乡建设局</w:t>
      </w:r>
    </w:p>
    <w:p w14:paraId="5905A706">
      <w:pPr>
        <w:spacing w:line="360" w:lineRule="auto"/>
        <w:jc w:val="center"/>
        <w:rPr>
          <w:rFonts w:hint="eastAsia" w:ascii="宋体" w:hAnsi="宋体" w:eastAsia="宋体" w:cs="宋体"/>
          <w:b/>
          <w:bCs/>
          <w:color w:val="auto"/>
          <w:sz w:val="32"/>
          <w:szCs w:val="32"/>
          <w:lang w:eastAsia="zh-CN"/>
        </w:rPr>
      </w:pPr>
      <w:bookmarkStart w:id="1" w:name="_Toc2423"/>
      <w:r>
        <w:rPr>
          <w:rFonts w:hint="eastAsia" w:ascii="宋体" w:hAnsi="宋体" w:cs="宋体"/>
          <w:b/>
          <w:bCs/>
          <w:color w:val="auto"/>
          <w:sz w:val="32"/>
          <w:szCs w:val="32"/>
        </w:rPr>
        <w:t>代理机构：</w:t>
      </w:r>
      <w:bookmarkEnd w:id="1"/>
      <w:r>
        <w:rPr>
          <w:rFonts w:hint="eastAsia" w:ascii="宋体" w:hAnsi="宋体" w:cs="宋体"/>
          <w:b/>
          <w:bCs/>
          <w:color w:val="auto"/>
          <w:sz w:val="32"/>
          <w:szCs w:val="32"/>
          <w:lang w:eastAsia="zh-CN"/>
        </w:rPr>
        <w:t>精源国际工程咨询有限公司</w:t>
      </w:r>
    </w:p>
    <w:p w14:paraId="328A7C89">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日期：二〇二</w:t>
      </w:r>
      <w:r>
        <w:rPr>
          <w:rFonts w:hint="eastAsia" w:ascii="宋体" w:hAnsi="宋体" w:cs="宋体"/>
          <w:b/>
          <w:bCs/>
          <w:color w:val="auto"/>
          <w:sz w:val="32"/>
          <w:szCs w:val="32"/>
          <w:lang w:val="en-US" w:eastAsia="zh-CN"/>
        </w:rPr>
        <w:t>六</w:t>
      </w:r>
      <w:r>
        <w:rPr>
          <w:rFonts w:hint="eastAsia" w:ascii="宋体" w:hAnsi="宋体" w:cs="宋体"/>
          <w:b/>
          <w:bCs/>
          <w:color w:val="auto"/>
          <w:sz w:val="32"/>
          <w:szCs w:val="32"/>
        </w:rPr>
        <w:t>年</w:t>
      </w:r>
      <w:r>
        <w:rPr>
          <w:rFonts w:hint="eastAsia" w:ascii="宋体" w:hAnsi="宋体" w:cs="宋体"/>
          <w:b/>
          <w:bCs/>
          <w:color w:val="auto"/>
          <w:sz w:val="32"/>
          <w:szCs w:val="32"/>
          <w:lang w:val="en-US" w:eastAsia="zh-CN"/>
        </w:rPr>
        <w:t>八</w:t>
      </w:r>
      <w:r>
        <w:rPr>
          <w:rFonts w:hint="eastAsia" w:ascii="宋体" w:hAnsi="宋体" w:cs="宋体"/>
          <w:b/>
          <w:bCs/>
          <w:color w:val="auto"/>
          <w:sz w:val="32"/>
          <w:szCs w:val="32"/>
        </w:rPr>
        <w:t>月</w:t>
      </w:r>
    </w:p>
    <w:p w14:paraId="50017F26">
      <w:pPr>
        <w:spacing w:line="360" w:lineRule="auto"/>
        <w:jc w:val="center"/>
        <w:rPr>
          <w:rFonts w:ascii="宋体" w:hAnsi="宋体" w:cs="宋体"/>
          <w:b/>
          <w:bCs/>
          <w:color w:val="auto"/>
          <w:sz w:val="36"/>
          <w:szCs w:val="36"/>
        </w:rPr>
      </w:pPr>
      <w:r>
        <w:rPr>
          <w:rFonts w:hint="eastAsia" w:ascii="宋体" w:hAnsi="宋体" w:cs="宋体"/>
          <w:b/>
          <w:bCs/>
          <w:color w:val="auto"/>
          <w:sz w:val="36"/>
          <w:szCs w:val="36"/>
        </w:rPr>
        <w:t>目录</w:t>
      </w:r>
    </w:p>
    <w:p w14:paraId="572BBBD1">
      <w:pPr>
        <w:pStyle w:val="20"/>
        <w:spacing w:line="360" w:lineRule="auto"/>
        <w:ind w:firstLine="210"/>
        <w:rPr>
          <w:color w:val="auto"/>
        </w:rPr>
      </w:pPr>
    </w:p>
    <w:p w14:paraId="4922F57A">
      <w:pPr>
        <w:pStyle w:val="17"/>
        <w:tabs>
          <w:tab w:val="right" w:leader="dot" w:pos="8504"/>
        </w:tabs>
        <w:spacing w:line="360" w:lineRule="auto"/>
        <w:rPr>
          <w:color w:val="auto"/>
          <w:sz w:val="28"/>
          <w:szCs w:val="36"/>
        </w:rPr>
      </w:pPr>
      <w:r>
        <w:rPr>
          <w:rFonts w:hint="eastAsia" w:ascii="宋体" w:hAnsi="宋体" w:cs="宋体"/>
          <w:color w:val="auto"/>
          <w:szCs w:val="21"/>
        </w:rPr>
        <w:fldChar w:fldCharType="begin"/>
      </w:r>
      <w:r>
        <w:rPr>
          <w:rFonts w:hint="eastAsia" w:ascii="宋体" w:hAnsi="宋体" w:cs="宋体"/>
          <w:color w:val="auto"/>
          <w:szCs w:val="21"/>
        </w:rPr>
        <w:instrText xml:space="preserve">TOC \o "1-3" \h \u </w:instrText>
      </w:r>
      <w:r>
        <w:rPr>
          <w:rFonts w:hint="eastAsia" w:ascii="宋体" w:hAnsi="宋体" w:cs="宋体"/>
          <w:color w:val="auto"/>
          <w:szCs w:val="21"/>
        </w:rPr>
        <w:fldChar w:fldCharType="separate"/>
      </w:r>
      <w:r>
        <w:rPr>
          <w:color w:val="auto"/>
        </w:rPr>
        <w:fldChar w:fldCharType="begin"/>
      </w:r>
      <w:r>
        <w:rPr>
          <w:color w:val="auto"/>
        </w:rPr>
        <w:instrText xml:space="preserve"> HYPERLINK \l "_Toc9558" </w:instrText>
      </w:r>
      <w:r>
        <w:rPr>
          <w:color w:val="auto"/>
        </w:rPr>
        <w:fldChar w:fldCharType="separate"/>
      </w:r>
      <w:r>
        <w:rPr>
          <w:rFonts w:hint="eastAsia" w:ascii="宋体" w:hAnsi="宋体" w:cs="宋体"/>
          <w:bCs/>
          <w:color w:val="auto"/>
          <w:sz w:val="28"/>
          <w:szCs w:val="48"/>
        </w:rPr>
        <w:t>第一章招标公告</w:t>
      </w:r>
      <w:r>
        <w:rPr>
          <w:color w:val="auto"/>
          <w:sz w:val="28"/>
          <w:szCs w:val="36"/>
        </w:rPr>
        <w:tab/>
      </w:r>
      <w:r>
        <w:rPr>
          <w:color w:val="auto"/>
          <w:sz w:val="28"/>
          <w:szCs w:val="36"/>
        </w:rPr>
        <w:fldChar w:fldCharType="begin"/>
      </w:r>
      <w:r>
        <w:rPr>
          <w:color w:val="auto"/>
          <w:sz w:val="28"/>
          <w:szCs w:val="36"/>
        </w:rPr>
        <w:instrText xml:space="preserve"> PAGEREF _Toc9558 \h </w:instrText>
      </w:r>
      <w:r>
        <w:rPr>
          <w:color w:val="auto"/>
          <w:sz w:val="28"/>
          <w:szCs w:val="36"/>
        </w:rPr>
        <w:fldChar w:fldCharType="separate"/>
      </w:r>
      <w:r>
        <w:rPr>
          <w:color w:val="auto"/>
          <w:sz w:val="28"/>
          <w:szCs w:val="36"/>
        </w:rPr>
        <w:t>1</w:t>
      </w:r>
      <w:r>
        <w:rPr>
          <w:color w:val="auto"/>
          <w:sz w:val="28"/>
          <w:szCs w:val="36"/>
        </w:rPr>
        <w:fldChar w:fldCharType="end"/>
      </w:r>
      <w:r>
        <w:rPr>
          <w:color w:val="auto"/>
          <w:sz w:val="28"/>
          <w:szCs w:val="36"/>
        </w:rPr>
        <w:fldChar w:fldCharType="end"/>
      </w:r>
    </w:p>
    <w:p w14:paraId="2FD4B3EF">
      <w:pPr>
        <w:pStyle w:val="17"/>
        <w:tabs>
          <w:tab w:val="right" w:leader="dot" w:pos="8504"/>
        </w:tabs>
        <w:spacing w:line="360" w:lineRule="auto"/>
        <w:rPr>
          <w:color w:val="auto"/>
          <w:sz w:val="28"/>
          <w:szCs w:val="36"/>
        </w:rPr>
      </w:pPr>
      <w:r>
        <w:rPr>
          <w:color w:val="auto"/>
        </w:rPr>
        <w:fldChar w:fldCharType="begin"/>
      </w:r>
      <w:r>
        <w:rPr>
          <w:color w:val="auto"/>
        </w:rPr>
        <w:instrText xml:space="preserve"> HYPERLINK \l "_Toc13433" </w:instrText>
      </w:r>
      <w:r>
        <w:rPr>
          <w:color w:val="auto"/>
        </w:rPr>
        <w:fldChar w:fldCharType="separate"/>
      </w:r>
      <w:r>
        <w:rPr>
          <w:rFonts w:hint="eastAsia" w:ascii="宋体" w:hAnsi="宋体" w:cs="宋体"/>
          <w:bCs/>
          <w:color w:val="auto"/>
          <w:sz w:val="28"/>
          <w:szCs w:val="48"/>
        </w:rPr>
        <w:t>第二章投标人须知</w:t>
      </w:r>
      <w:r>
        <w:rPr>
          <w:color w:val="auto"/>
          <w:sz w:val="28"/>
          <w:szCs w:val="36"/>
        </w:rPr>
        <w:tab/>
      </w:r>
      <w:r>
        <w:rPr>
          <w:color w:val="auto"/>
          <w:sz w:val="28"/>
          <w:szCs w:val="36"/>
        </w:rPr>
        <w:fldChar w:fldCharType="begin"/>
      </w:r>
      <w:r>
        <w:rPr>
          <w:color w:val="auto"/>
          <w:sz w:val="28"/>
          <w:szCs w:val="36"/>
        </w:rPr>
        <w:instrText xml:space="preserve"> PAGEREF _Toc13433 \h </w:instrText>
      </w:r>
      <w:r>
        <w:rPr>
          <w:color w:val="auto"/>
          <w:sz w:val="28"/>
          <w:szCs w:val="36"/>
        </w:rPr>
        <w:fldChar w:fldCharType="separate"/>
      </w:r>
      <w:r>
        <w:rPr>
          <w:color w:val="auto"/>
          <w:sz w:val="28"/>
          <w:szCs w:val="36"/>
        </w:rPr>
        <w:t>6</w:t>
      </w:r>
      <w:r>
        <w:rPr>
          <w:color w:val="auto"/>
          <w:sz w:val="28"/>
          <w:szCs w:val="36"/>
        </w:rPr>
        <w:fldChar w:fldCharType="end"/>
      </w:r>
      <w:r>
        <w:rPr>
          <w:color w:val="auto"/>
          <w:sz w:val="28"/>
          <w:szCs w:val="36"/>
        </w:rPr>
        <w:fldChar w:fldCharType="end"/>
      </w:r>
    </w:p>
    <w:p w14:paraId="25CFB96E">
      <w:pPr>
        <w:pStyle w:val="17"/>
        <w:tabs>
          <w:tab w:val="right" w:leader="dot" w:pos="8504"/>
        </w:tabs>
        <w:spacing w:line="360" w:lineRule="auto"/>
        <w:rPr>
          <w:rFonts w:hint="eastAsia" w:eastAsia="宋体"/>
          <w:color w:val="auto"/>
          <w:sz w:val="28"/>
          <w:szCs w:val="36"/>
          <w:lang w:eastAsia="zh-CN"/>
        </w:rPr>
      </w:pPr>
      <w:r>
        <w:rPr>
          <w:color w:val="auto"/>
        </w:rPr>
        <w:fldChar w:fldCharType="begin"/>
      </w:r>
      <w:r>
        <w:rPr>
          <w:color w:val="auto"/>
        </w:rPr>
        <w:instrText xml:space="preserve"> HYPERLINK \l "_Toc10724" </w:instrText>
      </w:r>
      <w:r>
        <w:rPr>
          <w:color w:val="auto"/>
        </w:rPr>
        <w:fldChar w:fldCharType="separate"/>
      </w:r>
      <w:r>
        <w:rPr>
          <w:rFonts w:hint="eastAsia" w:ascii="宋体" w:hAnsi="宋体" w:cs="宋体"/>
          <w:color w:val="auto"/>
          <w:sz w:val="28"/>
          <w:szCs w:val="48"/>
        </w:rPr>
        <w:t>第三章评标办法（</w:t>
      </w:r>
      <w:r>
        <w:rPr>
          <w:rFonts w:hint="eastAsia" w:ascii="宋体" w:hAnsi="宋体" w:cs="宋体"/>
          <w:color w:val="auto"/>
          <w:sz w:val="28"/>
          <w:szCs w:val="48"/>
          <w:lang w:eastAsia="zh-CN"/>
        </w:rPr>
        <w:t>综合评估法</w:t>
      </w:r>
      <w:r>
        <w:rPr>
          <w:rFonts w:hint="eastAsia" w:ascii="宋体" w:hAnsi="宋体" w:cs="宋体"/>
          <w:color w:val="auto"/>
          <w:sz w:val="28"/>
          <w:szCs w:val="48"/>
        </w:rPr>
        <w:t>）</w:t>
      </w:r>
      <w:r>
        <w:rPr>
          <w:color w:val="auto"/>
          <w:sz w:val="28"/>
          <w:szCs w:val="36"/>
        </w:rPr>
        <w:tab/>
      </w:r>
      <w:r>
        <w:rPr>
          <w:rFonts w:hint="eastAsia"/>
          <w:color w:val="auto"/>
          <w:sz w:val="28"/>
          <w:szCs w:val="36"/>
          <w:lang w:val="en-US" w:eastAsia="zh-CN"/>
        </w:rPr>
        <w:t>2</w:t>
      </w:r>
      <w:r>
        <w:rPr>
          <w:rFonts w:hint="eastAsia"/>
          <w:color w:val="auto"/>
          <w:sz w:val="28"/>
          <w:szCs w:val="36"/>
        </w:rPr>
        <w:fldChar w:fldCharType="end"/>
      </w:r>
      <w:r>
        <w:rPr>
          <w:rFonts w:hint="eastAsia" w:ascii="宋体" w:hAnsi="宋体" w:cs="宋体"/>
          <w:color w:val="auto"/>
          <w:sz w:val="28"/>
          <w:szCs w:val="28"/>
          <w:lang w:val="en-US" w:eastAsia="zh-CN"/>
        </w:rPr>
        <w:t>7</w:t>
      </w:r>
    </w:p>
    <w:p w14:paraId="0AE06D15">
      <w:pPr>
        <w:pStyle w:val="17"/>
        <w:tabs>
          <w:tab w:val="right" w:leader="dot" w:pos="8504"/>
        </w:tabs>
        <w:spacing w:line="360" w:lineRule="auto"/>
        <w:rPr>
          <w:color w:val="auto"/>
          <w:sz w:val="28"/>
          <w:szCs w:val="36"/>
        </w:rPr>
      </w:pPr>
      <w:r>
        <w:rPr>
          <w:color w:val="auto"/>
        </w:rPr>
        <w:fldChar w:fldCharType="begin"/>
      </w:r>
      <w:r>
        <w:rPr>
          <w:color w:val="auto"/>
        </w:rPr>
        <w:instrText xml:space="preserve"> HYPERLINK \l "_Toc14831" </w:instrText>
      </w:r>
      <w:r>
        <w:rPr>
          <w:color w:val="auto"/>
        </w:rPr>
        <w:fldChar w:fldCharType="separate"/>
      </w:r>
      <w:r>
        <w:rPr>
          <w:rFonts w:hint="eastAsia" w:ascii="宋体" w:hAnsi="宋体" w:cs="宋体"/>
          <w:color w:val="auto"/>
          <w:sz w:val="28"/>
          <w:szCs w:val="48"/>
        </w:rPr>
        <w:t>第四章定标办法</w:t>
      </w:r>
      <w:r>
        <w:rPr>
          <w:color w:val="auto"/>
          <w:sz w:val="28"/>
          <w:szCs w:val="36"/>
        </w:rPr>
        <w:tab/>
      </w:r>
      <w:r>
        <w:rPr>
          <w:color w:val="auto"/>
          <w:sz w:val="28"/>
          <w:szCs w:val="36"/>
        </w:rPr>
        <w:fldChar w:fldCharType="begin"/>
      </w:r>
      <w:r>
        <w:rPr>
          <w:color w:val="auto"/>
          <w:sz w:val="28"/>
          <w:szCs w:val="36"/>
        </w:rPr>
        <w:instrText xml:space="preserve"> PAGEREF _Toc14831 \h </w:instrText>
      </w:r>
      <w:r>
        <w:rPr>
          <w:color w:val="auto"/>
          <w:sz w:val="28"/>
          <w:szCs w:val="36"/>
        </w:rPr>
        <w:fldChar w:fldCharType="separate"/>
      </w:r>
      <w:r>
        <w:rPr>
          <w:color w:val="auto"/>
          <w:sz w:val="28"/>
          <w:szCs w:val="36"/>
        </w:rPr>
        <w:t>35</w:t>
      </w:r>
      <w:r>
        <w:rPr>
          <w:color w:val="auto"/>
          <w:sz w:val="28"/>
          <w:szCs w:val="36"/>
        </w:rPr>
        <w:fldChar w:fldCharType="end"/>
      </w:r>
      <w:r>
        <w:rPr>
          <w:color w:val="auto"/>
          <w:sz w:val="28"/>
          <w:szCs w:val="36"/>
        </w:rPr>
        <w:fldChar w:fldCharType="end"/>
      </w:r>
    </w:p>
    <w:p w14:paraId="2D2591B2">
      <w:pPr>
        <w:pStyle w:val="17"/>
        <w:tabs>
          <w:tab w:val="right" w:leader="dot" w:pos="8504"/>
        </w:tabs>
        <w:spacing w:line="360" w:lineRule="auto"/>
        <w:rPr>
          <w:color w:val="auto"/>
          <w:sz w:val="28"/>
          <w:szCs w:val="36"/>
        </w:rPr>
      </w:pPr>
      <w:r>
        <w:rPr>
          <w:color w:val="auto"/>
        </w:rPr>
        <w:fldChar w:fldCharType="begin"/>
      </w:r>
      <w:r>
        <w:rPr>
          <w:color w:val="auto"/>
        </w:rPr>
        <w:instrText xml:space="preserve"> HYPERLINK \l "_Toc31869" </w:instrText>
      </w:r>
      <w:r>
        <w:rPr>
          <w:color w:val="auto"/>
        </w:rPr>
        <w:fldChar w:fldCharType="separate"/>
      </w:r>
      <w:r>
        <w:rPr>
          <w:rFonts w:hint="eastAsia" w:ascii="宋体" w:hAnsi="宋体" w:cs="宋体"/>
          <w:bCs/>
          <w:color w:val="auto"/>
          <w:sz w:val="28"/>
          <w:szCs w:val="44"/>
        </w:rPr>
        <w:t>第五章合同条款及格式</w:t>
      </w:r>
      <w:r>
        <w:rPr>
          <w:color w:val="auto"/>
          <w:sz w:val="28"/>
          <w:szCs w:val="36"/>
        </w:rPr>
        <w:tab/>
      </w:r>
      <w:r>
        <w:rPr>
          <w:color w:val="auto"/>
          <w:sz w:val="28"/>
          <w:szCs w:val="36"/>
        </w:rPr>
        <w:fldChar w:fldCharType="begin"/>
      </w:r>
      <w:r>
        <w:rPr>
          <w:color w:val="auto"/>
          <w:sz w:val="28"/>
          <w:szCs w:val="36"/>
        </w:rPr>
        <w:instrText xml:space="preserve"> PAGEREF _Toc31869 \h </w:instrText>
      </w:r>
      <w:r>
        <w:rPr>
          <w:color w:val="auto"/>
          <w:sz w:val="28"/>
          <w:szCs w:val="36"/>
        </w:rPr>
        <w:fldChar w:fldCharType="separate"/>
      </w:r>
      <w:r>
        <w:rPr>
          <w:rFonts w:hint="eastAsia"/>
          <w:color w:val="auto"/>
          <w:sz w:val="28"/>
          <w:szCs w:val="36"/>
          <w:lang w:val="en-US" w:eastAsia="zh-CN"/>
        </w:rPr>
        <w:t>40</w:t>
      </w:r>
      <w:r>
        <w:rPr>
          <w:color w:val="auto"/>
          <w:sz w:val="28"/>
          <w:szCs w:val="36"/>
        </w:rPr>
        <w:fldChar w:fldCharType="end"/>
      </w:r>
      <w:r>
        <w:rPr>
          <w:color w:val="auto"/>
          <w:sz w:val="28"/>
          <w:szCs w:val="36"/>
        </w:rPr>
        <w:fldChar w:fldCharType="end"/>
      </w:r>
    </w:p>
    <w:p w14:paraId="763E98F4">
      <w:pPr>
        <w:pStyle w:val="17"/>
        <w:tabs>
          <w:tab w:val="right" w:leader="dot" w:pos="8504"/>
        </w:tabs>
        <w:spacing w:line="360" w:lineRule="auto"/>
        <w:rPr>
          <w:rFonts w:hint="eastAsia" w:eastAsia="宋体"/>
          <w:color w:val="auto"/>
          <w:sz w:val="28"/>
          <w:szCs w:val="36"/>
          <w:lang w:eastAsia="zh-CN"/>
        </w:rPr>
      </w:pPr>
      <w:r>
        <w:rPr>
          <w:color w:val="auto"/>
        </w:rPr>
        <w:fldChar w:fldCharType="begin"/>
      </w:r>
      <w:r>
        <w:rPr>
          <w:color w:val="auto"/>
        </w:rPr>
        <w:instrText xml:space="preserve"> HYPERLINK \l "_Toc31869" </w:instrText>
      </w:r>
      <w:r>
        <w:rPr>
          <w:color w:val="auto"/>
        </w:rPr>
        <w:fldChar w:fldCharType="separate"/>
      </w:r>
      <w:r>
        <w:rPr>
          <w:rFonts w:hint="eastAsia" w:ascii="宋体" w:hAnsi="宋体" w:cs="宋体"/>
          <w:bCs/>
          <w:color w:val="auto"/>
          <w:sz w:val="28"/>
          <w:szCs w:val="44"/>
        </w:rPr>
        <w:t>第六章工程量清单</w:t>
      </w:r>
      <w:r>
        <w:rPr>
          <w:color w:val="auto"/>
          <w:sz w:val="28"/>
          <w:szCs w:val="36"/>
        </w:rPr>
        <w:tab/>
      </w:r>
      <w:r>
        <w:rPr>
          <w:rFonts w:hint="eastAsia"/>
          <w:color w:val="auto"/>
          <w:sz w:val="28"/>
          <w:szCs w:val="36"/>
          <w:lang w:val="en-US" w:eastAsia="zh-CN"/>
        </w:rPr>
        <w:t>6</w:t>
      </w:r>
      <w:r>
        <w:rPr>
          <w:rFonts w:hint="eastAsia"/>
          <w:color w:val="auto"/>
          <w:sz w:val="28"/>
          <w:szCs w:val="36"/>
        </w:rPr>
        <w:fldChar w:fldCharType="end"/>
      </w:r>
      <w:r>
        <w:rPr>
          <w:rFonts w:hint="eastAsia" w:ascii="宋体" w:hAnsi="宋体" w:cs="宋体"/>
          <w:color w:val="auto"/>
          <w:sz w:val="28"/>
          <w:szCs w:val="28"/>
          <w:lang w:val="en-US" w:eastAsia="zh-CN"/>
        </w:rPr>
        <w:t>3</w:t>
      </w:r>
    </w:p>
    <w:p w14:paraId="3CC6811D">
      <w:pPr>
        <w:pStyle w:val="17"/>
        <w:tabs>
          <w:tab w:val="right" w:leader="dot" w:pos="8504"/>
        </w:tabs>
        <w:spacing w:line="360" w:lineRule="auto"/>
        <w:rPr>
          <w:color w:val="auto"/>
          <w:sz w:val="28"/>
          <w:szCs w:val="36"/>
        </w:rPr>
      </w:pPr>
      <w:r>
        <w:rPr>
          <w:color w:val="auto"/>
        </w:rPr>
        <w:fldChar w:fldCharType="begin"/>
      </w:r>
      <w:r>
        <w:rPr>
          <w:color w:val="auto"/>
        </w:rPr>
        <w:instrText xml:space="preserve"> HYPERLINK \l "_Toc12237" </w:instrText>
      </w:r>
      <w:r>
        <w:rPr>
          <w:color w:val="auto"/>
        </w:rPr>
        <w:fldChar w:fldCharType="separate"/>
      </w:r>
      <w:r>
        <w:rPr>
          <w:rFonts w:hint="eastAsia" w:ascii="宋体" w:hAnsi="宋体" w:cs="宋体"/>
          <w:bCs/>
          <w:color w:val="auto"/>
          <w:sz w:val="28"/>
          <w:szCs w:val="48"/>
        </w:rPr>
        <w:t>第七章图纸</w:t>
      </w:r>
      <w:r>
        <w:rPr>
          <w:color w:val="auto"/>
          <w:sz w:val="28"/>
          <w:szCs w:val="36"/>
        </w:rPr>
        <w:tab/>
      </w:r>
      <w:r>
        <w:rPr>
          <w:color w:val="auto"/>
          <w:sz w:val="28"/>
          <w:szCs w:val="36"/>
        </w:rPr>
        <w:fldChar w:fldCharType="begin"/>
      </w:r>
      <w:r>
        <w:rPr>
          <w:color w:val="auto"/>
          <w:sz w:val="28"/>
          <w:szCs w:val="36"/>
        </w:rPr>
        <w:instrText xml:space="preserve"> PAGEREF _Toc12237 \h </w:instrText>
      </w:r>
      <w:r>
        <w:rPr>
          <w:color w:val="auto"/>
          <w:sz w:val="28"/>
          <w:szCs w:val="36"/>
        </w:rPr>
        <w:fldChar w:fldCharType="separate"/>
      </w:r>
      <w:r>
        <w:rPr>
          <w:color w:val="auto"/>
          <w:sz w:val="28"/>
          <w:szCs w:val="36"/>
        </w:rPr>
        <w:t>64</w:t>
      </w:r>
      <w:r>
        <w:rPr>
          <w:color w:val="auto"/>
          <w:sz w:val="28"/>
          <w:szCs w:val="36"/>
        </w:rPr>
        <w:fldChar w:fldCharType="end"/>
      </w:r>
      <w:r>
        <w:rPr>
          <w:color w:val="auto"/>
          <w:sz w:val="28"/>
          <w:szCs w:val="36"/>
        </w:rPr>
        <w:fldChar w:fldCharType="end"/>
      </w:r>
    </w:p>
    <w:p w14:paraId="6CB895B6">
      <w:pPr>
        <w:pStyle w:val="17"/>
        <w:tabs>
          <w:tab w:val="right" w:leader="dot" w:pos="8504"/>
        </w:tabs>
        <w:spacing w:line="360" w:lineRule="auto"/>
        <w:rPr>
          <w:color w:val="auto"/>
          <w:sz w:val="28"/>
          <w:szCs w:val="36"/>
        </w:rPr>
      </w:pPr>
      <w:r>
        <w:rPr>
          <w:color w:val="auto"/>
        </w:rPr>
        <w:fldChar w:fldCharType="begin"/>
      </w:r>
      <w:r>
        <w:rPr>
          <w:color w:val="auto"/>
        </w:rPr>
        <w:instrText xml:space="preserve"> HYPERLINK \l "_Toc2838" </w:instrText>
      </w:r>
      <w:r>
        <w:rPr>
          <w:color w:val="auto"/>
        </w:rPr>
        <w:fldChar w:fldCharType="separate"/>
      </w:r>
      <w:r>
        <w:rPr>
          <w:rFonts w:hint="eastAsia" w:ascii="宋体" w:hAnsi="宋体" w:cs="宋体"/>
          <w:bCs/>
          <w:color w:val="auto"/>
          <w:sz w:val="28"/>
          <w:szCs w:val="48"/>
        </w:rPr>
        <w:t>第八章技术标准和要求</w:t>
      </w:r>
      <w:r>
        <w:rPr>
          <w:color w:val="auto"/>
          <w:sz w:val="28"/>
          <w:szCs w:val="36"/>
        </w:rPr>
        <w:tab/>
      </w:r>
      <w:r>
        <w:rPr>
          <w:color w:val="auto"/>
          <w:sz w:val="28"/>
          <w:szCs w:val="36"/>
        </w:rPr>
        <w:fldChar w:fldCharType="begin"/>
      </w:r>
      <w:r>
        <w:rPr>
          <w:color w:val="auto"/>
          <w:sz w:val="28"/>
          <w:szCs w:val="36"/>
        </w:rPr>
        <w:instrText xml:space="preserve"> PAGEREF _Toc2838 \h </w:instrText>
      </w:r>
      <w:r>
        <w:rPr>
          <w:color w:val="auto"/>
          <w:sz w:val="28"/>
          <w:szCs w:val="36"/>
        </w:rPr>
        <w:fldChar w:fldCharType="separate"/>
      </w:r>
      <w:r>
        <w:rPr>
          <w:color w:val="auto"/>
          <w:sz w:val="28"/>
          <w:szCs w:val="36"/>
        </w:rPr>
        <w:t>66</w:t>
      </w:r>
      <w:r>
        <w:rPr>
          <w:color w:val="auto"/>
          <w:sz w:val="28"/>
          <w:szCs w:val="36"/>
        </w:rPr>
        <w:fldChar w:fldCharType="end"/>
      </w:r>
      <w:r>
        <w:rPr>
          <w:color w:val="auto"/>
          <w:sz w:val="28"/>
          <w:szCs w:val="36"/>
        </w:rPr>
        <w:fldChar w:fldCharType="end"/>
      </w:r>
    </w:p>
    <w:p w14:paraId="66A69ED6">
      <w:pPr>
        <w:pStyle w:val="17"/>
        <w:tabs>
          <w:tab w:val="right" w:leader="dot" w:pos="8504"/>
        </w:tabs>
        <w:spacing w:line="360" w:lineRule="auto"/>
        <w:rPr>
          <w:color w:val="auto"/>
          <w:sz w:val="28"/>
          <w:szCs w:val="36"/>
        </w:rPr>
      </w:pPr>
      <w:r>
        <w:rPr>
          <w:color w:val="auto"/>
        </w:rPr>
        <w:fldChar w:fldCharType="begin"/>
      </w:r>
      <w:r>
        <w:rPr>
          <w:color w:val="auto"/>
        </w:rPr>
        <w:instrText xml:space="preserve"> HYPERLINK \l "_Toc15695" </w:instrText>
      </w:r>
      <w:r>
        <w:rPr>
          <w:color w:val="auto"/>
        </w:rPr>
        <w:fldChar w:fldCharType="separate"/>
      </w:r>
      <w:r>
        <w:rPr>
          <w:rFonts w:hint="eastAsia" w:ascii="宋体" w:hAnsi="宋体" w:cs="宋体"/>
          <w:bCs/>
          <w:color w:val="auto"/>
          <w:sz w:val="28"/>
          <w:szCs w:val="48"/>
        </w:rPr>
        <w:t>第九章投标文件格式</w:t>
      </w:r>
      <w:r>
        <w:rPr>
          <w:color w:val="auto"/>
          <w:sz w:val="28"/>
          <w:szCs w:val="36"/>
        </w:rPr>
        <w:tab/>
      </w:r>
      <w:r>
        <w:rPr>
          <w:color w:val="auto"/>
          <w:sz w:val="28"/>
          <w:szCs w:val="36"/>
        </w:rPr>
        <w:fldChar w:fldCharType="begin"/>
      </w:r>
      <w:r>
        <w:rPr>
          <w:color w:val="auto"/>
          <w:sz w:val="28"/>
          <w:szCs w:val="36"/>
        </w:rPr>
        <w:instrText xml:space="preserve"> PAGEREF _Toc15695 \h </w:instrText>
      </w:r>
      <w:r>
        <w:rPr>
          <w:color w:val="auto"/>
          <w:sz w:val="28"/>
          <w:szCs w:val="36"/>
        </w:rPr>
        <w:fldChar w:fldCharType="separate"/>
      </w:r>
      <w:r>
        <w:rPr>
          <w:color w:val="auto"/>
          <w:sz w:val="28"/>
          <w:szCs w:val="36"/>
        </w:rPr>
        <w:t>68</w:t>
      </w:r>
      <w:r>
        <w:rPr>
          <w:color w:val="auto"/>
          <w:sz w:val="28"/>
          <w:szCs w:val="36"/>
        </w:rPr>
        <w:fldChar w:fldCharType="end"/>
      </w:r>
      <w:r>
        <w:rPr>
          <w:color w:val="auto"/>
          <w:sz w:val="28"/>
          <w:szCs w:val="36"/>
        </w:rPr>
        <w:fldChar w:fldCharType="end"/>
      </w:r>
    </w:p>
    <w:p w14:paraId="6EF7CC13">
      <w:pPr>
        <w:pStyle w:val="18"/>
        <w:tabs>
          <w:tab w:val="right" w:leader="dot" w:pos="8504"/>
        </w:tabs>
        <w:spacing w:line="360" w:lineRule="auto"/>
        <w:rPr>
          <w:color w:val="auto"/>
        </w:rPr>
      </w:pPr>
    </w:p>
    <w:p w14:paraId="606F06A9">
      <w:pPr>
        <w:pStyle w:val="38"/>
        <w:spacing w:line="360" w:lineRule="auto"/>
        <w:ind w:firstLine="0" w:firstLineChars="0"/>
        <w:jc w:val="center"/>
        <w:rPr>
          <w:rFonts w:ascii="宋体" w:hAnsi="宋体" w:cs="宋体"/>
          <w:color w:val="auto"/>
          <w:szCs w:val="21"/>
        </w:rPr>
      </w:pPr>
      <w:r>
        <w:rPr>
          <w:rFonts w:hint="eastAsia" w:ascii="宋体" w:hAnsi="宋体" w:cs="宋体"/>
          <w:color w:val="auto"/>
          <w:szCs w:val="21"/>
        </w:rPr>
        <w:fldChar w:fldCharType="end"/>
      </w:r>
    </w:p>
    <w:p w14:paraId="30D96D4D">
      <w:pPr>
        <w:pStyle w:val="38"/>
        <w:spacing w:line="360" w:lineRule="auto"/>
        <w:ind w:firstLine="0" w:firstLineChars="0"/>
        <w:jc w:val="center"/>
        <w:rPr>
          <w:rFonts w:ascii="宋体" w:hAnsi="宋体" w:cs="宋体"/>
          <w:color w:val="auto"/>
          <w:szCs w:val="21"/>
        </w:rPr>
      </w:pPr>
    </w:p>
    <w:p w14:paraId="7AD4CB23">
      <w:pPr>
        <w:pStyle w:val="38"/>
        <w:spacing w:line="360" w:lineRule="auto"/>
        <w:ind w:firstLine="0" w:firstLineChars="0"/>
        <w:jc w:val="center"/>
        <w:rPr>
          <w:rFonts w:ascii="宋体" w:hAnsi="宋体" w:cs="宋体"/>
          <w:color w:val="auto"/>
          <w:szCs w:val="21"/>
        </w:rPr>
      </w:pPr>
    </w:p>
    <w:p w14:paraId="1BC8C1A3">
      <w:pPr>
        <w:pStyle w:val="38"/>
        <w:spacing w:line="360" w:lineRule="auto"/>
        <w:ind w:firstLine="0" w:firstLineChars="0"/>
        <w:jc w:val="center"/>
        <w:rPr>
          <w:rFonts w:ascii="宋体" w:hAnsi="宋体" w:cs="宋体"/>
          <w:color w:val="auto"/>
          <w:szCs w:val="21"/>
        </w:rPr>
      </w:pPr>
    </w:p>
    <w:p w14:paraId="1782985C">
      <w:pPr>
        <w:pStyle w:val="38"/>
        <w:spacing w:line="360" w:lineRule="auto"/>
        <w:ind w:firstLine="0" w:firstLineChars="0"/>
        <w:jc w:val="center"/>
        <w:rPr>
          <w:rFonts w:ascii="宋体" w:hAnsi="宋体" w:cs="宋体"/>
          <w:color w:val="auto"/>
          <w:szCs w:val="21"/>
        </w:rPr>
      </w:pPr>
    </w:p>
    <w:p w14:paraId="3EB25171">
      <w:pPr>
        <w:pStyle w:val="38"/>
        <w:spacing w:line="360" w:lineRule="auto"/>
        <w:ind w:firstLine="0" w:firstLineChars="0"/>
        <w:jc w:val="both"/>
        <w:rPr>
          <w:rFonts w:ascii="宋体" w:hAnsi="宋体" w:cs="宋体"/>
          <w:color w:val="auto"/>
          <w:szCs w:val="21"/>
        </w:rPr>
        <w:sectPr>
          <w:pgSz w:w="11906" w:h="16838"/>
          <w:pgMar w:top="1588" w:right="1701" w:bottom="1418" w:left="1701" w:header="851" w:footer="851" w:gutter="0"/>
          <w:pgBorders>
            <w:top w:val="none" w:sz="0" w:space="0"/>
            <w:left w:val="none" w:sz="0" w:space="0"/>
            <w:bottom w:val="none" w:sz="0" w:space="0"/>
            <w:right w:val="none" w:sz="0" w:space="0"/>
          </w:pgBorders>
          <w:pgNumType w:start="1"/>
          <w:cols w:space="720" w:num="1"/>
          <w:docGrid w:type="lines" w:linePitch="312" w:charSpace="0"/>
        </w:sectPr>
      </w:pPr>
    </w:p>
    <w:p w14:paraId="5BBB7938">
      <w:pPr>
        <w:pStyle w:val="40"/>
        <w:spacing w:line="360" w:lineRule="auto"/>
        <w:rPr>
          <w:color w:val="auto"/>
        </w:rPr>
      </w:pPr>
    </w:p>
    <w:p w14:paraId="6EF55E98">
      <w:pPr>
        <w:pStyle w:val="38"/>
        <w:spacing w:line="360" w:lineRule="auto"/>
        <w:ind w:firstLine="0" w:firstLineChars="0"/>
        <w:jc w:val="center"/>
        <w:rPr>
          <w:rFonts w:ascii="宋体" w:hAnsi="宋体" w:cs="宋体"/>
          <w:color w:val="auto"/>
          <w:szCs w:val="21"/>
        </w:rPr>
      </w:pPr>
    </w:p>
    <w:p w14:paraId="5D894BC7">
      <w:pPr>
        <w:pStyle w:val="38"/>
        <w:spacing w:line="360" w:lineRule="auto"/>
        <w:ind w:firstLine="0" w:firstLineChars="0"/>
        <w:jc w:val="center"/>
        <w:rPr>
          <w:rFonts w:ascii="宋体" w:hAnsi="宋体" w:cs="宋体"/>
          <w:color w:val="auto"/>
          <w:szCs w:val="21"/>
        </w:rPr>
      </w:pPr>
    </w:p>
    <w:p w14:paraId="08EC6D66">
      <w:pPr>
        <w:pStyle w:val="38"/>
        <w:spacing w:line="360" w:lineRule="auto"/>
        <w:ind w:firstLine="0" w:firstLineChars="0"/>
        <w:jc w:val="center"/>
        <w:rPr>
          <w:rFonts w:ascii="宋体" w:hAnsi="宋体" w:cs="宋体"/>
          <w:color w:val="auto"/>
          <w:szCs w:val="21"/>
        </w:rPr>
      </w:pPr>
    </w:p>
    <w:p w14:paraId="27B85BBE">
      <w:pPr>
        <w:pStyle w:val="38"/>
        <w:spacing w:line="360" w:lineRule="auto"/>
        <w:ind w:firstLine="0" w:firstLineChars="0"/>
        <w:jc w:val="center"/>
        <w:rPr>
          <w:rFonts w:ascii="宋体" w:hAnsi="宋体" w:cs="宋体"/>
          <w:color w:val="auto"/>
          <w:szCs w:val="21"/>
        </w:rPr>
      </w:pPr>
    </w:p>
    <w:p w14:paraId="321D888E">
      <w:pPr>
        <w:pStyle w:val="38"/>
        <w:spacing w:line="360" w:lineRule="auto"/>
        <w:ind w:firstLine="0" w:firstLineChars="0"/>
        <w:jc w:val="center"/>
        <w:rPr>
          <w:rFonts w:ascii="宋体" w:hAnsi="宋体" w:cs="宋体"/>
          <w:color w:val="auto"/>
          <w:szCs w:val="21"/>
        </w:rPr>
      </w:pPr>
    </w:p>
    <w:p w14:paraId="083F8CE5">
      <w:pPr>
        <w:pStyle w:val="38"/>
        <w:spacing w:line="360" w:lineRule="auto"/>
        <w:ind w:firstLine="0" w:firstLineChars="0"/>
        <w:jc w:val="center"/>
        <w:rPr>
          <w:rFonts w:ascii="宋体" w:hAnsi="宋体" w:cs="宋体"/>
          <w:color w:val="auto"/>
          <w:szCs w:val="21"/>
        </w:rPr>
      </w:pPr>
    </w:p>
    <w:p w14:paraId="5376AE64">
      <w:pPr>
        <w:pStyle w:val="38"/>
        <w:spacing w:line="360" w:lineRule="auto"/>
        <w:ind w:firstLine="0" w:firstLineChars="0"/>
        <w:jc w:val="center"/>
        <w:rPr>
          <w:rFonts w:ascii="宋体" w:hAnsi="宋体" w:cs="宋体"/>
          <w:color w:val="auto"/>
          <w:sz w:val="48"/>
          <w:szCs w:val="48"/>
        </w:rPr>
      </w:pPr>
      <w:r>
        <w:rPr>
          <w:rFonts w:hint="eastAsia" w:ascii="宋体" w:hAnsi="宋体" w:cs="宋体"/>
          <w:color w:val="auto"/>
          <w:sz w:val="48"/>
          <w:szCs w:val="48"/>
        </w:rPr>
        <w:t>第一卷</w:t>
      </w:r>
    </w:p>
    <w:p w14:paraId="0B591371">
      <w:pPr>
        <w:spacing w:line="360" w:lineRule="auto"/>
        <w:ind w:firstLine="435"/>
        <w:jc w:val="center"/>
        <w:outlineLvl w:val="0"/>
        <w:rPr>
          <w:rFonts w:hint="eastAsia" w:ascii="宋体" w:hAnsi="宋体" w:cs="宋体"/>
          <w:b/>
          <w:bCs/>
          <w:color w:val="auto"/>
          <w:sz w:val="36"/>
          <w:szCs w:val="36"/>
        </w:rPr>
        <w:sectPr>
          <w:footerReference r:id="rId3" w:type="default"/>
          <w:pgSz w:w="11906" w:h="16838"/>
          <w:pgMar w:top="1588" w:right="1701" w:bottom="1418" w:left="1701" w:header="851" w:footer="851" w:gutter="0"/>
          <w:pgBorders>
            <w:top w:val="none" w:sz="0" w:space="0"/>
            <w:left w:val="none" w:sz="0" w:space="0"/>
            <w:bottom w:val="none" w:sz="0" w:space="0"/>
            <w:right w:val="none" w:sz="0" w:space="0"/>
          </w:pgBorders>
          <w:pgNumType w:start="1"/>
          <w:cols w:space="720" w:num="1"/>
          <w:docGrid w:type="lines" w:linePitch="312" w:charSpace="0"/>
        </w:sectPr>
      </w:pPr>
      <w:bookmarkStart w:id="2" w:name="_Toc17849"/>
      <w:bookmarkStart w:id="3" w:name="_Toc9558"/>
      <w:bookmarkStart w:id="4" w:name="_Toc31825"/>
      <w:bookmarkStart w:id="5" w:name="_Toc29865"/>
    </w:p>
    <w:p w14:paraId="10B1968B">
      <w:pPr>
        <w:spacing w:line="360" w:lineRule="auto"/>
        <w:ind w:firstLine="435"/>
        <w:jc w:val="center"/>
        <w:outlineLvl w:val="0"/>
        <w:rPr>
          <w:rFonts w:ascii="宋体" w:hAnsi="宋体" w:cs="宋体"/>
          <w:color w:val="auto"/>
          <w:sz w:val="32"/>
          <w:szCs w:val="32"/>
        </w:rPr>
      </w:pPr>
      <w:r>
        <w:rPr>
          <w:rFonts w:hint="eastAsia" w:ascii="宋体" w:hAnsi="宋体" w:cs="宋体"/>
          <w:b/>
          <w:bCs/>
          <w:color w:val="auto"/>
          <w:sz w:val="36"/>
          <w:szCs w:val="36"/>
        </w:rPr>
        <w:t>第一章招标公告</w:t>
      </w:r>
      <w:bookmarkEnd w:id="2"/>
      <w:bookmarkEnd w:id="3"/>
      <w:bookmarkEnd w:id="4"/>
      <w:bookmarkEnd w:id="5"/>
    </w:p>
    <w:p w14:paraId="4EF03D6D">
      <w:pPr>
        <w:spacing w:line="500" w:lineRule="exact"/>
        <w:rPr>
          <w:rFonts w:asciiTheme="minorEastAsia" w:hAnsiTheme="minorEastAsia" w:eastAsiaTheme="minorEastAsia" w:cstheme="minorEastAsia"/>
          <w:b/>
          <w:color w:val="auto"/>
          <w:szCs w:val="21"/>
        </w:rPr>
      </w:pPr>
      <w:bookmarkStart w:id="6" w:name="OLE_LINK50"/>
      <w:bookmarkStart w:id="7" w:name="OLE_LINK81"/>
      <w:bookmarkStart w:id="8" w:name="OLE_LINK1"/>
      <w:bookmarkStart w:id="9" w:name="OLE_LINK37"/>
      <w:r>
        <w:rPr>
          <w:rFonts w:hint="eastAsia" w:asciiTheme="minorEastAsia" w:hAnsiTheme="minorEastAsia" w:eastAsiaTheme="minorEastAsia" w:cstheme="minorEastAsia"/>
          <w:b/>
          <w:color w:val="auto"/>
          <w:szCs w:val="21"/>
        </w:rPr>
        <w:t>一、招标条件</w:t>
      </w:r>
    </w:p>
    <w:p w14:paraId="1B8D169B">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eastAsia="zh-CN"/>
        </w:rPr>
        <w:t>银昌路、崤山东路排水防涝改造项目</w:t>
      </w:r>
      <w:r>
        <w:rPr>
          <w:rFonts w:hint="eastAsia" w:asciiTheme="minorEastAsia" w:hAnsiTheme="minorEastAsia" w:eastAsiaTheme="minorEastAsia" w:cstheme="minorEastAsia"/>
          <w:color w:val="auto"/>
          <w:szCs w:val="21"/>
        </w:rPr>
        <w:t>，资金来源为</w:t>
      </w:r>
      <w:r>
        <w:rPr>
          <w:rFonts w:hint="eastAsia" w:asciiTheme="minorEastAsia" w:hAnsiTheme="minorEastAsia" w:eastAsiaTheme="minorEastAsia" w:cstheme="minorEastAsia"/>
          <w:color w:val="auto"/>
          <w:szCs w:val="21"/>
          <w:lang w:eastAsia="zh-CN"/>
        </w:rPr>
        <w:t>申请上级资金和市财政筹措</w:t>
      </w:r>
      <w:r>
        <w:rPr>
          <w:rFonts w:hint="eastAsia" w:asciiTheme="minorEastAsia" w:hAnsiTheme="minorEastAsia" w:eastAsiaTheme="minorEastAsia" w:cstheme="minorEastAsia"/>
          <w:color w:val="auto"/>
          <w:szCs w:val="21"/>
        </w:rPr>
        <w:t>，招标人为</w:t>
      </w:r>
      <w:r>
        <w:rPr>
          <w:rFonts w:hint="eastAsia" w:asciiTheme="minorEastAsia" w:hAnsiTheme="minorEastAsia" w:eastAsiaTheme="minorEastAsia" w:cstheme="minorEastAsia"/>
          <w:bCs/>
          <w:color w:val="auto"/>
          <w:kern w:val="0"/>
          <w:szCs w:val="21"/>
          <w:lang w:eastAsia="zh-CN"/>
        </w:rPr>
        <w:t>三门峡市住房和城乡建设局</w:t>
      </w:r>
      <w:r>
        <w:rPr>
          <w:rFonts w:hint="eastAsia" w:asciiTheme="minorEastAsia" w:hAnsiTheme="minorEastAsia" w:eastAsiaTheme="minorEastAsia" w:cstheme="minorEastAsia"/>
          <w:color w:val="auto"/>
          <w:szCs w:val="21"/>
        </w:rPr>
        <w:t>，招标代理机构为</w:t>
      </w:r>
      <w:r>
        <w:rPr>
          <w:rFonts w:hint="eastAsia" w:asciiTheme="minorEastAsia" w:hAnsiTheme="minorEastAsia" w:eastAsiaTheme="minorEastAsia" w:cstheme="minorEastAsia"/>
          <w:color w:val="auto"/>
          <w:szCs w:val="21"/>
          <w:lang w:eastAsia="zh-CN"/>
        </w:rPr>
        <w:t>精源国际工程咨询有限公司</w:t>
      </w:r>
      <w:r>
        <w:rPr>
          <w:rFonts w:hint="eastAsia" w:asciiTheme="minorEastAsia" w:hAnsiTheme="minorEastAsia" w:eastAsiaTheme="minorEastAsia" w:cstheme="minorEastAsia"/>
          <w:color w:val="auto"/>
          <w:szCs w:val="21"/>
        </w:rPr>
        <w:t>。项目已具备招标条件，现对该项目进行公开招标。</w:t>
      </w:r>
    </w:p>
    <w:p w14:paraId="03B4FCF8">
      <w:pPr>
        <w:spacing w:line="500" w:lineRule="exact"/>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二、项目概况与招标范围</w:t>
      </w:r>
      <w:bookmarkStart w:id="10" w:name="_Toc21807"/>
      <w:bookmarkEnd w:id="10"/>
      <w:bookmarkStart w:id="11" w:name="_Toc24891"/>
      <w:bookmarkEnd w:id="11"/>
      <w:bookmarkStart w:id="12" w:name="_Toc5701"/>
      <w:r>
        <w:rPr>
          <w:rFonts w:hint="eastAsia" w:asciiTheme="minorEastAsia" w:hAnsiTheme="minorEastAsia" w:eastAsiaTheme="minorEastAsia" w:cstheme="minorEastAsia"/>
          <w:b/>
          <w:color w:val="auto"/>
          <w:szCs w:val="21"/>
        </w:rPr>
        <w:t>：</w:t>
      </w:r>
      <w:bookmarkEnd w:id="12"/>
    </w:p>
    <w:p w14:paraId="347A28BB">
      <w:pPr>
        <w:spacing w:line="500" w:lineRule="exact"/>
        <w:ind w:firstLine="420" w:firstLineChars="200"/>
        <w:rPr>
          <w:rFonts w:hint="eastAsia" w:asciiTheme="minorEastAsia" w:hAnsiTheme="minorEastAsia" w:eastAsiaTheme="minorEastAsia" w:cstheme="minorEastAsia"/>
          <w:color w:val="auto"/>
          <w:szCs w:val="21"/>
          <w:highlight w:val="none"/>
          <w:lang w:eastAsia="zh-CN"/>
        </w:rPr>
      </w:pPr>
      <w:bookmarkStart w:id="13" w:name="OLE_LINK51"/>
      <w:r>
        <w:rPr>
          <w:rFonts w:hint="eastAsia" w:asciiTheme="minorEastAsia" w:hAnsiTheme="minorEastAsia" w:eastAsiaTheme="minorEastAsia" w:cstheme="minorEastAsia"/>
          <w:color w:val="auto"/>
          <w:szCs w:val="21"/>
          <w:highlight w:val="none"/>
        </w:rPr>
        <w:t>1、项目名称：</w:t>
      </w:r>
      <w:r>
        <w:rPr>
          <w:rFonts w:hint="eastAsia" w:asciiTheme="minorEastAsia" w:hAnsiTheme="minorEastAsia" w:eastAsiaTheme="minorEastAsia" w:cstheme="minorEastAsia"/>
          <w:color w:val="auto"/>
          <w:szCs w:val="21"/>
          <w:highlight w:val="none"/>
          <w:lang w:eastAsia="zh-CN"/>
        </w:rPr>
        <w:t>银昌路、崤山东路排水防涝改造项目</w:t>
      </w:r>
    </w:p>
    <w:p w14:paraId="7DA232DA">
      <w:pPr>
        <w:spacing w:line="500" w:lineRule="exact"/>
        <w:ind w:firstLine="420" w:firstLineChars="200"/>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2、招标编号</w:t>
      </w:r>
      <w:bookmarkStart w:id="14" w:name="_Toc15152"/>
      <w:bookmarkEnd w:id="14"/>
      <w:bookmarkStart w:id="15" w:name="_Toc20853"/>
      <w:bookmarkEnd w:id="15"/>
      <w:bookmarkStart w:id="16" w:name="_Toc25404"/>
      <w:bookmarkEnd w:id="16"/>
      <w:r>
        <w:rPr>
          <w:rFonts w:hint="eastAsia" w:asciiTheme="minorEastAsia" w:hAnsiTheme="minorEastAsia" w:eastAsiaTheme="minorEastAsia" w:cstheme="minorEastAsia"/>
          <w:color w:val="auto"/>
          <w:szCs w:val="21"/>
          <w:highlight w:val="none"/>
          <w:lang w:val="en-US" w:eastAsia="zh-CN"/>
        </w:rPr>
        <w:t>：三财公开采购-2026-35、SGZ[2026]252-GC043</w:t>
      </w:r>
    </w:p>
    <w:p w14:paraId="2C3ACB20">
      <w:p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3、项目概况：本项目共计建设DN800—DN1200Ⅱ级钢筋混凝土雨水主管4696米，配套采购异动感应器设备201套，水位感应器设备201套，智能化监测设备9套。</w:t>
      </w:r>
    </w:p>
    <w:p w14:paraId="699734C0">
      <w:p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4、招标范围：</w:t>
      </w:r>
      <w:bookmarkStart w:id="17" w:name="OLE_LINK19"/>
      <w:bookmarkStart w:id="18" w:name="OLE_LINK20"/>
      <w:r>
        <w:rPr>
          <w:rFonts w:hint="eastAsia" w:asciiTheme="minorEastAsia" w:hAnsiTheme="minorEastAsia" w:eastAsiaTheme="minorEastAsia" w:cstheme="minorEastAsia"/>
          <w:color w:val="auto"/>
          <w:szCs w:val="21"/>
          <w:highlight w:val="none"/>
        </w:rPr>
        <w:t>工程量清单、图纸及招标文件包含的全部内容</w:t>
      </w:r>
      <w:bookmarkEnd w:id="17"/>
      <w:bookmarkEnd w:id="18"/>
      <w:r>
        <w:rPr>
          <w:rFonts w:hint="eastAsia" w:asciiTheme="minorEastAsia" w:hAnsiTheme="minorEastAsia" w:eastAsiaTheme="minorEastAsia" w:cstheme="minorEastAsia"/>
          <w:color w:val="auto"/>
          <w:szCs w:val="21"/>
          <w:highlight w:val="none"/>
        </w:rPr>
        <w:t>；</w:t>
      </w:r>
    </w:p>
    <w:p w14:paraId="47AF589E">
      <w:p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招标控制价：</w:t>
      </w:r>
      <w:r>
        <w:rPr>
          <w:rFonts w:hint="eastAsia" w:asciiTheme="minorEastAsia" w:hAnsiTheme="minorEastAsia" w:eastAsiaTheme="minorEastAsia" w:cstheme="minorEastAsia"/>
          <w:color w:val="auto"/>
          <w:szCs w:val="21"/>
          <w:highlight w:val="none"/>
          <w:lang w:val="en-US" w:eastAsia="zh-CN"/>
        </w:rPr>
        <w:t>36663194.78</w:t>
      </w:r>
      <w:r>
        <w:rPr>
          <w:rFonts w:hint="eastAsia" w:asciiTheme="minorEastAsia" w:hAnsiTheme="minorEastAsia" w:eastAsiaTheme="minorEastAsia" w:cstheme="minorEastAsia"/>
          <w:color w:val="auto"/>
          <w:szCs w:val="21"/>
          <w:highlight w:val="none"/>
        </w:rPr>
        <w:t>元</w:t>
      </w:r>
      <w:bookmarkStart w:id="19" w:name="_Toc5021"/>
      <w:bookmarkEnd w:id="19"/>
      <w:bookmarkStart w:id="20" w:name="_Toc13998"/>
      <w:bookmarkEnd w:id="20"/>
      <w:bookmarkStart w:id="21" w:name="_Toc32669"/>
      <w:bookmarkEnd w:id="21"/>
      <w:r>
        <w:rPr>
          <w:rFonts w:hint="eastAsia" w:asciiTheme="minorEastAsia" w:hAnsiTheme="minorEastAsia" w:eastAsiaTheme="minorEastAsia" w:cstheme="minorEastAsia"/>
          <w:color w:val="auto"/>
          <w:szCs w:val="21"/>
          <w:highlight w:val="none"/>
          <w:lang w:eastAsia="zh-CN"/>
        </w:rPr>
        <w:t>。</w:t>
      </w:r>
    </w:p>
    <w:p w14:paraId="1958EA94">
      <w:pPr>
        <w:spacing w:line="50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6、质量要求</w:t>
      </w:r>
      <w:bookmarkStart w:id="22" w:name="_Toc19921"/>
      <w:bookmarkEnd w:id="22"/>
      <w:bookmarkStart w:id="23" w:name="_Toc29008"/>
      <w:bookmarkEnd w:id="23"/>
      <w:bookmarkStart w:id="24" w:name="_Toc1893"/>
      <w:bookmarkEnd w:id="24"/>
      <w:r>
        <w:rPr>
          <w:rFonts w:hint="eastAsia" w:asciiTheme="minorEastAsia" w:hAnsiTheme="minorEastAsia" w:eastAsiaTheme="minorEastAsia" w:cstheme="minorEastAsia"/>
          <w:color w:val="auto"/>
          <w:szCs w:val="21"/>
          <w:highlight w:val="none"/>
        </w:rPr>
        <w:t>：质量达到国家现行有关施工质量验收规范要求，并达到合格标准</w:t>
      </w:r>
      <w:r>
        <w:rPr>
          <w:rFonts w:hint="eastAsia" w:asciiTheme="minorEastAsia" w:hAnsiTheme="minorEastAsia" w:eastAsiaTheme="minorEastAsia" w:cstheme="minorEastAsia"/>
          <w:color w:val="auto"/>
          <w:szCs w:val="21"/>
          <w:highlight w:val="none"/>
          <w:lang w:eastAsia="zh-CN"/>
        </w:rPr>
        <w:t>；</w:t>
      </w:r>
    </w:p>
    <w:p w14:paraId="79623A5F">
      <w:p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7、计划工期：</w:t>
      </w:r>
      <w:r>
        <w:rPr>
          <w:rFonts w:hint="eastAsia" w:asciiTheme="minorEastAsia" w:hAnsiTheme="minorEastAsia" w:eastAsiaTheme="minorEastAsia" w:cstheme="minorEastAsia"/>
          <w:color w:val="auto"/>
          <w:szCs w:val="21"/>
          <w:highlight w:val="none"/>
          <w:lang w:val="en-US" w:eastAsia="zh-CN"/>
        </w:rPr>
        <w:t>180日历天</w:t>
      </w:r>
      <w:r>
        <w:rPr>
          <w:rFonts w:hint="eastAsia" w:asciiTheme="minorEastAsia" w:hAnsiTheme="minorEastAsia" w:eastAsiaTheme="minorEastAsia" w:cstheme="minorEastAsia"/>
          <w:color w:val="auto"/>
          <w:szCs w:val="21"/>
          <w:highlight w:val="none"/>
        </w:rPr>
        <w:t>；</w:t>
      </w:r>
    </w:p>
    <w:p w14:paraId="1B4AFF74">
      <w:p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安全目标：确保不发生安全事故。</w:t>
      </w:r>
    </w:p>
    <w:p w14:paraId="3D70B6D0">
      <w:pPr>
        <w:spacing w:line="500" w:lineRule="exact"/>
        <w:ind w:firstLine="420" w:firstLineChars="200"/>
        <w:rPr>
          <w:rFonts w:hint="eastAsia"/>
          <w:color w:val="auto"/>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、本项目共划分</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个标段；</w:t>
      </w:r>
    </w:p>
    <w:p w14:paraId="09992F39">
      <w:pPr>
        <w:numPr>
          <w:ilvl w:val="0"/>
          <w:numId w:val="0"/>
        </w:num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本项目技术标采用暗标的方式评审。</w:t>
      </w:r>
    </w:p>
    <w:p w14:paraId="3CF77E88">
      <w:pPr>
        <w:numPr>
          <w:ilvl w:val="0"/>
          <w:numId w:val="0"/>
        </w:num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11、</w:t>
      </w:r>
      <w:r>
        <w:rPr>
          <w:rFonts w:hint="eastAsia" w:asciiTheme="minorEastAsia" w:hAnsiTheme="minorEastAsia" w:eastAsiaTheme="minorEastAsia" w:cstheme="minorEastAsia"/>
          <w:color w:val="auto"/>
          <w:szCs w:val="21"/>
          <w:highlight w:val="none"/>
        </w:rPr>
        <w:t>本项目采用评定分离方式。定标方式为</w:t>
      </w:r>
      <w:r>
        <w:rPr>
          <w:rFonts w:hint="eastAsia" w:asciiTheme="minorEastAsia" w:hAnsiTheme="minorEastAsia" w:eastAsiaTheme="minorEastAsia" w:cstheme="minorEastAsia"/>
          <w:color w:val="auto"/>
          <w:szCs w:val="21"/>
          <w:highlight w:val="none"/>
          <w:lang w:eastAsia="zh-CN"/>
        </w:rPr>
        <w:t>票决法</w:t>
      </w:r>
      <w:r>
        <w:rPr>
          <w:rFonts w:hint="eastAsia" w:asciiTheme="minorEastAsia" w:hAnsiTheme="minorEastAsia" w:eastAsiaTheme="minorEastAsia" w:cstheme="minorEastAsia"/>
          <w:color w:val="auto"/>
          <w:szCs w:val="21"/>
          <w:highlight w:val="none"/>
        </w:rPr>
        <w:t>。</w:t>
      </w:r>
    </w:p>
    <w:bookmarkEnd w:id="13"/>
    <w:p w14:paraId="2744AA61">
      <w:pPr>
        <w:spacing w:line="500" w:lineRule="exact"/>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三、投标人资格要求及提交资料</w:t>
      </w:r>
    </w:p>
    <w:p w14:paraId="152AC3FC">
      <w:pPr>
        <w:spacing w:line="500" w:lineRule="exact"/>
        <w:ind w:firstLine="420" w:firstLineChars="200"/>
        <w:rPr>
          <w:rFonts w:hint="eastAsia" w:asciiTheme="minorEastAsia" w:hAnsiTheme="minorEastAsia" w:eastAsiaTheme="minorEastAsia" w:cstheme="minorEastAsia"/>
          <w:color w:val="auto"/>
          <w:szCs w:val="21"/>
          <w:highlight w:val="none"/>
        </w:rPr>
      </w:pPr>
      <w:bookmarkStart w:id="25" w:name="OLE_LINK70"/>
      <w:bookmarkStart w:id="26" w:name="OLE_LINK36"/>
      <w:bookmarkStart w:id="27" w:name="OLE_LINK76"/>
      <w:bookmarkStart w:id="28" w:name="OLE_LINK77"/>
      <w:r>
        <w:rPr>
          <w:rFonts w:hint="eastAsia" w:asciiTheme="minorEastAsia" w:hAnsiTheme="minorEastAsia" w:eastAsiaTheme="minorEastAsia" w:cstheme="minorEastAsia"/>
          <w:color w:val="auto"/>
          <w:szCs w:val="21"/>
          <w:highlight w:val="none"/>
        </w:rPr>
        <w:t>1、投标人须为中华人民共和国境内合法注册设立并有效存续的独立企业法人，具有有效的营业执照；</w:t>
      </w:r>
    </w:p>
    <w:p w14:paraId="5B9B684F">
      <w:pPr>
        <w:spacing w:line="500" w:lineRule="exact"/>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2、投标人须具备有效的市政公用工程施工总承包二级及以上资质，且具备有效的安全生产许可证；并在人员、设备、资金等方面具备相应的施工能力（提供承诺函）；</w:t>
      </w:r>
    </w:p>
    <w:p w14:paraId="0FC9DFB4">
      <w:pPr>
        <w:spacing w:line="500" w:lineRule="exact"/>
        <w:ind w:firstLine="422" w:firstLineChars="200"/>
        <w:rPr>
          <w:rFonts w:hint="eastAsia" w:asciiTheme="minorEastAsia" w:hAnsiTheme="minorEastAsia" w:eastAsiaTheme="minorEastAsia" w:cstheme="minorEastAsia"/>
          <w:color w:val="auto"/>
          <w:szCs w:val="21"/>
          <w:highlight w:val="none"/>
          <w:lang w:val="en-US" w:eastAsia="zh-CN"/>
        </w:rPr>
      </w:pPr>
      <w:r>
        <w:rPr>
          <w:rFonts w:hint="eastAsia" w:ascii="宋体" w:hAnsi="宋体" w:eastAsia="宋体" w:cs="宋体"/>
          <w:b/>
          <w:bCs/>
          <w:i w:val="0"/>
          <w:iCs w:val="0"/>
          <w:caps w:val="0"/>
          <w:color w:val="333333"/>
          <w:spacing w:val="0"/>
          <w:sz w:val="21"/>
          <w:szCs w:val="21"/>
        </w:rPr>
        <w:t>注：根据《河南省住房和城乡建设厅关于进一步规范建设工程企业资质管理的通知》豫建行规〔2024〕7号文件规定，被全国或河南省建筑市场监管公共服务平台标注为资质异常的，投标人不能使用标注异常的资质承揽本工程，具体要求详见豫建行规〔2024〕7号文件【投标人提供全国建筑市场监管公共服务平台（四库一平台）和河南省建筑市场监管公共服务平台查询截图，如在河南省建筑市场监管公共服务平台无本企业信息，投标人需提供显示“暂无数据的查询结果”，同时提供投标人企业注册所在地省级建筑市场监管平台或同等级官方网站的资质查询截图。】，查询时间为招标公告发布之日后，查询结果需显示网页查询时间。</w:t>
      </w:r>
    </w:p>
    <w:p w14:paraId="35436002">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、拟派项目经理须</w:t>
      </w:r>
      <w:r>
        <w:rPr>
          <w:rFonts w:hint="eastAsia" w:asciiTheme="minorEastAsia" w:hAnsiTheme="minorEastAsia" w:eastAsiaTheme="minorEastAsia" w:cstheme="minorEastAsia"/>
          <w:color w:val="auto"/>
          <w:szCs w:val="21"/>
          <w:highlight w:val="none"/>
          <w:lang w:val="en-US" w:eastAsia="zh-CN"/>
        </w:rPr>
        <w:t>具备</w:t>
      </w:r>
      <w:r>
        <w:rPr>
          <w:rFonts w:hint="eastAsia" w:asciiTheme="minorEastAsia" w:hAnsiTheme="minorEastAsia" w:eastAsiaTheme="minorEastAsia" w:cstheme="minorEastAsia"/>
          <w:color w:val="auto"/>
          <w:szCs w:val="21"/>
          <w:highlight w:val="none"/>
        </w:rPr>
        <w:t>市政公用工程专业</w:t>
      </w:r>
      <w:r>
        <w:rPr>
          <w:rFonts w:hint="eastAsia" w:asciiTheme="minorEastAsia" w:hAnsiTheme="minorEastAsia" w:eastAsiaTheme="minorEastAsia" w:cstheme="minorEastAsia"/>
          <w:color w:val="auto"/>
          <w:szCs w:val="21"/>
          <w:highlight w:val="none"/>
          <w:lang w:val="en-US" w:eastAsia="zh-CN"/>
        </w:rPr>
        <w:t>一级</w:t>
      </w:r>
      <w:r>
        <w:rPr>
          <w:rFonts w:hint="eastAsia" w:asciiTheme="minorEastAsia" w:hAnsiTheme="minorEastAsia" w:eastAsiaTheme="minorEastAsia" w:cstheme="minorEastAsia"/>
          <w:color w:val="auto"/>
          <w:szCs w:val="21"/>
          <w:highlight w:val="none"/>
        </w:rPr>
        <w:t>注册建造师资格，具有有效安全生产考核合格证，须提供在本单位缴纳养老保险证明，并出具无在建工程承诺书</w:t>
      </w:r>
      <w:r>
        <w:rPr>
          <w:rFonts w:hint="eastAsia" w:asciiTheme="minorEastAsia" w:hAnsiTheme="minorEastAsia" w:eastAsiaTheme="minorEastAsia" w:cstheme="minorEastAsia"/>
          <w:color w:val="auto"/>
          <w:szCs w:val="21"/>
        </w:rPr>
        <w:t>；</w:t>
      </w:r>
    </w:p>
    <w:p w14:paraId="1499CE78">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4</w:t>
      </w:r>
      <w:r>
        <w:rPr>
          <w:rFonts w:hint="eastAsia" w:asciiTheme="minorEastAsia" w:hAnsiTheme="minorEastAsia" w:eastAsiaTheme="minorEastAsia" w:cstheme="minorEastAsia"/>
          <w:color w:val="auto"/>
          <w:szCs w:val="21"/>
        </w:rPr>
        <w:t>、</w:t>
      </w:r>
      <w:r>
        <w:rPr>
          <w:rFonts w:hint="eastAsia" w:ascii="宋体" w:hAnsi="宋体" w:eastAsia="宋体" w:cs="宋体"/>
          <w:highlight w:val="none"/>
        </w:rPr>
        <w:t>财务运行状况良好，没有财务被接管、冻结、破产状态，投标时提供202</w:t>
      </w:r>
      <w:r>
        <w:rPr>
          <w:rFonts w:hint="eastAsia" w:ascii="宋体" w:hAnsi="宋体" w:eastAsia="宋体" w:cs="宋体"/>
          <w:highlight w:val="none"/>
          <w:lang w:val="en-US" w:eastAsia="zh-CN"/>
        </w:rPr>
        <w:t>3</w:t>
      </w:r>
      <w:r>
        <w:rPr>
          <w:rFonts w:hint="eastAsia" w:ascii="宋体" w:hAnsi="宋体" w:eastAsia="宋体" w:cs="宋体"/>
          <w:highlight w:val="none"/>
        </w:rPr>
        <w:t>年度、202</w:t>
      </w:r>
      <w:r>
        <w:rPr>
          <w:rFonts w:hint="eastAsia" w:ascii="宋体" w:hAnsi="宋体" w:eastAsia="宋体" w:cs="宋体"/>
          <w:highlight w:val="none"/>
          <w:lang w:val="en-US" w:eastAsia="zh-CN"/>
        </w:rPr>
        <w:t>4</w:t>
      </w:r>
      <w:r>
        <w:rPr>
          <w:rFonts w:hint="eastAsia" w:ascii="宋体" w:hAnsi="宋体" w:eastAsia="宋体" w:cs="宋体"/>
          <w:highlight w:val="none"/>
        </w:rPr>
        <w:t>年度、202</w:t>
      </w:r>
      <w:r>
        <w:rPr>
          <w:rFonts w:hint="eastAsia" w:ascii="宋体" w:hAnsi="宋体" w:eastAsia="宋体" w:cs="宋体"/>
          <w:highlight w:val="none"/>
          <w:lang w:val="en-US" w:eastAsia="zh-CN"/>
        </w:rPr>
        <w:t>5</w:t>
      </w:r>
      <w:r>
        <w:rPr>
          <w:rFonts w:hint="eastAsia" w:ascii="宋体" w:hAnsi="宋体" w:eastAsia="宋体" w:cs="宋体"/>
          <w:highlight w:val="none"/>
        </w:rPr>
        <w:t>年度财务审计报告（公司成立不足三年的，从成立年份开始提供，新成立的企业无法提供财务审计报告的按实际情况提供银行资信证明即可）</w:t>
      </w:r>
      <w:r>
        <w:rPr>
          <w:rFonts w:hint="eastAsia" w:asciiTheme="minorEastAsia" w:hAnsiTheme="minorEastAsia" w:eastAsiaTheme="minorEastAsia" w:cstheme="minorEastAsia"/>
          <w:color w:val="auto"/>
          <w:szCs w:val="21"/>
        </w:rPr>
        <w:t>；</w:t>
      </w:r>
    </w:p>
    <w:p w14:paraId="6D444195">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、投标人自行出具本单位无商业贿赂及无不正当竞争行为承诺书；</w:t>
      </w:r>
    </w:p>
    <w:p w14:paraId="1334D4BB">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6</w:t>
      </w:r>
      <w:r>
        <w:rPr>
          <w:rFonts w:hint="eastAsia" w:asciiTheme="minorEastAsia" w:hAnsiTheme="minorEastAsia" w:eastAsiaTheme="minorEastAsia" w:cstheme="minorEastAsia"/>
          <w:color w:val="auto"/>
          <w:szCs w:val="21"/>
        </w:rPr>
        <w:t>、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中国执行信息公开网”网站（http://zxgk.court.gov.cn/shixin）“信用中国”网站（www.creditchina.gov.cn）、中国政府采购网（www.ccgp.gov.cn）；（提供“中国执行信息公开网”、“信用中国”和“中国政府采购网”网站的查询信息截图，同时网页查询需包含查询日期，查询日期自公告发布之日至投标截止之日）；</w:t>
      </w:r>
    </w:p>
    <w:p w14:paraId="469AF136">
      <w:pPr>
        <w:spacing w:line="500" w:lineRule="exact"/>
        <w:ind w:firstLine="420" w:firstLineChars="200"/>
        <w:rPr>
          <w:rFonts w:hint="eastAsia" w:asciiTheme="minorEastAsia" w:hAnsiTheme="minorEastAsia" w:eastAsiaTheme="minorEastAsia" w:cstheme="minorEastAsia"/>
          <w:color w:val="auto"/>
          <w:szCs w:val="21"/>
        </w:rPr>
      </w:pPr>
      <w:bookmarkStart w:id="29" w:name="OLE_LINK79"/>
      <w:bookmarkStart w:id="30" w:name="OLE_LINK78"/>
      <w:r>
        <w:rPr>
          <w:rFonts w:hint="eastAsia" w:asciiTheme="minorEastAsia" w:hAnsiTheme="minorEastAsia" w:eastAsiaTheme="minorEastAsia" w:cstheme="minorEastAsia"/>
          <w:color w:val="auto"/>
          <w:szCs w:val="21"/>
          <w:lang w:val="en-US" w:eastAsia="zh-CN"/>
        </w:rPr>
        <w:t>7</w:t>
      </w:r>
      <w:r>
        <w:rPr>
          <w:rFonts w:hint="eastAsia" w:asciiTheme="minorEastAsia" w:hAnsiTheme="minorEastAsia" w:eastAsiaTheme="minorEastAsia" w:cstheme="minorEastAsia"/>
          <w:color w:val="auto"/>
          <w:szCs w:val="21"/>
        </w:rPr>
        <w:t>、</w:t>
      </w:r>
      <w:bookmarkEnd w:id="29"/>
      <w:bookmarkEnd w:id="30"/>
      <w:r>
        <w:rPr>
          <w:rFonts w:hint="eastAsia" w:asciiTheme="minorEastAsia" w:hAnsiTheme="minorEastAsia" w:eastAsiaTheme="minorEastAsia" w:cstheme="minorEastAsia"/>
          <w:color w:val="auto"/>
          <w:szCs w:val="21"/>
        </w:rPr>
        <w:t>单位负责人为同一人或者存在控股、管理关系的不同单位，不得参加同一标段投标或者未划分标段的同一招标项目投标（</w:t>
      </w:r>
      <w:r>
        <w:rPr>
          <w:rFonts w:hint="eastAsia" w:asciiTheme="minorEastAsia" w:hAnsiTheme="minorEastAsia" w:eastAsiaTheme="minorEastAsia" w:cstheme="minorEastAsia"/>
          <w:color w:val="auto"/>
          <w:szCs w:val="21"/>
          <w:lang w:eastAsia="zh-CN"/>
        </w:rPr>
        <w:t>提供“国家企业信用信息公示系统”中加盖投标人企业电子印章查询网页截图，截图需包括公司信息、股东或投资人相关信息、查询日期，查询日期为公告发布之后至投标截止时间前。</w:t>
      </w:r>
      <w:r>
        <w:rPr>
          <w:rFonts w:hint="eastAsia" w:asciiTheme="minorEastAsia" w:hAnsiTheme="minorEastAsia" w:eastAsiaTheme="minorEastAsia" w:cstheme="minorEastAsia"/>
          <w:color w:val="auto"/>
          <w:szCs w:val="21"/>
        </w:rPr>
        <w:t>）；</w:t>
      </w:r>
    </w:p>
    <w:p w14:paraId="6DB3565F">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8</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lang w:val="en-US" w:eastAsia="zh-CN"/>
        </w:rPr>
        <w:t>本次招标不接受联合体投标（提供非联合体声明）</w:t>
      </w:r>
      <w:r>
        <w:rPr>
          <w:rFonts w:hint="eastAsia" w:asciiTheme="minorEastAsia" w:hAnsiTheme="minorEastAsia" w:eastAsiaTheme="minorEastAsia" w:cstheme="minorEastAsia"/>
          <w:color w:val="auto"/>
          <w:szCs w:val="21"/>
        </w:rPr>
        <w:t>；</w:t>
      </w:r>
    </w:p>
    <w:bookmarkEnd w:id="25"/>
    <w:bookmarkEnd w:id="26"/>
    <w:p w14:paraId="69F37FFA">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9</w:t>
      </w:r>
      <w:r>
        <w:rPr>
          <w:rFonts w:hint="eastAsia" w:asciiTheme="minorEastAsia" w:hAnsiTheme="minorEastAsia" w:eastAsiaTheme="minorEastAsia" w:cstheme="minorEastAsia"/>
          <w:color w:val="auto"/>
          <w:szCs w:val="21"/>
        </w:rPr>
        <w:t>、本次招标实行资格后审，资格审查的具体要求见招标文件。</w:t>
      </w:r>
    </w:p>
    <w:p w14:paraId="7AD51026">
      <w:pPr>
        <w:spacing w:line="500" w:lineRule="exact"/>
        <w:ind w:firstLine="420" w:firstLineChars="200"/>
        <w:rPr>
          <w:rFonts w:hint="default"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注：本项目的勘察设计单位、监管单位及其利害关系单位，不得参与本项目投标。</w:t>
      </w:r>
    </w:p>
    <w:bookmarkEnd w:id="27"/>
    <w:bookmarkEnd w:id="28"/>
    <w:p w14:paraId="61158114">
      <w:pPr>
        <w:snapToGrid w:val="0"/>
        <w:spacing w:line="500" w:lineRule="exact"/>
        <w:textAlignment w:val="baseline"/>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四、招标文件的获取方式</w:t>
      </w:r>
    </w:p>
    <w:p w14:paraId="64E714FA">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1、招标文件获取方式：本项目没有报名环节，投标人凭CA数字证书通过三门峡市公共资源交易中心网（网址：http://gzjy.smx.gov.cn/），点击交易平台选择“交易主体登录”，在所参与项目右侧点击参与投标，即可直接下载本项目招标文件（招标文件中包含图纸、清单等投标所需一切内容）。</w:t>
      </w:r>
    </w:p>
    <w:p w14:paraId="0FBB27A7">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jc w:val="left"/>
        <w:textAlignment w:val="auto"/>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具体操作请查看以下链接：三门峡市公共资源交易平台操作手册：http://gzjy.smx.gov.cn/fwzn/004003/20200325/2b5a3a5a-f987-405c-993f-88f43e1d1ac3.html</w:t>
      </w:r>
    </w:p>
    <w:p w14:paraId="62C6C505">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jc w:val="left"/>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办理CA证书：</w:t>
      </w:r>
      <w:r>
        <w:rPr>
          <w:rFonts w:hint="eastAsia" w:asciiTheme="minorEastAsia" w:hAnsiTheme="minorEastAsia" w:eastAsiaTheme="minorEastAsia" w:cstheme="minorEastAsia"/>
          <w:color w:val="auto"/>
          <w:szCs w:val="21"/>
        </w:rPr>
        <w:fldChar w:fldCharType="begin"/>
      </w:r>
      <w:r>
        <w:rPr>
          <w:rFonts w:hint="eastAsia" w:asciiTheme="minorEastAsia" w:hAnsiTheme="minorEastAsia" w:eastAsiaTheme="minorEastAsia" w:cstheme="minorEastAsia"/>
          <w:color w:val="auto"/>
          <w:szCs w:val="21"/>
        </w:rPr>
        <w:instrText xml:space="preserve"> HYPERLINK "http://gzjy.smx.gov.cn/bzzx/008001/20231102/4defc9b5-408e-47f2-9e9f-1f376a06ee1f.html" </w:instrText>
      </w:r>
      <w:r>
        <w:rPr>
          <w:rFonts w:hint="eastAsia" w:asciiTheme="minorEastAsia" w:hAnsiTheme="minorEastAsia" w:eastAsiaTheme="minorEastAsia" w:cstheme="minorEastAsia"/>
          <w:color w:val="auto"/>
          <w:szCs w:val="21"/>
        </w:rPr>
        <w:fldChar w:fldCharType="separate"/>
      </w:r>
      <w:r>
        <w:rPr>
          <w:rFonts w:hint="eastAsia" w:asciiTheme="minorEastAsia" w:hAnsiTheme="minorEastAsia" w:eastAsiaTheme="minorEastAsia" w:cstheme="minorEastAsia"/>
          <w:color w:val="auto"/>
          <w:szCs w:val="21"/>
        </w:rPr>
        <w:t>http://gzjy.smx.gov.cn/bzzx/008001/20231102/4defc9b5-408e-47f2-9e9f-1f376a06ee1f.html</w:t>
      </w:r>
      <w:r>
        <w:rPr>
          <w:rFonts w:hint="eastAsia" w:asciiTheme="minorEastAsia" w:hAnsiTheme="minorEastAsia" w:eastAsiaTheme="minorEastAsia" w:cstheme="minorEastAsia"/>
          <w:color w:val="auto"/>
          <w:szCs w:val="21"/>
        </w:rPr>
        <w:fldChar w:fldCharType="end"/>
      </w:r>
    </w:p>
    <w:p w14:paraId="3E699EE6">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2、</w:t>
      </w:r>
      <w:r>
        <w:rPr>
          <w:rFonts w:hint="eastAsia" w:asciiTheme="minorEastAsia" w:hAnsiTheme="minorEastAsia" w:eastAsiaTheme="minorEastAsia" w:cstheme="minorEastAsia"/>
          <w:color w:val="auto"/>
          <w:szCs w:val="21"/>
        </w:rPr>
        <w:t>招标文件下载时间：202</w:t>
      </w:r>
      <w:r>
        <w:rPr>
          <w:rFonts w:hint="eastAsia" w:asciiTheme="minorEastAsia" w:hAnsiTheme="minorEastAsia" w:eastAsiaTheme="minorEastAsia" w:cstheme="minorEastAsia"/>
          <w:color w:val="auto"/>
          <w:szCs w:val="21"/>
          <w:lang w:val="en-US" w:eastAsia="zh-CN"/>
        </w:rPr>
        <w:t>6</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lang w:val="en-US" w:eastAsia="zh-CN"/>
        </w:rPr>
        <w:t>8</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lang w:val="en-US" w:eastAsia="zh-CN"/>
        </w:rPr>
        <w:t>15</w:t>
      </w:r>
      <w:r>
        <w:rPr>
          <w:rFonts w:hint="eastAsia" w:asciiTheme="minorEastAsia" w:hAnsiTheme="minorEastAsia" w:eastAsiaTheme="minorEastAsia" w:cstheme="minorEastAsia"/>
          <w:color w:val="auto"/>
          <w:szCs w:val="21"/>
        </w:rPr>
        <w:t>日至</w:t>
      </w:r>
      <w:r>
        <w:rPr>
          <w:rFonts w:hint="eastAsia" w:asciiTheme="minorEastAsia" w:hAnsiTheme="minorEastAsia" w:eastAsiaTheme="minorEastAsia" w:cstheme="minorEastAsia"/>
          <w:color w:val="auto"/>
          <w:szCs w:val="21"/>
          <w:lang w:eastAsia="zh-CN"/>
        </w:rPr>
        <w:t>2026年9月7日08时30分</w:t>
      </w:r>
      <w:r>
        <w:rPr>
          <w:rFonts w:hint="eastAsia" w:asciiTheme="minorEastAsia" w:hAnsiTheme="minorEastAsia" w:eastAsiaTheme="minorEastAsia" w:cstheme="minorEastAsia"/>
          <w:color w:val="auto"/>
          <w:szCs w:val="21"/>
        </w:rPr>
        <w:t>。</w:t>
      </w:r>
    </w:p>
    <w:p w14:paraId="601B27BE">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val="en-US" w:eastAsia="zh-CN"/>
        </w:rPr>
        <w:t>3、</w:t>
      </w:r>
      <w:r>
        <w:rPr>
          <w:rFonts w:hint="eastAsia" w:asciiTheme="minorEastAsia" w:hAnsiTheme="minorEastAsia" w:eastAsiaTheme="minorEastAsia" w:cstheme="minorEastAsia"/>
          <w:color w:val="auto"/>
          <w:szCs w:val="21"/>
        </w:rPr>
        <w:t>本项目为全电子招标，不再收取招标文件费。</w:t>
      </w:r>
    </w:p>
    <w:p w14:paraId="202E02CD">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因投标人原因未能解密、解密失败或解密超时的将被拒绝。</w:t>
      </w:r>
    </w:p>
    <w:p w14:paraId="0314D87F">
      <w:pPr>
        <w:snapToGrid w:val="0"/>
        <w:spacing w:line="500" w:lineRule="exact"/>
        <w:textAlignment w:val="baseline"/>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五、投标保证金</w:t>
      </w:r>
    </w:p>
    <w:p w14:paraId="209F39B9">
      <w:pPr>
        <w:snapToGrid w:val="0"/>
        <w:spacing w:line="500" w:lineRule="exact"/>
        <w:ind w:firstLine="420" w:firstLineChars="200"/>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rPr>
        <w:t>1、投标保证金金额：</w:t>
      </w:r>
      <w:r>
        <w:rPr>
          <w:rFonts w:hint="eastAsia" w:asciiTheme="minorEastAsia" w:hAnsiTheme="minorEastAsia" w:eastAsiaTheme="minorEastAsia" w:cstheme="minorEastAsia"/>
          <w:color w:val="auto"/>
          <w:szCs w:val="21"/>
          <w:lang w:val="en-US" w:eastAsia="zh-CN"/>
        </w:rPr>
        <w:t>伍拾万元整</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lang w:val="en-US" w:eastAsia="zh-CN"/>
        </w:rPr>
        <w:t>500000元</w:t>
      </w:r>
      <w:r>
        <w:rPr>
          <w:rFonts w:hint="eastAsia" w:asciiTheme="minorEastAsia" w:hAnsiTheme="minorEastAsia" w:eastAsiaTheme="minorEastAsia" w:cstheme="minorEastAsia"/>
          <w:color w:val="auto"/>
          <w:szCs w:val="21"/>
          <w:highlight w:val="none"/>
        </w:rPr>
        <w:t>；</w:t>
      </w:r>
    </w:p>
    <w:p w14:paraId="1AE12CF0">
      <w:pPr>
        <w:snapToGrid w:val="0"/>
        <w:spacing w:line="5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2、保证金递交的截止时间：</w:t>
      </w:r>
      <w:r>
        <w:rPr>
          <w:rFonts w:hint="eastAsia" w:asciiTheme="minorEastAsia" w:hAnsiTheme="minorEastAsia" w:eastAsiaTheme="minorEastAsia" w:cstheme="minorEastAsia"/>
          <w:color w:val="auto"/>
          <w:szCs w:val="21"/>
          <w:lang w:eastAsia="zh-CN"/>
        </w:rPr>
        <w:t>2026年9月7日08时30分</w:t>
      </w:r>
      <w:r>
        <w:rPr>
          <w:rFonts w:hint="eastAsia" w:asciiTheme="minorEastAsia" w:hAnsiTheme="minorEastAsia" w:eastAsiaTheme="minorEastAsia" w:cstheme="minorEastAsia"/>
          <w:color w:val="auto"/>
          <w:szCs w:val="21"/>
          <w:highlight w:val="none"/>
        </w:rPr>
        <w:t>前。</w:t>
      </w:r>
    </w:p>
    <w:p w14:paraId="6B0C636E">
      <w:pPr>
        <w:snapToGrid w:val="0"/>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3、建筑类施工企业获得“优秀”、公路类施工企业获得“AA”、水利类施工企业获得“AAA”等级且连续3年无不良行为记录的中小微企业，保证金缴纳金额为：</w:t>
      </w:r>
      <w:r>
        <w:rPr>
          <w:rFonts w:hint="eastAsia" w:asciiTheme="minorEastAsia" w:hAnsiTheme="minorEastAsia" w:eastAsiaTheme="minorEastAsia" w:cstheme="minorEastAsia"/>
          <w:color w:val="auto"/>
          <w:szCs w:val="21"/>
          <w:lang w:val="en-US" w:eastAsia="zh-CN"/>
        </w:rPr>
        <w:t>450000元</w:t>
      </w:r>
      <w:r>
        <w:rPr>
          <w:rFonts w:hint="eastAsia" w:asciiTheme="minorEastAsia" w:hAnsiTheme="minorEastAsia" w:eastAsiaTheme="minorEastAsia" w:cstheme="minorEastAsia"/>
          <w:color w:val="auto"/>
          <w:szCs w:val="21"/>
        </w:rPr>
        <w:t>。</w:t>
      </w:r>
    </w:p>
    <w:p w14:paraId="0D0C3960">
      <w:pPr>
        <w:snapToGrid w:val="0"/>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建筑类施工企业获得“良好”、公路类施工企业获得“A”、水利类施工企业获得“AA”等级且连续3年无不良行为记录的中小微企业，保证金缴纳金额为：</w:t>
      </w:r>
      <w:r>
        <w:rPr>
          <w:rFonts w:hint="eastAsia" w:asciiTheme="minorEastAsia" w:hAnsiTheme="minorEastAsia" w:eastAsiaTheme="minorEastAsia" w:cstheme="minorEastAsia"/>
          <w:color w:val="auto"/>
          <w:szCs w:val="21"/>
          <w:lang w:val="en-US" w:eastAsia="zh-CN"/>
        </w:rPr>
        <w:t>475000</w:t>
      </w:r>
      <w:r>
        <w:rPr>
          <w:rFonts w:hint="eastAsia" w:asciiTheme="minorEastAsia" w:hAnsiTheme="minorEastAsia" w:eastAsiaTheme="minorEastAsia" w:cstheme="minorEastAsia"/>
          <w:color w:val="auto"/>
          <w:szCs w:val="21"/>
        </w:rPr>
        <w:t>元。</w:t>
      </w:r>
    </w:p>
    <w:p w14:paraId="191B4F89">
      <w:pPr>
        <w:snapToGrid w:val="0"/>
        <w:spacing w:line="500" w:lineRule="exact"/>
        <w:ind w:firstLine="420" w:firstLineChars="200"/>
        <w:jc w:val="left"/>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val="en-US" w:eastAsia="zh-CN"/>
        </w:rPr>
        <w:t>4、</w:t>
      </w:r>
      <w:r>
        <w:rPr>
          <w:rFonts w:hint="eastAsia" w:asciiTheme="minorEastAsia" w:hAnsiTheme="minorEastAsia" w:eastAsiaTheme="minorEastAsia" w:cstheme="minorEastAsia"/>
          <w:color w:val="auto"/>
          <w:szCs w:val="21"/>
        </w:rPr>
        <w:t>缴纳方式详见：投标人交易主体登录-系统菜单-工程业务-业务管理-保证金单笔入账查询，即可查询保证金缴纳账号及到账情况。</w:t>
      </w:r>
    </w:p>
    <w:p w14:paraId="0BD64AA1">
      <w:pPr>
        <w:snapToGrid w:val="0"/>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本项目投标保证金可使用电子保函缴纳，开具方式请在首页-交易智库-系统操作指南下载操作手册,办理保函缴纳金额按上述标准执行；</w:t>
      </w:r>
    </w:p>
    <w:p w14:paraId="40AA9C2D">
      <w:pPr>
        <w:snapToGrid w:val="0"/>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注：投标人应仔细阅读操作手册，在本公告中要求的截止时间前完成投标保证金的缴纳和绑定工作。并充分考虑人为操作和银行异地跨行转账到账的时间等因素，因投标人操作不当或银行到账时间等问题造成的无法投标等一切后果，由投标人自行承担。</w:t>
      </w:r>
    </w:p>
    <w:p w14:paraId="2764E2F0">
      <w:pPr>
        <w:snapToGrid w:val="0"/>
        <w:spacing w:line="500" w:lineRule="exact"/>
        <w:textAlignment w:val="baseline"/>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六、投标文件的递交</w:t>
      </w:r>
    </w:p>
    <w:p w14:paraId="3777A6F5">
      <w:pPr>
        <w:snapToGrid w:val="0"/>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1、投标文件递交截止时间：</w:t>
      </w:r>
      <w:r>
        <w:rPr>
          <w:rFonts w:hint="eastAsia" w:asciiTheme="minorEastAsia" w:hAnsiTheme="minorEastAsia" w:eastAsiaTheme="minorEastAsia" w:cstheme="minorEastAsia"/>
          <w:color w:val="auto"/>
          <w:szCs w:val="21"/>
          <w:lang w:eastAsia="zh-CN"/>
        </w:rPr>
        <w:t>2026年9月7日08时30分</w:t>
      </w:r>
      <w:r>
        <w:rPr>
          <w:rFonts w:hint="eastAsia" w:asciiTheme="minorEastAsia" w:hAnsiTheme="minorEastAsia" w:eastAsiaTheme="minorEastAsia" w:cstheme="minorEastAsia"/>
          <w:color w:val="auto"/>
          <w:szCs w:val="21"/>
        </w:rPr>
        <w:t>。</w:t>
      </w:r>
    </w:p>
    <w:p w14:paraId="026B4EBB">
      <w:pPr>
        <w:snapToGrid w:val="0"/>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2、开标地点：</w:t>
      </w:r>
      <w:r>
        <w:rPr>
          <w:rFonts w:hint="eastAsia" w:ascii="宋体" w:hAnsi="宋体" w:cs="宋体" w:eastAsiaTheme="minorEastAsia"/>
          <w:color w:val="auto"/>
          <w:szCs w:val="21"/>
          <w:lang w:eastAsia="zh-CN"/>
        </w:rPr>
        <w:t>三门峡市公共资源交易中心</w:t>
      </w:r>
      <w:r>
        <w:rPr>
          <w:rFonts w:hint="eastAsia" w:ascii="宋体" w:hAnsi="宋体" w:cs="宋体"/>
          <w:color w:val="auto"/>
          <w:szCs w:val="21"/>
        </w:rPr>
        <w:t>开标室</w:t>
      </w:r>
      <w:r>
        <w:rPr>
          <w:rFonts w:hint="eastAsia" w:asciiTheme="minorEastAsia" w:hAnsiTheme="minorEastAsia" w:eastAsiaTheme="minorEastAsia" w:cstheme="minorEastAsia"/>
          <w:color w:val="auto"/>
          <w:szCs w:val="21"/>
        </w:rPr>
        <w:t>。</w:t>
      </w:r>
    </w:p>
    <w:p w14:paraId="1E54598A">
      <w:pPr>
        <w:snapToGrid w:val="0"/>
        <w:spacing w:line="500" w:lineRule="exact"/>
        <w:textAlignment w:val="baseline"/>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七、其他事项</w:t>
      </w:r>
    </w:p>
    <w:p w14:paraId="3ACA0799">
      <w:pPr>
        <w:widowControl/>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投标人应仔细阅读操作手册，在本公告中要求的截止时间前完成投标保证金的缴纳和绑定工作。并充分考虑人为操作和银行异地跨行转账到账的时间等因素，因投标人操作不当或银行到账时间等问题造成的无法投标等一切后果，由投标人自行承担。</w:t>
      </w:r>
    </w:p>
    <w:p w14:paraId="4AC80153">
      <w:pPr>
        <w:widowControl/>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2、投标人递交的资料和投标文件不论中标与否均不予退还。</w:t>
      </w:r>
    </w:p>
    <w:p w14:paraId="08AA0F44">
      <w:pPr>
        <w:widowControl/>
        <w:spacing w:line="500" w:lineRule="exact"/>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3、招标人不组织投标人踏勘现场。</w:t>
      </w:r>
    </w:p>
    <w:p w14:paraId="2A6177E7">
      <w:pPr>
        <w:spacing w:line="500" w:lineRule="exact"/>
        <w:ind w:firstLine="420" w:firstLineChars="20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szCs w:val="21"/>
        </w:rPr>
        <w:t>4、</w:t>
      </w:r>
      <w:r>
        <w:rPr>
          <w:rFonts w:hint="eastAsia" w:asciiTheme="minorEastAsia" w:hAnsiTheme="minorEastAsia" w:eastAsiaTheme="minorEastAsia" w:cstheme="minorEastAsia"/>
          <w:bCs/>
          <w:color w:val="auto"/>
          <w:kern w:val="0"/>
          <w:szCs w:val="21"/>
        </w:rPr>
        <w:t>本项目资格评审和业绩以投标文件为准，投标人可使用电子营业执照。</w:t>
      </w:r>
    </w:p>
    <w:p w14:paraId="77D39414">
      <w:pPr>
        <w:spacing w:line="500" w:lineRule="exact"/>
        <w:ind w:firstLine="420" w:firstLineChars="200"/>
        <w:rPr>
          <w:rFonts w:hint="eastAsia" w:asciiTheme="minorEastAsia" w:hAnsiTheme="minorEastAsia" w:eastAsiaTheme="minorEastAsia" w:cstheme="minorEastAsia"/>
          <w:bCs/>
          <w:color w:val="auto"/>
          <w:kern w:val="0"/>
          <w:szCs w:val="21"/>
          <w:lang w:eastAsia="zh-CN"/>
        </w:rPr>
      </w:pPr>
      <w:r>
        <w:rPr>
          <w:rFonts w:hint="eastAsia" w:asciiTheme="minorEastAsia" w:hAnsiTheme="minorEastAsia" w:eastAsiaTheme="minorEastAsia" w:cstheme="minorEastAsia"/>
          <w:bCs/>
          <w:color w:val="auto"/>
          <w:kern w:val="0"/>
          <w:szCs w:val="21"/>
        </w:rPr>
        <w:t>5、根据优化营商环境的要求，评标时以投标文件为准</w:t>
      </w:r>
      <w:r>
        <w:rPr>
          <w:rFonts w:hint="eastAsia" w:asciiTheme="minorEastAsia" w:hAnsiTheme="minorEastAsia" w:eastAsiaTheme="minorEastAsia" w:cstheme="minorEastAsia"/>
          <w:bCs/>
          <w:color w:val="auto"/>
          <w:kern w:val="0"/>
          <w:szCs w:val="21"/>
          <w:lang w:eastAsia="zh-CN"/>
        </w:rPr>
        <w:t>。</w:t>
      </w:r>
    </w:p>
    <w:p w14:paraId="086B88F6">
      <w:pPr>
        <w:spacing w:line="500" w:lineRule="exact"/>
        <w:ind w:firstLine="420" w:firstLineChars="20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（1）资格评（预）审部分：资格评（预）审以投标文件为准，其资料真实性由投标人自行承担。</w:t>
      </w:r>
    </w:p>
    <w:p w14:paraId="09C738F4">
      <w:pPr>
        <w:spacing w:line="500" w:lineRule="exact"/>
        <w:ind w:firstLine="420" w:firstLineChars="20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（2）评标打分部分：评标部分涉及到资格审查、企业荣誉、人员业绩、企业业绩等计分部分时，以投标单位自行制作到投标文件中的相应内容为准。</w:t>
      </w:r>
    </w:p>
    <w:p w14:paraId="35B3934C">
      <w:pPr>
        <w:spacing w:line="500" w:lineRule="exact"/>
        <w:ind w:firstLine="420" w:firstLineChars="20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02AC6569">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Cs/>
          <w:color w:val="auto"/>
          <w:kern w:val="0"/>
          <w:szCs w:val="21"/>
        </w:rPr>
        <w:t>温馨提示：本项目为电子化、无纸化交易项目，开标时不再接受任何纸质资料，为保证您能投标成功，请仔细阅读招标文件和三门峡市公共资源交易中心官网业务办理指南。</w:t>
      </w:r>
    </w:p>
    <w:p w14:paraId="7726ADFA">
      <w:pPr>
        <w:snapToGrid w:val="0"/>
        <w:spacing w:line="500" w:lineRule="exact"/>
        <w:outlineLvl w:val="0"/>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八、发布公告的媒介</w:t>
      </w:r>
    </w:p>
    <w:p w14:paraId="61DA3643">
      <w:pPr>
        <w:snapToGrid w:val="0"/>
        <w:spacing w:line="500" w:lineRule="exact"/>
        <w:ind w:firstLine="424" w:firstLineChars="202"/>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本次招标公告同时在</w:t>
      </w:r>
      <w:r>
        <w:rPr>
          <w:rFonts w:hint="eastAsia" w:asciiTheme="minorEastAsia" w:hAnsiTheme="minorEastAsia" w:eastAsiaTheme="minorEastAsia" w:cstheme="minorEastAsia"/>
          <w:color w:val="auto"/>
          <w:szCs w:val="21"/>
          <w:lang w:eastAsia="zh-CN"/>
        </w:rPr>
        <w:t>《河南省政府采购网》</w:t>
      </w:r>
      <w:r>
        <w:rPr>
          <w:rFonts w:hint="eastAsia" w:asciiTheme="minorEastAsia" w:hAnsiTheme="minorEastAsia" w:eastAsiaTheme="minorEastAsia" w:cstheme="minorEastAsia"/>
          <w:color w:val="auto"/>
          <w:szCs w:val="21"/>
          <w:lang w:val="en-US" w:eastAsia="zh-CN"/>
        </w:rPr>
        <w:t>、</w:t>
      </w:r>
      <w:r>
        <w:rPr>
          <w:rFonts w:hint="eastAsia" w:asciiTheme="minorEastAsia" w:hAnsiTheme="minorEastAsia" w:eastAsiaTheme="minorEastAsia" w:cstheme="minorEastAsia"/>
          <w:color w:val="auto"/>
          <w:szCs w:val="21"/>
        </w:rPr>
        <w:t>《中国招标投标公共服务平台》</w:t>
      </w:r>
      <w:r>
        <w:rPr>
          <w:rFonts w:hint="eastAsia" w:asciiTheme="minorEastAsia" w:hAnsiTheme="minorEastAsia" w:eastAsiaTheme="minorEastAsia" w:cstheme="minorEastAsia"/>
          <w:color w:val="auto"/>
          <w:szCs w:val="21"/>
          <w:lang w:eastAsia="zh-CN"/>
        </w:rPr>
        <w:t>、</w:t>
      </w:r>
      <w:r>
        <w:rPr>
          <w:rFonts w:hint="eastAsia" w:asciiTheme="minorEastAsia" w:hAnsiTheme="minorEastAsia" w:eastAsiaTheme="minorEastAsia" w:cstheme="minorEastAsia"/>
          <w:color w:val="auto"/>
          <w:szCs w:val="21"/>
        </w:rPr>
        <w:t>《三门峡市公共资源交易中心网》媒体公开发布。</w:t>
      </w:r>
    </w:p>
    <w:p w14:paraId="62CB8681">
      <w:pPr>
        <w:snapToGrid w:val="0"/>
        <w:spacing w:line="500" w:lineRule="exact"/>
        <w:outlineLvl w:val="0"/>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九、联系方式</w:t>
      </w:r>
    </w:p>
    <w:p w14:paraId="5932FF25">
      <w:pPr>
        <w:spacing w:line="500" w:lineRule="exact"/>
        <w:ind w:firstLine="420" w:firstLineChars="200"/>
        <w:rPr>
          <w:rFonts w:hint="eastAsia" w:asciiTheme="minorEastAsia" w:hAnsiTheme="minorEastAsia" w:eastAsiaTheme="minorEastAsia" w:cstheme="minorEastAsia"/>
          <w:bCs/>
          <w:color w:val="FF0000"/>
          <w:kern w:val="0"/>
          <w:szCs w:val="21"/>
        </w:rPr>
      </w:pPr>
      <w:r>
        <w:rPr>
          <w:rFonts w:hint="eastAsia" w:asciiTheme="minorEastAsia" w:hAnsiTheme="minorEastAsia" w:eastAsiaTheme="minorEastAsia" w:cstheme="minorEastAsia"/>
          <w:bCs/>
          <w:color w:val="auto"/>
          <w:kern w:val="0"/>
          <w:szCs w:val="21"/>
        </w:rPr>
        <w:t>监督单位：</w:t>
      </w:r>
      <w:r>
        <w:rPr>
          <w:rFonts w:hint="eastAsia" w:asciiTheme="minorEastAsia" w:hAnsiTheme="minorEastAsia" w:eastAsiaTheme="minorEastAsia" w:cstheme="minorEastAsia"/>
          <w:bCs/>
          <w:color w:val="auto"/>
          <w:kern w:val="0"/>
          <w:szCs w:val="21"/>
          <w:lang w:eastAsia="zh-CN"/>
        </w:rPr>
        <w:t>三门峡市住房和城乡建设局</w:t>
      </w:r>
    </w:p>
    <w:p w14:paraId="52B4D67A">
      <w:pPr>
        <w:spacing w:line="500" w:lineRule="exact"/>
        <w:ind w:firstLine="420" w:firstLineChars="20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电话：0398-2982686</w:t>
      </w:r>
    </w:p>
    <w:p w14:paraId="22ACE3F1">
      <w:pPr>
        <w:spacing w:line="500" w:lineRule="exact"/>
        <w:ind w:firstLine="420" w:firstLineChars="200"/>
        <w:rPr>
          <w:rFonts w:hint="eastAsia" w:asciiTheme="minorEastAsia" w:hAnsiTheme="minorEastAsia" w:eastAsiaTheme="minorEastAsia" w:cstheme="minorEastAsia"/>
          <w:bCs/>
          <w:color w:val="auto"/>
          <w:kern w:val="0"/>
          <w:szCs w:val="21"/>
          <w:lang w:eastAsia="zh-CN"/>
        </w:rPr>
      </w:pPr>
      <w:r>
        <w:rPr>
          <w:rFonts w:hint="eastAsia" w:asciiTheme="minorEastAsia" w:hAnsiTheme="minorEastAsia" w:eastAsiaTheme="minorEastAsia" w:cstheme="minorEastAsia"/>
          <w:bCs/>
          <w:color w:val="auto"/>
          <w:kern w:val="0"/>
          <w:szCs w:val="21"/>
        </w:rPr>
        <w:t>招标人：</w:t>
      </w:r>
      <w:r>
        <w:rPr>
          <w:rFonts w:hint="eastAsia" w:asciiTheme="minorEastAsia" w:hAnsiTheme="minorEastAsia" w:eastAsiaTheme="minorEastAsia" w:cstheme="minorEastAsia"/>
          <w:bCs/>
          <w:color w:val="auto"/>
          <w:kern w:val="0"/>
          <w:szCs w:val="21"/>
          <w:lang w:eastAsia="zh-CN"/>
        </w:rPr>
        <w:t>三门峡市住房和城乡建设局</w:t>
      </w:r>
    </w:p>
    <w:p w14:paraId="61ED41AE">
      <w:pPr>
        <w:spacing w:line="500" w:lineRule="exact"/>
        <w:ind w:firstLine="420" w:firstLineChars="200"/>
        <w:rPr>
          <w:rFonts w:hint="eastAsia" w:asciiTheme="minorEastAsia" w:hAnsiTheme="minorEastAsia" w:eastAsiaTheme="minorEastAsia" w:cstheme="minorEastAsia"/>
          <w:bCs/>
          <w:color w:val="auto"/>
          <w:kern w:val="0"/>
          <w:szCs w:val="21"/>
          <w:lang w:eastAsia="zh-CN"/>
        </w:rPr>
      </w:pPr>
      <w:r>
        <w:rPr>
          <w:rFonts w:hint="eastAsia" w:asciiTheme="minorEastAsia" w:hAnsiTheme="minorEastAsia" w:eastAsiaTheme="minorEastAsia" w:cstheme="minorEastAsia"/>
          <w:bCs/>
          <w:color w:val="auto"/>
          <w:kern w:val="0"/>
          <w:szCs w:val="21"/>
        </w:rPr>
        <w:t>地址：河南省三门峡市召公路与金谷东路交叉口市民中心5号楼</w:t>
      </w:r>
    </w:p>
    <w:p w14:paraId="575DC390">
      <w:pPr>
        <w:spacing w:line="500" w:lineRule="exact"/>
        <w:ind w:firstLine="420" w:firstLineChars="200"/>
        <w:rPr>
          <w:rFonts w:hint="default" w:asciiTheme="minorEastAsia" w:hAnsiTheme="minorEastAsia" w:eastAsiaTheme="minorEastAsia" w:cstheme="minorEastAsia"/>
          <w:bCs/>
          <w:color w:val="auto"/>
          <w:kern w:val="0"/>
          <w:szCs w:val="21"/>
          <w:lang w:val="en-US" w:eastAsia="zh-CN"/>
        </w:rPr>
      </w:pPr>
      <w:r>
        <w:rPr>
          <w:rFonts w:hint="eastAsia" w:asciiTheme="minorEastAsia" w:hAnsiTheme="minorEastAsia" w:eastAsiaTheme="minorEastAsia" w:cstheme="minorEastAsia"/>
          <w:bCs/>
          <w:color w:val="auto"/>
          <w:kern w:val="0"/>
          <w:szCs w:val="21"/>
        </w:rPr>
        <w:t>联系人：</w:t>
      </w:r>
      <w:r>
        <w:rPr>
          <w:rFonts w:hint="eastAsia" w:asciiTheme="minorEastAsia" w:hAnsiTheme="minorEastAsia" w:eastAsiaTheme="minorEastAsia" w:cstheme="minorEastAsia"/>
          <w:bCs/>
          <w:color w:val="auto"/>
          <w:kern w:val="0"/>
          <w:szCs w:val="21"/>
          <w:lang w:eastAsia="zh-CN"/>
        </w:rPr>
        <w:t>石征征</w:t>
      </w:r>
    </w:p>
    <w:p w14:paraId="2B2B1B33">
      <w:pPr>
        <w:spacing w:line="500" w:lineRule="exact"/>
        <w:ind w:firstLine="420" w:firstLineChars="20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联系方式：18939056630</w:t>
      </w:r>
    </w:p>
    <w:p w14:paraId="1E54FC46">
      <w:pPr>
        <w:spacing w:line="500" w:lineRule="exact"/>
        <w:ind w:firstLine="420" w:firstLineChars="200"/>
        <w:rPr>
          <w:rFonts w:hint="eastAsia" w:asciiTheme="minorEastAsia" w:hAnsiTheme="minorEastAsia" w:eastAsiaTheme="minorEastAsia" w:cstheme="minorEastAsia"/>
          <w:bCs/>
          <w:color w:val="auto"/>
          <w:kern w:val="0"/>
          <w:szCs w:val="21"/>
          <w:lang w:eastAsia="zh-CN"/>
        </w:rPr>
      </w:pPr>
      <w:r>
        <w:rPr>
          <w:rFonts w:hint="eastAsia" w:asciiTheme="minorEastAsia" w:hAnsiTheme="minorEastAsia" w:eastAsiaTheme="minorEastAsia" w:cstheme="minorEastAsia"/>
          <w:bCs/>
          <w:color w:val="auto"/>
          <w:kern w:val="0"/>
          <w:szCs w:val="21"/>
        </w:rPr>
        <w:t>招标代理机构：</w:t>
      </w:r>
      <w:r>
        <w:rPr>
          <w:rFonts w:hint="eastAsia" w:ascii="宋体" w:hAnsi="宋体" w:cs="宋体" w:eastAsiaTheme="minorEastAsia"/>
          <w:color w:val="auto"/>
          <w:lang w:eastAsia="zh-CN"/>
        </w:rPr>
        <w:t>精源国际工程咨询有限公司</w:t>
      </w:r>
    </w:p>
    <w:p w14:paraId="78503019">
      <w:pPr>
        <w:spacing w:line="500" w:lineRule="exact"/>
        <w:ind w:firstLine="420" w:firstLineChars="20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地址：河南自贸试验区郑州片区(郑东)金水东路80号绿地新都会2号楼2单元8层803号</w:t>
      </w:r>
    </w:p>
    <w:p w14:paraId="7079A5B8">
      <w:pPr>
        <w:spacing w:line="500" w:lineRule="exact"/>
        <w:ind w:firstLine="420" w:firstLineChars="200"/>
        <w:rPr>
          <w:rFonts w:hint="default" w:ascii="宋体" w:hAnsi="宋体" w:eastAsia="宋体" w:cs="宋体"/>
          <w:color w:val="auto"/>
          <w:lang w:val="en-US" w:eastAsia="zh-CN"/>
        </w:rPr>
      </w:pPr>
      <w:r>
        <w:rPr>
          <w:rFonts w:hint="eastAsia" w:ascii="宋体" w:hAnsi="宋体" w:cs="宋体"/>
          <w:color w:val="auto"/>
        </w:rPr>
        <w:t>联系人：</w:t>
      </w:r>
      <w:r>
        <w:rPr>
          <w:rFonts w:hint="eastAsia" w:ascii="宋体" w:hAnsi="宋体" w:cs="宋体"/>
          <w:color w:val="auto"/>
          <w:lang w:val="en-US" w:eastAsia="zh-CN"/>
        </w:rPr>
        <w:t>谢艳梅 刘佳</w:t>
      </w:r>
    </w:p>
    <w:p w14:paraId="65FEE0C9">
      <w:pPr>
        <w:spacing w:line="500" w:lineRule="exact"/>
        <w:ind w:firstLine="420" w:firstLineChars="200"/>
        <w:rPr>
          <w:color w:val="auto"/>
        </w:rPr>
      </w:pPr>
      <w:r>
        <w:rPr>
          <w:rFonts w:hint="eastAsia" w:ascii="宋体" w:hAnsi="宋体" w:eastAsia="宋体" w:cs="宋体"/>
          <w:color w:val="auto"/>
        </w:rPr>
        <w:t>电话：</w:t>
      </w:r>
      <w:bookmarkEnd w:id="6"/>
      <w:bookmarkEnd w:id="7"/>
      <w:bookmarkEnd w:id="8"/>
      <w:bookmarkEnd w:id="9"/>
      <w:r>
        <w:rPr>
          <w:rFonts w:hint="eastAsia"/>
          <w:sz w:val="24"/>
        </w:rPr>
        <w:t>0371-53626380</w:t>
      </w:r>
      <w:r>
        <w:rPr>
          <w:color w:val="auto"/>
          <w:sz w:val="21"/>
          <w:szCs w:val="21"/>
        </w:rPr>
        <w:br w:type="page"/>
      </w:r>
      <w:bookmarkStart w:id="31" w:name="_Toc11996"/>
      <w:bookmarkStart w:id="32" w:name="_Toc27111"/>
      <w:bookmarkStart w:id="33" w:name="_Toc4697"/>
    </w:p>
    <w:p w14:paraId="222EA2B3">
      <w:pPr>
        <w:spacing w:line="360" w:lineRule="auto"/>
        <w:ind w:firstLine="435"/>
        <w:jc w:val="center"/>
        <w:outlineLvl w:val="0"/>
        <w:rPr>
          <w:rFonts w:ascii="宋体" w:hAnsi="宋体" w:cs="宋体"/>
          <w:color w:val="auto"/>
          <w:sz w:val="28"/>
          <w:szCs w:val="28"/>
        </w:rPr>
      </w:pPr>
      <w:bookmarkStart w:id="34" w:name="_Toc13433"/>
      <w:r>
        <w:rPr>
          <w:rFonts w:hint="eastAsia" w:ascii="宋体" w:hAnsi="宋体" w:cs="宋体"/>
          <w:b/>
          <w:bCs/>
          <w:color w:val="auto"/>
          <w:sz w:val="36"/>
          <w:szCs w:val="36"/>
        </w:rPr>
        <w:t>第二章投标人须知</w:t>
      </w:r>
      <w:bookmarkEnd w:id="31"/>
      <w:bookmarkEnd w:id="32"/>
      <w:bookmarkEnd w:id="33"/>
      <w:bookmarkEnd w:id="34"/>
    </w:p>
    <w:p w14:paraId="4BD3D3D4">
      <w:pPr>
        <w:spacing w:line="360" w:lineRule="auto"/>
        <w:jc w:val="center"/>
        <w:outlineLvl w:val="1"/>
        <w:rPr>
          <w:rFonts w:ascii="宋体" w:hAnsi="宋体" w:cs="宋体"/>
          <w:b/>
          <w:bCs/>
          <w:color w:val="auto"/>
          <w:sz w:val="28"/>
          <w:szCs w:val="28"/>
        </w:rPr>
      </w:pPr>
      <w:bookmarkStart w:id="35" w:name="_Toc27233"/>
      <w:bookmarkStart w:id="36" w:name="_Toc20219"/>
      <w:bookmarkStart w:id="37" w:name="_Toc25229"/>
      <w:bookmarkStart w:id="38" w:name="_Toc2293"/>
      <w:bookmarkStart w:id="39" w:name="_Toc9419"/>
      <w:bookmarkStart w:id="40" w:name="_Toc22564"/>
      <w:bookmarkStart w:id="41" w:name="_Toc29230"/>
      <w:bookmarkStart w:id="42" w:name="_Toc15615"/>
      <w:r>
        <w:rPr>
          <w:rFonts w:hint="eastAsia" w:ascii="宋体" w:hAnsi="宋体" w:cs="宋体"/>
          <w:b/>
          <w:bCs/>
          <w:color w:val="auto"/>
          <w:sz w:val="28"/>
          <w:szCs w:val="28"/>
        </w:rPr>
        <w:t>投标人须知前附表</w:t>
      </w:r>
      <w:bookmarkEnd w:id="35"/>
      <w:bookmarkEnd w:id="36"/>
      <w:bookmarkEnd w:id="37"/>
      <w:bookmarkEnd w:id="38"/>
      <w:bookmarkEnd w:id="39"/>
      <w:bookmarkEnd w:id="40"/>
      <w:bookmarkEnd w:id="41"/>
      <w:bookmarkEnd w:id="42"/>
    </w:p>
    <w:p w14:paraId="3FD09F29">
      <w:pPr>
        <w:spacing w:line="360" w:lineRule="auto"/>
        <w:ind w:hanging="3"/>
        <w:outlineLvl w:val="1"/>
        <w:rPr>
          <w:rFonts w:ascii="宋体" w:hAnsi="宋体" w:cs="宋体"/>
          <w:b/>
          <w:color w:val="auto"/>
          <w:sz w:val="28"/>
        </w:rPr>
      </w:pPr>
      <w:bookmarkStart w:id="43" w:name="_Toc13191"/>
      <w:bookmarkStart w:id="44" w:name="_Toc22935"/>
      <w:bookmarkStart w:id="45" w:name="_Toc13150"/>
    </w:p>
    <w:tbl>
      <w:tblPr>
        <w:tblStyle w:val="22"/>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6798"/>
      </w:tblGrid>
      <w:tr w14:paraId="69D9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A8363DE">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条款号</w:t>
            </w:r>
          </w:p>
        </w:tc>
        <w:tc>
          <w:tcPr>
            <w:tcW w:w="2410" w:type="dxa"/>
            <w:tcBorders>
              <w:top w:val="single" w:color="auto" w:sz="4" w:space="0"/>
              <w:left w:val="nil"/>
              <w:bottom w:val="single" w:color="auto" w:sz="4" w:space="0"/>
              <w:right w:val="single" w:color="auto" w:sz="4" w:space="0"/>
            </w:tcBorders>
            <w:vAlign w:val="center"/>
          </w:tcPr>
          <w:p w14:paraId="1AC37DE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条款名称</w:t>
            </w:r>
          </w:p>
        </w:tc>
        <w:tc>
          <w:tcPr>
            <w:tcW w:w="6798" w:type="dxa"/>
            <w:tcBorders>
              <w:top w:val="single" w:color="auto" w:sz="4" w:space="0"/>
              <w:left w:val="nil"/>
              <w:bottom w:val="single" w:color="auto" w:sz="4" w:space="0"/>
              <w:right w:val="single" w:color="auto" w:sz="4" w:space="0"/>
            </w:tcBorders>
            <w:vAlign w:val="center"/>
          </w:tcPr>
          <w:p w14:paraId="5171A6B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编列内容</w:t>
            </w:r>
          </w:p>
        </w:tc>
      </w:tr>
      <w:tr w14:paraId="0500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2AB2B66">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1.1.2</w:t>
            </w:r>
          </w:p>
        </w:tc>
        <w:tc>
          <w:tcPr>
            <w:tcW w:w="2410" w:type="dxa"/>
            <w:tcBorders>
              <w:top w:val="single" w:color="auto" w:sz="4" w:space="0"/>
              <w:left w:val="nil"/>
              <w:bottom w:val="single" w:color="auto" w:sz="4" w:space="0"/>
              <w:right w:val="single" w:color="auto" w:sz="4" w:space="0"/>
            </w:tcBorders>
            <w:vAlign w:val="center"/>
          </w:tcPr>
          <w:p w14:paraId="66C2F7D1">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招标人</w:t>
            </w:r>
          </w:p>
        </w:tc>
        <w:tc>
          <w:tcPr>
            <w:tcW w:w="6798" w:type="dxa"/>
            <w:tcBorders>
              <w:top w:val="single" w:color="auto" w:sz="4" w:space="0"/>
              <w:left w:val="nil"/>
              <w:bottom w:val="single" w:color="auto" w:sz="4" w:space="0"/>
              <w:right w:val="single" w:color="auto" w:sz="4" w:space="0"/>
            </w:tcBorders>
            <w:vAlign w:val="center"/>
          </w:tcPr>
          <w:p w14:paraId="2E24E45F">
            <w:pPr>
              <w:spacing w:line="500" w:lineRule="exact"/>
              <w:rPr>
                <w:rFonts w:hint="eastAsia" w:ascii="宋体" w:hAnsi="宋体" w:cs="仿宋_GB2312"/>
                <w:color w:val="auto"/>
                <w:kern w:val="0"/>
                <w:szCs w:val="21"/>
                <w:lang w:eastAsia="zh-CN"/>
              </w:rPr>
            </w:pPr>
            <w:r>
              <w:rPr>
                <w:rFonts w:hint="eastAsia" w:ascii="宋体" w:hAnsi="宋体" w:cs="仿宋_GB2312"/>
                <w:color w:val="auto"/>
                <w:kern w:val="0"/>
                <w:szCs w:val="21"/>
              </w:rPr>
              <w:t>招标人：</w:t>
            </w:r>
            <w:r>
              <w:rPr>
                <w:rFonts w:hint="eastAsia" w:ascii="宋体" w:hAnsi="宋体" w:cs="仿宋_GB2312"/>
                <w:color w:val="auto"/>
                <w:kern w:val="0"/>
                <w:szCs w:val="21"/>
                <w:lang w:eastAsia="zh-CN"/>
              </w:rPr>
              <w:t>三门峡市住房和城乡建设局</w:t>
            </w:r>
          </w:p>
          <w:p w14:paraId="3EB91657">
            <w:pPr>
              <w:spacing w:line="500" w:lineRule="exact"/>
              <w:rPr>
                <w:rFonts w:hint="eastAsia" w:ascii="宋体" w:hAnsi="宋体" w:cs="仿宋_GB2312"/>
                <w:color w:val="auto"/>
                <w:kern w:val="0"/>
                <w:szCs w:val="21"/>
                <w:lang w:eastAsia="zh-CN"/>
              </w:rPr>
            </w:pPr>
            <w:r>
              <w:rPr>
                <w:rFonts w:hint="eastAsia" w:ascii="宋体" w:hAnsi="宋体" w:cs="仿宋_GB2312"/>
                <w:color w:val="auto"/>
                <w:kern w:val="0"/>
                <w:szCs w:val="21"/>
              </w:rPr>
              <w:t>地址：河南省三门峡市召公路与金谷东路交叉口市民中心5号楼</w:t>
            </w:r>
          </w:p>
          <w:p w14:paraId="72BF8F48">
            <w:pPr>
              <w:spacing w:line="500" w:lineRule="exact"/>
              <w:rPr>
                <w:rFonts w:hint="default" w:ascii="宋体" w:hAnsi="宋体" w:cs="仿宋_GB2312"/>
                <w:color w:val="auto"/>
                <w:kern w:val="0"/>
                <w:szCs w:val="21"/>
                <w:lang w:val="en-US" w:eastAsia="zh-CN"/>
              </w:rPr>
            </w:pPr>
            <w:r>
              <w:rPr>
                <w:rFonts w:hint="eastAsia" w:ascii="宋体" w:hAnsi="宋体" w:cs="仿宋_GB2312"/>
                <w:color w:val="auto"/>
                <w:kern w:val="0"/>
                <w:szCs w:val="21"/>
              </w:rPr>
              <w:t>联系人：</w:t>
            </w:r>
            <w:r>
              <w:rPr>
                <w:rFonts w:hint="eastAsia" w:ascii="宋体" w:hAnsi="宋体" w:cs="仿宋_GB2312"/>
                <w:color w:val="auto"/>
                <w:kern w:val="0"/>
                <w:szCs w:val="21"/>
                <w:lang w:eastAsia="zh-CN"/>
              </w:rPr>
              <w:t>石征征</w:t>
            </w:r>
          </w:p>
          <w:p w14:paraId="78AEA9D2">
            <w:pPr>
              <w:spacing w:line="500" w:lineRule="exact"/>
              <w:rPr>
                <w:rFonts w:ascii="宋体" w:hAnsi="宋体" w:cs="仿宋_GB2312"/>
                <w:color w:val="auto"/>
                <w:kern w:val="0"/>
                <w:szCs w:val="21"/>
              </w:rPr>
            </w:pPr>
            <w:r>
              <w:rPr>
                <w:rFonts w:hint="eastAsia" w:ascii="宋体" w:hAnsi="宋体" w:cs="仿宋_GB2312"/>
                <w:color w:val="auto"/>
                <w:kern w:val="0"/>
                <w:szCs w:val="21"/>
              </w:rPr>
              <w:t>联系方式：18939056630</w:t>
            </w:r>
          </w:p>
        </w:tc>
      </w:tr>
      <w:tr w14:paraId="3CB8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AD97720">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1.1.3</w:t>
            </w:r>
          </w:p>
        </w:tc>
        <w:tc>
          <w:tcPr>
            <w:tcW w:w="2410" w:type="dxa"/>
            <w:tcBorders>
              <w:top w:val="single" w:color="auto" w:sz="4" w:space="0"/>
              <w:left w:val="nil"/>
              <w:bottom w:val="single" w:color="auto" w:sz="4" w:space="0"/>
              <w:right w:val="single" w:color="auto" w:sz="4" w:space="0"/>
            </w:tcBorders>
            <w:vAlign w:val="center"/>
          </w:tcPr>
          <w:p w14:paraId="0514CA5E">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招标代理机构</w:t>
            </w:r>
          </w:p>
        </w:tc>
        <w:tc>
          <w:tcPr>
            <w:tcW w:w="6798" w:type="dxa"/>
            <w:tcBorders>
              <w:top w:val="single" w:color="auto" w:sz="4" w:space="0"/>
              <w:left w:val="nil"/>
              <w:bottom w:val="single" w:color="auto" w:sz="4" w:space="0"/>
              <w:right w:val="single" w:color="auto" w:sz="4" w:space="0"/>
            </w:tcBorders>
            <w:vAlign w:val="center"/>
          </w:tcPr>
          <w:p w14:paraId="6B5F5F91">
            <w:pPr>
              <w:spacing w:line="500" w:lineRule="exact"/>
              <w:rPr>
                <w:rFonts w:hint="eastAsia" w:ascii="宋体" w:hAnsi="宋体" w:cs="仿宋_GB2312" w:eastAsiaTheme="minorEastAsia"/>
                <w:color w:val="auto"/>
                <w:kern w:val="0"/>
                <w:szCs w:val="21"/>
                <w:lang w:eastAsia="zh-CN"/>
              </w:rPr>
            </w:pPr>
            <w:r>
              <w:rPr>
                <w:rFonts w:hint="eastAsia" w:ascii="宋体" w:hAnsi="宋体" w:cs="仿宋_GB2312" w:eastAsiaTheme="minorEastAsia"/>
                <w:color w:val="auto"/>
                <w:kern w:val="0"/>
                <w:szCs w:val="21"/>
                <w:lang w:eastAsia="zh-CN"/>
              </w:rPr>
              <w:t>招标代理机构：精源国际工程咨询有限公司</w:t>
            </w:r>
          </w:p>
          <w:p w14:paraId="0B0E0253">
            <w:pPr>
              <w:spacing w:line="500" w:lineRule="exact"/>
              <w:rPr>
                <w:rFonts w:hint="eastAsia" w:ascii="宋体" w:hAnsi="宋体" w:cs="仿宋_GB2312" w:eastAsiaTheme="minorEastAsia"/>
                <w:color w:val="auto"/>
                <w:kern w:val="0"/>
                <w:szCs w:val="21"/>
                <w:lang w:eastAsia="zh-CN"/>
              </w:rPr>
            </w:pPr>
            <w:r>
              <w:rPr>
                <w:rFonts w:hint="eastAsia" w:ascii="宋体" w:hAnsi="宋体" w:cs="仿宋_GB2312" w:eastAsiaTheme="minorEastAsia"/>
                <w:color w:val="auto"/>
                <w:kern w:val="0"/>
                <w:szCs w:val="21"/>
                <w:lang w:eastAsia="zh-CN"/>
              </w:rPr>
              <w:t>地址：河南自贸试验区郑州片区(郑东)金水东路80号绿地新都会2号楼2单元8层803号</w:t>
            </w:r>
          </w:p>
          <w:p w14:paraId="73DA1B55">
            <w:pPr>
              <w:spacing w:line="500" w:lineRule="exact"/>
              <w:rPr>
                <w:rFonts w:hint="eastAsia" w:ascii="宋体" w:hAnsi="宋体" w:cs="仿宋_GB2312" w:eastAsiaTheme="minorEastAsia"/>
                <w:color w:val="auto"/>
                <w:kern w:val="0"/>
                <w:szCs w:val="21"/>
                <w:lang w:val="en-US" w:eastAsia="zh-CN"/>
              </w:rPr>
            </w:pPr>
            <w:r>
              <w:rPr>
                <w:rFonts w:hint="eastAsia" w:ascii="宋体" w:hAnsi="宋体" w:cs="仿宋_GB2312" w:eastAsiaTheme="minorEastAsia"/>
                <w:color w:val="auto"/>
                <w:kern w:val="0"/>
                <w:szCs w:val="21"/>
                <w:lang w:eastAsia="zh-CN"/>
              </w:rPr>
              <w:t>联系人：</w:t>
            </w:r>
            <w:r>
              <w:rPr>
                <w:rFonts w:hint="eastAsia" w:ascii="宋体" w:hAnsi="宋体" w:cs="仿宋_GB2312" w:eastAsiaTheme="minorEastAsia"/>
                <w:color w:val="auto"/>
                <w:kern w:val="0"/>
                <w:szCs w:val="21"/>
                <w:lang w:val="en-US" w:eastAsia="zh-CN"/>
              </w:rPr>
              <w:t>谢艳梅 刘佳</w:t>
            </w:r>
          </w:p>
          <w:p w14:paraId="23C3B2D3">
            <w:pPr>
              <w:spacing w:line="500" w:lineRule="exact"/>
              <w:rPr>
                <w:rFonts w:hint="eastAsia" w:ascii="宋体" w:hAnsi="宋体" w:cs="仿宋_GB2312" w:eastAsiaTheme="minorEastAsia"/>
                <w:color w:val="auto"/>
                <w:kern w:val="0"/>
                <w:szCs w:val="21"/>
                <w:lang w:eastAsia="zh-CN"/>
              </w:rPr>
            </w:pPr>
            <w:r>
              <w:rPr>
                <w:rFonts w:hint="eastAsia" w:ascii="宋体" w:hAnsi="宋体" w:cs="仿宋_GB2312" w:eastAsiaTheme="minorEastAsia"/>
                <w:color w:val="auto"/>
                <w:kern w:val="0"/>
                <w:szCs w:val="21"/>
                <w:lang w:eastAsia="zh-CN"/>
              </w:rPr>
              <w:t>电话：0371-53626380</w:t>
            </w:r>
          </w:p>
        </w:tc>
      </w:tr>
      <w:tr w14:paraId="43A8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1B8FD10">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1.1.4</w:t>
            </w:r>
          </w:p>
        </w:tc>
        <w:tc>
          <w:tcPr>
            <w:tcW w:w="2410" w:type="dxa"/>
            <w:tcBorders>
              <w:top w:val="single" w:color="auto" w:sz="4" w:space="0"/>
              <w:left w:val="nil"/>
              <w:bottom w:val="single" w:color="auto" w:sz="4" w:space="0"/>
              <w:right w:val="single" w:color="auto" w:sz="4" w:space="0"/>
            </w:tcBorders>
            <w:vAlign w:val="center"/>
          </w:tcPr>
          <w:p w14:paraId="1DA0D121">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项目名称</w:t>
            </w:r>
          </w:p>
        </w:tc>
        <w:tc>
          <w:tcPr>
            <w:tcW w:w="6798" w:type="dxa"/>
            <w:tcBorders>
              <w:top w:val="single" w:color="auto" w:sz="4" w:space="0"/>
              <w:left w:val="nil"/>
              <w:bottom w:val="single" w:color="auto" w:sz="4" w:space="0"/>
              <w:right w:val="single" w:color="auto" w:sz="4" w:space="0"/>
            </w:tcBorders>
            <w:vAlign w:val="center"/>
          </w:tcPr>
          <w:p w14:paraId="73354C7E">
            <w:pPr>
              <w:widowControl/>
              <w:wordWrap w:val="0"/>
              <w:spacing w:line="450" w:lineRule="exact"/>
              <w:jc w:val="left"/>
              <w:rPr>
                <w:rFonts w:hint="eastAsia" w:ascii="宋体" w:hAnsi="宋体" w:eastAsia="宋体" w:cs="仿宋_GB2312"/>
                <w:color w:val="auto"/>
                <w:kern w:val="0"/>
                <w:szCs w:val="21"/>
                <w:lang w:eastAsia="zh-CN"/>
              </w:rPr>
            </w:pPr>
            <w:r>
              <w:rPr>
                <w:rFonts w:hint="eastAsia" w:ascii="宋体" w:hAnsi="宋体" w:cs="仿宋_GB2312"/>
                <w:color w:val="auto"/>
                <w:kern w:val="0"/>
                <w:szCs w:val="21"/>
                <w:lang w:eastAsia="zh-CN"/>
              </w:rPr>
              <w:t>银昌路、崤山东路排水防涝改造项目</w:t>
            </w:r>
          </w:p>
        </w:tc>
      </w:tr>
      <w:tr w14:paraId="54CD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D7EF6A8">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1.1.5</w:t>
            </w:r>
          </w:p>
        </w:tc>
        <w:tc>
          <w:tcPr>
            <w:tcW w:w="2410" w:type="dxa"/>
            <w:tcBorders>
              <w:top w:val="single" w:color="auto" w:sz="4" w:space="0"/>
              <w:left w:val="nil"/>
              <w:bottom w:val="single" w:color="auto" w:sz="4" w:space="0"/>
              <w:right w:val="single" w:color="auto" w:sz="4" w:space="0"/>
            </w:tcBorders>
            <w:vAlign w:val="center"/>
          </w:tcPr>
          <w:p w14:paraId="309A286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highlight w:val="none"/>
              </w:rPr>
              <w:t>建设地点</w:t>
            </w:r>
          </w:p>
        </w:tc>
        <w:tc>
          <w:tcPr>
            <w:tcW w:w="6798" w:type="dxa"/>
            <w:tcBorders>
              <w:top w:val="single" w:color="auto" w:sz="4" w:space="0"/>
              <w:left w:val="nil"/>
              <w:bottom w:val="single" w:color="auto" w:sz="4" w:space="0"/>
              <w:right w:val="single" w:color="auto" w:sz="4" w:space="0"/>
            </w:tcBorders>
            <w:vAlign w:val="center"/>
          </w:tcPr>
          <w:p w14:paraId="658FF777">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lang w:val="en-US" w:eastAsia="zh-CN"/>
              </w:rPr>
              <w:t>三门峡市湖滨区</w:t>
            </w:r>
          </w:p>
        </w:tc>
      </w:tr>
      <w:tr w14:paraId="27FF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6734E9E">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1.2.1</w:t>
            </w:r>
          </w:p>
        </w:tc>
        <w:tc>
          <w:tcPr>
            <w:tcW w:w="2410" w:type="dxa"/>
            <w:tcBorders>
              <w:top w:val="single" w:color="auto" w:sz="4" w:space="0"/>
              <w:left w:val="nil"/>
              <w:bottom w:val="single" w:color="auto" w:sz="4" w:space="0"/>
              <w:right w:val="single" w:color="auto" w:sz="4" w:space="0"/>
            </w:tcBorders>
            <w:vAlign w:val="center"/>
          </w:tcPr>
          <w:p w14:paraId="6DE13D4C">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资金来源</w:t>
            </w:r>
          </w:p>
        </w:tc>
        <w:tc>
          <w:tcPr>
            <w:tcW w:w="6798" w:type="dxa"/>
            <w:tcBorders>
              <w:top w:val="single" w:color="auto" w:sz="4" w:space="0"/>
              <w:left w:val="nil"/>
              <w:bottom w:val="single" w:color="auto" w:sz="4" w:space="0"/>
              <w:right w:val="single" w:color="auto" w:sz="4" w:space="0"/>
            </w:tcBorders>
            <w:vAlign w:val="center"/>
          </w:tcPr>
          <w:p w14:paraId="7DC9A10D">
            <w:pPr>
              <w:widowControl/>
              <w:wordWrap w:val="0"/>
              <w:spacing w:line="450" w:lineRule="exact"/>
              <w:jc w:val="left"/>
              <w:rPr>
                <w:rFonts w:hint="eastAsia" w:ascii="宋体" w:hAnsi="宋体" w:eastAsia="宋体" w:cs="仿宋_GB2312"/>
                <w:color w:val="auto"/>
                <w:kern w:val="0"/>
                <w:szCs w:val="21"/>
                <w:lang w:eastAsia="zh-CN"/>
              </w:rPr>
            </w:pPr>
            <w:r>
              <w:rPr>
                <w:rFonts w:hint="eastAsia" w:ascii="宋体" w:hAnsi="宋体" w:cs="仿宋_GB2312"/>
                <w:color w:val="auto"/>
                <w:kern w:val="0"/>
                <w:szCs w:val="21"/>
                <w:lang w:eastAsia="zh-CN"/>
              </w:rPr>
              <w:t>申请上级资金和市财政筹措</w:t>
            </w:r>
          </w:p>
        </w:tc>
      </w:tr>
      <w:tr w14:paraId="1720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A16F45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1.2.2</w:t>
            </w:r>
          </w:p>
        </w:tc>
        <w:tc>
          <w:tcPr>
            <w:tcW w:w="2410" w:type="dxa"/>
            <w:tcBorders>
              <w:top w:val="single" w:color="auto" w:sz="4" w:space="0"/>
              <w:left w:val="nil"/>
              <w:bottom w:val="single" w:color="auto" w:sz="4" w:space="0"/>
              <w:right w:val="single" w:color="auto" w:sz="4" w:space="0"/>
            </w:tcBorders>
            <w:vAlign w:val="center"/>
          </w:tcPr>
          <w:p w14:paraId="1944303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资金落实情况</w:t>
            </w:r>
          </w:p>
        </w:tc>
        <w:tc>
          <w:tcPr>
            <w:tcW w:w="6798" w:type="dxa"/>
            <w:tcBorders>
              <w:top w:val="single" w:color="auto" w:sz="4" w:space="0"/>
              <w:left w:val="nil"/>
              <w:bottom w:val="single" w:color="auto" w:sz="4" w:space="0"/>
              <w:right w:val="single" w:color="auto" w:sz="4" w:space="0"/>
            </w:tcBorders>
            <w:vAlign w:val="center"/>
          </w:tcPr>
          <w:p w14:paraId="14AFA822">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已落实</w:t>
            </w:r>
          </w:p>
        </w:tc>
      </w:tr>
      <w:tr w14:paraId="4036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4EC53B8">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1.3.1</w:t>
            </w:r>
          </w:p>
        </w:tc>
        <w:tc>
          <w:tcPr>
            <w:tcW w:w="2410" w:type="dxa"/>
            <w:tcBorders>
              <w:top w:val="single" w:color="auto" w:sz="4" w:space="0"/>
              <w:left w:val="nil"/>
              <w:bottom w:val="single" w:color="auto" w:sz="4" w:space="0"/>
              <w:right w:val="single" w:color="auto" w:sz="4" w:space="0"/>
            </w:tcBorders>
            <w:vAlign w:val="center"/>
          </w:tcPr>
          <w:p w14:paraId="06D339E1">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招标范围</w:t>
            </w:r>
          </w:p>
        </w:tc>
        <w:tc>
          <w:tcPr>
            <w:tcW w:w="6798" w:type="dxa"/>
            <w:tcBorders>
              <w:top w:val="single" w:color="auto" w:sz="4" w:space="0"/>
              <w:left w:val="nil"/>
              <w:bottom w:val="single" w:color="auto" w:sz="4" w:space="0"/>
              <w:right w:val="single" w:color="auto" w:sz="4" w:space="0"/>
            </w:tcBorders>
            <w:vAlign w:val="center"/>
          </w:tcPr>
          <w:p w14:paraId="64488800">
            <w:pPr>
              <w:widowControl/>
              <w:wordWrap w:val="0"/>
              <w:spacing w:line="450" w:lineRule="exact"/>
              <w:jc w:val="left"/>
              <w:rPr>
                <w:rFonts w:ascii="宋体" w:hAnsi="宋体" w:cs="宋体"/>
                <w:color w:val="auto"/>
                <w:kern w:val="0"/>
                <w:szCs w:val="21"/>
              </w:rPr>
            </w:pPr>
            <w:r>
              <w:rPr>
                <w:rFonts w:hint="eastAsia" w:asciiTheme="minorEastAsia" w:hAnsiTheme="minorEastAsia" w:eastAsiaTheme="minorEastAsia" w:cstheme="minorEastAsia"/>
                <w:color w:val="auto"/>
                <w:szCs w:val="21"/>
              </w:rPr>
              <w:t>工程量清单、图纸及招标文件包含的全部内容</w:t>
            </w:r>
            <w:r>
              <w:rPr>
                <w:rFonts w:hint="eastAsia" w:ascii="宋体" w:hAnsi="宋体" w:cs="仿宋_GB2312"/>
                <w:color w:val="auto"/>
                <w:kern w:val="0"/>
                <w:szCs w:val="21"/>
              </w:rPr>
              <w:t>。</w:t>
            </w:r>
          </w:p>
        </w:tc>
      </w:tr>
      <w:tr w14:paraId="1571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E70E72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1.3.2</w:t>
            </w:r>
          </w:p>
        </w:tc>
        <w:tc>
          <w:tcPr>
            <w:tcW w:w="2410" w:type="dxa"/>
            <w:tcBorders>
              <w:top w:val="single" w:color="auto" w:sz="4" w:space="0"/>
              <w:left w:val="nil"/>
              <w:bottom w:val="single" w:color="auto" w:sz="4" w:space="0"/>
              <w:right w:val="single" w:color="auto" w:sz="4" w:space="0"/>
            </w:tcBorders>
            <w:vAlign w:val="center"/>
          </w:tcPr>
          <w:p w14:paraId="4DBC56A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计划工期</w:t>
            </w:r>
          </w:p>
        </w:tc>
        <w:tc>
          <w:tcPr>
            <w:tcW w:w="6798" w:type="dxa"/>
            <w:tcBorders>
              <w:top w:val="single" w:color="auto" w:sz="4" w:space="0"/>
              <w:left w:val="nil"/>
              <w:bottom w:val="single" w:color="auto" w:sz="4" w:space="0"/>
              <w:right w:val="single" w:color="auto" w:sz="4" w:space="0"/>
            </w:tcBorders>
            <w:vAlign w:val="center"/>
          </w:tcPr>
          <w:p w14:paraId="37A144F7">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lang w:val="en-US" w:eastAsia="zh-CN"/>
              </w:rPr>
              <w:t>180日历天</w:t>
            </w:r>
          </w:p>
        </w:tc>
      </w:tr>
      <w:tr w14:paraId="15C4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1B3A8B6">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1.3.3</w:t>
            </w:r>
          </w:p>
        </w:tc>
        <w:tc>
          <w:tcPr>
            <w:tcW w:w="2410" w:type="dxa"/>
            <w:tcBorders>
              <w:top w:val="single" w:color="auto" w:sz="4" w:space="0"/>
              <w:left w:val="nil"/>
              <w:bottom w:val="single" w:color="auto" w:sz="4" w:space="0"/>
              <w:right w:val="single" w:color="auto" w:sz="4" w:space="0"/>
            </w:tcBorders>
            <w:vAlign w:val="center"/>
          </w:tcPr>
          <w:p w14:paraId="72C1182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质量要求</w:t>
            </w:r>
          </w:p>
        </w:tc>
        <w:tc>
          <w:tcPr>
            <w:tcW w:w="6798" w:type="dxa"/>
            <w:tcBorders>
              <w:top w:val="single" w:color="auto" w:sz="4" w:space="0"/>
              <w:left w:val="nil"/>
              <w:bottom w:val="single" w:color="auto" w:sz="4" w:space="0"/>
              <w:right w:val="single" w:color="auto" w:sz="4" w:space="0"/>
            </w:tcBorders>
            <w:vAlign w:val="center"/>
          </w:tcPr>
          <w:p w14:paraId="2E84293A">
            <w:pPr>
              <w:widowControl/>
              <w:wordWrap w:val="0"/>
              <w:spacing w:line="450" w:lineRule="exact"/>
              <w:jc w:val="left"/>
              <w:rPr>
                <w:rFonts w:hint="eastAsia" w:ascii="宋体" w:hAnsi="宋体" w:eastAsia="宋体" w:cs="仿宋_GB2312"/>
                <w:color w:val="auto"/>
                <w:kern w:val="0"/>
                <w:szCs w:val="21"/>
                <w:lang w:eastAsia="zh-CN"/>
              </w:rPr>
            </w:pPr>
            <w:r>
              <w:rPr>
                <w:rFonts w:hint="eastAsia" w:asciiTheme="minorEastAsia" w:hAnsiTheme="minorEastAsia" w:eastAsiaTheme="minorEastAsia" w:cstheme="minorEastAsia"/>
                <w:color w:val="auto"/>
                <w:szCs w:val="21"/>
                <w:highlight w:val="none"/>
              </w:rPr>
              <w:t>质量达到国家现行有关施工质量验收规范要求，并达到合格标准</w:t>
            </w:r>
          </w:p>
        </w:tc>
      </w:tr>
      <w:tr w14:paraId="6BC5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B196EAC">
            <w:pPr>
              <w:widowControl/>
              <w:wordWrap w:val="0"/>
              <w:spacing w:line="450" w:lineRule="exact"/>
              <w:jc w:val="center"/>
              <w:rPr>
                <w:rFonts w:ascii="宋体" w:hAnsi="宋体" w:cs="仿宋_GB2312"/>
                <w:color w:val="auto"/>
                <w:kern w:val="0"/>
                <w:szCs w:val="21"/>
                <w:highlight w:val="none"/>
              </w:rPr>
            </w:pPr>
            <w:r>
              <w:rPr>
                <w:rFonts w:hint="eastAsia" w:ascii="宋体" w:hAnsi="宋体" w:cs="仿宋_GB2312"/>
                <w:color w:val="auto"/>
                <w:kern w:val="0"/>
                <w:szCs w:val="21"/>
                <w:highlight w:val="none"/>
              </w:rPr>
              <w:t>1.3.4</w:t>
            </w:r>
          </w:p>
        </w:tc>
        <w:tc>
          <w:tcPr>
            <w:tcW w:w="2410" w:type="dxa"/>
            <w:tcBorders>
              <w:top w:val="single" w:color="auto" w:sz="4" w:space="0"/>
              <w:left w:val="nil"/>
              <w:bottom w:val="single" w:color="auto" w:sz="4" w:space="0"/>
              <w:right w:val="single" w:color="auto" w:sz="4" w:space="0"/>
            </w:tcBorders>
            <w:vAlign w:val="center"/>
          </w:tcPr>
          <w:p w14:paraId="07940207">
            <w:pPr>
              <w:widowControl/>
              <w:wordWrap w:val="0"/>
              <w:spacing w:line="450" w:lineRule="exact"/>
              <w:jc w:val="center"/>
              <w:rPr>
                <w:rFonts w:ascii="宋体" w:hAnsi="宋体" w:cs="仿宋_GB2312"/>
                <w:color w:val="auto"/>
                <w:kern w:val="0"/>
                <w:szCs w:val="21"/>
                <w:highlight w:val="none"/>
              </w:rPr>
            </w:pPr>
            <w:r>
              <w:rPr>
                <w:rFonts w:hint="eastAsia" w:ascii="宋体" w:hAnsi="宋体" w:cs="仿宋_GB2312"/>
                <w:color w:val="auto"/>
                <w:kern w:val="0"/>
                <w:szCs w:val="21"/>
                <w:highlight w:val="none"/>
              </w:rPr>
              <w:t>工程保修期</w:t>
            </w:r>
          </w:p>
        </w:tc>
        <w:tc>
          <w:tcPr>
            <w:tcW w:w="6798" w:type="dxa"/>
            <w:tcBorders>
              <w:top w:val="single" w:color="auto" w:sz="4" w:space="0"/>
              <w:left w:val="nil"/>
              <w:bottom w:val="single" w:color="auto" w:sz="4" w:space="0"/>
              <w:right w:val="single" w:color="auto" w:sz="4" w:space="0"/>
            </w:tcBorders>
            <w:vAlign w:val="center"/>
          </w:tcPr>
          <w:p w14:paraId="21E7E882">
            <w:pPr>
              <w:widowControl/>
              <w:wordWrap w:val="0"/>
              <w:spacing w:line="600" w:lineRule="exact"/>
              <w:rPr>
                <w:rFonts w:ascii="宋体" w:hAnsi="宋体" w:cs="仿宋_GB2312"/>
                <w:color w:val="auto"/>
                <w:kern w:val="0"/>
                <w:szCs w:val="21"/>
                <w:highlight w:val="none"/>
              </w:rPr>
            </w:pPr>
            <w:r>
              <w:rPr>
                <w:rFonts w:hint="eastAsia" w:ascii="宋体" w:hAnsi="宋体" w:cs="宋体"/>
                <w:color w:val="auto"/>
                <w:kern w:val="0"/>
                <w:szCs w:val="21"/>
                <w:highlight w:val="none"/>
              </w:rPr>
              <w:t>按照国家相关文件规定的质保期执行</w:t>
            </w:r>
          </w:p>
        </w:tc>
      </w:tr>
      <w:tr w14:paraId="1EE1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B6C8173">
            <w:pPr>
              <w:widowControl/>
              <w:wordWrap w:val="0"/>
              <w:spacing w:line="450" w:lineRule="exact"/>
              <w:jc w:val="center"/>
              <w:rPr>
                <w:rFonts w:hint="eastAsia" w:ascii="宋体" w:hAnsi="宋体" w:eastAsia="宋体" w:cs="仿宋_GB2312"/>
                <w:color w:val="auto"/>
                <w:kern w:val="0"/>
                <w:szCs w:val="21"/>
                <w:lang w:eastAsia="zh-CN"/>
              </w:rPr>
            </w:pPr>
            <w:r>
              <w:rPr>
                <w:rFonts w:hint="eastAsia" w:ascii="宋体" w:hAnsi="宋体" w:cs="仿宋_GB2312"/>
                <w:color w:val="auto"/>
                <w:kern w:val="0"/>
                <w:szCs w:val="21"/>
              </w:rPr>
              <w:t>1.3.</w:t>
            </w:r>
            <w:r>
              <w:rPr>
                <w:rFonts w:hint="eastAsia" w:ascii="宋体" w:hAnsi="宋体" w:cs="仿宋_GB2312"/>
                <w:color w:val="auto"/>
                <w:kern w:val="0"/>
                <w:szCs w:val="21"/>
                <w:lang w:val="en-US" w:eastAsia="zh-CN"/>
              </w:rPr>
              <w:t>5</w:t>
            </w:r>
          </w:p>
        </w:tc>
        <w:tc>
          <w:tcPr>
            <w:tcW w:w="2410" w:type="dxa"/>
            <w:tcBorders>
              <w:top w:val="single" w:color="auto" w:sz="4" w:space="0"/>
              <w:left w:val="nil"/>
              <w:bottom w:val="single" w:color="auto" w:sz="4" w:space="0"/>
              <w:right w:val="single" w:color="auto" w:sz="4" w:space="0"/>
            </w:tcBorders>
            <w:vAlign w:val="center"/>
          </w:tcPr>
          <w:p w14:paraId="564C82E5">
            <w:pPr>
              <w:widowControl/>
              <w:wordWrap w:val="0"/>
              <w:spacing w:line="450" w:lineRule="exact"/>
              <w:jc w:val="center"/>
              <w:rPr>
                <w:rFonts w:ascii="宋体" w:hAnsi="宋体" w:cs="仿宋_GB2312"/>
                <w:color w:val="auto"/>
                <w:kern w:val="0"/>
                <w:szCs w:val="21"/>
                <w:highlight w:val="none"/>
              </w:rPr>
            </w:pPr>
            <w:bookmarkStart w:id="46" w:name="OLE_LINK64"/>
            <w:bookmarkStart w:id="47" w:name="OLE_LINK63"/>
            <w:r>
              <w:rPr>
                <w:rFonts w:hint="eastAsia" w:ascii="宋体" w:hAnsi="宋体" w:cs="仿宋_GB2312"/>
                <w:color w:val="auto"/>
                <w:kern w:val="0"/>
                <w:szCs w:val="21"/>
                <w:highlight w:val="none"/>
              </w:rPr>
              <w:t>缺陷责任期</w:t>
            </w:r>
            <w:bookmarkEnd w:id="46"/>
            <w:bookmarkEnd w:id="47"/>
          </w:p>
        </w:tc>
        <w:tc>
          <w:tcPr>
            <w:tcW w:w="6798" w:type="dxa"/>
            <w:tcBorders>
              <w:top w:val="single" w:color="auto" w:sz="4" w:space="0"/>
              <w:left w:val="nil"/>
              <w:bottom w:val="single" w:color="auto" w:sz="4" w:space="0"/>
              <w:right w:val="single" w:color="auto" w:sz="4" w:space="0"/>
            </w:tcBorders>
            <w:vAlign w:val="center"/>
          </w:tcPr>
          <w:p w14:paraId="7932D0F0">
            <w:pPr>
              <w:wordWrap w:val="0"/>
              <w:autoSpaceDE w:val="0"/>
              <w:spacing w:line="480" w:lineRule="exact"/>
              <w:jc w:val="left"/>
              <w:rPr>
                <w:rFonts w:ascii="宋体" w:hAnsi="宋体" w:cs="仿宋_GB2312"/>
                <w:color w:val="auto"/>
                <w:kern w:val="0"/>
                <w:szCs w:val="21"/>
                <w:highlight w:val="none"/>
              </w:rPr>
            </w:pPr>
            <w:r>
              <w:rPr>
                <w:rFonts w:hint="eastAsia" w:ascii="宋体" w:hAnsi="宋体" w:cs="仿宋_GB2312"/>
                <w:color w:val="auto"/>
                <w:kern w:val="0"/>
                <w:szCs w:val="21"/>
                <w:highlight w:val="none"/>
                <w:lang w:val="en-US" w:eastAsia="zh-CN"/>
              </w:rPr>
              <w:t>24</w:t>
            </w:r>
            <w:r>
              <w:rPr>
                <w:rFonts w:hint="eastAsia" w:ascii="宋体" w:hAnsi="宋体" w:cs="仿宋_GB2312"/>
                <w:color w:val="auto"/>
                <w:kern w:val="0"/>
                <w:szCs w:val="21"/>
                <w:highlight w:val="none"/>
              </w:rPr>
              <w:t>个月</w:t>
            </w:r>
          </w:p>
        </w:tc>
      </w:tr>
      <w:tr w14:paraId="73F2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D9024CC">
            <w:pPr>
              <w:widowControl/>
              <w:wordWrap w:val="0"/>
              <w:spacing w:line="450" w:lineRule="exact"/>
              <w:jc w:val="center"/>
              <w:rPr>
                <w:rFonts w:hint="eastAsia" w:ascii="宋体" w:hAnsi="宋体" w:eastAsia="宋体" w:cs="仿宋_GB2312"/>
                <w:color w:val="auto"/>
                <w:kern w:val="0"/>
                <w:szCs w:val="21"/>
                <w:lang w:eastAsia="zh-CN"/>
              </w:rPr>
            </w:pPr>
            <w:r>
              <w:rPr>
                <w:rFonts w:hint="eastAsia" w:ascii="宋体" w:hAnsi="宋体" w:cs="仿宋_GB2312"/>
                <w:color w:val="auto"/>
                <w:kern w:val="0"/>
                <w:szCs w:val="21"/>
              </w:rPr>
              <w:t>1.3.</w:t>
            </w:r>
            <w:r>
              <w:rPr>
                <w:rFonts w:hint="eastAsia" w:ascii="宋体" w:hAnsi="宋体" w:cs="仿宋_GB2312"/>
                <w:color w:val="auto"/>
                <w:kern w:val="0"/>
                <w:szCs w:val="21"/>
                <w:lang w:val="en-US" w:eastAsia="zh-CN"/>
              </w:rPr>
              <w:t>6</w:t>
            </w:r>
          </w:p>
        </w:tc>
        <w:tc>
          <w:tcPr>
            <w:tcW w:w="2410" w:type="dxa"/>
            <w:tcBorders>
              <w:top w:val="single" w:color="auto" w:sz="4" w:space="0"/>
              <w:left w:val="nil"/>
              <w:bottom w:val="single" w:color="auto" w:sz="4" w:space="0"/>
              <w:right w:val="single" w:color="auto" w:sz="4" w:space="0"/>
            </w:tcBorders>
            <w:vAlign w:val="center"/>
          </w:tcPr>
          <w:p w14:paraId="6BF7706E">
            <w:pPr>
              <w:widowControl/>
              <w:wordWrap w:val="0"/>
              <w:spacing w:line="450" w:lineRule="exact"/>
              <w:jc w:val="center"/>
              <w:rPr>
                <w:rFonts w:ascii="宋体" w:hAnsi="宋体" w:cs="仿宋_GB2312"/>
                <w:color w:val="auto"/>
                <w:kern w:val="0"/>
                <w:szCs w:val="21"/>
                <w:highlight w:val="none"/>
              </w:rPr>
            </w:pPr>
            <w:r>
              <w:rPr>
                <w:rFonts w:hint="eastAsia" w:ascii="宋体" w:hAnsi="宋体" w:cs="仿宋_GB2312"/>
                <w:color w:val="auto"/>
                <w:kern w:val="0"/>
                <w:szCs w:val="21"/>
                <w:highlight w:val="none"/>
              </w:rPr>
              <w:t>安全目标</w:t>
            </w:r>
          </w:p>
        </w:tc>
        <w:tc>
          <w:tcPr>
            <w:tcW w:w="6798" w:type="dxa"/>
            <w:tcBorders>
              <w:top w:val="single" w:color="auto" w:sz="4" w:space="0"/>
              <w:left w:val="nil"/>
              <w:bottom w:val="single" w:color="auto" w:sz="4" w:space="0"/>
              <w:right w:val="single" w:color="auto" w:sz="4" w:space="0"/>
            </w:tcBorders>
            <w:vAlign w:val="center"/>
          </w:tcPr>
          <w:p w14:paraId="3A9A8ADC">
            <w:pPr>
              <w:widowControl/>
              <w:wordWrap w:val="0"/>
              <w:spacing w:line="450" w:lineRule="exact"/>
              <w:jc w:val="left"/>
              <w:rPr>
                <w:rFonts w:ascii="宋体" w:hAnsi="宋体" w:cs="仿宋_GB2312"/>
                <w:color w:val="auto"/>
                <w:kern w:val="0"/>
                <w:szCs w:val="21"/>
                <w:highlight w:val="none"/>
              </w:rPr>
            </w:pPr>
            <w:bookmarkStart w:id="48" w:name="OLE_LINK61"/>
            <w:bookmarkStart w:id="49" w:name="OLE_LINK62"/>
            <w:r>
              <w:rPr>
                <w:rFonts w:hint="eastAsia" w:ascii="宋体" w:hAnsi="宋体" w:cs="仿宋_GB2312"/>
                <w:color w:val="auto"/>
                <w:kern w:val="0"/>
                <w:szCs w:val="21"/>
                <w:highlight w:val="none"/>
              </w:rPr>
              <w:t>安全生产零事故</w:t>
            </w:r>
            <w:bookmarkEnd w:id="48"/>
            <w:bookmarkEnd w:id="49"/>
          </w:p>
        </w:tc>
      </w:tr>
      <w:tr w14:paraId="4555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2B08EE0">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1.4.1</w:t>
            </w:r>
          </w:p>
        </w:tc>
        <w:tc>
          <w:tcPr>
            <w:tcW w:w="2410" w:type="dxa"/>
            <w:tcBorders>
              <w:top w:val="single" w:color="auto" w:sz="4" w:space="0"/>
              <w:left w:val="nil"/>
              <w:bottom w:val="single" w:color="auto" w:sz="4" w:space="0"/>
              <w:right w:val="single" w:color="auto" w:sz="4" w:space="0"/>
            </w:tcBorders>
            <w:vAlign w:val="center"/>
          </w:tcPr>
          <w:p w14:paraId="460FDCA8">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投标人资质要求</w:t>
            </w:r>
          </w:p>
        </w:tc>
        <w:tc>
          <w:tcPr>
            <w:tcW w:w="6798" w:type="dxa"/>
            <w:tcBorders>
              <w:top w:val="single" w:color="auto" w:sz="4" w:space="0"/>
              <w:left w:val="nil"/>
              <w:bottom w:val="single" w:color="auto" w:sz="4" w:space="0"/>
              <w:right w:val="single" w:color="auto" w:sz="4" w:space="0"/>
            </w:tcBorders>
            <w:vAlign w:val="center"/>
          </w:tcPr>
          <w:p w14:paraId="64FC7126">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详见招标公告</w:t>
            </w:r>
          </w:p>
        </w:tc>
      </w:tr>
      <w:tr w14:paraId="17AB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EB6F68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1.4.2</w:t>
            </w:r>
          </w:p>
        </w:tc>
        <w:tc>
          <w:tcPr>
            <w:tcW w:w="2410" w:type="dxa"/>
            <w:tcBorders>
              <w:top w:val="single" w:color="auto" w:sz="4" w:space="0"/>
              <w:left w:val="nil"/>
              <w:bottom w:val="single" w:color="auto" w:sz="4" w:space="0"/>
              <w:right w:val="single" w:color="auto" w:sz="4" w:space="0"/>
            </w:tcBorders>
            <w:vAlign w:val="center"/>
          </w:tcPr>
          <w:p w14:paraId="3336D956">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是否接受联合体投标</w:t>
            </w:r>
          </w:p>
        </w:tc>
        <w:tc>
          <w:tcPr>
            <w:tcW w:w="6798" w:type="dxa"/>
            <w:tcBorders>
              <w:top w:val="single" w:color="auto" w:sz="4" w:space="0"/>
              <w:left w:val="nil"/>
              <w:bottom w:val="single" w:color="auto" w:sz="4" w:space="0"/>
              <w:right w:val="single" w:color="auto" w:sz="4" w:space="0"/>
            </w:tcBorders>
            <w:vAlign w:val="center"/>
          </w:tcPr>
          <w:p w14:paraId="7AEA8B36">
            <w:pPr>
              <w:widowControl/>
              <w:wordWrap w:val="0"/>
              <w:spacing w:line="450" w:lineRule="exact"/>
              <w:jc w:val="left"/>
              <w:rPr>
                <w:rFonts w:hint="eastAsia" w:ascii="宋体" w:hAnsi="宋体" w:eastAsia="宋体" w:cs="仿宋_GB2312"/>
                <w:color w:val="auto"/>
                <w:kern w:val="0"/>
                <w:szCs w:val="21"/>
                <w:lang w:eastAsia="zh-CN"/>
              </w:rPr>
            </w:pPr>
            <w:r>
              <w:rPr>
                <w:rFonts w:hint="eastAsia" w:ascii="宋体" w:hAnsi="宋体" w:cs="仿宋_GB2312"/>
                <w:color w:val="auto"/>
                <w:kern w:val="0"/>
                <w:szCs w:val="21"/>
                <w:lang w:val="en-US" w:eastAsia="zh-CN"/>
              </w:rPr>
              <w:t>不</w:t>
            </w:r>
            <w:r>
              <w:rPr>
                <w:rFonts w:hint="eastAsia" w:ascii="宋体" w:hAnsi="宋体" w:cs="仿宋_GB2312"/>
                <w:color w:val="auto"/>
                <w:kern w:val="0"/>
                <w:szCs w:val="21"/>
              </w:rPr>
              <w:t>接受</w:t>
            </w:r>
          </w:p>
        </w:tc>
      </w:tr>
      <w:tr w14:paraId="7593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A1ECAE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1.9．1</w:t>
            </w:r>
          </w:p>
        </w:tc>
        <w:tc>
          <w:tcPr>
            <w:tcW w:w="2410" w:type="dxa"/>
            <w:tcBorders>
              <w:top w:val="single" w:color="auto" w:sz="4" w:space="0"/>
              <w:left w:val="nil"/>
              <w:bottom w:val="single" w:color="auto" w:sz="4" w:space="0"/>
              <w:right w:val="single" w:color="auto" w:sz="4" w:space="0"/>
            </w:tcBorders>
            <w:vAlign w:val="center"/>
          </w:tcPr>
          <w:p w14:paraId="28D5A43E">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踏勘现场</w:t>
            </w:r>
          </w:p>
        </w:tc>
        <w:tc>
          <w:tcPr>
            <w:tcW w:w="6798" w:type="dxa"/>
            <w:tcBorders>
              <w:top w:val="single" w:color="auto" w:sz="4" w:space="0"/>
              <w:left w:val="nil"/>
              <w:bottom w:val="single" w:color="auto" w:sz="4" w:space="0"/>
              <w:right w:val="single" w:color="auto" w:sz="4" w:space="0"/>
            </w:tcBorders>
            <w:vAlign w:val="center"/>
          </w:tcPr>
          <w:p w14:paraId="1EDDB621">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不组织。</w:t>
            </w:r>
          </w:p>
          <w:p w14:paraId="492D3405">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投标人自行组织踏勘现场，并负责在踏勘现场中所发生的人员安全。</w:t>
            </w:r>
          </w:p>
        </w:tc>
      </w:tr>
      <w:tr w14:paraId="01AF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2A3854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1.10.1</w:t>
            </w:r>
          </w:p>
        </w:tc>
        <w:tc>
          <w:tcPr>
            <w:tcW w:w="2410" w:type="dxa"/>
            <w:tcBorders>
              <w:top w:val="single" w:color="auto" w:sz="4" w:space="0"/>
              <w:left w:val="nil"/>
              <w:bottom w:val="single" w:color="auto" w:sz="4" w:space="0"/>
              <w:right w:val="single" w:color="auto" w:sz="4" w:space="0"/>
            </w:tcBorders>
            <w:vAlign w:val="center"/>
          </w:tcPr>
          <w:p w14:paraId="22C5F77E">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投标预备会</w:t>
            </w:r>
          </w:p>
        </w:tc>
        <w:tc>
          <w:tcPr>
            <w:tcW w:w="6798" w:type="dxa"/>
            <w:tcBorders>
              <w:top w:val="single" w:color="auto" w:sz="4" w:space="0"/>
              <w:left w:val="nil"/>
              <w:bottom w:val="single" w:color="auto" w:sz="4" w:space="0"/>
              <w:right w:val="single" w:color="auto" w:sz="4" w:space="0"/>
            </w:tcBorders>
            <w:vAlign w:val="center"/>
          </w:tcPr>
          <w:p w14:paraId="67EE16C1">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本项目不召开</w:t>
            </w:r>
          </w:p>
        </w:tc>
      </w:tr>
      <w:tr w14:paraId="6870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65BB68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1.10.2</w:t>
            </w:r>
          </w:p>
        </w:tc>
        <w:tc>
          <w:tcPr>
            <w:tcW w:w="2410" w:type="dxa"/>
            <w:tcBorders>
              <w:top w:val="single" w:color="auto" w:sz="4" w:space="0"/>
              <w:left w:val="nil"/>
              <w:bottom w:val="single" w:color="auto" w:sz="4" w:space="0"/>
              <w:right w:val="single" w:color="auto" w:sz="4" w:space="0"/>
            </w:tcBorders>
            <w:vAlign w:val="center"/>
          </w:tcPr>
          <w:p w14:paraId="7BCEB46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投标人提出问题的</w:t>
            </w:r>
          </w:p>
          <w:p w14:paraId="1B2EA457">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截止时间</w:t>
            </w:r>
          </w:p>
        </w:tc>
        <w:tc>
          <w:tcPr>
            <w:tcW w:w="6798" w:type="dxa"/>
            <w:tcBorders>
              <w:top w:val="single" w:color="auto" w:sz="4" w:space="0"/>
              <w:left w:val="nil"/>
              <w:bottom w:val="single" w:color="auto" w:sz="4" w:space="0"/>
              <w:right w:val="single" w:color="auto" w:sz="4" w:space="0"/>
            </w:tcBorders>
            <w:vAlign w:val="center"/>
          </w:tcPr>
          <w:p w14:paraId="17C4037F">
            <w:pPr>
              <w:widowControl/>
              <w:wordWrap w:val="0"/>
              <w:spacing w:line="450" w:lineRule="exact"/>
              <w:jc w:val="left"/>
              <w:rPr>
                <w:rFonts w:ascii="宋体" w:hAnsi="宋体" w:cs="宋体"/>
                <w:color w:val="auto"/>
                <w:kern w:val="0"/>
                <w:szCs w:val="21"/>
              </w:rPr>
            </w:pPr>
            <w:r>
              <w:rPr>
                <w:rFonts w:hint="eastAsia" w:ascii="宋体" w:hAnsi="宋体"/>
                <w:color w:val="auto"/>
                <w:szCs w:val="21"/>
              </w:rPr>
              <w:t>投标截止之日15天前，经投标人和其法定代表人签章的PDF格式文件，通过电子化交易系统提交。</w:t>
            </w:r>
          </w:p>
        </w:tc>
      </w:tr>
      <w:tr w14:paraId="650B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68F3B2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1.10.3</w:t>
            </w:r>
          </w:p>
        </w:tc>
        <w:tc>
          <w:tcPr>
            <w:tcW w:w="2410" w:type="dxa"/>
            <w:tcBorders>
              <w:top w:val="single" w:color="auto" w:sz="4" w:space="0"/>
              <w:left w:val="nil"/>
              <w:bottom w:val="single" w:color="auto" w:sz="4" w:space="0"/>
              <w:right w:val="single" w:color="auto" w:sz="4" w:space="0"/>
            </w:tcBorders>
            <w:vAlign w:val="center"/>
          </w:tcPr>
          <w:p w14:paraId="683B904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招标人书面澄清的</w:t>
            </w:r>
          </w:p>
          <w:p w14:paraId="4DD98736">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时间</w:t>
            </w:r>
          </w:p>
        </w:tc>
        <w:tc>
          <w:tcPr>
            <w:tcW w:w="6798" w:type="dxa"/>
            <w:tcBorders>
              <w:top w:val="single" w:color="auto" w:sz="4" w:space="0"/>
              <w:left w:val="nil"/>
              <w:bottom w:val="single" w:color="auto" w:sz="4" w:space="0"/>
              <w:right w:val="single" w:color="auto" w:sz="4" w:space="0"/>
            </w:tcBorders>
            <w:vAlign w:val="center"/>
          </w:tcPr>
          <w:p w14:paraId="377A83DF">
            <w:pPr>
              <w:wordWrap w:val="0"/>
              <w:spacing w:line="450" w:lineRule="exact"/>
              <w:jc w:val="left"/>
              <w:rPr>
                <w:rFonts w:ascii="宋体" w:hAnsi="宋体"/>
                <w:color w:val="auto"/>
                <w:szCs w:val="21"/>
              </w:rPr>
            </w:pPr>
            <w:r>
              <w:rPr>
                <w:rFonts w:hint="eastAsia" w:ascii="宋体" w:hAnsi="宋体"/>
                <w:color w:val="auto"/>
                <w:szCs w:val="21"/>
              </w:rPr>
              <w:t>投标截止之日15天前网上公示形式在招标公告发布的网站上发布</w:t>
            </w:r>
          </w:p>
        </w:tc>
      </w:tr>
      <w:tr w14:paraId="4A25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6B9110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1.11</w:t>
            </w:r>
          </w:p>
        </w:tc>
        <w:tc>
          <w:tcPr>
            <w:tcW w:w="2410" w:type="dxa"/>
            <w:tcBorders>
              <w:top w:val="single" w:color="auto" w:sz="4" w:space="0"/>
              <w:left w:val="nil"/>
              <w:bottom w:val="single" w:color="auto" w:sz="4" w:space="0"/>
              <w:right w:val="single" w:color="auto" w:sz="4" w:space="0"/>
            </w:tcBorders>
            <w:vAlign w:val="center"/>
          </w:tcPr>
          <w:p w14:paraId="44177170">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分包</w:t>
            </w:r>
          </w:p>
        </w:tc>
        <w:tc>
          <w:tcPr>
            <w:tcW w:w="6798" w:type="dxa"/>
            <w:tcBorders>
              <w:top w:val="single" w:color="auto" w:sz="4" w:space="0"/>
              <w:left w:val="nil"/>
              <w:bottom w:val="single" w:color="auto" w:sz="4" w:space="0"/>
              <w:right w:val="single" w:color="auto" w:sz="4" w:space="0"/>
            </w:tcBorders>
            <w:vAlign w:val="center"/>
          </w:tcPr>
          <w:p w14:paraId="1A48E19F">
            <w:pPr>
              <w:widowControl/>
              <w:wordWrap w:val="0"/>
              <w:spacing w:line="450" w:lineRule="exact"/>
              <w:jc w:val="left"/>
              <w:rPr>
                <w:rFonts w:hint="eastAsia" w:ascii="宋体" w:hAnsi="宋体"/>
                <w:color w:val="auto"/>
                <w:szCs w:val="21"/>
              </w:rPr>
            </w:pPr>
            <w:r>
              <w:rPr>
                <w:rFonts w:hint="eastAsia" w:ascii="宋体" w:hAnsi="宋体"/>
                <w:color w:val="auto"/>
                <w:szCs w:val="21"/>
              </w:rPr>
              <w:t>不允许</w:t>
            </w:r>
          </w:p>
        </w:tc>
      </w:tr>
      <w:tr w14:paraId="5883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AA4A77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1.12</w:t>
            </w:r>
          </w:p>
        </w:tc>
        <w:tc>
          <w:tcPr>
            <w:tcW w:w="2410" w:type="dxa"/>
            <w:tcBorders>
              <w:top w:val="single" w:color="auto" w:sz="4" w:space="0"/>
              <w:left w:val="nil"/>
              <w:bottom w:val="single" w:color="auto" w:sz="4" w:space="0"/>
              <w:right w:val="single" w:color="auto" w:sz="4" w:space="0"/>
            </w:tcBorders>
            <w:vAlign w:val="center"/>
          </w:tcPr>
          <w:p w14:paraId="725A9B23">
            <w:pPr>
              <w:widowControl/>
              <w:wordWrap w:val="0"/>
              <w:spacing w:line="450" w:lineRule="exact"/>
              <w:jc w:val="center"/>
              <w:rPr>
                <w:rFonts w:ascii="宋体" w:hAnsi="宋体"/>
                <w:color w:val="auto"/>
                <w:szCs w:val="21"/>
              </w:rPr>
            </w:pPr>
            <w:r>
              <w:rPr>
                <w:rFonts w:hint="eastAsia" w:ascii="宋体" w:hAnsi="宋体"/>
                <w:color w:val="auto"/>
                <w:szCs w:val="21"/>
              </w:rPr>
              <w:t>偏离</w:t>
            </w:r>
          </w:p>
        </w:tc>
        <w:tc>
          <w:tcPr>
            <w:tcW w:w="6798" w:type="dxa"/>
            <w:tcBorders>
              <w:top w:val="single" w:color="auto" w:sz="4" w:space="0"/>
              <w:left w:val="nil"/>
              <w:bottom w:val="single" w:color="auto" w:sz="4" w:space="0"/>
              <w:right w:val="single" w:color="auto" w:sz="4" w:space="0"/>
            </w:tcBorders>
            <w:vAlign w:val="center"/>
          </w:tcPr>
          <w:p w14:paraId="5F3AC2DB">
            <w:pPr>
              <w:widowControl/>
              <w:wordWrap w:val="0"/>
              <w:spacing w:line="450" w:lineRule="exact"/>
              <w:jc w:val="left"/>
              <w:rPr>
                <w:rFonts w:hint="eastAsia" w:ascii="宋体" w:hAnsi="宋体" w:eastAsia="宋体"/>
                <w:color w:val="auto"/>
                <w:szCs w:val="21"/>
                <w:lang w:val="en-US" w:eastAsia="zh-CN"/>
              </w:rPr>
            </w:pPr>
            <w:r>
              <w:rPr>
                <w:rFonts w:hint="eastAsia" w:ascii="宋体" w:hAnsi="宋体"/>
                <w:color w:val="auto"/>
                <w:szCs w:val="21"/>
              </w:rPr>
              <w:t>允许</w:t>
            </w:r>
            <w:r>
              <w:rPr>
                <w:rFonts w:hint="eastAsia" w:ascii="宋体" w:hAnsi="宋体"/>
                <w:color w:val="auto"/>
                <w:szCs w:val="21"/>
                <w:lang w:val="en-US" w:eastAsia="zh-CN"/>
              </w:rPr>
              <w:t>正偏离</w:t>
            </w:r>
          </w:p>
        </w:tc>
      </w:tr>
      <w:tr w14:paraId="7AD4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2EC1F8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2.1</w:t>
            </w:r>
          </w:p>
        </w:tc>
        <w:tc>
          <w:tcPr>
            <w:tcW w:w="2410" w:type="dxa"/>
            <w:tcBorders>
              <w:top w:val="single" w:color="auto" w:sz="4" w:space="0"/>
              <w:left w:val="nil"/>
              <w:bottom w:val="single" w:color="auto" w:sz="4" w:space="0"/>
              <w:right w:val="single" w:color="auto" w:sz="4" w:space="0"/>
            </w:tcBorders>
            <w:vAlign w:val="center"/>
          </w:tcPr>
          <w:p w14:paraId="04DCA2A4">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构成招标文件的其他</w:t>
            </w:r>
          </w:p>
          <w:p w14:paraId="1DE6B7B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材料</w:t>
            </w:r>
          </w:p>
        </w:tc>
        <w:tc>
          <w:tcPr>
            <w:tcW w:w="6798" w:type="dxa"/>
            <w:tcBorders>
              <w:top w:val="single" w:color="auto" w:sz="4" w:space="0"/>
              <w:left w:val="nil"/>
              <w:bottom w:val="single" w:color="auto" w:sz="4" w:space="0"/>
              <w:right w:val="single" w:color="auto" w:sz="4" w:space="0"/>
            </w:tcBorders>
            <w:vAlign w:val="center"/>
          </w:tcPr>
          <w:p w14:paraId="7CF370D6">
            <w:pPr>
              <w:widowControl/>
              <w:wordWrap w:val="0"/>
              <w:spacing w:line="450" w:lineRule="exact"/>
              <w:jc w:val="left"/>
              <w:rPr>
                <w:rFonts w:ascii="宋体" w:hAnsi="宋体" w:cs="仿宋_GB2312"/>
                <w:color w:val="auto"/>
                <w:kern w:val="0"/>
                <w:szCs w:val="21"/>
              </w:rPr>
            </w:pPr>
            <w:r>
              <w:rPr>
                <w:rFonts w:hint="eastAsia" w:ascii="宋体" w:hAnsi="宋体" w:cs="宋体"/>
                <w:color w:val="auto"/>
                <w:szCs w:val="21"/>
              </w:rPr>
              <w:t>工程量清单，招标控制价，图纸以及对招标文件所作的澄清（含答疑）、修改、补充构成招标文件的组成部分。</w:t>
            </w:r>
          </w:p>
        </w:tc>
      </w:tr>
      <w:tr w14:paraId="2BD6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57656E">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2.2.2</w:t>
            </w:r>
          </w:p>
        </w:tc>
        <w:tc>
          <w:tcPr>
            <w:tcW w:w="2410" w:type="dxa"/>
            <w:tcBorders>
              <w:top w:val="single" w:color="auto" w:sz="4" w:space="0"/>
              <w:left w:val="nil"/>
              <w:bottom w:val="single" w:color="auto" w:sz="4" w:space="0"/>
              <w:right w:val="single" w:color="auto" w:sz="4" w:space="0"/>
            </w:tcBorders>
            <w:vAlign w:val="center"/>
          </w:tcPr>
          <w:p w14:paraId="463D405B">
            <w:pPr>
              <w:widowControl/>
              <w:wordWrap w:val="0"/>
              <w:spacing w:line="450" w:lineRule="exact"/>
              <w:jc w:val="center"/>
              <w:rPr>
                <w:rFonts w:ascii="宋体" w:hAnsi="宋体" w:cs="仿宋_GB2312"/>
                <w:color w:val="auto"/>
                <w:kern w:val="0"/>
                <w:szCs w:val="21"/>
              </w:rPr>
            </w:pPr>
            <w:r>
              <w:rPr>
                <w:rFonts w:hint="eastAsia" w:ascii="宋体" w:hAnsi="宋体"/>
                <w:color w:val="auto"/>
                <w:szCs w:val="21"/>
              </w:rPr>
              <w:t>上传电子投标文件截止时间</w:t>
            </w:r>
          </w:p>
        </w:tc>
        <w:tc>
          <w:tcPr>
            <w:tcW w:w="6798" w:type="dxa"/>
            <w:tcBorders>
              <w:top w:val="single" w:color="auto" w:sz="4" w:space="0"/>
              <w:left w:val="nil"/>
              <w:bottom w:val="single" w:color="auto" w:sz="4" w:space="0"/>
              <w:right w:val="single" w:color="auto" w:sz="4" w:space="0"/>
            </w:tcBorders>
            <w:vAlign w:val="center"/>
          </w:tcPr>
          <w:p w14:paraId="699D4C37">
            <w:pPr>
              <w:widowControl/>
              <w:wordWrap w:val="0"/>
              <w:spacing w:line="450" w:lineRule="exact"/>
              <w:jc w:val="left"/>
              <w:rPr>
                <w:rFonts w:hint="eastAsia" w:ascii="宋体" w:hAnsi="宋体" w:eastAsia="宋体" w:cs="仿宋_GB2312"/>
                <w:color w:val="auto"/>
                <w:kern w:val="0"/>
                <w:szCs w:val="21"/>
                <w:lang w:eastAsia="zh-CN"/>
              </w:rPr>
            </w:pPr>
            <w:r>
              <w:rPr>
                <w:rFonts w:hint="eastAsia" w:ascii="宋体" w:hAnsi="宋体" w:cs="仿宋_GB2312"/>
                <w:b/>
                <w:bCs/>
                <w:color w:val="auto"/>
                <w:kern w:val="0"/>
                <w:szCs w:val="21"/>
                <w:lang w:eastAsia="zh-CN"/>
              </w:rPr>
              <w:t>2026年9月7日08时30分</w:t>
            </w:r>
          </w:p>
        </w:tc>
      </w:tr>
      <w:tr w14:paraId="18D4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238C6BB">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2.2.4</w:t>
            </w:r>
          </w:p>
        </w:tc>
        <w:tc>
          <w:tcPr>
            <w:tcW w:w="2410" w:type="dxa"/>
            <w:tcBorders>
              <w:top w:val="single" w:color="auto" w:sz="4" w:space="0"/>
              <w:left w:val="nil"/>
              <w:bottom w:val="single" w:color="auto" w:sz="4" w:space="0"/>
              <w:right w:val="single" w:color="auto" w:sz="4" w:space="0"/>
            </w:tcBorders>
            <w:vAlign w:val="center"/>
          </w:tcPr>
          <w:p w14:paraId="576DA71E">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投标人确认收到招标文件澄清的时间</w:t>
            </w:r>
          </w:p>
        </w:tc>
        <w:tc>
          <w:tcPr>
            <w:tcW w:w="6798" w:type="dxa"/>
            <w:tcBorders>
              <w:top w:val="single" w:color="auto" w:sz="4" w:space="0"/>
              <w:left w:val="nil"/>
              <w:bottom w:val="single" w:color="auto" w:sz="4" w:space="0"/>
              <w:right w:val="single" w:color="auto" w:sz="4" w:space="0"/>
            </w:tcBorders>
            <w:vAlign w:val="center"/>
          </w:tcPr>
          <w:p w14:paraId="3EAF979A">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招标文件的澄清文件发出后24小时内，如未回函确认，招标人和招标代理机构都视为投标人收到招标文件澄清内容，</w:t>
            </w:r>
            <w:r>
              <w:rPr>
                <w:rFonts w:hint="eastAsia" w:ascii="宋体" w:hAnsi="宋体"/>
                <w:color w:val="auto"/>
                <w:szCs w:val="21"/>
              </w:rPr>
              <w:t>投标人完全理解并接受招标文件中的所有要求（包含网站公示的招标答疑）</w:t>
            </w:r>
          </w:p>
        </w:tc>
      </w:tr>
      <w:tr w14:paraId="3962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D4DD0A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2.3.3</w:t>
            </w:r>
          </w:p>
        </w:tc>
        <w:tc>
          <w:tcPr>
            <w:tcW w:w="2410" w:type="dxa"/>
            <w:tcBorders>
              <w:top w:val="single" w:color="auto" w:sz="4" w:space="0"/>
              <w:left w:val="nil"/>
              <w:bottom w:val="single" w:color="auto" w:sz="4" w:space="0"/>
              <w:right w:val="single" w:color="auto" w:sz="4" w:space="0"/>
            </w:tcBorders>
            <w:vAlign w:val="center"/>
          </w:tcPr>
          <w:p w14:paraId="1B69ECC1">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投标人确认收到招标文件修改的时间</w:t>
            </w:r>
          </w:p>
        </w:tc>
        <w:tc>
          <w:tcPr>
            <w:tcW w:w="6798" w:type="dxa"/>
            <w:tcBorders>
              <w:top w:val="single" w:color="auto" w:sz="4" w:space="0"/>
              <w:left w:val="nil"/>
              <w:bottom w:val="single" w:color="auto" w:sz="4" w:space="0"/>
              <w:right w:val="single" w:color="auto" w:sz="4" w:space="0"/>
            </w:tcBorders>
            <w:vAlign w:val="center"/>
          </w:tcPr>
          <w:p w14:paraId="17129C8B">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招标文件的修改文件发出后24小时内，如未回函确认，招标人和招标代理机构都视为投标人收到招标文件澄清内容，</w:t>
            </w:r>
            <w:r>
              <w:rPr>
                <w:rFonts w:hint="eastAsia" w:ascii="宋体" w:hAnsi="宋体"/>
                <w:color w:val="auto"/>
                <w:szCs w:val="21"/>
              </w:rPr>
              <w:t>投标人完全理解并接受招标文件中的所有要求（包含网站公示的招标答疑）</w:t>
            </w:r>
          </w:p>
        </w:tc>
      </w:tr>
      <w:tr w14:paraId="7120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0906E6F">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3.3.1</w:t>
            </w:r>
          </w:p>
        </w:tc>
        <w:tc>
          <w:tcPr>
            <w:tcW w:w="2410" w:type="dxa"/>
            <w:tcBorders>
              <w:top w:val="single" w:color="auto" w:sz="4" w:space="0"/>
              <w:left w:val="nil"/>
              <w:bottom w:val="single" w:color="auto" w:sz="4" w:space="0"/>
              <w:right w:val="single" w:color="auto" w:sz="4" w:space="0"/>
            </w:tcBorders>
            <w:vAlign w:val="center"/>
          </w:tcPr>
          <w:p w14:paraId="2D3FEC53">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投标有效期</w:t>
            </w:r>
          </w:p>
        </w:tc>
        <w:tc>
          <w:tcPr>
            <w:tcW w:w="6798" w:type="dxa"/>
            <w:tcBorders>
              <w:top w:val="single" w:color="auto" w:sz="4" w:space="0"/>
              <w:left w:val="nil"/>
              <w:bottom w:val="single" w:color="auto" w:sz="4" w:space="0"/>
              <w:right w:val="single" w:color="auto" w:sz="4" w:space="0"/>
            </w:tcBorders>
            <w:vAlign w:val="center"/>
          </w:tcPr>
          <w:p w14:paraId="243A7B41">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从投标截止之日起90日历天</w:t>
            </w:r>
          </w:p>
        </w:tc>
      </w:tr>
      <w:tr w14:paraId="5EED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D9E8325">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3.4.1</w:t>
            </w:r>
          </w:p>
        </w:tc>
        <w:tc>
          <w:tcPr>
            <w:tcW w:w="2410" w:type="dxa"/>
            <w:tcBorders>
              <w:top w:val="single" w:color="auto" w:sz="4" w:space="0"/>
              <w:left w:val="nil"/>
              <w:bottom w:val="single" w:color="auto" w:sz="4" w:space="0"/>
              <w:right w:val="single" w:color="auto" w:sz="4" w:space="0"/>
            </w:tcBorders>
            <w:vAlign w:val="center"/>
          </w:tcPr>
          <w:p w14:paraId="62AD2F2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投标保证金</w:t>
            </w:r>
          </w:p>
        </w:tc>
        <w:tc>
          <w:tcPr>
            <w:tcW w:w="6798" w:type="dxa"/>
            <w:tcBorders>
              <w:top w:val="single" w:color="auto" w:sz="4" w:space="0"/>
              <w:left w:val="nil"/>
              <w:bottom w:val="single" w:color="auto" w:sz="4" w:space="0"/>
              <w:right w:val="single" w:color="auto" w:sz="4" w:space="0"/>
            </w:tcBorders>
            <w:vAlign w:val="center"/>
          </w:tcPr>
          <w:p w14:paraId="28E683B3">
            <w:pPr>
              <w:widowControl/>
              <w:wordWrap w:val="0"/>
              <w:spacing w:line="450" w:lineRule="exact"/>
              <w:jc w:val="left"/>
              <w:rPr>
                <w:rFonts w:ascii="宋体" w:hAnsi="宋体" w:cs="仿宋_GB2312"/>
                <w:color w:val="auto"/>
                <w:kern w:val="0"/>
                <w:szCs w:val="21"/>
              </w:rPr>
            </w:pPr>
            <w:bookmarkStart w:id="50" w:name="OLE_LINK7"/>
            <w:r>
              <w:rPr>
                <w:rFonts w:hint="eastAsia" w:ascii="宋体" w:hAnsi="宋体" w:cs="仿宋_GB2312"/>
                <w:color w:val="auto"/>
                <w:kern w:val="0"/>
                <w:szCs w:val="21"/>
              </w:rPr>
              <w:t>详见</w:t>
            </w:r>
            <w:r>
              <w:rPr>
                <w:rFonts w:ascii="宋体" w:hAnsi="宋体" w:cs="仿宋_GB2312"/>
                <w:color w:val="auto"/>
                <w:kern w:val="0"/>
                <w:szCs w:val="21"/>
              </w:rPr>
              <w:t>招标公告</w:t>
            </w:r>
            <w:bookmarkEnd w:id="50"/>
          </w:p>
        </w:tc>
      </w:tr>
      <w:tr w14:paraId="5FE8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2DBF251">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3.5.2</w:t>
            </w:r>
          </w:p>
        </w:tc>
        <w:tc>
          <w:tcPr>
            <w:tcW w:w="2410" w:type="dxa"/>
            <w:tcBorders>
              <w:top w:val="single" w:color="auto" w:sz="4" w:space="0"/>
              <w:left w:val="nil"/>
              <w:bottom w:val="single" w:color="auto" w:sz="4" w:space="0"/>
              <w:right w:val="single" w:color="auto" w:sz="4" w:space="0"/>
            </w:tcBorders>
            <w:vAlign w:val="center"/>
          </w:tcPr>
          <w:p w14:paraId="5C7C11E8">
            <w:pPr>
              <w:widowControl/>
              <w:wordWrap w:val="0"/>
              <w:spacing w:line="450" w:lineRule="exact"/>
              <w:jc w:val="center"/>
              <w:rPr>
                <w:rFonts w:ascii="宋体" w:hAnsi="宋体" w:cs="仿宋_GB2312"/>
                <w:color w:val="auto"/>
                <w:kern w:val="0"/>
                <w:szCs w:val="21"/>
                <w:highlight w:val="none"/>
              </w:rPr>
            </w:pPr>
            <w:r>
              <w:rPr>
                <w:rFonts w:hint="eastAsia" w:ascii="宋体" w:hAnsi="宋体" w:cs="仿宋_GB2312"/>
                <w:color w:val="auto"/>
                <w:kern w:val="0"/>
                <w:szCs w:val="21"/>
                <w:highlight w:val="none"/>
              </w:rPr>
              <w:t>近年财务状况的要求</w:t>
            </w:r>
          </w:p>
        </w:tc>
        <w:tc>
          <w:tcPr>
            <w:tcW w:w="6798" w:type="dxa"/>
            <w:tcBorders>
              <w:top w:val="single" w:color="auto" w:sz="4" w:space="0"/>
              <w:left w:val="nil"/>
              <w:bottom w:val="single" w:color="auto" w:sz="4" w:space="0"/>
              <w:right w:val="single" w:color="auto" w:sz="4" w:space="0"/>
            </w:tcBorders>
            <w:vAlign w:val="center"/>
          </w:tcPr>
          <w:p w14:paraId="12EDD4BD">
            <w:pPr>
              <w:widowControl/>
              <w:wordWrap w:val="0"/>
              <w:spacing w:line="450" w:lineRule="exact"/>
              <w:jc w:val="left"/>
              <w:rPr>
                <w:rFonts w:ascii="宋体" w:hAnsi="宋体" w:cs="仿宋_GB2312"/>
                <w:color w:val="auto"/>
                <w:kern w:val="0"/>
                <w:szCs w:val="21"/>
                <w:highlight w:val="none"/>
              </w:rPr>
            </w:pPr>
            <w:r>
              <w:rPr>
                <w:rFonts w:hint="eastAsia" w:ascii="宋体" w:hAnsi="宋体" w:cs="仿宋_GB2312"/>
                <w:color w:val="auto"/>
                <w:kern w:val="0"/>
                <w:szCs w:val="21"/>
                <w:highlight w:val="none"/>
              </w:rPr>
              <w:t>详见</w:t>
            </w:r>
            <w:r>
              <w:rPr>
                <w:rFonts w:ascii="宋体" w:hAnsi="宋体" w:cs="仿宋_GB2312"/>
                <w:color w:val="auto"/>
                <w:kern w:val="0"/>
                <w:szCs w:val="21"/>
                <w:highlight w:val="none"/>
              </w:rPr>
              <w:t>招标公告</w:t>
            </w:r>
            <w:r>
              <w:rPr>
                <w:rFonts w:hint="eastAsia" w:ascii="宋体" w:hAnsi="宋体" w:cs="宋体"/>
                <w:color w:val="auto"/>
                <w:szCs w:val="21"/>
                <w:highlight w:val="none"/>
              </w:rPr>
              <w:t>。</w:t>
            </w:r>
          </w:p>
        </w:tc>
      </w:tr>
      <w:tr w14:paraId="0853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8F02C0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3.5.3</w:t>
            </w:r>
          </w:p>
        </w:tc>
        <w:tc>
          <w:tcPr>
            <w:tcW w:w="2410" w:type="dxa"/>
            <w:tcBorders>
              <w:top w:val="single" w:color="auto" w:sz="4" w:space="0"/>
              <w:left w:val="nil"/>
              <w:bottom w:val="single" w:color="auto" w:sz="4" w:space="0"/>
              <w:right w:val="single" w:color="auto" w:sz="4" w:space="0"/>
            </w:tcBorders>
            <w:vAlign w:val="center"/>
          </w:tcPr>
          <w:p w14:paraId="343FBC87">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近年完成的类似项目情况表</w:t>
            </w:r>
          </w:p>
        </w:tc>
        <w:tc>
          <w:tcPr>
            <w:tcW w:w="6798" w:type="dxa"/>
            <w:tcBorders>
              <w:top w:val="single" w:color="auto" w:sz="4" w:space="0"/>
              <w:left w:val="nil"/>
              <w:bottom w:val="single" w:color="auto" w:sz="4" w:space="0"/>
              <w:right w:val="single" w:color="auto" w:sz="4" w:space="0"/>
            </w:tcBorders>
            <w:vAlign w:val="center"/>
          </w:tcPr>
          <w:p w14:paraId="62F961E6">
            <w:pPr>
              <w:widowControl/>
              <w:wordWrap w:val="0"/>
              <w:spacing w:line="450" w:lineRule="exact"/>
              <w:jc w:val="left"/>
              <w:rPr>
                <w:rFonts w:ascii="宋体" w:hAnsi="宋体" w:cs="仿宋_GB2312"/>
                <w:color w:val="auto"/>
                <w:kern w:val="0"/>
                <w:szCs w:val="21"/>
              </w:rPr>
            </w:pPr>
            <w:r>
              <w:rPr>
                <w:rFonts w:hint="eastAsia" w:ascii="宋体" w:hAnsi="宋体" w:cs="宋体"/>
                <w:color w:val="auto"/>
                <w:szCs w:val="21"/>
              </w:rPr>
              <w:t>指202</w:t>
            </w:r>
            <w:r>
              <w:rPr>
                <w:rFonts w:hint="eastAsia" w:ascii="宋体" w:hAnsi="宋体" w:cs="宋体"/>
                <w:color w:val="auto"/>
                <w:szCs w:val="21"/>
                <w:lang w:val="en-US" w:eastAsia="zh-CN"/>
              </w:rPr>
              <w:t>1</w:t>
            </w:r>
            <w:r>
              <w:rPr>
                <w:rFonts w:hint="eastAsia" w:ascii="宋体" w:hAnsi="宋体" w:cs="宋体"/>
                <w:color w:val="auto"/>
                <w:szCs w:val="21"/>
              </w:rPr>
              <w:t>年1月1日以来起至今</w:t>
            </w:r>
          </w:p>
        </w:tc>
      </w:tr>
      <w:tr w14:paraId="184C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837F44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3.5.5</w:t>
            </w:r>
          </w:p>
        </w:tc>
        <w:tc>
          <w:tcPr>
            <w:tcW w:w="2410" w:type="dxa"/>
            <w:tcBorders>
              <w:top w:val="single" w:color="auto" w:sz="4" w:space="0"/>
              <w:left w:val="nil"/>
              <w:bottom w:val="single" w:color="auto" w:sz="4" w:space="0"/>
              <w:right w:val="single" w:color="auto" w:sz="4" w:space="0"/>
            </w:tcBorders>
            <w:vAlign w:val="center"/>
          </w:tcPr>
          <w:p w14:paraId="5788BBEB">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近年发生的诉讼及仲裁情况的年份要求</w:t>
            </w:r>
          </w:p>
        </w:tc>
        <w:tc>
          <w:tcPr>
            <w:tcW w:w="6798" w:type="dxa"/>
            <w:tcBorders>
              <w:top w:val="single" w:color="auto" w:sz="4" w:space="0"/>
              <w:left w:val="nil"/>
              <w:bottom w:val="single" w:color="auto" w:sz="4" w:space="0"/>
              <w:right w:val="single" w:color="auto" w:sz="4" w:space="0"/>
            </w:tcBorders>
            <w:vAlign w:val="center"/>
          </w:tcPr>
          <w:p w14:paraId="764E89BE">
            <w:pPr>
              <w:widowControl/>
              <w:wordWrap w:val="0"/>
              <w:spacing w:line="450" w:lineRule="exact"/>
              <w:jc w:val="left"/>
              <w:rPr>
                <w:rFonts w:ascii="宋体" w:hAnsi="宋体" w:cs="仿宋_GB2312"/>
                <w:color w:val="auto"/>
                <w:kern w:val="0"/>
                <w:szCs w:val="21"/>
              </w:rPr>
            </w:pPr>
            <w:r>
              <w:rPr>
                <w:rFonts w:hint="eastAsia" w:ascii="宋体" w:hAnsi="宋体" w:cs="宋体"/>
                <w:color w:val="auto"/>
                <w:szCs w:val="21"/>
              </w:rPr>
              <w:t>指202</w:t>
            </w:r>
            <w:r>
              <w:rPr>
                <w:rFonts w:hint="eastAsia" w:ascii="宋体" w:hAnsi="宋体" w:cs="宋体"/>
                <w:color w:val="auto"/>
                <w:szCs w:val="21"/>
                <w:lang w:val="en-US" w:eastAsia="zh-CN"/>
              </w:rPr>
              <w:t>1</w:t>
            </w:r>
            <w:r>
              <w:rPr>
                <w:rFonts w:hint="eastAsia" w:ascii="宋体" w:hAnsi="宋体" w:cs="宋体"/>
                <w:color w:val="auto"/>
                <w:szCs w:val="21"/>
              </w:rPr>
              <w:t>年1月1日以来起至今</w:t>
            </w:r>
          </w:p>
        </w:tc>
      </w:tr>
      <w:tr w14:paraId="5D18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00892D5">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3.6</w:t>
            </w:r>
          </w:p>
        </w:tc>
        <w:tc>
          <w:tcPr>
            <w:tcW w:w="2410" w:type="dxa"/>
            <w:tcBorders>
              <w:top w:val="single" w:color="auto" w:sz="4" w:space="0"/>
              <w:left w:val="nil"/>
              <w:bottom w:val="single" w:color="auto" w:sz="4" w:space="0"/>
              <w:right w:val="single" w:color="auto" w:sz="4" w:space="0"/>
            </w:tcBorders>
            <w:vAlign w:val="center"/>
          </w:tcPr>
          <w:p w14:paraId="4F0538BF">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是否允许递交备选</w:t>
            </w:r>
          </w:p>
          <w:p w14:paraId="0D09662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投标方案</w:t>
            </w:r>
          </w:p>
        </w:tc>
        <w:tc>
          <w:tcPr>
            <w:tcW w:w="6798" w:type="dxa"/>
            <w:tcBorders>
              <w:top w:val="single" w:color="auto" w:sz="4" w:space="0"/>
              <w:left w:val="nil"/>
              <w:bottom w:val="single" w:color="auto" w:sz="4" w:space="0"/>
              <w:right w:val="single" w:color="auto" w:sz="4" w:space="0"/>
            </w:tcBorders>
            <w:vAlign w:val="center"/>
          </w:tcPr>
          <w:p w14:paraId="045D0885">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不允许</w:t>
            </w:r>
          </w:p>
        </w:tc>
      </w:tr>
      <w:tr w14:paraId="10B3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58E3D19">
            <w:pPr>
              <w:wordWrap w:val="0"/>
              <w:spacing w:line="450" w:lineRule="exact"/>
              <w:jc w:val="center"/>
              <w:rPr>
                <w:rFonts w:ascii="宋体" w:hAnsi="宋体"/>
                <w:color w:val="auto"/>
                <w:szCs w:val="21"/>
              </w:rPr>
            </w:pPr>
            <w:r>
              <w:rPr>
                <w:rFonts w:hint="eastAsia" w:ascii="宋体" w:hAnsi="宋体"/>
                <w:color w:val="auto"/>
                <w:szCs w:val="21"/>
              </w:rPr>
              <w:t>3.7.2</w:t>
            </w:r>
          </w:p>
        </w:tc>
        <w:tc>
          <w:tcPr>
            <w:tcW w:w="2410" w:type="dxa"/>
            <w:tcBorders>
              <w:top w:val="single" w:color="auto" w:sz="4" w:space="0"/>
              <w:left w:val="nil"/>
              <w:bottom w:val="single" w:color="auto" w:sz="4" w:space="0"/>
              <w:right w:val="single" w:color="auto" w:sz="4" w:space="0"/>
            </w:tcBorders>
            <w:vAlign w:val="center"/>
          </w:tcPr>
          <w:p w14:paraId="6A44498A">
            <w:pPr>
              <w:wordWrap w:val="0"/>
              <w:spacing w:line="450" w:lineRule="exact"/>
              <w:jc w:val="center"/>
              <w:rPr>
                <w:rFonts w:ascii="宋体" w:hAnsi="宋体"/>
                <w:color w:val="auto"/>
                <w:szCs w:val="21"/>
              </w:rPr>
            </w:pPr>
            <w:r>
              <w:rPr>
                <w:rFonts w:hint="eastAsia" w:ascii="宋体" w:hAnsi="宋体"/>
                <w:color w:val="auto"/>
                <w:szCs w:val="21"/>
              </w:rPr>
              <w:t>投标文件份数</w:t>
            </w:r>
          </w:p>
        </w:tc>
        <w:tc>
          <w:tcPr>
            <w:tcW w:w="6798" w:type="dxa"/>
            <w:tcBorders>
              <w:top w:val="single" w:color="auto" w:sz="4" w:space="0"/>
              <w:left w:val="nil"/>
              <w:bottom w:val="single" w:color="auto" w:sz="4" w:space="0"/>
              <w:right w:val="single" w:color="auto" w:sz="4" w:space="0"/>
            </w:tcBorders>
            <w:vAlign w:val="center"/>
          </w:tcPr>
          <w:p w14:paraId="47C9D62C">
            <w:pPr>
              <w:widowControl/>
              <w:wordWrap w:val="0"/>
              <w:spacing w:line="450" w:lineRule="exact"/>
              <w:jc w:val="left"/>
              <w:rPr>
                <w:rFonts w:ascii="宋体" w:hAnsi="宋体"/>
                <w:color w:val="auto"/>
                <w:szCs w:val="21"/>
              </w:rPr>
            </w:pPr>
            <w:r>
              <w:rPr>
                <w:rFonts w:hint="eastAsia" w:ascii="宋体" w:hAnsi="宋体"/>
                <w:color w:val="auto"/>
                <w:szCs w:val="21"/>
              </w:rPr>
              <w:t>本项目为电子化、无纸化交易项目，潜在投标人需使用CA证书通过中心投标文件制作系统制作上传，并经过电子签章和加密后生成的电子版投标文件（需在投标截止时间前上传成功）。投标人投标时，将不再接受任何纸质文件资料。</w:t>
            </w:r>
          </w:p>
        </w:tc>
      </w:tr>
      <w:tr w14:paraId="26EB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642C127">
            <w:pPr>
              <w:widowControl/>
              <w:wordWrap w:val="0"/>
              <w:spacing w:line="450" w:lineRule="exact"/>
              <w:jc w:val="center"/>
              <w:rPr>
                <w:rFonts w:ascii="宋体" w:hAnsi="宋体" w:cs="仿宋_GB2312"/>
                <w:color w:val="auto"/>
                <w:kern w:val="0"/>
                <w:szCs w:val="21"/>
              </w:rPr>
            </w:pPr>
            <w:r>
              <w:rPr>
                <w:rFonts w:hint="eastAsia" w:ascii="宋体" w:hAnsi="宋体"/>
                <w:color w:val="auto"/>
                <w:szCs w:val="21"/>
              </w:rPr>
              <w:t>3.7.3</w:t>
            </w:r>
          </w:p>
        </w:tc>
        <w:tc>
          <w:tcPr>
            <w:tcW w:w="2410" w:type="dxa"/>
            <w:tcBorders>
              <w:top w:val="single" w:color="auto" w:sz="4" w:space="0"/>
              <w:left w:val="nil"/>
              <w:bottom w:val="single" w:color="auto" w:sz="4" w:space="0"/>
              <w:right w:val="single" w:color="auto" w:sz="4" w:space="0"/>
            </w:tcBorders>
            <w:vAlign w:val="center"/>
          </w:tcPr>
          <w:p w14:paraId="316A1A4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签字和（或）盖章</w:t>
            </w:r>
          </w:p>
          <w:p w14:paraId="28B3303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要求</w:t>
            </w:r>
          </w:p>
        </w:tc>
        <w:tc>
          <w:tcPr>
            <w:tcW w:w="6798" w:type="dxa"/>
            <w:tcBorders>
              <w:top w:val="single" w:color="auto" w:sz="4" w:space="0"/>
              <w:left w:val="nil"/>
              <w:bottom w:val="single" w:color="auto" w:sz="4" w:space="0"/>
              <w:right w:val="single" w:color="auto" w:sz="4" w:space="0"/>
            </w:tcBorders>
            <w:vAlign w:val="center"/>
          </w:tcPr>
          <w:p w14:paraId="14C9EDBC">
            <w:pPr>
              <w:widowControl/>
              <w:wordWrap w:val="0"/>
              <w:spacing w:line="450" w:lineRule="exact"/>
              <w:jc w:val="left"/>
              <w:rPr>
                <w:rFonts w:ascii="宋体" w:hAnsi="宋体" w:cs="仿宋_GB2312"/>
                <w:color w:val="auto"/>
                <w:kern w:val="0"/>
                <w:szCs w:val="21"/>
              </w:rPr>
            </w:pPr>
            <w:r>
              <w:rPr>
                <w:rFonts w:hint="eastAsia" w:ascii="宋体" w:hAnsi="宋体"/>
                <w:color w:val="auto"/>
                <w:szCs w:val="21"/>
              </w:rPr>
              <w:t>投标人在进行电子化投标文件签章时，招标文件中要求投标人盖章的，以签盖单位章为准；要求法定代表人签章的，以签盖法定代表人签章为准。</w:t>
            </w:r>
          </w:p>
        </w:tc>
      </w:tr>
      <w:tr w14:paraId="372A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EA19DD1">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5.1</w:t>
            </w:r>
          </w:p>
        </w:tc>
        <w:tc>
          <w:tcPr>
            <w:tcW w:w="2410" w:type="dxa"/>
            <w:tcBorders>
              <w:top w:val="single" w:color="auto" w:sz="4" w:space="0"/>
              <w:left w:val="nil"/>
              <w:bottom w:val="single" w:color="auto" w:sz="4" w:space="0"/>
              <w:right w:val="single" w:color="auto" w:sz="4" w:space="0"/>
            </w:tcBorders>
            <w:vAlign w:val="center"/>
          </w:tcPr>
          <w:p w14:paraId="78A3CD2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开标时间和地点</w:t>
            </w:r>
          </w:p>
        </w:tc>
        <w:tc>
          <w:tcPr>
            <w:tcW w:w="6798" w:type="dxa"/>
            <w:tcBorders>
              <w:top w:val="single" w:color="auto" w:sz="4" w:space="0"/>
              <w:left w:val="nil"/>
              <w:bottom w:val="single" w:color="auto" w:sz="4" w:space="0"/>
              <w:right w:val="single" w:color="auto" w:sz="4" w:space="0"/>
            </w:tcBorders>
            <w:vAlign w:val="center"/>
          </w:tcPr>
          <w:p w14:paraId="09EC02EC">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开标时间：同投标截止时间</w:t>
            </w:r>
          </w:p>
          <w:p w14:paraId="7ACE22B3">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开标地点:</w:t>
            </w:r>
            <w:r>
              <w:rPr>
                <w:rFonts w:hint="eastAsia" w:ascii="宋体" w:hAnsi="宋体" w:cs="宋体"/>
                <w:color w:val="auto"/>
                <w:szCs w:val="21"/>
                <w:lang w:eastAsia="zh-CN"/>
              </w:rPr>
              <w:t>三门峡市公共资源交易中心</w:t>
            </w:r>
            <w:r>
              <w:rPr>
                <w:rFonts w:hint="eastAsia" w:ascii="宋体" w:hAnsi="宋体" w:cs="宋体"/>
                <w:color w:val="auto"/>
                <w:szCs w:val="21"/>
              </w:rPr>
              <w:t>开标室</w:t>
            </w:r>
          </w:p>
        </w:tc>
      </w:tr>
      <w:tr w14:paraId="2416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B5780C7">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5.2</w:t>
            </w:r>
          </w:p>
        </w:tc>
        <w:tc>
          <w:tcPr>
            <w:tcW w:w="2410" w:type="dxa"/>
            <w:tcBorders>
              <w:top w:val="single" w:color="auto" w:sz="4" w:space="0"/>
              <w:left w:val="nil"/>
              <w:bottom w:val="single" w:color="auto" w:sz="4" w:space="0"/>
              <w:right w:val="single" w:color="auto" w:sz="4" w:space="0"/>
            </w:tcBorders>
            <w:vAlign w:val="center"/>
          </w:tcPr>
          <w:p w14:paraId="5800F38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开标程序</w:t>
            </w:r>
          </w:p>
        </w:tc>
        <w:tc>
          <w:tcPr>
            <w:tcW w:w="6798" w:type="dxa"/>
            <w:tcBorders>
              <w:top w:val="single" w:color="auto" w:sz="4" w:space="0"/>
              <w:left w:val="nil"/>
              <w:bottom w:val="single" w:color="auto" w:sz="4" w:space="0"/>
              <w:right w:val="single" w:color="auto" w:sz="4" w:space="0"/>
            </w:tcBorders>
            <w:vAlign w:val="center"/>
          </w:tcPr>
          <w:p w14:paraId="7F933506">
            <w:pPr>
              <w:widowControl/>
              <w:wordWrap w:val="0"/>
              <w:spacing w:line="450" w:lineRule="exact"/>
              <w:jc w:val="left"/>
              <w:rPr>
                <w:rFonts w:ascii="宋体" w:hAnsi="宋体" w:cs="仿宋_GB2312"/>
                <w:color w:val="auto"/>
                <w:kern w:val="0"/>
                <w:szCs w:val="21"/>
              </w:rPr>
            </w:pPr>
            <w:r>
              <w:rPr>
                <w:rFonts w:hint="eastAsia" w:ascii="宋体" w:hAnsi="宋体"/>
                <w:color w:val="auto"/>
                <w:szCs w:val="21"/>
              </w:rPr>
              <w:t>电子化开标程序详见电子化交易注意事项</w:t>
            </w:r>
          </w:p>
        </w:tc>
      </w:tr>
      <w:tr w14:paraId="6C6C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0887665">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6.1</w:t>
            </w:r>
          </w:p>
        </w:tc>
        <w:tc>
          <w:tcPr>
            <w:tcW w:w="2410" w:type="dxa"/>
            <w:tcBorders>
              <w:top w:val="single" w:color="auto" w:sz="4" w:space="0"/>
              <w:left w:val="nil"/>
              <w:bottom w:val="single" w:color="auto" w:sz="4" w:space="0"/>
              <w:right w:val="single" w:color="auto" w:sz="4" w:space="0"/>
            </w:tcBorders>
            <w:vAlign w:val="center"/>
          </w:tcPr>
          <w:p w14:paraId="50D5E36D">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评标、定标方式</w:t>
            </w:r>
          </w:p>
        </w:tc>
        <w:tc>
          <w:tcPr>
            <w:tcW w:w="6798" w:type="dxa"/>
            <w:tcBorders>
              <w:top w:val="single" w:color="auto" w:sz="4" w:space="0"/>
              <w:left w:val="nil"/>
              <w:bottom w:val="single" w:color="auto" w:sz="4" w:space="0"/>
              <w:right w:val="single" w:color="auto" w:sz="4" w:space="0"/>
            </w:tcBorders>
            <w:vAlign w:val="center"/>
          </w:tcPr>
          <w:p w14:paraId="1D1A69BA">
            <w:pPr>
              <w:widowControl/>
              <w:wordWrap w:val="0"/>
              <w:spacing w:line="450" w:lineRule="exact"/>
              <w:jc w:val="left"/>
              <w:rPr>
                <w:rFonts w:ascii="宋体" w:hAnsi="宋体"/>
                <w:color w:val="auto"/>
                <w:szCs w:val="21"/>
              </w:rPr>
            </w:pPr>
            <w:r>
              <w:rPr>
                <w:rFonts w:hint="eastAsia" w:ascii="宋体" w:hAnsi="宋体"/>
                <w:b/>
                <w:bCs/>
                <w:color w:val="auto"/>
                <w:szCs w:val="21"/>
              </w:rPr>
              <w:t>本项目采用评定分离方式</w:t>
            </w:r>
          </w:p>
        </w:tc>
      </w:tr>
      <w:tr w14:paraId="37B6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E591892">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6.2</w:t>
            </w:r>
          </w:p>
        </w:tc>
        <w:tc>
          <w:tcPr>
            <w:tcW w:w="2410" w:type="dxa"/>
            <w:tcBorders>
              <w:top w:val="single" w:color="auto" w:sz="4" w:space="0"/>
              <w:left w:val="nil"/>
              <w:bottom w:val="single" w:color="auto" w:sz="4" w:space="0"/>
              <w:right w:val="single" w:color="auto" w:sz="4" w:space="0"/>
            </w:tcBorders>
            <w:vAlign w:val="center"/>
          </w:tcPr>
          <w:p w14:paraId="68F4E2C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评标委员会的组建</w:t>
            </w:r>
          </w:p>
        </w:tc>
        <w:tc>
          <w:tcPr>
            <w:tcW w:w="6798" w:type="dxa"/>
            <w:tcBorders>
              <w:top w:val="single" w:color="auto" w:sz="4" w:space="0"/>
              <w:left w:val="nil"/>
              <w:bottom w:val="single" w:color="auto" w:sz="4" w:space="0"/>
              <w:right w:val="single" w:color="auto" w:sz="4" w:space="0"/>
            </w:tcBorders>
            <w:vAlign w:val="center"/>
          </w:tcPr>
          <w:p w14:paraId="12CCD88C">
            <w:pPr>
              <w:wordWrap w:val="0"/>
              <w:spacing w:line="450" w:lineRule="exact"/>
              <w:jc w:val="left"/>
              <w:rPr>
                <w:rFonts w:ascii="宋体" w:hAnsi="宋体"/>
                <w:color w:val="auto"/>
                <w:szCs w:val="21"/>
                <w:highlight w:val="none"/>
              </w:rPr>
            </w:pPr>
            <w:r>
              <w:rPr>
                <w:rFonts w:hint="eastAsia" w:ascii="宋体" w:hAnsi="宋体"/>
                <w:color w:val="auto"/>
                <w:szCs w:val="21"/>
                <w:lang w:val="en-US" w:eastAsia="zh-CN"/>
              </w:rPr>
              <w:t>评</w:t>
            </w:r>
            <w:r>
              <w:rPr>
                <w:rFonts w:hint="eastAsia" w:ascii="宋体" w:hAnsi="宋体"/>
                <w:color w:val="auto"/>
                <w:szCs w:val="21"/>
              </w:rPr>
              <w:t>标委员会构</w:t>
            </w:r>
            <w:r>
              <w:rPr>
                <w:rFonts w:hint="eastAsia" w:ascii="宋体" w:hAnsi="宋体"/>
                <w:color w:val="auto"/>
                <w:szCs w:val="21"/>
                <w:highlight w:val="none"/>
              </w:rPr>
              <w:t>成</w:t>
            </w:r>
            <w:r>
              <w:rPr>
                <w:rFonts w:ascii="宋体" w:hAnsi="宋体"/>
                <w:color w:val="auto"/>
                <w:szCs w:val="21"/>
                <w:highlight w:val="none"/>
              </w:rPr>
              <w:t>:</w:t>
            </w:r>
            <w:r>
              <w:rPr>
                <w:rFonts w:hint="eastAsia" w:ascii="宋体" w:hAnsi="宋体"/>
                <w:color w:val="auto"/>
                <w:szCs w:val="21"/>
                <w:highlight w:val="none"/>
                <w:u w:val="single"/>
              </w:rPr>
              <w:t>7</w:t>
            </w:r>
            <w:r>
              <w:rPr>
                <w:rFonts w:hint="eastAsia" w:ascii="宋体" w:hAnsi="宋体"/>
                <w:color w:val="auto"/>
                <w:szCs w:val="21"/>
                <w:highlight w:val="none"/>
              </w:rPr>
              <w:t>人，其中招标人代表</w:t>
            </w:r>
            <w:r>
              <w:rPr>
                <w:rFonts w:hint="eastAsia" w:ascii="宋体" w:hAnsi="宋体"/>
                <w:color w:val="auto"/>
                <w:szCs w:val="21"/>
                <w:highlight w:val="none"/>
                <w:u w:val="single"/>
              </w:rPr>
              <w:t>2</w:t>
            </w:r>
            <w:r>
              <w:rPr>
                <w:rFonts w:hint="eastAsia" w:ascii="宋体" w:hAnsi="宋体"/>
                <w:color w:val="auto"/>
                <w:szCs w:val="21"/>
                <w:highlight w:val="none"/>
              </w:rPr>
              <w:t>人、专家</w:t>
            </w:r>
            <w:r>
              <w:rPr>
                <w:rFonts w:hint="eastAsia" w:ascii="宋体" w:hAnsi="宋体"/>
                <w:color w:val="auto"/>
                <w:szCs w:val="21"/>
                <w:highlight w:val="none"/>
                <w:u w:val="single"/>
              </w:rPr>
              <w:t>5</w:t>
            </w:r>
            <w:r>
              <w:rPr>
                <w:rFonts w:hint="eastAsia" w:ascii="宋体" w:hAnsi="宋体"/>
                <w:color w:val="auto"/>
                <w:szCs w:val="21"/>
                <w:highlight w:val="none"/>
              </w:rPr>
              <w:t>人；</w:t>
            </w:r>
          </w:p>
          <w:p w14:paraId="1F43C8E1">
            <w:pPr>
              <w:widowControl/>
              <w:wordWrap w:val="0"/>
              <w:spacing w:line="450" w:lineRule="exact"/>
              <w:jc w:val="left"/>
              <w:rPr>
                <w:rFonts w:hint="default" w:ascii="宋体" w:hAnsi="宋体" w:eastAsia="宋体"/>
                <w:color w:val="auto"/>
                <w:kern w:val="0"/>
                <w:szCs w:val="21"/>
                <w:lang w:val="en-US" w:eastAsia="zh-CN"/>
              </w:rPr>
            </w:pPr>
            <w:r>
              <w:rPr>
                <w:rFonts w:hint="eastAsia" w:ascii="宋体" w:hAnsi="宋体"/>
                <w:color w:val="auto"/>
                <w:szCs w:val="21"/>
                <w:highlight w:val="none"/>
              </w:rPr>
              <w:t>评标专家确定方式：开标后由招标人通过</w:t>
            </w:r>
            <w:r>
              <w:rPr>
                <w:rFonts w:hint="eastAsia" w:ascii="宋体" w:hAnsi="宋体"/>
                <w:color w:val="auto"/>
                <w:szCs w:val="21"/>
                <w:highlight w:val="none"/>
                <w:lang w:eastAsia="zh-CN"/>
              </w:rPr>
              <w:t>三门峡市公共资源交易中心</w:t>
            </w:r>
            <w:r>
              <w:rPr>
                <w:rFonts w:hint="eastAsia" w:ascii="宋体" w:hAnsi="宋体"/>
                <w:color w:val="auto"/>
                <w:szCs w:val="21"/>
                <w:highlight w:val="none"/>
              </w:rPr>
              <w:t>抽取终端在监督人的监督下从《河南省综合评标专家库》中随机抽取。</w:t>
            </w:r>
            <w:r>
              <w:rPr>
                <w:rFonts w:hint="eastAsia" w:ascii="宋体" w:hAnsi="宋体" w:cs="宋体"/>
                <w:b/>
                <w:bCs/>
                <w:color w:val="auto"/>
                <w:kern w:val="0"/>
                <w:szCs w:val="21"/>
                <w:highlight w:val="none"/>
              </w:rPr>
              <w:t>本项目采用远程异地评标。</w:t>
            </w:r>
            <w:r>
              <w:rPr>
                <w:rFonts w:hint="eastAsia" w:ascii="宋体" w:hAnsi="宋体" w:cs="宋体"/>
                <w:b/>
                <w:bCs/>
                <w:color w:val="auto"/>
                <w:kern w:val="0"/>
                <w:szCs w:val="21"/>
                <w:highlight w:val="none"/>
                <w:lang w:val="en-US" w:eastAsia="zh-CN"/>
              </w:rPr>
              <w:t>招标人代表无评标劳务费。</w:t>
            </w:r>
          </w:p>
        </w:tc>
      </w:tr>
      <w:tr w14:paraId="4706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C66AEAF">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6.5.1</w:t>
            </w:r>
          </w:p>
        </w:tc>
        <w:tc>
          <w:tcPr>
            <w:tcW w:w="2410" w:type="dxa"/>
            <w:tcBorders>
              <w:top w:val="single" w:color="auto" w:sz="4" w:space="0"/>
              <w:left w:val="nil"/>
              <w:bottom w:val="single" w:color="auto" w:sz="4" w:space="0"/>
              <w:right w:val="single" w:color="auto" w:sz="4" w:space="0"/>
            </w:tcBorders>
            <w:vAlign w:val="center"/>
          </w:tcPr>
          <w:p w14:paraId="1DF4948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是否授权评标委员会确定中标人</w:t>
            </w:r>
          </w:p>
        </w:tc>
        <w:tc>
          <w:tcPr>
            <w:tcW w:w="6798" w:type="dxa"/>
            <w:tcBorders>
              <w:top w:val="single" w:color="auto" w:sz="4" w:space="0"/>
              <w:left w:val="nil"/>
              <w:bottom w:val="single" w:color="auto" w:sz="4" w:space="0"/>
              <w:right w:val="single" w:color="auto" w:sz="4" w:space="0"/>
            </w:tcBorders>
            <w:vAlign w:val="center"/>
          </w:tcPr>
          <w:p w14:paraId="4A0AF130">
            <w:pPr>
              <w:widowControl/>
              <w:wordWrap w:val="0"/>
              <w:spacing w:line="450" w:lineRule="exact"/>
              <w:jc w:val="left"/>
              <w:rPr>
                <w:rFonts w:ascii="宋体" w:hAnsi="宋体" w:cs="仿宋_GB2312"/>
                <w:color w:val="auto"/>
                <w:kern w:val="0"/>
                <w:szCs w:val="21"/>
              </w:rPr>
            </w:pPr>
            <w:r>
              <w:rPr>
                <w:rFonts w:hint="eastAsia" w:ascii="宋体" w:hAnsi="宋体"/>
                <w:color w:val="auto"/>
                <w:szCs w:val="21"/>
                <w:bdr w:val="single" w:color="auto" w:sz="4" w:space="0"/>
              </w:rPr>
              <w:t>√</w:t>
            </w:r>
            <w:r>
              <w:rPr>
                <w:rFonts w:hint="eastAsia" w:ascii="宋体" w:hAnsi="宋体"/>
                <w:color w:val="auto"/>
                <w:szCs w:val="21"/>
              </w:rPr>
              <w:t>否，按</w:t>
            </w:r>
            <w:r>
              <w:rPr>
                <w:rFonts w:hint="eastAsia" w:ascii="宋体" w:hAnsi="宋体" w:cs="宋体"/>
                <w:color w:val="auto"/>
                <w:kern w:val="0"/>
                <w:szCs w:val="21"/>
              </w:rPr>
              <w:t>照推荐中标候选人方法及规则推荐中标</w:t>
            </w:r>
            <w:r>
              <w:rPr>
                <w:rFonts w:hint="eastAsia" w:ascii="宋体" w:hAnsi="宋体" w:cs="宋体"/>
                <w:color w:val="auto"/>
                <w:szCs w:val="21"/>
              </w:rPr>
              <w:t>候选人</w:t>
            </w:r>
          </w:p>
        </w:tc>
      </w:tr>
      <w:tr w14:paraId="7A02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C9D1B35">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6.5.2</w:t>
            </w:r>
          </w:p>
        </w:tc>
        <w:tc>
          <w:tcPr>
            <w:tcW w:w="2410" w:type="dxa"/>
            <w:tcBorders>
              <w:top w:val="single" w:color="auto" w:sz="4" w:space="0"/>
              <w:left w:val="nil"/>
              <w:bottom w:val="single" w:color="auto" w:sz="4" w:space="0"/>
              <w:right w:val="single" w:color="auto" w:sz="4" w:space="0"/>
            </w:tcBorders>
            <w:vAlign w:val="center"/>
          </w:tcPr>
          <w:p w14:paraId="7650E842">
            <w:pPr>
              <w:pStyle w:val="4"/>
              <w:wordWrap w:val="0"/>
              <w:jc w:val="center"/>
              <w:rPr>
                <w:rFonts w:ascii="宋体" w:hAnsi="宋体" w:cs="宋体"/>
                <w:b w:val="0"/>
                <w:bCs w:val="0"/>
                <w:color w:val="auto"/>
                <w:kern w:val="0"/>
                <w:sz w:val="21"/>
                <w:szCs w:val="21"/>
              </w:rPr>
            </w:pPr>
            <w:r>
              <w:rPr>
                <w:rFonts w:hint="eastAsia" w:ascii="宋体" w:hAnsi="宋体" w:cs="宋体"/>
                <w:b w:val="0"/>
                <w:bCs w:val="0"/>
                <w:color w:val="auto"/>
                <w:kern w:val="0"/>
                <w:sz w:val="21"/>
                <w:szCs w:val="21"/>
              </w:rPr>
              <w:t>推荐中标候选人方法及规则</w:t>
            </w:r>
          </w:p>
        </w:tc>
        <w:tc>
          <w:tcPr>
            <w:tcW w:w="6798" w:type="dxa"/>
            <w:tcBorders>
              <w:top w:val="single" w:color="auto" w:sz="4" w:space="0"/>
              <w:left w:val="nil"/>
              <w:bottom w:val="single" w:color="auto" w:sz="4" w:space="0"/>
              <w:right w:val="single" w:color="auto" w:sz="4" w:space="0"/>
            </w:tcBorders>
            <w:vAlign w:val="center"/>
          </w:tcPr>
          <w:p w14:paraId="54CF6DCB">
            <w:pPr>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本项目采用评定分离方式，评标办法采用综合评估法，评标委员会按照招标文件要求，推荐不标明排序的中标候选人3-10名，具体如下：</w:t>
            </w:r>
          </w:p>
          <w:p w14:paraId="2119DBA9">
            <w:pPr>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当有效投标人数量大于10（含）家，将综合得分前10名的有效投标人推荐为中标候选人；</w:t>
            </w:r>
          </w:p>
          <w:p w14:paraId="075AD3D1">
            <w:pPr>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当有效投标人数量为3（含）-10（不含）家，将有效投标人全部推荐为中标候选人；</w:t>
            </w:r>
          </w:p>
          <w:p w14:paraId="6CBD0A9B">
            <w:pPr>
              <w:wordWrap w:val="0"/>
              <w:spacing w:line="440" w:lineRule="exact"/>
              <w:rPr>
                <w:rFonts w:ascii="宋体" w:hAnsi="宋体" w:cs="宋体"/>
                <w:color w:val="auto"/>
                <w:kern w:val="0"/>
                <w:szCs w:val="21"/>
              </w:rPr>
            </w:pPr>
            <w:r>
              <w:rPr>
                <w:rFonts w:hint="eastAsia" w:ascii="宋体" w:hAnsi="宋体" w:eastAsia="宋体" w:cs="宋体"/>
                <w:color w:val="auto"/>
                <w:sz w:val="21"/>
                <w:szCs w:val="21"/>
              </w:rPr>
              <w:t>当有效投标人数量不足3家时，应当重新招标。</w:t>
            </w:r>
          </w:p>
        </w:tc>
      </w:tr>
      <w:tr w14:paraId="52BF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04298BC">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6.6.1</w:t>
            </w:r>
          </w:p>
        </w:tc>
        <w:tc>
          <w:tcPr>
            <w:tcW w:w="2410" w:type="dxa"/>
            <w:tcBorders>
              <w:top w:val="single" w:color="auto" w:sz="4" w:space="0"/>
              <w:left w:val="nil"/>
              <w:bottom w:val="single" w:color="auto" w:sz="4" w:space="0"/>
              <w:right w:val="single" w:color="auto" w:sz="4" w:space="0"/>
            </w:tcBorders>
            <w:vAlign w:val="center"/>
          </w:tcPr>
          <w:p w14:paraId="58BD3D0A">
            <w:pPr>
              <w:wordWrap w:val="0"/>
              <w:spacing w:line="450" w:lineRule="exact"/>
              <w:jc w:val="center"/>
              <w:rPr>
                <w:rFonts w:ascii="宋体" w:hAnsi="宋体"/>
                <w:color w:val="auto"/>
                <w:szCs w:val="21"/>
              </w:rPr>
            </w:pPr>
            <w:r>
              <w:rPr>
                <w:rFonts w:hint="eastAsia" w:ascii="宋体" w:hAnsi="宋体"/>
                <w:color w:val="auto"/>
                <w:szCs w:val="21"/>
              </w:rPr>
              <w:t>中标候选人公示媒介</w:t>
            </w:r>
          </w:p>
        </w:tc>
        <w:tc>
          <w:tcPr>
            <w:tcW w:w="6798" w:type="dxa"/>
            <w:tcBorders>
              <w:top w:val="single" w:color="auto" w:sz="4" w:space="0"/>
              <w:left w:val="nil"/>
              <w:bottom w:val="single" w:color="auto" w:sz="4" w:space="0"/>
              <w:right w:val="single" w:color="auto" w:sz="4" w:space="0"/>
            </w:tcBorders>
            <w:vAlign w:val="center"/>
          </w:tcPr>
          <w:p w14:paraId="741B0B1F">
            <w:pPr>
              <w:wordWrap w:val="0"/>
              <w:spacing w:line="440" w:lineRule="exact"/>
              <w:rPr>
                <w:rFonts w:ascii="宋体" w:hAnsi="宋体" w:cs="宋体"/>
                <w:color w:val="auto"/>
                <w:szCs w:val="21"/>
              </w:rPr>
            </w:pPr>
            <w:r>
              <w:rPr>
                <w:rFonts w:hint="eastAsia" w:asciiTheme="minorEastAsia" w:hAnsiTheme="minorEastAsia" w:eastAsiaTheme="minorEastAsia" w:cstheme="minorEastAsia"/>
                <w:color w:val="auto"/>
                <w:szCs w:val="21"/>
                <w:lang w:eastAsia="zh-CN"/>
              </w:rPr>
              <w:t>《河南省政府采购网》</w:t>
            </w:r>
            <w:r>
              <w:rPr>
                <w:rFonts w:hint="eastAsia" w:asciiTheme="minorEastAsia" w:hAnsiTheme="minorEastAsia" w:eastAsiaTheme="minorEastAsia" w:cstheme="minorEastAsia"/>
                <w:color w:val="auto"/>
                <w:szCs w:val="21"/>
                <w:lang w:val="en-US" w:eastAsia="zh-CN"/>
              </w:rPr>
              <w:t>、</w:t>
            </w:r>
            <w:r>
              <w:rPr>
                <w:rFonts w:hint="eastAsia" w:asciiTheme="minorEastAsia" w:hAnsiTheme="minorEastAsia" w:eastAsiaTheme="minorEastAsia" w:cstheme="minorEastAsia"/>
                <w:color w:val="auto"/>
                <w:szCs w:val="21"/>
              </w:rPr>
              <w:t>《中国招标投标公共服务平台》</w:t>
            </w:r>
            <w:r>
              <w:rPr>
                <w:rFonts w:hint="eastAsia" w:asciiTheme="minorEastAsia" w:hAnsiTheme="minorEastAsia" w:eastAsiaTheme="minorEastAsia" w:cstheme="minorEastAsia"/>
                <w:color w:val="auto"/>
                <w:szCs w:val="21"/>
                <w:lang w:eastAsia="zh-CN"/>
              </w:rPr>
              <w:t>、</w:t>
            </w:r>
            <w:r>
              <w:rPr>
                <w:rFonts w:hint="eastAsia" w:asciiTheme="minorEastAsia" w:hAnsiTheme="minorEastAsia" w:eastAsiaTheme="minorEastAsia" w:cstheme="minorEastAsia"/>
                <w:color w:val="auto"/>
                <w:szCs w:val="21"/>
              </w:rPr>
              <w:t>《三门峡市公共资源交易中心网》</w:t>
            </w:r>
          </w:p>
        </w:tc>
      </w:tr>
      <w:tr w14:paraId="30BC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A3050D4">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7.2.1</w:t>
            </w:r>
          </w:p>
        </w:tc>
        <w:tc>
          <w:tcPr>
            <w:tcW w:w="2410" w:type="dxa"/>
            <w:tcBorders>
              <w:top w:val="single" w:color="auto" w:sz="4" w:space="0"/>
              <w:left w:val="nil"/>
              <w:bottom w:val="single" w:color="auto" w:sz="4" w:space="0"/>
              <w:right w:val="single" w:color="auto" w:sz="4" w:space="0"/>
            </w:tcBorders>
            <w:vAlign w:val="center"/>
          </w:tcPr>
          <w:p w14:paraId="3EBA51F1">
            <w:pPr>
              <w:pStyle w:val="4"/>
              <w:wordWrap w:val="0"/>
              <w:jc w:val="center"/>
              <w:rPr>
                <w:b w:val="0"/>
                <w:color w:val="auto"/>
                <w:sz w:val="21"/>
                <w:szCs w:val="21"/>
              </w:rPr>
            </w:pPr>
            <w:r>
              <w:rPr>
                <w:rFonts w:hint="eastAsia"/>
                <w:b w:val="0"/>
                <w:color w:val="auto"/>
                <w:sz w:val="21"/>
                <w:szCs w:val="21"/>
              </w:rPr>
              <w:t>定标委员会的组建</w:t>
            </w:r>
          </w:p>
        </w:tc>
        <w:tc>
          <w:tcPr>
            <w:tcW w:w="6798" w:type="dxa"/>
            <w:tcBorders>
              <w:top w:val="single" w:color="auto" w:sz="4" w:space="0"/>
              <w:left w:val="nil"/>
              <w:bottom w:val="single" w:color="auto" w:sz="4" w:space="0"/>
              <w:right w:val="single" w:color="auto" w:sz="4" w:space="0"/>
            </w:tcBorders>
            <w:vAlign w:val="center"/>
          </w:tcPr>
          <w:p w14:paraId="2E86BE49">
            <w:pPr>
              <w:wordWrap w:val="0"/>
              <w:spacing w:line="440" w:lineRule="exact"/>
              <w:rPr>
                <w:rFonts w:ascii="宋体" w:hAnsi="宋体" w:cs="宋体"/>
                <w:color w:val="auto"/>
                <w:szCs w:val="21"/>
              </w:rPr>
            </w:pPr>
            <w:r>
              <w:rPr>
                <w:rFonts w:hint="eastAsia" w:ascii="宋体" w:hAnsi="宋体" w:cs="宋体"/>
                <w:color w:val="auto"/>
                <w:szCs w:val="21"/>
              </w:rPr>
              <w:t>定标委员会构成：定标委员会共5人组成。</w:t>
            </w:r>
          </w:p>
          <w:p w14:paraId="3051FEEC">
            <w:pPr>
              <w:wordWrap w:val="0"/>
              <w:spacing w:line="440" w:lineRule="exact"/>
              <w:rPr>
                <w:rFonts w:ascii="宋体" w:hAnsi="宋体" w:cs="宋体"/>
                <w:color w:val="auto"/>
                <w:szCs w:val="21"/>
              </w:rPr>
            </w:pPr>
            <w:r>
              <w:rPr>
                <w:rFonts w:hint="eastAsia" w:ascii="宋体" w:hAnsi="宋体" w:cs="宋体"/>
                <w:color w:val="auto"/>
                <w:szCs w:val="21"/>
              </w:rPr>
              <w:t>备注：定标委员会成员数量为5人，招标人单位成员不得低于成员总数的三分之二。定标委员会组长由招标人的法定代表人、主要负责人或分管负责人担任，其他成员可由招标人自行选定。</w:t>
            </w:r>
          </w:p>
        </w:tc>
      </w:tr>
      <w:tr w14:paraId="4463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772964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7.4</w:t>
            </w:r>
          </w:p>
        </w:tc>
        <w:tc>
          <w:tcPr>
            <w:tcW w:w="2410" w:type="dxa"/>
            <w:tcBorders>
              <w:top w:val="single" w:color="auto" w:sz="4" w:space="0"/>
              <w:left w:val="nil"/>
              <w:bottom w:val="single" w:color="auto" w:sz="4" w:space="0"/>
              <w:right w:val="single" w:color="auto" w:sz="4" w:space="0"/>
            </w:tcBorders>
            <w:vAlign w:val="center"/>
          </w:tcPr>
          <w:p w14:paraId="318F76CD">
            <w:pPr>
              <w:pStyle w:val="4"/>
              <w:wordWrap w:val="0"/>
              <w:jc w:val="center"/>
              <w:rPr>
                <w:b w:val="0"/>
                <w:color w:val="auto"/>
                <w:sz w:val="21"/>
                <w:szCs w:val="21"/>
              </w:rPr>
            </w:pPr>
            <w:r>
              <w:rPr>
                <w:rFonts w:hint="eastAsia"/>
                <w:b w:val="0"/>
                <w:color w:val="auto"/>
                <w:sz w:val="21"/>
                <w:szCs w:val="21"/>
              </w:rPr>
              <w:t>定标程序</w:t>
            </w:r>
          </w:p>
        </w:tc>
        <w:tc>
          <w:tcPr>
            <w:tcW w:w="6798" w:type="dxa"/>
            <w:tcBorders>
              <w:top w:val="single" w:color="auto" w:sz="4" w:space="0"/>
              <w:left w:val="nil"/>
              <w:bottom w:val="single" w:color="auto" w:sz="4" w:space="0"/>
              <w:right w:val="single" w:color="auto" w:sz="4" w:space="0"/>
            </w:tcBorders>
            <w:vAlign w:val="center"/>
          </w:tcPr>
          <w:p w14:paraId="4B27B886">
            <w:pPr>
              <w:wordWrap w:val="0"/>
              <w:spacing w:line="440" w:lineRule="exact"/>
              <w:rPr>
                <w:color w:val="auto"/>
                <w:szCs w:val="21"/>
              </w:rPr>
            </w:pPr>
            <w:r>
              <w:rPr>
                <w:rFonts w:hint="eastAsia" w:ascii="宋体" w:hAnsi="宋体" w:cs="宋体"/>
                <w:color w:val="auto"/>
                <w:szCs w:val="21"/>
              </w:rPr>
              <w:t>招标人应当在收到评标报告后10日内完成定标工作，定标过程包括</w:t>
            </w:r>
            <w:r>
              <w:rPr>
                <w:rFonts w:hint="eastAsia" w:ascii="宋体" w:hAnsi="宋体" w:cs="宋体"/>
                <w:b/>
                <w:bCs/>
                <w:color w:val="auto"/>
                <w:szCs w:val="21"/>
              </w:rPr>
              <w:t>核查、定标会议</w:t>
            </w:r>
            <w:r>
              <w:rPr>
                <w:rFonts w:hint="eastAsia" w:ascii="宋体" w:hAnsi="宋体" w:cs="宋体"/>
                <w:color w:val="auto"/>
                <w:szCs w:val="21"/>
              </w:rPr>
              <w:t>两个阶段。定标会议应当在公共资源交易中心按流程进行，不能按时完成定标工作的，应当通过公共资源交易平台发布延期原因和最终定标时间，最终定标时间不得超过投标有效期。公共资源交易中心应当对定标会议进行音视频记录，并存档备查。</w:t>
            </w:r>
          </w:p>
        </w:tc>
      </w:tr>
      <w:tr w14:paraId="7F57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CFA1F4A">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7.4.1</w:t>
            </w:r>
          </w:p>
        </w:tc>
        <w:tc>
          <w:tcPr>
            <w:tcW w:w="2410" w:type="dxa"/>
            <w:tcBorders>
              <w:top w:val="single" w:color="auto" w:sz="4" w:space="0"/>
              <w:left w:val="nil"/>
              <w:bottom w:val="single" w:color="auto" w:sz="4" w:space="0"/>
              <w:right w:val="single" w:color="auto" w:sz="4" w:space="0"/>
            </w:tcBorders>
            <w:vAlign w:val="center"/>
          </w:tcPr>
          <w:p w14:paraId="137E0E25">
            <w:pPr>
              <w:pStyle w:val="4"/>
              <w:wordWrap w:val="0"/>
              <w:jc w:val="center"/>
              <w:rPr>
                <w:b w:val="0"/>
                <w:color w:val="auto"/>
                <w:sz w:val="21"/>
                <w:szCs w:val="21"/>
              </w:rPr>
            </w:pPr>
            <w:r>
              <w:rPr>
                <w:rFonts w:hint="eastAsia"/>
                <w:b w:val="0"/>
                <w:color w:val="auto"/>
                <w:sz w:val="21"/>
                <w:szCs w:val="21"/>
              </w:rPr>
              <w:t>核查方式</w:t>
            </w:r>
          </w:p>
        </w:tc>
        <w:tc>
          <w:tcPr>
            <w:tcW w:w="6798" w:type="dxa"/>
            <w:tcBorders>
              <w:top w:val="single" w:color="auto" w:sz="4" w:space="0"/>
              <w:left w:val="nil"/>
              <w:bottom w:val="single" w:color="auto" w:sz="4" w:space="0"/>
              <w:right w:val="single" w:color="auto" w:sz="4" w:space="0"/>
            </w:tcBorders>
            <w:vAlign w:val="center"/>
          </w:tcPr>
          <w:p w14:paraId="26D39C18">
            <w:pPr>
              <w:pStyle w:val="4"/>
              <w:wordWrap w:val="0"/>
              <w:rPr>
                <w:b w:val="0"/>
                <w:color w:val="auto"/>
                <w:sz w:val="21"/>
                <w:szCs w:val="21"/>
              </w:rPr>
            </w:pPr>
            <w:r>
              <w:rPr>
                <w:rFonts w:hint="eastAsia"/>
                <w:b w:val="0"/>
                <w:color w:val="auto"/>
                <w:sz w:val="21"/>
                <w:szCs w:val="21"/>
              </w:rPr>
              <w:t>对候选人的投标文件进行核查。</w:t>
            </w:r>
          </w:p>
        </w:tc>
      </w:tr>
      <w:tr w14:paraId="71E2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48B10F7">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7.4.2</w:t>
            </w:r>
          </w:p>
        </w:tc>
        <w:tc>
          <w:tcPr>
            <w:tcW w:w="2410" w:type="dxa"/>
            <w:tcBorders>
              <w:top w:val="single" w:color="auto" w:sz="4" w:space="0"/>
              <w:left w:val="nil"/>
              <w:bottom w:val="single" w:color="auto" w:sz="4" w:space="0"/>
              <w:right w:val="single" w:color="auto" w:sz="4" w:space="0"/>
            </w:tcBorders>
            <w:vAlign w:val="center"/>
          </w:tcPr>
          <w:p w14:paraId="20C691C1">
            <w:pPr>
              <w:pStyle w:val="4"/>
              <w:wordWrap w:val="0"/>
              <w:jc w:val="center"/>
              <w:rPr>
                <w:b w:val="0"/>
                <w:color w:val="auto"/>
                <w:sz w:val="21"/>
                <w:szCs w:val="21"/>
              </w:rPr>
            </w:pPr>
            <w:r>
              <w:rPr>
                <w:rFonts w:hint="eastAsia"/>
                <w:b w:val="0"/>
                <w:color w:val="auto"/>
                <w:sz w:val="21"/>
                <w:szCs w:val="21"/>
              </w:rPr>
              <w:t>定标方式</w:t>
            </w:r>
          </w:p>
        </w:tc>
        <w:tc>
          <w:tcPr>
            <w:tcW w:w="6798" w:type="dxa"/>
            <w:tcBorders>
              <w:top w:val="single" w:color="auto" w:sz="4" w:space="0"/>
              <w:left w:val="nil"/>
              <w:bottom w:val="single" w:color="auto" w:sz="4" w:space="0"/>
              <w:right w:val="single" w:color="auto" w:sz="4" w:space="0"/>
            </w:tcBorders>
            <w:vAlign w:val="center"/>
          </w:tcPr>
          <w:p w14:paraId="5C6C5C8F">
            <w:pPr>
              <w:pStyle w:val="4"/>
              <w:wordWrap w:val="0"/>
              <w:rPr>
                <w:b w:val="0"/>
                <w:color w:val="auto"/>
                <w:sz w:val="21"/>
                <w:szCs w:val="21"/>
              </w:rPr>
            </w:pPr>
            <w:r>
              <w:rPr>
                <w:rFonts w:hint="eastAsia"/>
                <w:color w:val="auto"/>
                <w:sz w:val="21"/>
                <w:szCs w:val="21"/>
              </w:rPr>
              <w:t>本项目采用</w:t>
            </w:r>
            <w:r>
              <w:rPr>
                <w:rFonts w:hint="eastAsia" w:ascii="宋体" w:hAnsi="宋体" w:cs="宋体"/>
                <w:color w:val="auto"/>
                <w:sz w:val="21"/>
                <w:szCs w:val="21"/>
                <w:lang w:eastAsia="zh-CN"/>
              </w:rPr>
              <w:t>票决法</w:t>
            </w:r>
            <w:r>
              <w:rPr>
                <w:rFonts w:hint="eastAsia"/>
                <w:color w:val="auto"/>
                <w:sz w:val="21"/>
                <w:szCs w:val="21"/>
              </w:rPr>
              <w:t>确定中标人。</w:t>
            </w:r>
          </w:p>
        </w:tc>
      </w:tr>
      <w:tr w14:paraId="6473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1B0A7E9">
            <w:pPr>
              <w:widowControl/>
              <w:wordWrap w:val="0"/>
              <w:spacing w:line="450" w:lineRule="exact"/>
              <w:jc w:val="center"/>
              <w:rPr>
                <w:rFonts w:hint="default" w:ascii="宋体" w:hAnsi="宋体" w:eastAsia="宋体" w:cs="仿宋_GB2312"/>
                <w:color w:val="auto"/>
                <w:kern w:val="0"/>
                <w:szCs w:val="21"/>
                <w:lang w:val="en-US" w:eastAsia="zh-CN"/>
              </w:rPr>
            </w:pPr>
            <w:r>
              <w:rPr>
                <w:rFonts w:hint="eastAsia" w:ascii="宋体" w:hAnsi="宋体" w:cs="仿宋_GB2312"/>
                <w:color w:val="auto"/>
                <w:kern w:val="0"/>
                <w:szCs w:val="21"/>
                <w:lang w:val="en-US" w:eastAsia="zh-CN"/>
              </w:rPr>
              <w:t>7.4.3</w:t>
            </w:r>
          </w:p>
        </w:tc>
        <w:tc>
          <w:tcPr>
            <w:tcW w:w="2410" w:type="dxa"/>
            <w:tcBorders>
              <w:top w:val="single" w:color="auto" w:sz="4" w:space="0"/>
              <w:left w:val="nil"/>
              <w:bottom w:val="single" w:color="auto" w:sz="4" w:space="0"/>
              <w:right w:val="single" w:color="auto" w:sz="4" w:space="0"/>
            </w:tcBorders>
            <w:vAlign w:val="center"/>
          </w:tcPr>
          <w:p w14:paraId="41845427">
            <w:pPr>
              <w:pStyle w:val="4"/>
              <w:wordWrap w:val="0"/>
              <w:jc w:val="center"/>
              <w:rPr>
                <w:rFonts w:hint="eastAsia"/>
                <w:b w:val="0"/>
                <w:color w:val="auto"/>
                <w:sz w:val="21"/>
                <w:szCs w:val="21"/>
              </w:rPr>
            </w:pPr>
            <w:r>
              <w:rPr>
                <w:rFonts w:hint="eastAsia" w:ascii="宋体" w:hAnsi="宋体" w:cs="宋体"/>
                <w:b w:val="0"/>
                <w:bCs w:val="0"/>
                <w:color w:val="auto"/>
                <w:sz w:val="21"/>
                <w:szCs w:val="21"/>
                <w:highlight w:val="none"/>
              </w:rPr>
              <w:t>定标会议流程</w:t>
            </w:r>
          </w:p>
        </w:tc>
        <w:tc>
          <w:tcPr>
            <w:tcW w:w="6798" w:type="dxa"/>
            <w:tcBorders>
              <w:top w:val="single" w:color="auto" w:sz="4" w:space="0"/>
              <w:left w:val="nil"/>
              <w:bottom w:val="single" w:color="auto" w:sz="4" w:space="0"/>
              <w:right w:val="single" w:color="auto" w:sz="4" w:space="0"/>
            </w:tcBorders>
            <w:shd w:val="clear" w:color="auto" w:fill="auto"/>
            <w:vAlign w:val="center"/>
          </w:tcPr>
          <w:p w14:paraId="180FB8E9">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rPr>
              <w:t>定标会议在三门峡市公共资源交易中心按流程进行，由招标代理机构主持人介绍参会人员及定标委员会成员，具体程序分为以下几方面：</w:t>
            </w:r>
          </w:p>
          <w:p w14:paraId="49F66F4D">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宣读定标会议纪律；</w:t>
            </w:r>
          </w:p>
          <w:p w14:paraId="66914DFC">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介绍项目关联单位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定标委员会成员、行政监督部门人员、公证处人员</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14:paraId="5ED7481C">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定标委员会全体人员签署定标承诺书；</w:t>
            </w:r>
          </w:p>
          <w:p w14:paraId="2A699F4C">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介绍开评标过程及评标委员会推荐定标候选人情况；</w:t>
            </w:r>
          </w:p>
          <w:p w14:paraId="293FC011">
            <w:pPr>
              <w:spacing w:line="360" w:lineRule="auto"/>
              <w:ind w:firstLine="630" w:firstLineChars="3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定标委员会组长宣读核查内容及结果；</w:t>
            </w:r>
          </w:p>
          <w:p w14:paraId="5295692E">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进入定标程序。</w:t>
            </w:r>
          </w:p>
          <w:p w14:paraId="6E017DED">
            <w:pPr>
              <w:spacing w:line="360" w:lineRule="auto"/>
              <w:ind w:firstLine="440" w:firstLineChars="200"/>
              <w:jc w:val="left"/>
              <w:rPr>
                <w:rFonts w:ascii="宋体" w:hAnsi="宋体" w:eastAsia="宋体" w:cs="宋体"/>
                <w:spacing w:val="7"/>
                <w:sz w:val="20"/>
                <w:szCs w:val="20"/>
              </w:rPr>
            </w:pPr>
            <w:r>
              <w:rPr>
                <w:rFonts w:hint="eastAsia" w:ascii="宋体" w:hAnsi="宋体" w:eastAsia="宋体" w:cs="宋体"/>
                <w:spacing w:val="10"/>
                <w:sz w:val="20"/>
                <w:szCs w:val="20"/>
                <w:lang w:eastAsia="zh-CN"/>
              </w:rPr>
              <w:t>（</w:t>
            </w:r>
            <w:r>
              <w:rPr>
                <w:rFonts w:hint="eastAsia" w:ascii="宋体" w:hAnsi="宋体" w:eastAsia="宋体" w:cs="宋体"/>
                <w:spacing w:val="10"/>
                <w:sz w:val="20"/>
                <w:szCs w:val="20"/>
                <w:lang w:val="en-US" w:eastAsia="zh-CN"/>
              </w:rPr>
              <w:t>1）</w:t>
            </w:r>
            <w:r>
              <w:rPr>
                <w:rFonts w:ascii="宋体" w:hAnsi="宋体" w:eastAsia="宋体" w:cs="宋体"/>
                <w:spacing w:val="9"/>
                <w:sz w:val="20"/>
                <w:szCs w:val="20"/>
              </w:rPr>
              <w:t>定标委员会在通过核查的中标候选人中，</w:t>
            </w:r>
            <w:r>
              <w:rPr>
                <w:rFonts w:ascii="宋体" w:hAnsi="宋体" w:eastAsia="宋体" w:cs="宋体"/>
                <w:spacing w:val="-59"/>
                <w:sz w:val="20"/>
                <w:szCs w:val="20"/>
              </w:rPr>
              <w:t xml:space="preserve"> </w:t>
            </w:r>
            <w:r>
              <w:rPr>
                <w:rFonts w:ascii="宋体" w:hAnsi="宋体" w:eastAsia="宋体" w:cs="宋体"/>
                <w:spacing w:val="9"/>
                <w:sz w:val="20"/>
                <w:szCs w:val="20"/>
              </w:rPr>
              <w:t>以投票方式确定中标人。定标委员会成员独立行使投票</w:t>
            </w:r>
            <w:r>
              <w:rPr>
                <w:rFonts w:ascii="宋体" w:hAnsi="宋体" w:eastAsia="宋体" w:cs="宋体"/>
                <w:spacing w:val="8"/>
                <w:sz w:val="20"/>
                <w:szCs w:val="20"/>
              </w:rPr>
              <w:t>权，每人投票支持一个中标</w:t>
            </w:r>
            <w:r>
              <w:rPr>
                <w:rFonts w:ascii="宋体" w:hAnsi="宋体" w:eastAsia="宋体" w:cs="宋体"/>
                <w:spacing w:val="10"/>
                <w:sz w:val="20"/>
                <w:szCs w:val="20"/>
              </w:rPr>
              <w:t>候选人，票数最多且超过半数的确定为中标人。若中标候选人票数</w:t>
            </w:r>
            <w:r>
              <w:rPr>
                <w:rFonts w:ascii="宋体" w:hAnsi="宋体" w:eastAsia="宋体" w:cs="宋体"/>
                <w:spacing w:val="9"/>
                <w:sz w:val="20"/>
                <w:szCs w:val="20"/>
              </w:rPr>
              <w:t>均未超过半数的，取票数前两</w:t>
            </w:r>
            <w:r>
              <w:rPr>
                <w:rFonts w:ascii="宋体" w:hAnsi="宋体" w:eastAsia="宋体" w:cs="宋体"/>
                <w:spacing w:val="10"/>
                <w:sz w:val="20"/>
                <w:szCs w:val="20"/>
              </w:rPr>
              <w:t>名再次票决确定中标人。因并列无法确定前两名时，由定标委员会</w:t>
            </w:r>
            <w:r>
              <w:rPr>
                <w:rFonts w:ascii="宋体" w:hAnsi="宋体" w:eastAsia="宋体" w:cs="宋体"/>
                <w:spacing w:val="9"/>
                <w:sz w:val="20"/>
                <w:szCs w:val="20"/>
              </w:rPr>
              <w:t>按照随机选取方式确定出前两</w:t>
            </w:r>
            <w:r>
              <w:rPr>
                <w:rFonts w:ascii="宋体" w:hAnsi="宋体" w:eastAsia="宋体" w:cs="宋体"/>
                <w:spacing w:val="7"/>
                <w:sz w:val="20"/>
                <w:szCs w:val="20"/>
              </w:rPr>
              <w:t>名。</w:t>
            </w:r>
          </w:p>
          <w:p w14:paraId="434A29A1">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)宣读中标人。定标委员会组长宣布中标人，招标代理机构人员现场填写中标人信息和出具《定标报告》。</w:t>
            </w:r>
          </w:p>
          <w:p w14:paraId="40CCD1EB">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)签字确认。定标委员会成员、行政监督部门人员在《定标报告》《抽取结果表》《定标见证记录表》上签字。</w:t>
            </w:r>
          </w:p>
          <w:p w14:paraId="6C98BADB">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)公证处人员宣读公证词。</w:t>
            </w:r>
          </w:p>
          <w:p w14:paraId="70B57F70">
            <w:pPr>
              <w:spacing w:line="360" w:lineRule="auto"/>
              <w:ind w:firstLine="420" w:firstLineChars="200"/>
              <w:jc w:val="left"/>
              <w:rPr>
                <w:rFonts w:hint="eastAsia" w:ascii="Times New Roman" w:hAnsi="Times New Roman" w:eastAsia="宋体" w:cs="Times New Roman"/>
                <w:color w:val="auto"/>
                <w:kern w:val="2"/>
                <w:sz w:val="21"/>
                <w:szCs w:val="21"/>
                <w:lang w:val="en-US" w:eastAsia="zh-CN" w:bidi="ar-SA"/>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)招标代理机构主持人宣布定标会议结束。</w:t>
            </w:r>
          </w:p>
        </w:tc>
      </w:tr>
      <w:tr w14:paraId="38BD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E1F0045">
            <w:pPr>
              <w:wordWrap w:val="0"/>
              <w:spacing w:line="450" w:lineRule="exact"/>
              <w:jc w:val="center"/>
              <w:rPr>
                <w:rFonts w:ascii="宋体" w:hAnsi="宋体"/>
                <w:color w:val="auto"/>
                <w:szCs w:val="21"/>
              </w:rPr>
            </w:pPr>
            <w:r>
              <w:rPr>
                <w:rFonts w:hint="eastAsia" w:ascii="宋体" w:hAnsi="宋体"/>
                <w:color w:val="auto"/>
                <w:szCs w:val="21"/>
              </w:rPr>
              <w:t>7.5</w:t>
            </w:r>
          </w:p>
        </w:tc>
        <w:tc>
          <w:tcPr>
            <w:tcW w:w="2410" w:type="dxa"/>
            <w:tcBorders>
              <w:top w:val="single" w:color="auto" w:sz="4" w:space="0"/>
              <w:left w:val="nil"/>
              <w:bottom w:val="single" w:color="auto" w:sz="4" w:space="0"/>
              <w:right w:val="single" w:color="auto" w:sz="4" w:space="0"/>
            </w:tcBorders>
            <w:vAlign w:val="center"/>
          </w:tcPr>
          <w:p w14:paraId="64E32B2E">
            <w:pPr>
              <w:wordWrap w:val="0"/>
              <w:spacing w:line="450" w:lineRule="exact"/>
              <w:jc w:val="center"/>
              <w:rPr>
                <w:rFonts w:ascii="宋体" w:hAnsi="宋体"/>
                <w:color w:val="auto"/>
                <w:szCs w:val="21"/>
              </w:rPr>
            </w:pPr>
            <w:r>
              <w:rPr>
                <w:rFonts w:hint="eastAsia" w:ascii="宋体" w:hAnsi="宋体"/>
                <w:color w:val="auto"/>
                <w:szCs w:val="21"/>
              </w:rPr>
              <w:t>中标公示</w:t>
            </w:r>
          </w:p>
        </w:tc>
        <w:tc>
          <w:tcPr>
            <w:tcW w:w="6798" w:type="dxa"/>
            <w:tcBorders>
              <w:top w:val="single" w:color="auto" w:sz="4" w:space="0"/>
              <w:left w:val="nil"/>
              <w:bottom w:val="single" w:color="auto" w:sz="4" w:space="0"/>
              <w:right w:val="single" w:color="auto" w:sz="4" w:space="0"/>
            </w:tcBorders>
            <w:vAlign w:val="center"/>
          </w:tcPr>
          <w:p w14:paraId="071619EB">
            <w:pPr>
              <w:wordWrap w:val="0"/>
              <w:spacing w:line="450" w:lineRule="exact"/>
              <w:rPr>
                <w:rFonts w:ascii="宋体" w:hAnsi="宋体" w:cs="宋体"/>
                <w:color w:val="auto"/>
                <w:szCs w:val="21"/>
                <w:shd w:val="clear" w:color="050000" w:fill="auto"/>
              </w:rPr>
            </w:pPr>
            <w:r>
              <w:rPr>
                <w:rFonts w:hint="eastAsia" w:ascii="宋体" w:hAnsi="宋体" w:cs="宋体"/>
                <w:color w:val="auto"/>
                <w:szCs w:val="21"/>
                <w:shd w:val="clear" w:color="050000" w:fill="auto"/>
              </w:rPr>
              <w:t>在中标通知书发出前，招标人将中标候选人的情况在本招标项目招标公告发布的同一媒体予以公示，公示期不少于3日。</w:t>
            </w:r>
          </w:p>
        </w:tc>
      </w:tr>
      <w:tr w14:paraId="1C1A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ABA41AC">
            <w:pPr>
              <w:wordWrap w:val="0"/>
              <w:spacing w:line="450" w:lineRule="exact"/>
              <w:jc w:val="center"/>
              <w:rPr>
                <w:rFonts w:ascii="宋体" w:hAnsi="宋体"/>
                <w:color w:val="auto"/>
                <w:szCs w:val="21"/>
              </w:rPr>
            </w:pPr>
            <w:r>
              <w:rPr>
                <w:rFonts w:hint="eastAsia" w:ascii="宋体" w:hAnsi="宋体"/>
                <w:color w:val="auto"/>
                <w:szCs w:val="21"/>
              </w:rPr>
              <w:t>8.2</w:t>
            </w:r>
          </w:p>
        </w:tc>
        <w:tc>
          <w:tcPr>
            <w:tcW w:w="2410" w:type="dxa"/>
            <w:tcBorders>
              <w:top w:val="single" w:color="auto" w:sz="4" w:space="0"/>
              <w:left w:val="nil"/>
              <w:bottom w:val="single" w:color="auto" w:sz="4" w:space="0"/>
              <w:right w:val="single" w:color="auto" w:sz="4" w:space="0"/>
            </w:tcBorders>
            <w:vAlign w:val="center"/>
          </w:tcPr>
          <w:p w14:paraId="19CB7A4B">
            <w:pPr>
              <w:wordWrap w:val="0"/>
              <w:spacing w:line="450" w:lineRule="exact"/>
              <w:jc w:val="center"/>
              <w:rPr>
                <w:rFonts w:ascii="宋体" w:hAnsi="宋体"/>
                <w:color w:val="auto"/>
                <w:szCs w:val="21"/>
              </w:rPr>
            </w:pPr>
            <w:r>
              <w:rPr>
                <w:rFonts w:hint="eastAsia" w:ascii="宋体" w:hAnsi="宋体"/>
                <w:color w:val="auto"/>
                <w:szCs w:val="21"/>
              </w:rPr>
              <w:t>履约担保</w:t>
            </w:r>
          </w:p>
        </w:tc>
        <w:tc>
          <w:tcPr>
            <w:tcW w:w="6798" w:type="dxa"/>
            <w:tcBorders>
              <w:top w:val="single" w:color="auto" w:sz="4" w:space="0"/>
              <w:left w:val="nil"/>
              <w:bottom w:val="single" w:color="auto" w:sz="4" w:space="0"/>
              <w:right w:val="single" w:color="auto" w:sz="4" w:space="0"/>
            </w:tcBorders>
            <w:vAlign w:val="center"/>
          </w:tcPr>
          <w:p w14:paraId="6F0FD9D1">
            <w:pPr>
              <w:wordWrap w:val="0"/>
              <w:spacing w:line="440" w:lineRule="exact"/>
              <w:rPr>
                <w:rFonts w:hint="eastAsia" w:ascii="宋体" w:hAnsi="宋体" w:eastAsia="宋体" w:cs="宋体"/>
                <w:color w:val="auto"/>
                <w:szCs w:val="21"/>
                <w:lang w:eastAsia="zh-CN"/>
              </w:rPr>
            </w:pPr>
            <w:r>
              <w:rPr>
                <w:rFonts w:hint="eastAsia" w:ascii="宋体" w:hAnsi="宋体" w:cs="宋体"/>
                <w:color w:val="auto"/>
                <w:szCs w:val="21"/>
              </w:rPr>
              <w:t>履约担保的形式：现金转账或银行保函等形式提供履约担保；</w:t>
            </w:r>
          </w:p>
          <w:p w14:paraId="312652D3">
            <w:pPr>
              <w:wordWrap w:val="0"/>
              <w:autoSpaceDE w:val="0"/>
              <w:autoSpaceDN w:val="0"/>
              <w:adjustRightInd w:val="0"/>
              <w:spacing w:line="420" w:lineRule="exact"/>
              <w:jc w:val="left"/>
              <w:rPr>
                <w:rFonts w:ascii="宋体" w:hAnsi="宋体" w:cs="宋体"/>
                <w:color w:val="auto"/>
                <w:szCs w:val="21"/>
                <w:highlight w:val="none"/>
              </w:rPr>
            </w:pPr>
            <w:r>
              <w:rPr>
                <w:rFonts w:hint="eastAsia" w:ascii="宋体" w:hAnsi="宋体" w:cs="宋体"/>
                <w:color w:val="auto"/>
                <w:kern w:val="0"/>
                <w:szCs w:val="21"/>
              </w:rPr>
              <w:t>履约担保的金</w:t>
            </w:r>
            <w:r>
              <w:rPr>
                <w:rFonts w:hint="eastAsia" w:ascii="宋体" w:hAnsi="宋体" w:cs="宋体"/>
                <w:color w:val="auto"/>
                <w:szCs w:val="21"/>
              </w:rPr>
              <w:t>额：</w:t>
            </w:r>
            <w:r>
              <w:rPr>
                <w:rFonts w:hint="eastAsia" w:ascii="宋体" w:hAnsi="宋体"/>
                <w:color w:val="auto"/>
                <w:szCs w:val="21"/>
              </w:rPr>
              <w:t>中</w:t>
            </w:r>
            <w:r>
              <w:rPr>
                <w:rFonts w:hint="eastAsia" w:ascii="宋体" w:hAnsi="宋体"/>
                <w:color w:val="auto"/>
                <w:szCs w:val="21"/>
                <w:highlight w:val="none"/>
              </w:rPr>
              <w:t>标金额的5%</w:t>
            </w:r>
            <w:r>
              <w:rPr>
                <w:rFonts w:hint="eastAsia" w:ascii="宋体" w:hAnsi="宋体" w:cs="宋体"/>
                <w:color w:val="auto"/>
                <w:szCs w:val="21"/>
                <w:highlight w:val="none"/>
              </w:rPr>
              <w:t>；</w:t>
            </w:r>
          </w:p>
          <w:p w14:paraId="01DED100">
            <w:pPr>
              <w:wordWrap w:val="0"/>
              <w:spacing w:line="440" w:lineRule="exact"/>
              <w:rPr>
                <w:rFonts w:ascii="宋体" w:hAnsi="宋体"/>
                <w:color w:val="auto"/>
                <w:szCs w:val="21"/>
              </w:rPr>
            </w:pPr>
            <w:r>
              <w:rPr>
                <w:rFonts w:hint="eastAsia" w:ascii="宋体" w:hAnsi="宋体" w:cs="宋体"/>
                <w:color w:val="auto"/>
                <w:kern w:val="0"/>
                <w:szCs w:val="21"/>
                <w:highlight w:val="none"/>
              </w:rPr>
              <w:t>履约保证金的提交时间：</w:t>
            </w:r>
            <w:r>
              <w:rPr>
                <w:rFonts w:hint="eastAsia" w:ascii="宋体" w:hAnsi="宋体" w:cs="宋体"/>
                <w:color w:val="auto"/>
                <w:szCs w:val="21"/>
                <w:highlight w:val="none"/>
              </w:rPr>
              <w:t>在</w:t>
            </w:r>
            <w:r>
              <w:rPr>
                <w:rFonts w:hint="eastAsia" w:ascii="宋体" w:hAnsi="宋体" w:cs="宋体"/>
                <w:color w:val="auto"/>
                <w:szCs w:val="21"/>
                <w:highlight w:val="none"/>
                <w:lang w:val="en-US" w:eastAsia="zh-CN"/>
              </w:rPr>
              <w:t>领取中标通知书30日内</w:t>
            </w:r>
            <w:r>
              <w:rPr>
                <w:rFonts w:hint="eastAsia" w:ascii="宋体" w:hAnsi="宋体" w:cs="宋体"/>
                <w:color w:val="auto"/>
                <w:szCs w:val="21"/>
                <w:highlight w:val="none"/>
              </w:rPr>
              <w:t>签订合同</w:t>
            </w:r>
            <w:r>
              <w:rPr>
                <w:rFonts w:hint="eastAsia" w:ascii="宋体" w:hAnsi="宋体" w:cs="宋体"/>
                <w:color w:val="auto"/>
                <w:szCs w:val="21"/>
                <w:highlight w:val="none"/>
                <w:lang w:val="en-US" w:eastAsia="zh-CN"/>
              </w:rPr>
              <w:t>前</w:t>
            </w:r>
            <w:r>
              <w:rPr>
                <w:rFonts w:hint="eastAsia" w:ascii="宋体" w:hAnsi="宋体" w:cs="宋体"/>
                <w:color w:val="auto"/>
                <w:szCs w:val="21"/>
                <w:highlight w:val="none"/>
              </w:rPr>
              <w:t>递交到招标人的指定账户，否则视为自动放弃中标资格，招标人按规定没收其投标保证金。</w:t>
            </w:r>
          </w:p>
        </w:tc>
      </w:tr>
      <w:tr w14:paraId="1E04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7CD65F8">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w:t>
            </w:r>
          </w:p>
        </w:tc>
        <w:tc>
          <w:tcPr>
            <w:tcW w:w="9208" w:type="dxa"/>
            <w:gridSpan w:val="2"/>
            <w:tcBorders>
              <w:top w:val="single" w:color="auto" w:sz="4" w:space="0"/>
              <w:left w:val="nil"/>
              <w:bottom w:val="single" w:color="auto" w:sz="4" w:space="0"/>
              <w:right w:val="single" w:color="auto" w:sz="4" w:space="0"/>
            </w:tcBorders>
            <w:vAlign w:val="center"/>
          </w:tcPr>
          <w:p w14:paraId="1C1AE783">
            <w:pPr>
              <w:widowControl/>
              <w:wordWrap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需要补充的其他内容</w:t>
            </w:r>
          </w:p>
        </w:tc>
      </w:tr>
      <w:tr w14:paraId="740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C22BA19">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11.1</w:t>
            </w:r>
          </w:p>
        </w:tc>
        <w:tc>
          <w:tcPr>
            <w:tcW w:w="2410" w:type="dxa"/>
            <w:tcBorders>
              <w:top w:val="single" w:color="auto" w:sz="4" w:space="0"/>
              <w:left w:val="nil"/>
              <w:bottom w:val="single" w:color="auto" w:sz="4" w:space="0"/>
              <w:right w:val="single" w:color="auto" w:sz="4" w:space="0"/>
            </w:tcBorders>
            <w:vAlign w:val="center"/>
          </w:tcPr>
          <w:p w14:paraId="7600D9BF">
            <w:pPr>
              <w:widowControl/>
              <w:wordWrap w:val="0"/>
              <w:spacing w:line="450" w:lineRule="exact"/>
              <w:jc w:val="center"/>
              <w:rPr>
                <w:rFonts w:ascii="宋体" w:hAnsi="宋体" w:cs="仿宋_GB2312"/>
                <w:color w:val="auto"/>
                <w:kern w:val="0"/>
                <w:szCs w:val="21"/>
                <w:highlight w:val="none"/>
              </w:rPr>
            </w:pPr>
            <w:r>
              <w:rPr>
                <w:rFonts w:hint="eastAsia" w:ascii="宋体" w:hAnsi="宋体" w:cs="仿宋_GB2312"/>
                <w:color w:val="auto"/>
                <w:kern w:val="0"/>
                <w:szCs w:val="21"/>
                <w:highlight w:val="none"/>
              </w:rPr>
              <w:t>招标控制价</w:t>
            </w:r>
          </w:p>
        </w:tc>
        <w:tc>
          <w:tcPr>
            <w:tcW w:w="6798" w:type="dxa"/>
            <w:tcBorders>
              <w:top w:val="single" w:color="auto" w:sz="4" w:space="0"/>
              <w:left w:val="nil"/>
              <w:bottom w:val="single" w:color="auto" w:sz="4" w:space="0"/>
              <w:right w:val="single" w:color="auto" w:sz="4" w:space="0"/>
            </w:tcBorders>
            <w:vAlign w:val="center"/>
          </w:tcPr>
          <w:p w14:paraId="4F5F1549">
            <w:pPr>
              <w:widowControl/>
              <w:wordWrap w:val="0"/>
              <w:spacing w:line="45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招标控制</w:t>
            </w:r>
            <w:r>
              <w:rPr>
                <w:rFonts w:hint="eastAsia" w:ascii="宋体" w:hAnsi="宋体" w:eastAsia="宋体" w:cs="宋体"/>
                <w:color w:val="auto"/>
                <w:szCs w:val="21"/>
                <w:highlight w:val="none"/>
              </w:rPr>
              <w:t>价：</w:t>
            </w:r>
            <w:r>
              <w:rPr>
                <w:rFonts w:hint="eastAsia" w:asciiTheme="minorEastAsia" w:hAnsiTheme="minorEastAsia" w:eastAsiaTheme="minorEastAsia" w:cstheme="minorEastAsia"/>
                <w:color w:val="auto"/>
                <w:szCs w:val="21"/>
                <w:highlight w:val="none"/>
                <w:lang w:val="en-US" w:eastAsia="zh-CN"/>
              </w:rPr>
              <w:t>36663194.78</w:t>
            </w:r>
            <w:r>
              <w:rPr>
                <w:rFonts w:hint="eastAsia" w:ascii="宋体" w:hAnsi="宋体" w:eastAsia="宋体" w:cs="宋体"/>
                <w:color w:val="auto"/>
                <w:szCs w:val="21"/>
                <w:highlight w:val="none"/>
                <w:lang w:val="en-US" w:eastAsia="zh-CN"/>
              </w:rPr>
              <w:t>元</w:t>
            </w:r>
          </w:p>
          <w:p w14:paraId="2D14D91E">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分部分项工程费：32465691.61</w:t>
            </w:r>
            <w:r>
              <w:rPr>
                <w:rFonts w:hint="eastAsia" w:ascii="宋体" w:hAnsi="宋体" w:eastAsia="宋体" w:cs="宋体"/>
                <w:color w:val="auto"/>
                <w:szCs w:val="21"/>
                <w:highlight w:val="none"/>
                <w:lang w:val="en-US" w:eastAsia="zh-CN"/>
              </w:rPr>
              <w:t>元</w:t>
            </w:r>
          </w:p>
          <w:p w14:paraId="4A99E0AF">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措施项目费：1170266.91</w:t>
            </w:r>
            <w:r>
              <w:rPr>
                <w:rFonts w:hint="eastAsia" w:ascii="宋体" w:hAnsi="宋体" w:eastAsia="宋体" w:cs="宋体"/>
                <w:color w:val="auto"/>
                <w:szCs w:val="21"/>
                <w:highlight w:val="none"/>
                <w:lang w:val="en-US" w:eastAsia="zh-CN"/>
              </w:rPr>
              <w:t>元</w:t>
            </w:r>
          </w:p>
          <w:p w14:paraId="7A7017E4">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其中：安全生产措施费：533307.67</w:t>
            </w:r>
            <w:r>
              <w:rPr>
                <w:rFonts w:hint="eastAsia" w:ascii="宋体" w:hAnsi="宋体" w:eastAsia="宋体" w:cs="宋体"/>
                <w:color w:val="auto"/>
                <w:szCs w:val="21"/>
                <w:highlight w:val="none"/>
                <w:lang w:val="en-US" w:eastAsia="zh-CN"/>
              </w:rPr>
              <w:t>元</w:t>
            </w:r>
          </w:p>
          <w:p w14:paraId="613327E2">
            <w:pPr>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其他项目费：</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val="en-US" w:eastAsia="zh-CN"/>
              </w:rPr>
              <w:t>元</w:t>
            </w:r>
          </w:p>
          <w:p w14:paraId="6372ECCC">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其中：暂列金额：</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val="en-US" w:eastAsia="zh-CN"/>
              </w:rPr>
              <w:t>元</w:t>
            </w:r>
          </w:p>
          <w:p w14:paraId="6D62AC25">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其中：专业工程暂估价：</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val="en-US" w:eastAsia="zh-CN"/>
              </w:rPr>
              <w:t>元</w:t>
            </w:r>
          </w:p>
          <w:p w14:paraId="66305908">
            <w:pPr>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szCs w:val="21"/>
                <w:highlight w:val="none"/>
              </w:rPr>
              <w:t>增值税：3027236.26</w:t>
            </w:r>
            <w:r>
              <w:rPr>
                <w:rFonts w:hint="eastAsia" w:ascii="宋体" w:hAnsi="宋体" w:eastAsia="宋体" w:cs="宋体"/>
                <w:color w:val="auto"/>
                <w:szCs w:val="21"/>
                <w:highlight w:val="none"/>
                <w:lang w:val="en-US" w:eastAsia="zh-CN"/>
              </w:rPr>
              <w:t>元</w:t>
            </w:r>
          </w:p>
          <w:p w14:paraId="48BD19F2">
            <w:pPr>
              <w:widowControl/>
              <w:wordWrap w:val="0"/>
              <w:spacing w:line="450" w:lineRule="exact"/>
              <w:jc w:val="left"/>
              <w:rPr>
                <w:rFonts w:ascii="宋体" w:hAnsi="宋体" w:cs="仿宋_GB2312"/>
                <w:color w:val="auto"/>
                <w:kern w:val="0"/>
                <w:szCs w:val="21"/>
                <w:highlight w:val="none"/>
              </w:rPr>
            </w:pPr>
            <w:r>
              <w:rPr>
                <w:rFonts w:ascii="宋体" w:hAnsi="宋体" w:cs="宋体"/>
                <w:b/>
                <w:bCs/>
                <w:color w:val="auto"/>
                <w:kern w:val="0"/>
                <w:szCs w:val="21"/>
                <w:highlight w:val="none"/>
              </w:rPr>
              <w:t>招标控制价是招标人控制招标工程造价的最高限价，投标人的投标</w:t>
            </w:r>
            <w:r>
              <w:rPr>
                <w:rFonts w:hint="eastAsia" w:ascii="宋体" w:hAnsi="宋体" w:cs="宋体"/>
                <w:b/>
                <w:bCs/>
                <w:color w:val="auto"/>
                <w:kern w:val="0"/>
                <w:szCs w:val="21"/>
                <w:highlight w:val="none"/>
                <w:lang w:val="en-US" w:eastAsia="zh-CN"/>
              </w:rPr>
              <w:t>总</w:t>
            </w:r>
            <w:r>
              <w:rPr>
                <w:rFonts w:ascii="宋体" w:hAnsi="宋体" w:cs="宋体"/>
                <w:b/>
                <w:bCs/>
                <w:color w:val="auto"/>
                <w:kern w:val="0"/>
                <w:szCs w:val="21"/>
                <w:highlight w:val="none"/>
              </w:rPr>
              <w:t>报价高于招标控制价的，其投标予以拒绝。</w:t>
            </w:r>
          </w:p>
        </w:tc>
      </w:tr>
      <w:tr w14:paraId="3D93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90564B0">
            <w:pPr>
              <w:widowControl/>
              <w:wordWrap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11.2</w:t>
            </w:r>
          </w:p>
        </w:tc>
        <w:tc>
          <w:tcPr>
            <w:tcW w:w="2410" w:type="dxa"/>
            <w:tcBorders>
              <w:top w:val="single" w:color="auto" w:sz="4" w:space="0"/>
              <w:left w:val="nil"/>
              <w:bottom w:val="single" w:color="auto" w:sz="4" w:space="0"/>
              <w:right w:val="single" w:color="auto" w:sz="4" w:space="0"/>
            </w:tcBorders>
            <w:vAlign w:val="center"/>
          </w:tcPr>
          <w:p w14:paraId="77CA196D">
            <w:pPr>
              <w:wordWrap w:val="0"/>
              <w:spacing w:line="450" w:lineRule="exact"/>
              <w:jc w:val="center"/>
              <w:rPr>
                <w:rFonts w:ascii="宋体" w:hAnsi="宋体"/>
                <w:color w:val="auto"/>
                <w:szCs w:val="21"/>
              </w:rPr>
            </w:pPr>
            <w:r>
              <w:rPr>
                <w:rFonts w:hint="eastAsia" w:ascii="宋体" w:hAnsi="宋体"/>
                <w:color w:val="auto"/>
                <w:szCs w:val="21"/>
              </w:rPr>
              <w:t>是否采用暗标</w:t>
            </w:r>
          </w:p>
        </w:tc>
        <w:tc>
          <w:tcPr>
            <w:tcW w:w="6798" w:type="dxa"/>
            <w:tcBorders>
              <w:top w:val="single" w:color="auto" w:sz="4" w:space="0"/>
              <w:left w:val="nil"/>
              <w:bottom w:val="single" w:color="auto" w:sz="4" w:space="0"/>
              <w:right w:val="single" w:color="auto" w:sz="4" w:space="0"/>
            </w:tcBorders>
            <w:vAlign w:val="center"/>
          </w:tcPr>
          <w:p w14:paraId="2164F81E">
            <w:pPr>
              <w:wordWrap w:val="0"/>
              <w:spacing w:line="450" w:lineRule="exact"/>
              <w:jc w:val="left"/>
              <w:rPr>
                <w:rFonts w:hint="eastAsia" w:ascii="宋体" w:hAnsi="宋体" w:eastAsia="宋体"/>
                <w:color w:val="auto"/>
                <w:szCs w:val="21"/>
                <w:lang w:val="en-US" w:eastAsia="zh-CN"/>
              </w:rPr>
            </w:pPr>
            <w:r>
              <w:rPr>
                <w:rFonts w:hint="eastAsia" w:ascii="宋体" w:hAnsi="宋体"/>
                <w:color w:val="auto"/>
                <w:szCs w:val="21"/>
                <w:lang w:val="en-US" w:eastAsia="zh-CN"/>
              </w:rPr>
              <w:t>是</w:t>
            </w:r>
          </w:p>
        </w:tc>
      </w:tr>
      <w:tr w14:paraId="1D8C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15731F3">
            <w:pPr>
              <w:widowControl/>
              <w:wordWrap w:val="0"/>
              <w:spacing w:line="450" w:lineRule="exact"/>
              <w:jc w:val="center"/>
              <w:rPr>
                <w:rFonts w:hint="eastAsia" w:ascii="宋体" w:hAnsi="宋体" w:eastAsia="宋体" w:cs="仿宋_GB2312"/>
                <w:color w:val="auto"/>
                <w:kern w:val="0"/>
                <w:szCs w:val="21"/>
                <w:lang w:eastAsia="zh-CN"/>
              </w:rPr>
            </w:pPr>
            <w:r>
              <w:rPr>
                <w:rFonts w:hint="eastAsia" w:ascii="宋体" w:hAnsi="宋体" w:cs="仿宋_GB2312"/>
                <w:color w:val="auto"/>
                <w:kern w:val="0"/>
                <w:szCs w:val="21"/>
              </w:rPr>
              <w:t>11.</w:t>
            </w:r>
            <w:r>
              <w:rPr>
                <w:rFonts w:hint="eastAsia" w:ascii="宋体" w:hAnsi="宋体" w:cs="仿宋_GB2312"/>
                <w:color w:val="auto"/>
                <w:kern w:val="0"/>
                <w:szCs w:val="21"/>
                <w:lang w:val="en-US" w:eastAsia="zh-CN"/>
              </w:rPr>
              <w:t>3</w:t>
            </w:r>
          </w:p>
        </w:tc>
        <w:tc>
          <w:tcPr>
            <w:tcW w:w="2410" w:type="dxa"/>
            <w:tcBorders>
              <w:top w:val="single" w:color="auto" w:sz="4" w:space="0"/>
              <w:left w:val="nil"/>
              <w:bottom w:val="single" w:color="auto" w:sz="4" w:space="0"/>
              <w:right w:val="single" w:color="auto" w:sz="4" w:space="0"/>
            </w:tcBorders>
            <w:vAlign w:val="center"/>
          </w:tcPr>
          <w:p w14:paraId="100B6849">
            <w:pPr>
              <w:wordWrap w:val="0"/>
              <w:spacing w:line="450" w:lineRule="exact"/>
              <w:jc w:val="center"/>
              <w:rPr>
                <w:rFonts w:ascii="宋体" w:hAnsi="宋体"/>
                <w:color w:val="auto"/>
                <w:szCs w:val="21"/>
              </w:rPr>
            </w:pPr>
            <w:r>
              <w:rPr>
                <w:rFonts w:hint="eastAsia" w:ascii="宋体" w:hAnsi="宋体"/>
                <w:color w:val="auto"/>
                <w:szCs w:val="21"/>
              </w:rPr>
              <w:t>拒绝的投标</w:t>
            </w:r>
          </w:p>
        </w:tc>
        <w:tc>
          <w:tcPr>
            <w:tcW w:w="6798" w:type="dxa"/>
            <w:tcBorders>
              <w:top w:val="single" w:color="auto" w:sz="4" w:space="0"/>
              <w:left w:val="nil"/>
              <w:bottom w:val="single" w:color="auto" w:sz="4" w:space="0"/>
              <w:right w:val="single" w:color="auto" w:sz="4" w:space="0"/>
            </w:tcBorders>
            <w:vAlign w:val="center"/>
          </w:tcPr>
          <w:p w14:paraId="47E5895F">
            <w:pPr>
              <w:wordWrap w:val="0"/>
              <w:spacing w:line="450" w:lineRule="exact"/>
              <w:jc w:val="left"/>
              <w:rPr>
                <w:rFonts w:ascii="宋体" w:hAnsi="宋体"/>
                <w:color w:val="auto"/>
                <w:szCs w:val="21"/>
              </w:rPr>
            </w:pPr>
            <w:r>
              <w:rPr>
                <w:rFonts w:hint="eastAsia" w:ascii="宋体" w:hAnsi="宋体"/>
                <w:color w:val="auto"/>
                <w:szCs w:val="21"/>
              </w:rPr>
              <w:t>1、电子化投标文件未按规定成功上传的。</w:t>
            </w:r>
          </w:p>
          <w:p w14:paraId="47675BFC">
            <w:pPr>
              <w:wordWrap w:val="0"/>
              <w:spacing w:line="450" w:lineRule="exact"/>
              <w:rPr>
                <w:rFonts w:ascii="宋体" w:hAnsi="宋体" w:cs="宋体"/>
                <w:color w:val="auto"/>
                <w:szCs w:val="21"/>
                <w:shd w:val="clear" w:color="050000" w:fill="auto"/>
              </w:rPr>
            </w:pPr>
            <w:r>
              <w:rPr>
                <w:rFonts w:hint="eastAsia" w:ascii="宋体" w:hAnsi="宋体"/>
                <w:color w:val="auto"/>
                <w:szCs w:val="21"/>
              </w:rPr>
              <w:t>2、未按招标文件要求提交投标保证金的。</w:t>
            </w:r>
          </w:p>
        </w:tc>
      </w:tr>
      <w:tr w14:paraId="7012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704BEBE">
            <w:pPr>
              <w:widowControl/>
              <w:wordWrap w:val="0"/>
              <w:spacing w:line="450" w:lineRule="exact"/>
              <w:jc w:val="center"/>
              <w:rPr>
                <w:rFonts w:hint="eastAsia" w:ascii="宋体" w:hAnsi="宋体" w:eastAsia="宋体" w:cs="仿宋_GB2312"/>
                <w:color w:val="auto"/>
                <w:kern w:val="0"/>
                <w:szCs w:val="21"/>
                <w:lang w:eastAsia="zh-CN"/>
              </w:rPr>
            </w:pPr>
            <w:r>
              <w:rPr>
                <w:rFonts w:hint="eastAsia" w:ascii="宋体" w:hAnsi="宋体" w:cs="仿宋_GB2312"/>
                <w:color w:val="auto"/>
                <w:kern w:val="0"/>
                <w:szCs w:val="21"/>
              </w:rPr>
              <w:t>11.</w:t>
            </w:r>
            <w:r>
              <w:rPr>
                <w:rFonts w:hint="eastAsia" w:ascii="宋体" w:hAnsi="宋体" w:cs="仿宋_GB2312"/>
                <w:color w:val="auto"/>
                <w:kern w:val="0"/>
                <w:szCs w:val="21"/>
                <w:lang w:val="en-US" w:eastAsia="zh-CN"/>
              </w:rPr>
              <w:t>4</w:t>
            </w:r>
          </w:p>
        </w:tc>
        <w:tc>
          <w:tcPr>
            <w:tcW w:w="2410" w:type="dxa"/>
            <w:tcBorders>
              <w:top w:val="single" w:color="auto" w:sz="4" w:space="0"/>
              <w:left w:val="nil"/>
              <w:bottom w:val="single" w:color="auto" w:sz="4" w:space="0"/>
              <w:right w:val="single" w:color="auto" w:sz="4" w:space="0"/>
            </w:tcBorders>
            <w:vAlign w:val="center"/>
          </w:tcPr>
          <w:p w14:paraId="20313613">
            <w:pPr>
              <w:wordWrap w:val="0"/>
              <w:spacing w:line="450" w:lineRule="exact"/>
              <w:jc w:val="center"/>
              <w:rPr>
                <w:rFonts w:ascii="宋体" w:hAnsi="宋体"/>
                <w:color w:val="auto"/>
                <w:szCs w:val="21"/>
              </w:rPr>
            </w:pPr>
            <w:r>
              <w:rPr>
                <w:rFonts w:hint="eastAsia" w:ascii="宋体" w:hAnsi="宋体"/>
                <w:color w:val="auto"/>
                <w:szCs w:val="21"/>
              </w:rPr>
              <w:t>监督</w:t>
            </w:r>
          </w:p>
        </w:tc>
        <w:tc>
          <w:tcPr>
            <w:tcW w:w="6798" w:type="dxa"/>
            <w:tcBorders>
              <w:top w:val="single" w:color="auto" w:sz="4" w:space="0"/>
              <w:left w:val="nil"/>
              <w:bottom w:val="single" w:color="auto" w:sz="4" w:space="0"/>
              <w:right w:val="single" w:color="auto" w:sz="4" w:space="0"/>
            </w:tcBorders>
            <w:vAlign w:val="center"/>
          </w:tcPr>
          <w:p w14:paraId="5DF8778E">
            <w:pPr>
              <w:wordWrap w:val="0"/>
              <w:spacing w:line="450" w:lineRule="exact"/>
              <w:jc w:val="left"/>
              <w:rPr>
                <w:rFonts w:ascii="宋体" w:hAnsi="宋体"/>
                <w:color w:val="auto"/>
                <w:szCs w:val="21"/>
              </w:rPr>
            </w:pPr>
            <w:r>
              <w:rPr>
                <w:rFonts w:hint="eastAsia" w:ascii="宋体" w:hAnsi="宋体" w:eastAsia="宋体" w:cs="Times New Roman"/>
                <w:color w:val="auto"/>
                <w:szCs w:val="21"/>
                <w:lang w:eastAsia="zh-CN"/>
              </w:rPr>
              <w:t>三门峡市住房和城乡建设局</w:t>
            </w:r>
          </w:p>
        </w:tc>
      </w:tr>
      <w:tr w14:paraId="72CD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7E9A395">
            <w:pPr>
              <w:widowControl/>
              <w:wordWrap w:val="0"/>
              <w:spacing w:line="450" w:lineRule="exact"/>
              <w:jc w:val="center"/>
              <w:rPr>
                <w:rFonts w:hint="eastAsia" w:ascii="宋体" w:hAnsi="宋体" w:eastAsia="宋体" w:cs="仿宋_GB2312"/>
                <w:color w:val="auto"/>
                <w:kern w:val="0"/>
                <w:szCs w:val="21"/>
                <w:lang w:eastAsia="zh-CN"/>
              </w:rPr>
            </w:pPr>
            <w:r>
              <w:rPr>
                <w:rFonts w:hint="eastAsia" w:ascii="宋体" w:hAnsi="宋体" w:cs="仿宋_GB2312"/>
                <w:color w:val="auto"/>
                <w:kern w:val="0"/>
                <w:szCs w:val="21"/>
              </w:rPr>
              <w:t>11.</w:t>
            </w:r>
            <w:r>
              <w:rPr>
                <w:rFonts w:hint="eastAsia" w:ascii="宋体" w:hAnsi="宋体" w:cs="仿宋_GB2312"/>
                <w:color w:val="auto"/>
                <w:kern w:val="0"/>
                <w:szCs w:val="21"/>
                <w:lang w:val="en-US" w:eastAsia="zh-CN"/>
              </w:rPr>
              <w:t>5</w:t>
            </w:r>
          </w:p>
        </w:tc>
        <w:tc>
          <w:tcPr>
            <w:tcW w:w="2410" w:type="dxa"/>
            <w:tcBorders>
              <w:top w:val="single" w:color="auto" w:sz="4" w:space="0"/>
              <w:left w:val="nil"/>
              <w:bottom w:val="single" w:color="auto" w:sz="4" w:space="0"/>
              <w:right w:val="single" w:color="auto" w:sz="4" w:space="0"/>
            </w:tcBorders>
            <w:vAlign w:val="center"/>
          </w:tcPr>
          <w:p w14:paraId="1AD34F34">
            <w:pPr>
              <w:wordWrap w:val="0"/>
              <w:spacing w:line="450" w:lineRule="exact"/>
              <w:jc w:val="center"/>
              <w:rPr>
                <w:rFonts w:ascii="宋体" w:hAnsi="宋体"/>
                <w:color w:val="auto"/>
                <w:szCs w:val="21"/>
              </w:rPr>
            </w:pPr>
            <w:r>
              <w:rPr>
                <w:rFonts w:hint="eastAsia" w:ascii="宋体" w:hAnsi="宋体"/>
                <w:color w:val="auto"/>
                <w:szCs w:val="21"/>
              </w:rPr>
              <w:t>解释权</w:t>
            </w:r>
          </w:p>
        </w:tc>
        <w:tc>
          <w:tcPr>
            <w:tcW w:w="6798" w:type="dxa"/>
            <w:tcBorders>
              <w:top w:val="single" w:color="auto" w:sz="4" w:space="0"/>
              <w:left w:val="nil"/>
              <w:bottom w:val="single" w:color="auto" w:sz="4" w:space="0"/>
              <w:right w:val="single" w:color="auto" w:sz="4" w:space="0"/>
            </w:tcBorders>
            <w:vAlign w:val="center"/>
          </w:tcPr>
          <w:p w14:paraId="7DD4EF83">
            <w:pPr>
              <w:wordWrap w:val="0"/>
              <w:spacing w:line="450" w:lineRule="exact"/>
              <w:rPr>
                <w:rFonts w:ascii="宋体" w:hAnsi="宋体"/>
                <w:color w:val="auto"/>
                <w:szCs w:val="21"/>
              </w:rPr>
            </w:pPr>
            <w:r>
              <w:rPr>
                <w:rFonts w:hint="eastAsia" w:ascii="宋体" w:hAnsi="宋体" w:cs="宋体"/>
                <w:color w:val="auto"/>
                <w:szCs w:val="21"/>
                <w:shd w:val="clear" w:color="050000" w:fill="auto"/>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阶段的规定，按招标公告、投标人须知前附表、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或招标代理机构负责解释。</w:t>
            </w:r>
          </w:p>
        </w:tc>
      </w:tr>
      <w:tr w14:paraId="2B7B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784C478">
            <w:pPr>
              <w:wordWrap w:val="0"/>
              <w:autoSpaceDE w:val="0"/>
              <w:autoSpaceDN w:val="0"/>
              <w:spacing w:line="450" w:lineRule="exact"/>
              <w:jc w:val="center"/>
              <w:rPr>
                <w:rFonts w:hint="eastAsia" w:ascii="宋体" w:hAnsi="宋体" w:eastAsia="宋体"/>
                <w:color w:val="auto"/>
                <w:kern w:val="0"/>
                <w:szCs w:val="21"/>
                <w:lang w:eastAsia="zh-CN"/>
              </w:rPr>
            </w:pPr>
            <w:r>
              <w:rPr>
                <w:rFonts w:hint="eastAsia" w:ascii="宋体" w:hAnsi="宋体"/>
                <w:color w:val="auto"/>
                <w:kern w:val="0"/>
                <w:szCs w:val="21"/>
              </w:rPr>
              <w:t>11.</w:t>
            </w:r>
            <w:r>
              <w:rPr>
                <w:rFonts w:hint="eastAsia" w:ascii="宋体" w:hAnsi="宋体"/>
                <w:color w:val="auto"/>
                <w:kern w:val="0"/>
                <w:szCs w:val="21"/>
                <w:lang w:val="en-US" w:eastAsia="zh-CN"/>
              </w:rPr>
              <w:t>6</w:t>
            </w:r>
          </w:p>
        </w:tc>
        <w:tc>
          <w:tcPr>
            <w:tcW w:w="2410" w:type="dxa"/>
            <w:tcBorders>
              <w:top w:val="single" w:color="auto" w:sz="4" w:space="0"/>
              <w:left w:val="nil"/>
              <w:bottom w:val="single" w:color="auto" w:sz="4" w:space="0"/>
              <w:right w:val="single" w:color="auto" w:sz="4" w:space="0"/>
            </w:tcBorders>
            <w:vAlign w:val="center"/>
          </w:tcPr>
          <w:p w14:paraId="0D77AA58">
            <w:pPr>
              <w:widowControl/>
              <w:wordWrap w:val="0"/>
              <w:spacing w:line="450" w:lineRule="exact"/>
              <w:jc w:val="center"/>
              <w:rPr>
                <w:rFonts w:ascii="宋体" w:hAnsi="宋体"/>
                <w:color w:val="auto"/>
                <w:kern w:val="0"/>
                <w:szCs w:val="21"/>
                <w:lang w:bidi="en-US"/>
              </w:rPr>
            </w:pPr>
            <w:r>
              <w:rPr>
                <w:rFonts w:hint="eastAsia" w:ascii="宋体" w:hAnsi="宋体"/>
                <w:color w:val="auto"/>
                <w:kern w:val="0"/>
                <w:szCs w:val="21"/>
                <w:lang w:bidi="en-US"/>
              </w:rPr>
              <w:t>答疑</w:t>
            </w:r>
          </w:p>
        </w:tc>
        <w:tc>
          <w:tcPr>
            <w:tcW w:w="6798" w:type="dxa"/>
            <w:tcBorders>
              <w:top w:val="single" w:color="auto" w:sz="4" w:space="0"/>
              <w:left w:val="nil"/>
              <w:bottom w:val="single" w:color="auto" w:sz="4" w:space="0"/>
              <w:right w:val="single" w:color="auto" w:sz="4" w:space="0"/>
            </w:tcBorders>
            <w:vAlign w:val="center"/>
          </w:tcPr>
          <w:p w14:paraId="3D8EFB61">
            <w:pPr>
              <w:widowControl/>
              <w:wordWrap w:val="0"/>
              <w:spacing w:line="450" w:lineRule="exact"/>
              <w:jc w:val="left"/>
              <w:rPr>
                <w:rFonts w:ascii="宋体" w:hAnsi="宋体"/>
                <w:color w:val="auto"/>
                <w:kern w:val="0"/>
                <w:szCs w:val="21"/>
                <w:lang w:bidi="en-US"/>
              </w:rPr>
            </w:pPr>
            <w:r>
              <w:rPr>
                <w:rFonts w:hint="eastAsia" w:ascii="宋体" w:hAnsi="宋体"/>
                <w:color w:val="auto"/>
                <w:kern w:val="0"/>
                <w:szCs w:val="21"/>
                <w:lang w:bidi="en-US"/>
              </w:rPr>
              <w:t>招标人或招标代理机构将需要解答的内容以答疑文件形式，在三门峡市公共资源交易中心网站项目网上答疑栏统一回复给潜在投标人。所有潜在投标人应密切关注三门峡市公共资源交易中心网站，自行查收、下载。</w:t>
            </w:r>
          </w:p>
        </w:tc>
      </w:tr>
      <w:tr w14:paraId="778D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414DEF1">
            <w:pPr>
              <w:wordWrap w:val="0"/>
              <w:autoSpaceDE w:val="0"/>
              <w:autoSpaceDN w:val="0"/>
              <w:spacing w:line="450" w:lineRule="exact"/>
              <w:jc w:val="center"/>
              <w:rPr>
                <w:rFonts w:hint="eastAsia" w:ascii="宋体" w:hAnsi="宋体" w:eastAsia="宋体"/>
                <w:color w:val="auto"/>
                <w:kern w:val="0"/>
                <w:szCs w:val="21"/>
                <w:lang w:eastAsia="zh-CN"/>
              </w:rPr>
            </w:pPr>
            <w:r>
              <w:rPr>
                <w:rFonts w:hint="eastAsia" w:ascii="宋体" w:hAnsi="宋体"/>
                <w:color w:val="auto"/>
                <w:kern w:val="0"/>
                <w:szCs w:val="21"/>
              </w:rPr>
              <w:t>11.</w:t>
            </w:r>
            <w:r>
              <w:rPr>
                <w:rFonts w:hint="eastAsia" w:ascii="宋体" w:hAnsi="宋体"/>
                <w:color w:val="auto"/>
                <w:kern w:val="0"/>
                <w:szCs w:val="21"/>
                <w:lang w:val="en-US" w:eastAsia="zh-CN"/>
              </w:rPr>
              <w:t>7</w:t>
            </w:r>
          </w:p>
        </w:tc>
        <w:tc>
          <w:tcPr>
            <w:tcW w:w="2410" w:type="dxa"/>
            <w:tcBorders>
              <w:top w:val="single" w:color="auto" w:sz="4" w:space="0"/>
              <w:left w:val="nil"/>
              <w:bottom w:val="single" w:color="auto" w:sz="4" w:space="0"/>
              <w:right w:val="single" w:color="auto" w:sz="4" w:space="0"/>
            </w:tcBorders>
            <w:vAlign w:val="center"/>
          </w:tcPr>
          <w:p w14:paraId="5E9D4FC6">
            <w:pPr>
              <w:widowControl/>
              <w:wordWrap w:val="0"/>
              <w:spacing w:line="450" w:lineRule="exact"/>
              <w:jc w:val="left"/>
              <w:rPr>
                <w:rFonts w:ascii="宋体" w:hAnsi="宋体"/>
                <w:color w:val="auto"/>
                <w:kern w:val="0"/>
                <w:szCs w:val="21"/>
                <w:lang w:bidi="en-US"/>
              </w:rPr>
            </w:pPr>
            <w:r>
              <w:rPr>
                <w:rFonts w:hint="eastAsia" w:ascii="宋体" w:hAnsi="宋体"/>
                <w:color w:val="auto"/>
                <w:kern w:val="0"/>
                <w:szCs w:val="21"/>
                <w:lang w:bidi="en-US"/>
              </w:rPr>
              <w:t>招标代理费及其他费用</w:t>
            </w:r>
          </w:p>
        </w:tc>
        <w:tc>
          <w:tcPr>
            <w:tcW w:w="6798" w:type="dxa"/>
            <w:tcBorders>
              <w:top w:val="single" w:color="auto" w:sz="4" w:space="0"/>
              <w:left w:val="nil"/>
              <w:bottom w:val="single" w:color="auto" w:sz="4" w:space="0"/>
              <w:right w:val="single" w:color="auto" w:sz="4" w:space="0"/>
            </w:tcBorders>
            <w:vAlign w:val="center"/>
          </w:tcPr>
          <w:p w14:paraId="06F91E0F">
            <w:pPr>
              <w:wordWrap w:val="0"/>
              <w:spacing w:line="450" w:lineRule="exact"/>
              <w:rPr>
                <w:rFonts w:ascii="宋体" w:hAnsi="宋体" w:cs="宋体"/>
                <w:color w:val="auto"/>
                <w:szCs w:val="21"/>
                <w:shd w:val="clear" w:color="050000" w:fill="auto"/>
              </w:rPr>
            </w:pPr>
            <w:r>
              <w:rPr>
                <w:rFonts w:hint="eastAsia" w:ascii="宋体" w:hAnsi="宋体" w:cs="宋体"/>
                <w:color w:val="auto"/>
                <w:szCs w:val="21"/>
                <w:shd w:val="clear" w:color="050000" w:fill="auto"/>
                <w:lang w:val="zh-CN"/>
              </w:rPr>
              <w:t>参照《河南省招标代理服务收费指导意见》豫招协[2023]002号文件规定的收费标准收取。按总中标金额计算代理服务费，由中标人支付给招标代理机构。</w:t>
            </w:r>
          </w:p>
          <w:p w14:paraId="42BD10BE">
            <w:pPr>
              <w:wordWrap w:val="0"/>
              <w:spacing w:line="450" w:lineRule="exact"/>
              <w:rPr>
                <w:rFonts w:ascii="宋体" w:hAnsi="宋体" w:cs="宋体"/>
                <w:color w:val="auto"/>
                <w:szCs w:val="21"/>
                <w:shd w:val="clear" w:color="050000" w:fill="auto"/>
              </w:rPr>
            </w:pPr>
            <w:r>
              <w:rPr>
                <w:rFonts w:hint="eastAsia" w:ascii="宋体" w:hAnsi="宋体" w:cs="宋体"/>
                <w:color w:val="auto"/>
                <w:szCs w:val="21"/>
                <w:shd w:val="clear" w:color="050000" w:fill="auto"/>
              </w:rPr>
              <w:t>代理费收取方式：转账。</w:t>
            </w:r>
          </w:p>
          <w:p w14:paraId="4DB55D47">
            <w:pPr>
              <w:wordWrap w:val="0"/>
              <w:spacing w:line="450" w:lineRule="exact"/>
              <w:rPr>
                <w:rFonts w:hint="eastAsia" w:ascii="宋体" w:hAnsi="宋体" w:eastAsia="宋体" w:cs="宋体"/>
                <w:color w:val="auto"/>
                <w:szCs w:val="21"/>
                <w:shd w:val="clear" w:color="050000" w:fill="auto"/>
                <w:lang w:eastAsia="zh-CN"/>
              </w:rPr>
            </w:pPr>
            <w:r>
              <w:rPr>
                <w:rFonts w:hint="eastAsia" w:ascii="宋体" w:hAnsi="宋体" w:cs="宋体"/>
                <w:color w:val="auto"/>
                <w:szCs w:val="21"/>
                <w:shd w:val="clear" w:color="050000" w:fill="auto"/>
              </w:rPr>
              <w:t>收款单位:</w:t>
            </w:r>
            <w:r>
              <w:rPr>
                <w:rFonts w:hint="eastAsia" w:ascii="宋体" w:hAnsi="宋体" w:cs="宋体"/>
                <w:color w:val="auto"/>
                <w:szCs w:val="21"/>
                <w:shd w:val="clear" w:color="050000" w:fill="auto"/>
                <w:lang w:eastAsia="zh-CN"/>
              </w:rPr>
              <w:t>精源国际工程咨询有限公司</w:t>
            </w:r>
          </w:p>
          <w:p w14:paraId="6B329C07">
            <w:pPr>
              <w:wordWrap w:val="0"/>
              <w:spacing w:line="450" w:lineRule="exact"/>
              <w:rPr>
                <w:rFonts w:ascii="宋体" w:hAnsi="宋体" w:cs="宋体"/>
                <w:color w:val="auto"/>
                <w:szCs w:val="21"/>
                <w:shd w:val="clear" w:color="050000" w:fill="auto"/>
              </w:rPr>
            </w:pPr>
            <w:r>
              <w:rPr>
                <w:rFonts w:hint="eastAsia" w:ascii="宋体" w:hAnsi="宋体" w:cs="宋体"/>
                <w:color w:val="auto"/>
                <w:szCs w:val="21"/>
                <w:shd w:val="clear" w:color="050000" w:fill="auto"/>
              </w:rPr>
              <w:t>开户行:郑州银行正光路支行</w:t>
            </w:r>
          </w:p>
          <w:p w14:paraId="24FBEABF">
            <w:pPr>
              <w:wordWrap w:val="0"/>
              <w:spacing w:line="450" w:lineRule="exact"/>
              <w:rPr>
                <w:rFonts w:ascii="宋体" w:hAnsi="宋体" w:cs="宋体"/>
                <w:color w:val="auto"/>
                <w:szCs w:val="21"/>
                <w:shd w:val="clear" w:color="050000" w:fill="auto"/>
              </w:rPr>
            </w:pPr>
            <w:r>
              <w:rPr>
                <w:rFonts w:hint="eastAsia" w:ascii="宋体" w:hAnsi="宋体" w:cs="宋体"/>
                <w:color w:val="auto"/>
                <w:szCs w:val="21"/>
                <w:shd w:val="clear" w:color="050000" w:fill="auto"/>
              </w:rPr>
              <w:t>账号：9380 1880 1116 8760 2</w:t>
            </w:r>
          </w:p>
        </w:tc>
      </w:tr>
      <w:tr w14:paraId="649D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D64D1DE">
            <w:pPr>
              <w:widowControl/>
              <w:wordWrap w:val="0"/>
              <w:autoSpaceDE w:val="0"/>
              <w:spacing w:line="450" w:lineRule="exact"/>
              <w:jc w:val="center"/>
              <w:rPr>
                <w:rFonts w:hint="eastAsia" w:ascii="宋体" w:hAnsi="宋体" w:eastAsia="宋体" w:cs="仿宋_GB2312"/>
                <w:color w:val="auto"/>
                <w:kern w:val="0"/>
                <w:szCs w:val="21"/>
                <w:lang w:eastAsia="zh-CN"/>
              </w:rPr>
            </w:pPr>
            <w:r>
              <w:rPr>
                <w:rFonts w:hint="eastAsia" w:ascii="宋体" w:hAnsi="宋体" w:cs="仿宋_GB2312"/>
                <w:color w:val="auto"/>
                <w:kern w:val="0"/>
                <w:szCs w:val="21"/>
              </w:rPr>
              <w:t>11.</w:t>
            </w:r>
            <w:r>
              <w:rPr>
                <w:rFonts w:hint="eastAsia" w:ascii="宋体" w:hAnsi="宋体" w:cs="仿宋_GB2312"/>
                <w:color w:val="auto"/>
                <w:kern w:val="0"/>
                <w:szCs w:val="21"/>
                <w:lang w:val="en-US" w:eastAsia="zh-CN"/>
              </w:rPr>
              <w:t>8</w:t>
            </w:r>
          </w:p>
        </w:tc>
        <w:tc>
          <w:tcPr>
            <w:tcW w:w="2410" w:type="dxa"/>
            <w:tcBorders>
              <w:top w:val="single" w:color="auto" w:sz="4" w:space="0"/>
              <w:left w:val="nil"/>
              <w:bottom w:val="single" w:color="auto" w:sz="4" w:space="0"/>
              <w:right w:val="single" w:color="auto" w:sz="4" w:space="0"/>
            </w:tcBorders>
            <w:vAlign w:val="center"/>
          </w:tcPr>
          <w:p w14:paraId="3DDF9B23">
            <w:pPr>
              <w:widowControl/>
              <w:wordWrap w:val="0"/>
              <w:autoSpaceDE w:val="0"/>
              <w:adjustRightInd w:val="0"/>
              <w:snapToGrid w:val="0"/>
              <w:spacing w:line="450" w:lineRule="exact"/>
              <w:jc w:val="center"/>
              <w:rPr>
                <w:rFonts w:ascii="宋体" w:hAnsi="宋体" w:cs="仿宋_GB2312"/>
                <w:color w:val="auto"/>
                <w:kern w:val="0"/>
                <w:szCs w:val="21"/>
              </w:rPr>
            </w:pPr>
            <w:r>
              <w:rPr>
                <w:rFonts w:hint="eastAsia" w:ascii="宋体" w:hAnsi="宋体" w:cs="仿宋_GB2312"/>
                <w:color w:val="auto"/>
                <w:kern w:val="0"/>
                <w:szCs w:val="21"/>
              </w:rPr>
              <w:t>其他补充内容</w:t>
            </w:r>
          </w:p>
        </w:tc>
        <w:tc>
          <w:tcPr>
            <w:tcW w:w="6798" w:type="dxa"/>
            <w:tcBorders>
              <w:top w:val="single" w:color="auto" w:sz="4" w:space="0"/>
              <w:left w:val="nil"/>
              <w:bottom w:val="single" w:color="auto" w:sz="4" w:space="0"/>
              <w:right w:val="single" w:color="auto" w:sz="4" w:space="0"/>
            </w:tcBorders>
            <w:vAlign w:val="center"/>
          </w:tcPr>
          <w:p w14:paraId="020C661A">
            <w:pPr>
              <w:widowControl/>
              <w:wordWrap w:val="0"/>
              <w:autoSpaceDE w:val="0"/>
              <w:adjustRightInd w:val="0"/>
              <w:snapToGrid w:val="0"/>
              <w:spacing w:line="450" w:lineRule="exact"/>
              <w:jc w:val="left"/>
              <w:rPr>
                <w:rFonts w:ascii="宋体" w:hAnsi="宋体" w:cs="仿宋_GB2312"/>
                <w:color w:val="auto"/>
                <w:kern w:val="0"/>
                <w:szCs w:val="21"/>
                <w:highlight w:val="none"/>
              </w:rPr>
            </w:pPr>
            <w:r>
              <w:rPr>
                <w:rFonts w:hint="eastAsia" w:ascii="宋体" w:hAnsi="宋体" w:cs="仿宋_GB2312"/>
                <w:color w:val="auto"/>
                <w:kern w:val="0"/>
                <w:szCs w:val="21"/>
                <w:highlight w:val="none"/>
              </w:rPr>
              <w:t>（1）招标人若发现评标委员会推举的中标候选人有借用资质、虚假投标或造假等行为时，招标人将报请有关监督部门取消其中标候选人资格或中标资格，没收其投标保证金。给招标人造成的损失超过其交纳的投标保证金数额的，还应当对超过部分予以赔偿；</w:t>
            </w:r>
          </w:p>
          <w:p w14:paraId="56ED3FB9">
            <w:pPr>
              <w:widowControl/>
              <w:wordWrap w:val="0"/>
              <w:autoSpaceDE w:val="0"/>
              <w:adjustRightInd w:val="0"/>
              <w:snapToGrid w:val="0"/>
              <w:spacing w:line="450" w:lineRule="exact"/>
              <w:jc w:val="left"/>
              <w:rPr>
                <w:rFonts w:ascii="宋体" w:hAnsi="宋体" w:cs="仿宋_GB2312"/>
                <w:color w:val="auto"/>
                <w:kern w:val="0"/>
                <w:szCs w:val="21"/>
                <w:highlight w:val="none"/>
              </w:rPr>
            </w:pPr>
            <w:r>
              <w:rPr>
                <w:rFonts w:hint="eastAsia" w:ascii="宋体" w:hAnsi="宋体" w:cs="仿宋_GB2312"/>
                <w:color w:val="auto"/>
                <w:kern w:val="0"/>
                <w:szCs w:val="21"/>
                <w:highlight w:val="none"/>
              </w:rPr>
              <w:t>（2）投标单位在投标文件中填报的工期为合同工期。中标后投标单位应采取一切措施予以保障。投标单位必须按其投标文件中填报的工期加上承发包双方确认的增加工期之和如期竣工；若因投标单位原因造成不能按期竣工的，投标单位应赔偿招标单位由于拖延工期所带来的损失费。</w:t>
            </w:r>
          </w:p>
          <w:p w14:paraId="0C8199F5">
            <w:pPr>
              <w:widowControl/>
              <w:wordWrap w:val="0"/>
              <w:autoSpaceDE w:val="0"/>
              <w:adjustRightInd w:val="0"/>
              <w:snapToGrid w:val="0"/>
              <w:spacing w:line="450" w:lineRule="exact"/>
              <w:jc w:val="left"/>
              <w:rPr>
                <w:rFonts w:ascii="宋体" w:hAnsi="宋体" w:cs="仿宋_GB2312"/>
                <w:color w:val="auto"/>
                <w:kern w:val="0"/>
                <w:szCs w:val="21"/>
                <w:highlight w:val="none"/>
              </w:rPr>
            </w:pPr>
            <w:r>
              <w:rPr>
                <w:rFonts w:hint="eastAsia" w:ascii="宋体" w:hAnsi="宋体" w:cs="仿宋_GB2312"/>
                <w:color w:val="auto"/>
                <w:kern w:val="0"/>
                <w:szCs w:val="21"/>
                <w:highlight w:val="none"/>
              </w:rPr>
              <w:t>（3）排名第一的中标候选人放弃中标、因不可抗力提出不能履行合同，招标文件规定应当提交履约保证金而在规定的期限内未提交的，或者存在违法行为被有关部门依法查处，且其违法行为影响中标结果的，招标人将报请政府监督管理部门取消其中标决定，并没收其投标保证金。在此情况下，招标人可以按照评标报告推荐的中标或成交候选人名单排序，确定下一候选人为中标或者成交供应商，也可以重新招标。</w:t>
            </w:r>
          </w:p>
        </w:tc>
      </w:tr>
      <w:tr w14:paraId="616A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F800C70">
            <w:pPr>
              <w:widowControl/>
              <w:wordWrap w:val="0"/>
              <w:autoSpaceDE w:val="0"/>
              <w:spacing w:line="450" w:lineRule="exact"/>
              <w:jc w:val="center"/>
              <w:rPr>
                <w:rFonts w:hint="default" w:ascii="宋体" w:hAnsi="宋体" w:cs="仿宋_GB2312"/>
                <w:color w:val="auto"/>
                <w:kern w:val="0"/>
                <w:szCs w:val="21"/>
                <w:lang w:val="en-US" w:eastAsia="zh-CN"/>
              </w:rPr>
            </w:pPr>
            <w:r>
              <w:rPr>
                <w:rFonts w:hint="eastAsia" w:ascii="宋体" w:hAnsi="宋体" w:cs="仿宋_GB2312"/>
                <w:color w:val="auto"/>
                <w:kern w:val="0"/>
                <w:szCs w:val="21"/>
                <w:lang w:val="en-US" w:eastAsia="zh-CN"/>
              </w:rPr>
              <w:t>11.9</w:t>
            </w:r>
          </w:p>
        </w:tc>
        <w:tc>
          <w:tcPr>
            <w:tcW w:w="2410" w:type="dxa"/>
            <w:tcBorders>
              <w:top w:val="single" w:color="auto" w:sz="4" w:space="0"/>
              <w:left w:val="nil"/>
              <w:bottom w:val="single" w:color="auto" w:sz="4" w:space="0"/>
              <w:right w:val="single" w:color="auto" w:sz="4" w:space="0"/>
            </w:tcBorders>
            <w:vAlign w:val="center"/>
          </w:tcPr>
          <w:p w14:paraId="2C139635">
            <w:pPr>
              <w:widowControl/>
              <w:wordWrap w:val="0"/>
              <w:autoSpaceDE w:val="0"/>
              <w:adjustRightInd w:val="0"/>
              <w:snapToGrid w:val="0"/>
              <w:spacing w:line="450" w:lineRule="exact"/>
              <w:jc w:val="center"/>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“暗标”评审</w:t>
            </w:r>
          </w:p>
        </w:tc>
        <w:tc>
          <w:tcPr>
            <w:tcW w:w="6798" w:type="dxa"/>
            <w:tcBorders>
              <w:top w:val="single" w:color="auto" w:sz="4" w:space="0"/>
              <w:left w:val="nil"/>
              <w:bottom w:val="single" w:color="auto" w:sz="4" w:space="0"/>
              <w:right w:val="single" w:color="auto" w:sz="4" w:space="0"/>
            </w:tcBorders>
            <w:vAlign w:val="center"/>
          </w:tcPr>
          <w:p w14:paraId="76FDBE7C">
            <w:pPr>
              <w:widowControl/>
              <w:wordWrap w:val="0"/>
              <w:autoSpaceDE w:val="0"/>
              <w:adjustRightInd w:val="0"/>
              <w:snapToGrid w:val="0"/>
              <w:spacing w:line="450" w:lineRule="exact"/>
              <w:jc w:val="left"/>
              <w:rPr>
                <w:rFonts w:hint="eastAsia" w:ascii="宋体" w:hAnsi="宋体" w:cs="仿宋_GB2312"/>
                <w:color w:val="auto"/>
                <w:kern w:val="0"/>
                <w:szCs w:val="21"/>
                <w:highlight w:val="none"/>
              </w:rPr>
            </w:pPr>
            <w:r>
              <w:rPr>
                <w:rFonts w:hint="eastAsia" w:ascii="宋体" w:hAnsi="宋体" w:cs="宋体"/>
                <w:b/>
                <w:bCs/>
                <w:color w:val="auto"/>
                <w:sz w:val="24"/>
              </w:rPr>
              <w:t>根据三公资【2020】62号文件要求，本次招标技术标（施工组织设计）暗标评审；“暗标”部分所有正文中均不得出现可识别投标人身份的任何字符、徽标（包括文字、符号、图案、标识、标志、人员姓名、企业名称、以往工程名称、投标人独有的标准名称或编号等），也不得出现其他具有标识性作用的符号、图案等。如有违反，按无效标处理。</w:t>
            </w:r>
          </w:p>
        </w:tc>
      </w:tr>
      <w:tr w14:paraId="08E4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E892C98">
            <w:pPr>
              <w:widowControl/>
              <w:wordWrap w:val="0"/>
              <w:autoSpaceDE w:val="0"/>
              <w:spacing w:line="450" w:lineRule="exact"/>
              <w:jc w:val="center"/>
              <w:rPr>
                <w:rFonts w:hint="default" w:ascii="宋体" w:hAnsi="宋体" w:eastAsia="宋体" w:cs="仿宋_GB2312"/>
                <w:b/>
                <w:bCs/>
                <w:color w:val="auto"/>
                <w:kern w:val="0"/>
                <w:szCs w:val="21"/>
                <w:lang w:val="en-US" w:eastAsia="zh-CN"/>
              </w:rPr>
            </w:pPr>
            <w:r>
              <w:rPr>
                <w:rFonts w:hint="eastAsia" w:ascii="宋体" w:hAnsi="宋体" w:cs="仿宋_GB2312"/>
                <w:b/>
                <w:bCs/>
                <w:color w:val="auto"/>
                <w:kern w:val="0"/>
                <w:szCs w:val="21"/>
              </w:rPr>
              <w:t>11.</w:t>
            </w:r>
            <w:r>
              <w:rPr>
                <w:rFonts w:hint="eastAsia" w:ascii="宋体" w:hAnsi="宋体" w:cs="仿宋_GB2312"/>
                <w:b/>
                <w:bCs/>
                <w:color w:val="auto"/>
                <w:kern w:val="0"/>
                <w:szCs w:val="21"/>
                <w:lang w:val="en-US" w:eastAsia="zh-CN"/>
              </w:rPr>
              <w:t>10</w:t>
            </w:r>
          </w:p>
        </w:tc>
        <w:tc>
          <w:tcPr>
            <w:tcW w:w="9208" w:type="dxa"/>
            <w:gridSpan w:val="2"/>
            <w:tcBorders>
              <w:top w:val="single" w:color="auto" w:sz="4" w:space="0"/>
              <w:left w:val="nil"/>
              <w:bottom w:val="single" w:color="auto" w:sz="4" w:space="0"/>
              <w:right w:val="single" w:color="auto" w:sz="4" w:space="0"/>
            </w:tcBorders>
            <w:vAlign w:val="center"/>
          </w:tcPr>
          <w:p w14:paraId="230AC62B">
            <w:pPr>
              <w:widowControl/>
              <w:wordWrap w:val="0"/>
              <w:autoSpaceDE w:val="0"/>
              <w:adjustRightInd w:val="0"/>
              <w:snapToGrid w:val="0"/>
              <w:spacing w:line="450" w:lineRule="exact"/>
              <w:jc w:val="left"/>
              <w:rPr>
                <w:rFonts w:ascii="宋体" w:hAnsi="宋体" w:cs="仿宋_GB2312"/>
                <w:b/>
                <w:bCs/>
                <w:color w:val="auto"/>
                <w:kern w:val="0"/>
                <w:szCs w:val="21"/>
              </w:rPr>
            </w:pPr>
            <w:r>
              <w:rPr>
                <w:rFonts w:hint="eastAsia" w:ascii="宋体" w:hAnsi="宋体" w:cs="仿宋_GB2312"/>
                <w:b/>
                <w:bCs/>
                <w:color w:val="auto"/>
                <w:kern w:val="0"/>
                <w:szCs w:val="21"/>
              </w:rPr>
              <w:t>电子化交易注意事项</w:t>
            </w:r>
          </w:p>
        </w:tc>
      </w:tr>
      <w:tr w14:paraId="70C0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201" w:type="dxa"/>
            <w:gridSpan w:val="3"/>
            <w:tcBorders>
              <w:top w:val="single" w:color="auto" w:sz="4" w:space="0"/>
              <w:left w:val="single" w:color="auto" w:sz="4" w:space="0"/>
              <w:bottom w:val="single" w:color="auto" w:sz="4" w:space="0"/>
              <w:right w:val="single" w:color="auto" w:sz="4" w:space="0"/>
            </w:tcBorders>
            <w:vAlign w:val="center"/>
          </w:tcPr>
          <w:p w14:paraId="007CD677">
            <w:pPr>
              <w:widowControl/>
              <w:wordWrap w:val="0"/>
              <w:autoSpaceDE w:val="0"/>
              <w:adjustRightInd w:val="0"/>
              <w:snapToGrid w:val="0"/>
              <w:spacing w:line="450" w:lineRule="exact"/>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温馨提示：本项目为电子化、无纸化交易项目，投标人</w:t>
            </w:r>
            <w:r>
              <w:rPr>
                <w:rFonts w:hint="eastAsia" w:ascii="宋体" w:hAnsi="宋体" w:cs="仿宋_GB2312"/>
                <w:color w:val="auto"/>
                <w:kern w:val="0"/>
                <w:szCs w:val="21"/>
                <w:lang w:val="en-US" w:eastAsia="zh-CN"/>
              </w:rPr>
              <w:t>投标</w:t>
            </w:r>
            <w:r>
              <w:rPr>
                <w:rFonts w:hint="eastAsia" w:ascii="宋体" w:hAnsi="宋体" w:cs="仿宋_GB2312"/>
                <w:color w:val="auto"/>
                <w:kern w:val="0"/>
                <w:szCs w:val="21"/>
              </w:rPr>
              <w:t>时不接受任何纸质资料，投标文件是投标人、供应商（以下简称“投标人”）通过中心投标文件制作系统制作，并经过电子签章和加密后生成的电子版投标文件。为保证您能投标成功，请需仔细阅读以下条款。</w:t>
            </w:r>
          </w:p>
          <w:p w14:paraId="7EEA120D">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一、电子化投标</w:t>
            </w:r>
          </w:p>
          <w:p w14:paraId="4BB94800">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（一）电子化投标文件的签章</w:t>
            </w:r>
          </w:p>
          <w:p w14:paraId="78E0836C">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1、投标人在生成电子化投标文件后，应对电子化投标文件进行签章，未进行签章的视为无效投标。</w:t>
            </w:r>
          </w:p>
          <w:p w14:paraId="27845EC4">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2、投标文件中要求法定代表人或授权委托人签字或盖章的，投标人在进行电子化投标文件签章时，以签盖法定代表人签章为准。电子化投标文件具体制作教材请投标人通过CA证书登录三门峡市公共资源电子化交易系统在右上角“交易智库”中查看。电子化投标文件工具请点击https://download.bqpoint.com/download/downloaddetail.html?SourceFrom=Ztb&amp;ZtbSoftXiaQuCode=1532&amp;ZtbSoftType=tballinclusive进行下载。</w:t>
            </w:r>
          </w:p>
          <w:p w14:paraId="2F8A8E7E">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（二）电子化投标文件的格式及上传投标</w:t>
            </w:r>
          </w:p>
          <w:p w14:paraId="7929D483">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1、投标人所上传的电子化投标文件，应是通过中心投标文件制作系统制作的，经过签章和加密后生成的电子版投标文件。其中包含用于投标文件上传的主文件（后缀为.smxtf）和用于应急补救的投标文件备份文件（后缀为.nsmxtf）。备份文件主要用于电子化开标出现技术问题后的补救，请投标人随身携带。</w:t>
            </w:r>
          </w:p>
          <w:p w14:paraId="0023E230">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2、电子化投标文件应在投标截止时间前成功上传至三门峡市公共资源电子化交易系统。至投标截止时间止，仍未上传成功的电子化投标文件将不予接收。</w:t>
            </w:r>
          </w:p>
          <w:p w14:paraId="2147633A">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56BEB879">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（三）电子化项目开标、解密、唱标、评标</w:t>
            </w:r>
          </w:p>
          <w:p w14:paraId="353BE1EF">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1、本项目采用电子化、无纸化进行招标，开标当日，投标人无需到开标现场参加开标会议，投标人应当在投标截止时间前，登陆不见面开标大厅选择登陆三门峡市公共资源电子招投标系统进行登陆（网址为</w:t>
            </w:r>
            <w:r>
              <w:rPr>
                <w:rFonts w:hint="eastAsia" w:ascii="宋体" w:hAnsi="宋体" w:cs="宋体"/>
                <w:color w:val="auto"/>
                <w:szCs w:val="21"/>
              </w:rPr>
              <w:t>http://120.194.249.36:10094/BidOpening/bidopeninghallaction/hall/login</w:t>
            </w:r>
            <w:r>
              <w:rPr>
                <w:rFonts w:hint="eastAsia" w:ascii="宋体" w:hAnsi="宋体" w:cs="仿宋_GB2312"/>
                <w:color w:val="auto"/>
                <w:kern w:val="0"/>
                <w:szCs w:val="21"/>
              </w:rPr>
              <w:t>）,在线准时参加开标活动并进行投标文件解密等。</w:t>
            </w:r>
          </w:p>
          <w:p w14:paraId="07E72495">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2、电子化投标文件采用一次加密方式。开标时，由投标人使用CA证书，在规定时间内对其电子化投标文件进行解密。每位投标人的解密时间为开标时间起30分钟内，如在规定时间内未完成解密的，其投标文件不予开标、唱标。</w:t>
            </w:r>
          </w:p>
          <w:p w14:paraId="38131F61">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3、电子化投标文件解密异常的处理</w:t>
            </w:r>
          </w:p>
          <w:p w14:paraId="65120774">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如出现投标人的电子投标文件无法解密等异常情况，投标人应及时通过开标大厅对话框向中介服务机构说明。投标文件异常，按以下步骤进行处理：</w:t>
            </w:r>
          </w:p>
          <w:p w14:paraId="2B3DC668">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（1）首先由技术人员进行问题排查。</w:t>
            </w:r>
          </w:p>
          <w:p w14:paraId="46AAB11E">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（2）经技术人员排查后，是投标人文件自身问题导致投标文件无法解密的，该投标文件将不予接收、解密和唱标。开标会议继续进行。</w:t>
            </w:r>
          </w:p>
          <w:p w14:paraId="0973930D">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600A5251">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4、待所有投标人投标文件解密完成后，由中介服务机构操作，对所有已解密投标文件进行唱标。</w:t>
            </w:r>
          </w:p>
          <w:p w14:paraId="5A62D284">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投标人应保证在开标期间电脑、网络能够正常工作，投标人因停电、电脑病毒、网络堵塞等原因，未在规定的解密时间内对投标文件进行解密的，其投标文件不予接收、唱标。</w:t>
            </w:r>
          </w:p>
          <w:p w14:paraId="00931001">
            <w:pPr>
              <w:widowControl/>
              <w:numPr>
                <w:ilvl w:val="0"/>
                <w:numId w:val="2"/>
              </w:numPr>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开标时投标人可登录到交易系统中在开标大厅中点击开标一览表查看自己的投标</w:t>
            </w:r>
            <w:r>
              <w:rPr>
                <w:rFonts w:hint="eastAsia" w:ascii="宋体" w:hAnsi="宋体" w:cs="仿宋_GB2312"/>
                <w:color w:val="auto"/>
                <w:kern w:val="0"/>
                <w:szCs w:val="21"/>
                <w:lang w:val="en-US" w:eastAsia="zh-CN"/>
              </w:rPr>
              <w:t>总</w:t>
            </w:r>
            <w:r>
              <w:rPr>
                <w:rFonts w:hint="eastAsia" w:ascii="宋体" w:hAnsi="宋体" w:cs="仿宋_GB2312"/>
                <w:color w:val="auto"/>
                <w:kern w:val="0"/>
                <w:szCs w:val="21"/>
              </w:rPr>
              <w:t>报价。如对自己的唱标内容</w:t>
            </w:r>
            <w:r>
              <w:rPr>
                <w:rFonts w:hint="eastAsia" w:ascii="宋体" w:hAnsi="宋体" w:cs="仿宋_GB2312"/>
                <w:color w:val="auto"/>
                <w:kern w:val="0"/>
                <w:szCs w:val="21"/>
                <w:highlight w:val="none"/>
              </w:rPr>
              <w:t>有异议的，应在唱标内容显示后10分钟内向中介服务</w:t>
            </w:r>
            <w:r>
              <w:rPr>
                <w:rFonts w:hint="eastAsia" w:ascii="宋体" w:hAnsi="宋体" w:cs="仿宋_GB2312"/>
                <w:color w:val="auto"/>
                <w:kern w:val="0"/>
                <w:szCs w:val="21"/>
              </w:rPr>
              <w:t>机构通过开标大厅对话框提出质疑。中介服务机构做好书面记录。投标人未在规定时间内提出质疑的，视为认可唱标内容。</w:t>
            </w:r>
          </w:p>
          <w:p w14:paraId="3B6EA86E">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6、评标时，评标委员会对电子化投标文件有质疑的，将通过电子化交易系统对投标人发起质疑，投标人的回复文件必须以经过投标人和其法定代表人签章的PDF格式文件为准，并通过电子化交易系统提交至评标委员会。</w:t>
            </w:r>
          </w:p>
          <w:p w14:paraId="4A953DFC">
            <w:pPr>
              <w:widowControl/>
              <w:wordWrap w:val="0"/>
              <w:autoSpaceDE w:val="0"/>
              <w:adjustRightInd w:val="0"/>
              <w:snapToGrid w:val="0"/>
              <w:spacing w:line="450" w:lineRule="exact"/>
              <w:jc w:val="left"/>
              <w:rPr>
                <w:rFonts w:ascii="宋体" w:hAnsi="宋体" w:cs="仿宋_GB2312"/>
                <w:color w:val="auto"/>
                <w:kern w:val="0"/>
                <w:szCs w:val="21"/>
              </w:rPr>
            </w:pPr>
            <w:r>
              <w:rPr>
                <w:rFonts w:hint="eastAsia" w:ascii="宋体" w:hAnsi="宋体" w:cs="仿宋_GB2312"/>
                <w:color w:val="auto"/>
                <w:kern w:val="0"/>
                <w:szCs w:val="21"/>
              </w:rPr>
              <w:t>7、如评标委员会对需要回复的投标人在规定时间内通过电子化交易系统未收到回复的，视为投标人放弃回复，评标委员会将自行对需要回复的内容进行认定。</w:t>
            </w:r>
            <w:r>
              <w:rPr>
                <w:rFonts w:hint="eastAsia" w:ascii="宋体" w:hAnsi="宋体" w:cs="宋体"/>
                <w:b/>
                <w:color w:val="auto"/>
                <w:szCs w:val="21"/>
              </w:rPr>
              <w:t>提示：本项目为电子化、无纸化交易项目，为保证您能投标成功，请需仔细阅读以上条款。</w:t>
            </w:r>
          </w:p>
        </w:tc>
      </w:tr>
    </w:tbl>
    <w:p w14:paraId="432834B3">
      <w:pPr>
        <w:spacing w:line="360" w:lineRule="auto"/>
        <w:ind w:hanging="3"/>
        <w:outlineLvl w:val="1"/>
        <w:rPr>
          <w:rFonts w:ascii="宋体" w:hAnsi="宋体" w:cs="宋体"/>
          <w:b/>
          <w:color w:val="auto"/>
          <w:sz w:val="28"/>
        </w:rPr>
        <w:sectPr>
          <w:footerReference r:id="rId4" w:type="default"/>
          <w:pgSz w:w="11906" w:h="16838"/>
          <w:pgMar w:top="1588" w:right="1701" w:bottom="1418" w:left="1701" w:header="851" w:footer="851" w:gutter="0"/>
          <w:pgBorders>
            <w:top w:val="none" w:sz="0" w:space="0"/>
            <w:left w:val="none" w:sz="0" w:space="0"/>
            <w:bottom w:val="none" w:sz="0" w:space="0"/>
            <w:right w:val="none" w:sz="0" w:space="0"/>
          </w:pgBorders>
          <w:pgNumType w:start="1"/>
          <w:cols w:space="720" w:num="1"/>
          <w:docGrid w:type="lines" w:linePitch="312" w:charSpace="0"/>
        </w:sectPr>
      </w:pPr>
    </w:p>
    <w:bookmarkEnd w:id="43"/>
    <w:bookmarkEnd w:id="44"/>
    <w:bookmarkEnd w:id="45"/>
    <w:p w14:paraId="5D7A660F">
      <w:pPr>
        <w:spacing w:line="360" w:lineRule="auto"/>
        <w:jc w:val="center"/>
        <w:outlineLvl w:val="1"/>
        <w:rPr>
          <w:rFonts w:ascii="宋体" w:hAnsi="宋体" w:cs="宋体"/>
          <w:color w:val="auto"/>
          <w:sz w:val="28"/>
          <w:szCs w:val="28"/>
        </w:rPr>
      </w:pPr>
      <w:bookmarkStart w:id="51" w:name="_Toc16639"/>
      <w:bookmarkStart w:id="52" w:name="_Toc2694"/>
      <w:bookmarkStart w:id="53" w:name="_Toc26127"/>
      <w:bookmarkStart w:id="54" w:name="_Toc9375"/>
      <w:bookmarkStart w:id="55" w:name="_Toc16545"/>
      <w:bookmarkStart w:id="56" w:name="_Toc32611"/>
      <w:bookmarkStart w:id="57" w:name="_Toc7539"/>
      <w:bookmarkStart w:id="58" w:name="_Toc4576"/>
      <w:r>
        <w:rPr>
          <w:rFonts w:hint="eastAsia" w:ascii="宋体" w:hAnsi="宋体" w:cs="宋体"/>
          <w:b/>
          <w:bCs/>
          <w:color w:val="auto"/>
          <w:sz w:val="28"/>
          <w:szCs w:val="28"/>
        </w:rPr>
        <w:t>投标人须知正文部分</w:t>
      </w:r>
      <w:bookmarkEnd w:id="51"/>
      <w:bookmarkEnd w:id="52"/>
      <w:bookmarkEnd w:id="53"/>
      <w:bookmarkEnd w:id="54"/>
      <w:bookmarkEnd w:id="55"/>
      <w:bookmarkEnd w:id="56"/>
      <w:bookmarkEnd w:id="57"/>
      <w:bookmarkEnd w:id="58"/>
    </w:p>
    <w:p w14:paraId="16112713">
      <w:pPr>
        <w:widowControl/>
        <w:wordWrap w:val="0"/>
        <w:spacing w:line="450" w:lineRule="exact"/>
        <w:ind w:firstLine="422" w:firstLineChars="200"/>
        <w:outlineLvl w:val="2"/>
        <w:rPr>
          <w:rFonts w:ascii="宋体" w:hAnsi="宋体" w:cs="仿宋_GB2312"/>
          <w:b/>
          <w:color w:val="auto"/>
          <w:szCs w:val="21"/>
        </w:rPr>
      </w:pPr>
      <w:bookmarkStart w:id="59" w:name="_Toc191031430"/>
      <w:bookmarkStart w:id="60" w:name="_Toc191031383"/>
      <w:bookmarkStart w:id="61" w:name="_Toc204691576"/>
      <w:r>
        <w:rPr>
          <w:rFonts w:hint="eastAsia" w:ascii="宋体" w:hAnsi="宋体" w:cs="仿宋_GB2312"/>
          <w:b/>
          <w:color w:val="auto"/>
          <w:szCs w:val="21"/>
        </w:rPr>
        <w:t>1．总则</w:t>
      </w:r>
      <w:bookmarkEnd w:id="59"/>
      <w:bookmarkEnd w:id="60"/>
      <w:bookmarkEnd w:id="61"/>
    </w:p>
    <w:p w14:paraId="554240BC">
      <w:pPr>
        <w:widowControl/>
        <w:wordWrap w:val="0"/>
        <w:spacing w:line="450" w:lineRule="exact"/>
        <w:ind w:firstLine="422" w:firstLineChars="200"/>
        <w:outlineLvl w:val="3"/>
        <w:rPr>
          <w:rFonts w:ascii="宋体" w:hAnsi="宋体" w:cs="仿宋_GB2312"/>
          <w:b/>
          <w:color w:val="auto"/>
          <w:kern w:val="0"/>
          <w:szCs w:val="21"/>
        </w:rPr>
      </w:pPr>
      <w:r>
        <w:rPr>
          <w:rFonts w:hint="eastAsia" w:ascii="宋体" w:hAnsi="宋体" w:cs="仿宋_GB2312"/>
          <w:b/>
          <w:color w:val="auto"/>
          <w:szCs w:val="21"/>
        </w:rPr>
        <w:t>1.1项目概况</w:t>
      </w:r>
    </w:p>
    <w:p w14:paraId="42D4ED12">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1.1.1根据《中华人民共和国招标投标法》、《中华人民共和国招标投标法实施条例》等有关法律、法规和规章的规定，本招标项目已具备招标条件，现对本项目施工进行招标。</w:t>
      </w:r>
    </w:p>
    <w:p w14:paraId="5A67E1BC">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1.1.2本项目招标人：见投标人须知前附表。</w:t>
      </w:r>
    </w:p>
    <w:p w14:paraId="32677725">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1.1.3本项目招标代理机构：见投标人须知前附表。</w:t>
      </w:r>
    </w:p>
    <w:p w14:paraId="1B60C6FB">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1.1.4本项目名称：见投标人须知前附表。</w:t>
      </w:r>
    </w:p>
    <w:p w14:paraId="27EEA0DC">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1.1.5本项目建设地点：见投标人须知前附表。</w:t>
      </w:r>
    </w:p>
    <w:p w14:paraId="42ED9C46">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1.2资金来源和落实情况</w:t>
      </w:r>
    </w:p>
    <w:p w14:paraId="787BDBE6">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1.2.1本招标项目的资金来源：见投标人须知前附表。</w:t>
      </w:r>
    </w:p>
    <w:p w14:paraId="18F09878">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1.2.2本招标项目的资金落实情况：见投标人须知前附表。</w:t>
      </w:r>
    </w:p>
    <w:p w14:paraId="156F5789">
      <w:pPr>
        <w:widowControl/>
        <w:wordWrap w:val="0"/>
        <w:spacing w:line="450" w:lineRule="exact"/>
        <w:ind w:firstLine="422" w:firstLineChars="200"/>
        <w:outlineLvl w:val="3"/>
        <w:rPr>
          <w:rFonts w:hint="eastAsia" w:ascii="宋体" w:hAnsi="宋体" w:eastAsia="宋体" w:cs="仿宋_GB2312"/>
          <w:b/>
          <w:color w:val="auto"/>
          <w:szCs w:val="21"/>
          <w:lang w:val="en-US" w:eastAsia="zh-CN"/>
        </w:rPr>
      </w:pPr>
      <w:r>
        <w:rPr>
          <w:rFonts w:hint="eastAsia" w:ascii="宋体" w:hAnsi="宋体" w:cs="仿宋_GB2312"/>
          <w:b/>
          <w:color w:val="auto"/>
          <w:szCs w:val="21"/>
        </w:rPr>
        <w:t>1.3招标范围、计划工期、质量要求</w:t>
      </w:r>
      <w:r>
        <w:rPr>
          <w:rFonts w:hint="eastAsia" w:ascii="宋体" w:hAnsi="宋体" w:cs="仿宋_GB2312"/>
          <w:b/>
          <w:color w:val="auto"/>
          <w:szCs w:val="21"/>
          <w:lang w:val="en-US" w:eastAsia="zh-CN"/>
        </w:rPr>
        <w:t>等</w:t>
      </w:r>
    </w:p>
    <w:p w14:paraId="7FEAA0F9">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1.3.1本次招标范围：见投标人须知前附表。</w:t>
      </w:r>
    </w:p>
    <w:p w14:paraId="2C9C7D4C">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1.3.2本项目的计划工期：见投标人须知前附表。</w:t>
      </w:r>
    </w:p>
    <w:p w14:paraId="162C42C6">
      <w:pPr>
        <w:widowControl/>
        <w:wordWrap w:val="0"/>
        <w:spacing w:line="450" w:lineRule="exact"/>
        <w:ind w:firstLine="420" w:firstLineChars="200"/>
        <w:jc w:val="left"/>
        <w:rPr>
          <w:rFonts w:ascii="宋体" w:hAnsi="宋体" w:cs="仿宋_GB2312"/>
          <w:color w:val="auto"/>
          <w:kern w:val="0"/>
          <w:szCs w:val="21"/>
          <w:highlight w:val="none"/>
        </w:rPr>
      </w:pPr>
      <w:r>
        <w:rPr>
          <w:rFonts w:hint="eastAsia" w:ascii="宋体" w:hAnsi="宋体" w:cs="仿宋_GB2312"/>
          <w:color w:val="auto"/>
          <w:kern w:val="0"/>
          <w:szCs w:val="21"/>
          <w:highlight w:val="none"/>
        </w:rPr>
        <w:t>1.3.3本项目的质量要求：见投标人须知前附表。</w:t>
      </w:r>
    </w:p>
    <w:p w14:paraId="15597B1B">
      <w:pPr>
        <w:wordWrap w:val="0"/>
        <w:spacing w:line="450" w:lineRule="exact"/>
        <w:ind w:firstLine="420" w:firstLineChars="200"/>
        <w:rPr>
          <w:rFonts w:ascii="宋体" w:hAnsi="宋体"/>
          <w:color w:val="auto"/>
          <w:szCs w:val="21"/>
          <w:highlight w:val="none"/>
        </w:rPr>
      </w:pPr>
      <w:r>
        <w:rPr>
          <w:rFonts w:hint="eastAsia" w:ascii="宋体" w:hAnsi="宋体"/>
          <w:color w:val="auto"/>
          <w:szCs w:val="21"/>
          <w:highlight w:val="none"/>
        </w:rPr>
        <w:t>1.3.4本标段的工程保修期：见投标人须知前附表。</w:t>
      </w:r>
    </w:p>
    <w:p w14:paraId="079A7D16">
      <w:pPr>
        <w:wordWrap w:val="0"/>
        <w:spacing w:line="450" w:lineRule="exact"/>
        <w:ind w:firstLine="420" w:firstLineChars="200"/>
        <w:rPr>
          <w:rFonts w:ascii="宋体" w:hAnsi="宋体"/>
          <w:color w:val="auto"/>
          <w:szCs w:val="21"/>
          <w:highlight w:val="none"/>
        </w:rPr>
      </w:pPr>
      <w:r>
        <w:rPr>
          <w:rFonts w:hint="eastAsia" w:ascii="宋体" w:hAnsi="宋体"/>
          <w:color w:val="auto"/>
          <w:szCs w:val="21"/>
          <w:highlight w:val="none"/>
        </w:rPr>
        <w:t>1.3.</w:t>
      </w:r>
      <w:r>
        <w:rPr>
          <w:rFonts w:hint="eastAsia" w:ascii="宋体" w:hAnsi="宋体"/>
          <w:color w:val="auto"/>
          <w:szCs w:val="21"/>
          <w:highlight w:val="none"/>
          <w:lang w:val="en-US" w:eastAsia="zh-CN"/>
        </w:rPr>
        <w:t>5</w:t>
      </w:r>
      <w:r>
        <w:rPr>
          <w:rFonts w:hint="eastAsia" w:ascii="宋体" w:hAnsi="宋体"/>
          <w:color w:val="auto"/>
          <w:szCs w:val="21"/>
          <w:highlight w:val="none"/>
        </w:rPr>
        <w:t>本标段的</w:t>
      </w:r>
      <w:r>
        <w:rPr>
          <w:rFonts w:hint="eastAsia" w:ascii="宋体" w:hAnsi="宋体" w:cs="仿宋_GB2312"/>
          <w:color w:val="auto"/>
          <w:kern w:val="0"/>
          <w:szCs w:val="21"/>
          <w:highlight w:val="none"/>
        </w:rPr>
        <w:t>缺陷责任期：</w:t>
      </w:r>
      <w:r>
        <w:rPr>
          <w:rFonts w:hint="eastAsia" w:ascii="宋体" w:hAnsi="宋体"/>
          <w:color w:val="auto"/>
          <w:szCs w:val="21"/>
          <w:highlight w:val="none"/>
        </w:rPr>
        <w:t>见投标人须知前附表。</w:t>
      </w:r>
    </w:p>
    <w:p w14:paraId="4D8A8C9D">
      <w:pPr>
        <w:wordWrap w:val="0"/>
        <w:spacing w:line="450" w:lineRule="exact"/>
        <w:ind w:firstLine="420" w:firstLineChars="200"/>
        <w:rPr>
          <w:rFonts w:ascii="宋体" w:hAnsi="宋体"/>
          <w:color w:val="auto"/>
          <w:szCs w:val="21"/>
          <w:highlight w:val="none"/>
        </w:rPr>
      </w:pPr>
      <w:r>
        <w:rPr>
          <w:rFonts w:hint="eastAsia" w:ascii="宋体" w:hAnsi="宋体"/>
          <w:color w:val="auto"/>
          <w:szCs w:val="21"/>
          <w:highlight w:val="none"/>
        </w:rPr>
        <w:t>1.3.</w:t>
      </w:r>
      <w:r>
        <w:rPr>
          <w:rFonts w:hint="eastAsia" w:ascii="宋体" w:hAnsi="宋体"/>
          <w:color w:val="auto"/>
          <w:szCs w:val="21"/>
          <w:highlight w:val="none"/>
          <w:lang w:val="en-US" w:eastAsia="zh-CN"/>
        </w:rPr>
        <w:t>6</w:t>
      </w:r>
      <w:r>
        <w:rPr>
          <w:rFonts w:hint="eastAsia" w:ascii="宋体" w:hAnsi="宋体"/>
          <w:color w:val="auto"/>
          <w:szCs w:val="21"/>
          <w:highlight w:val="none"/>
        </w:rPr>
        <w:t>本标段的</w:t>
      </w:r>
      <w:r>
        <w:rPr>
          <w:rFonts w:hint="eastAsia" w:ascii="宋体" w:hAnsi="宋体" w:cs="仿宋_GB2312"/>
          <w:color w:val="auto"/>
          <w:kern w:val="0"/>
          <w:szCs w:val="21"/>
          <w:highlight w:val="none"/>
        </w:rPr>
        <w:t>安全目标：</w:t>
      </w:r>
      <w:r>
        <w:rPr>
          <w:rFonts w:hint="eastAsia" w:ascii="宋体" w:hAnsi="宋体"/>
          <w:color w:val="auto"/>
          <w:szCs w:val="21"/>
          <w:highlight w:val="none"/>
        </w:rPr>
        <w:t>见投标人须知前附表。</w:t>
      </w:r>
    </w:p>
    <w:p w14:paraId="6CADDB62">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1.4投标人资格要求</w:t>
      </w:r>
    </w:p>
    <w:p w14:paraId="7ED18562">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1.4.1投标人应具备承担本项目施工的资质条件、能力和信誉。</w:t>
      </w:r>
    </w:p>
    <w:p w14:paraId="5225D39E">
      <w:pPr>
        <w:wordWrap w:val="0"/>
        <w:spacing w:line="450" w:lineRule="exact"/>
        <w:ind w:firstLine="420" w:firstLineChars="200"/>
        <w:rPr>
          <w:rFonts w:ascii="宋体" w:hAnsi="宋体"/>
          <w:color w:val="auto"/>
          <w:szCs w:val="21"/>
        </w:rPr>
      </w:pPr>
      <w:r>
        <w:rPr>
          <w:rFonts w:hint="eastAsia" w:ascii="宋体" w:hAnsi="宋体"/>
          <w:color w:val="auto"/>
          <w:szCs w:val="21"/>
        </w:rPr>
        <w:t>（1）资质条件：见投标人须知前附表；</w:t>
      </w:r>
    </w:p>
    <w:p w14:paraId="35D0CBF7">
      <w:pPr>
        <w:wordWrap w:val="0"/>
        <w:spacing w:line="450" w:lineRule="exact"/>
        <w:ind w:firstLine="420" w:firstLineChars="200"/>
        <w:rPr>
          <w:rFonts w:ascii="宋体" w:hAnsi="宋体"/>
          <w:color w:val="auto"/>
          <w:szCs w:val="21"/>
          <w:highlight w:val="none"/>
        </w:rPr>
      </w:pPr>
      <w:r>
        <w:rPr>
          <w:rFonts w:hint="eastAsia" w:ascii="宋体" w:hAnsi="宋体"/>
          <w:color w:val="auto"/>
          <w:szCs w:val="21"/>
        </w:rPr>
        <w:t>（2</w:t>
      </w:r>
      <w:r>
        <w:rPr>
          <w:rFonts w:hint="eastAsia" w:ascii="宋体" w:hAnsi="宋体"/>
          <w:color w:val="auto"/>
          <w:szCs w:val="21"/>
          <w:highlight w:val="none"/>
        </w:rPr>
        <w:t>）项目经理资格：见投标人须知前附表；</w:t>
      </w:r>
    </w:p>
    <w:p w14:paraId="7A89ADD6">
      <w:pPr>
        <w:wordWrap w:val="0"/>
        <w:spacing w:line="450" w:lineRule="exact"/>
        <w:ind w:firstLine="420" w:firstLineChars="200"/>
        <w:rPr>
          <w:rFonts w:ascii="宋体" w:hAnsi="宋体"/>
          <w:color w:val="auto"/>
          <w:szCs w:val="21"/>
          <w:highlight w:val="none"/>
        </w:rPr>
      </w:pPr>
      <w:r>
        <w:rPr>
          <w:rFonts w:hint="eastAsia" w:ascii="宋体" w:hAnsi="宋体"/>
          <w:color w:val="auto"/>
          <w:szCs w:val="21"/>
          <w:highlight w:val="none"/>
        </w:rPr>
        <w:t>（3）财务要求：见投标人须知前附表；</w:t>
      </w:r>
    </w:p>
    <w:p w14:paraId="25B40592">
      <w:pPr>
        <w:wordWrap w:val="0"/>
        <w:spacing w:line="450" w:lineRule="exact"/>
        <w:ind w:firstLine="420" w:firstLineChars="200"/>
        <w:rPr>
          <w:rFonts w:ascii="宋体" w:hAnsi="宋体"/>
          <w:color w:val="auto"/>
          <w:szCs w:val="21"/>
        </w:rPr>
      </w:pPr>
      <w:r>
        <w:rPr>
          <w:rFonts w:hint="eastAsia" w:ascii="宋体" w:hAnsi="宋体"/>
          <w:color w:val="auto"/>
          <w:szCs w:val="21"/>
        </w:rPr>
        <w:t>（4）信誉要求：见投标人须知前附表；</w:t>
      </w:r>
    </w:p>
    <w:p w14:paraId="6274B8C0">
      <w:pPr>
        <w:wordWrap w:val="0"/>
        <w:spacing w:line="450" w:lineRule="exact"/>
        <w:ind w:firstLine="420" w:firstLineChars="200"/>
        <w:rPr>
          <w:rFonts w:ascii="宋体" w:hAnsi="宋体"/>
          <w:color w:val="auto"/>
          <w:szCs w:val="21"/>
        </w:rPr>
      </w:pPr>
      <w:r>
        <w:rPr>
          <w:rFonts w:hint="eastAsia" w:ascii="宋体" w:hAnsi="宋体"/>
          <w:color w:val="auto"/>
          <w:szCs w:val="21"/>
        </w:rPr>
        <w:t>（5）其他要求：见投标人须知前附表。</w:t>
      </w:r>
    </w:p>
    <w:p w14:paraId="3D1CE27E">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1.4.2本项目</w:t>
      </w:r>
      <w:r>
        <w:rPr>
          <w:rFonts w:hint="eastAsia" w:ascii="宋体" w:hAnsi="宋体" w:cs="仿宋_GB2312"/>
          <w:color w:val="auto"/>
          <w:kern w:val="0"/>
          <w:szCs w:val="21"/>
          <w:lang w:val="en-US" w:eastAsia="zh-CN"/>
        </w:rPr>
        <w:t>不</w:t>
      </w:r>
      <w:r>
        <w:rPr>
          <w:rFonts w:hint="eastAsia" w:ascii="宋体" w:hAnsi="宋体" w:cs="仿宋_GB2312"/>
          <w:color w:val="auto"/>
          <w:kern w:val="0"/>
          <w:szCs w:val="21"/>
        </w:rPr>
        <w:t>接受联合体投标。</w:t>
      </w:r>
    </w:p>
    <w:p w14:paraId="14F1097C">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1.4.3投标人不得存在下列情形之一：</w:t>
      </w:r>
    </w:p>
    <w:p w14:paraId="05BD8218">
      <w:pPr>
        <w:widowControl/>
        <w:wordWrap w:val="0"/>
        <w:spacing w:line="450" w:lineRule="exact"/>
        <w:ind w:firstLine="420" w:firstLineChars="200"/>
        <w:jc w:val="left"/>
        <w:rPr>
          <w:rFonts w:hint="eastAsia" w:ascii="宋体" w:hAnsi="宋体" w:eastAsia="宋体" w:cs="仿宋_GB2312"/>
          <w:color w:val="auto"/>
          <w:kern w:val="0"/>
          <w:szCs w:val="21"/>
          <w:lang w:eastAsia="zh-CN"/>
        </w:rPr>
      </w:pPr>
      <w:r>
        <w:rPr>
          <w:rFonts w:hint="eastAsia" w:ascii="宋体" w:hAnsi="宋体" w:cs="仿宋_GB2312"/>
          <w:color w:val="auto"/>
          <w:kern w:val="0"/>
          <w:szCs w:val="21"/>
        </w:rPr>
        <w:t>(l）为招标人不具有独立法人资格的附属机构（单位）;</w:t>
      </w:r>
    </w:p>
    <w:p w14:paraId="12523007">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(2）为本项目前期准备提供设计或咨询服务的，但设计施工总承包的除外；</w:t>
      </w:r>
    </w:p>
    <w:p w14:paraId="077AFE57">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(3）为本项目的监理人；</w:t>
      </w:r>
    </w:p>
    <w:p w14:paraId="093E58E7">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(4）为本项目的代建人；</w:t>
      </w:r>
    </w:p>
    <w:p w14:paraId="1507934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(5）为本项目提供招标代理服务的；</w:t>
      </w:r>
    </w:p>
    <w:p w14:paraId="22B73C4E">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(6）与本项目的监理人或代建人或招标代理机构同为一个法定代表人的；</w:t>
      </w:r>
    </w:p>
    <w:p w14:paraId="1CF776D1">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(7）与本项目的监理人或代建人或招标代理机构相互控股的；</w:t>
      </w:r>
    </w:p>
    <w:p w14:paraId="36A992A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(8）与本项目的监理人或代建人或招标代理机构为同一实际控制人的；</w:t>
      </w:r>
    </w:p>
    <w:p w14:paraId="7C22CD01">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(9）被责令停业的；</w:t>
      </w:r>
    </w:p>
    <w:p w14:paraId="39075760">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(10）被暂停或取消投标资格的；</w:t>
      </w:r>
    </w:p>
    <w:p w14:paraId="4309E97F">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(11）财产被接管或冻结的；</w:t>
      </w:r>
    </w:p>
    <w:p w14:paraId="190564AA">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(12）在最近三年内有骗取中标或严重违约或重大工程质量问题的。</w:t>
      </w:r>
    </w:p>
    <w:p w14:paraId="477ED92D">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1.5费用承担</w:t>
      </w:r>
    </w:p>
    <w:p w14:paraId="1CF99A8B">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投标人准备和参加投标活动发生的费用自理。</w:t>
      </w:r>
    </w:p>
    <w:p w14:paraId="18B1B239">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1.6保密</w:t>
      </w:r>
    </w:p>
    <w:p w14:paraId="20597C5F">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参与招标投标活动的各方应对招标文件和投标文件中的商业和技术等秘密保密，违者应对由此造成的后果承担法律责任。</w:t>
      </w:r>
    </w:p>
    <w:p w14:paraId="29FB154E">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1.7语言文字</w:t>
      </w:r>
    </w:p>
    <w:p w14:paraId="4327DB03">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除专用术语外，与招标投标有关的语言均使用中文。必要时专用术语应附有中文注释。</w:t>
      </w:r>
    </w:p>
    <w:p w14:paraId="5B23208D">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1.8计量单位</w:t>
      </w:r>
    </w:p>
    <w:p w14:paraId="574484D5">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所有计量均采用中华人民共和国法定计量单位。</w:t>
      </w:r>
    </w:p>
    <w:p w14:paraId="221F5196">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1.9踏勘现场</w:t>
      </w:r>
    </w:p>
    <w:p w14:paraId="6F47CE76">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不组织</w:t>
      </w:r>
    </w:p>
    <w:p w14:paraId="4A7AE14E">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1.10投标预备会</w:t>
      </w:r>
    </w:p>
    <w:p w14:paraId="4DFF357C">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不组织</w:t>
      </w:r>
    </w:p>
    <w:p w14:paraId="09842DE6">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1.11分包</w:t>
      </w:r>
    </w:p>
    <w:p w14:paraId="29637A42">
      <w:pPr>
        <w:wordWrap w:val="0"/>
        <w:spacing w:line="450" w:lineRule="exact"/>
        <w:ind w:firstLine="420" w:firstLineChars="200"/>
        <w:rPr>
          <w:rFonts w:ascii="宋体" w:hAnsi="宋体"/>
          <w:color w:val="auto"/>
          <w:szCs w:val="21"/>
        </w:rPr>
      </w:pPr>
      <w:r>
        <w:rPr>
          <w:rFonts w:hint="eastAsia" w:ascii="宋体" w:hAnsi="宋体" w:cs="仿宋_GB2312"/>
          <w:color w:val="auto"/>
          <w:kern w:val="0"/>
          <w:szCs w:val="21"/>
        </w:rPr>
        <w:t>不允许</w:t>
      </w:r>
    </w:p>
    <w:p w14:paraId="144A0324">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1.12偏离</w:t>
      </w:r>
    </w:p>
    <w:p w14:paraId="583FA559">
      <w:pPr>
        <w:wordWrap w:val="0"/>
        <w:spacing w:line="450" w:lineRule="exact"/>
        <w:ind w:firstLine="420" w:firstLineChars="200"/>
        <w:rPr>
          <w:rFonts w:hint="eastAsia" w:ascii="宋体" w:hAnsi="宋体" w:eastAsia="宋体"/>
          <w:color w:val="auto"/>
          <w:szCs w:val="21"/>
          <w:lang w:eastAsia="zh-CN"/>
        </w:rPr>
      </w:pPr>
      <w:bookmarkStart w:id="62" w:name="_Toc28568"/>
      <w:bookmarkEnd w:id="62"/>
      <w:bookmarkStart w:id="63" w:name="_Toc184635072"/>
      <w:bookmarkEnd w:id="63"/>
      <w:bookmarkStart w:id="64" w:name="_Toc2180"/>
      <w:bookmarkEnd w:id="64"/>
      <w:bookmarkStart w:id="65" w:name="_Toc191031384"/>
      <w:bookmarkStart w:id="66" w:name="_Toc13358"/>
      <w:bookmarkStart w:id="67" w:name="_Toc191031431"/>
      <w:bookmarkStart w:id="68" w:name="_Toc204691577"/>
      <w:r>
        <w:rPr>
          <w:rFonts w:hint="eastAsia" w:ascii="宋体" w:hAnsi="宋体"/>
          <w:color w:val="auto"/>
          <w:szCs w:val="21"/>
          <w:lang w:eastAsia="zh-CN"/>
        </w:rPr>
        <w:t>允许正偏离</w:t>
      </w:r>
    </w:p>
    <w:p w14:paraId="731CC4C7">
      <w:pPr>
        <w:widowControl/>
        <w:wordWrap w:val="0"/>
        <w:spacing w:line="450" w:lineRule="exact"/>
        <w:ind w:firstLine="422" w:firstLineChars="200"/>
        <w:outlineLvl w:val="2"/>
        <w:rPr>
          <w:rFonts w:ascii="宋体" w:hAnsi="宋体" w:cs="仿宋_GB2312"/>
          <w:b/>
          <w:color w:val="auto"/>
          <w:szCs w:val="21"/>
        </w:rPr>
      </w:pPr>
      <w:r>
        <w:rPr>
          <w:rFonts w:hint="eastAsia" w:ascii="宋体" w:hAnsi="宋体" w:cs="仿宋_GB2312"/>
          <w:b/>
          <w:color w:val="auto"/>
          <w:szCs w:val="21"/>
        </w:rPr>
        <w:t>2．招标文件</w:t>
      </w:r>
      <w:bookmarkEnd w:id="65"/>
      <w:bookmarkEnd w:id="66"/>
      <w:bookmarkEnd w:id="67"/>
      <w:bookmarkEnd w:id="68"/>
    </w:p>
    <w:p w14:paraId="2D1163CF">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2.1招标文件的组成</w:t>
      </w:r>
    </w:p>
    <w:p w14:paraId="69D8F037">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本招标文件包括：</w:t>
      </w:r>
    </w:p>
    <w:p w14:paraId="6D1BF9A3">
      <w:pPr>
        <w:wordWrap w:val="0"/>
        <w:spacing w:line="450" w:lineRule="exact"/>
        <w:ind w:firstLine="420" w:firstLineChars="200"/>
        <w:rPr>
          <w:rFonts w:hint="eastAsia" w:ascii="宋体" w:hAnsi="宋体" w:eastAsia="宋体" w:cs="宋体"/>
          <w:color w:val="auto"/>
          <w:szCs w:val="21"/>
          <w:lang w:eastAsia="zh-CN"/>
        </w:rPr>
      </w:pPr>
      <w:r>
        <w:rPr>
          <w:rFonts w:hint="eastAsia" w:ascii="宋体" w:hAnsi="宋体" w:cs="宋体"/>
          <w:color w:val="auto"/>
          <w:szCs w:val="21"/>
        </w:rPr>
        <w:t>(1）招标公告;</w:t>
      </w:r>
    </w:p>
    <w:p w14:paraId="6518E7D5">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(2）投标人须知；</w:t>
      </w:r>
    </w:p>
    <w:p w14:paraId="0216D2D5">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(3）评标办法；</w:t>
      </w:r>
    </w:p>
    <w:p w14:paraId="0B2CE33A">
      <w:pPr>
        <w:wordWrap w:val="0"/>
        <w:spacing w:line="450" w:lineRule="exact"/>
        <w:ind w:left="-105" w:leftChars="-50" w:firstLine="420" w:firstLineChars="200"/>
        <w:rPr>
          <w:rFonts w:ascii="宋体" w:hAnsi="宋体" w:cs="宋体"/>
          <w:color w:val="auto"/>
          <w:szCs w:val="21"/>
        </w:rPr>
      </w:pPr>
      <w:r>
        <w:rPr>
          <w:rFonts w:hint="eastAsia" w:ascii="宋体" w:hAnsi="宋体" w:cs="宋体"/>
          <w:color w:val="auto"/>
          <w:szCs w:val="21"/>
        </w:rPr>
        <w:t>（4）定标办法</w:t>
      </w:r>
    </w:p>
    <w:p w14:paraId="46BC1714">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(5）合同条款及格式；</w:t>
      </w:r>
    </w:p>
    <w:p w14:paraId="5E970967">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(6）工程量清单；</w:t>
      </w:r>
    </w:p>
    <w:p w14:paraId="39859B01">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(7）图纸；</w:t>
      </w:r>
    </w:p>
    <w:p w14:paraId="77503E1B">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(8）技术标准和要求；</w:t>
      </w:r>
    </w:p>
    <w:p w14:paraId="47CDAE77">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(9）投标文件格式；</w:t>
      </w:r>
    </w:p>
    <w:p w14:paraId="5CA16B9F">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对招标文件所作的澄清、修改，构成招标文件的组成部分。</w:t>
      </w:r>
    </w:p>
    <w:p w14:paraId="0025B5A7">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2.2招标文件的澄清</w:t>
      </w:r>
    </w:p>
    <w:p w14:paraId="6C154D75">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2.2.1投标人应仔细阅读和检查招标文件的全部内容。如发现缺页或附件不全，应及时向招标人提出，以便补齐。如有疑问，应在投标人须知前附表规定的时间前在三门峡市公共资源交易系统中提出质询，要求招标人对招标文件予以澄清。</w:t>
      </w:r>
    </w:p>
    <w:p w14:paraId="45AA2C77">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2.2.2招标文件的澄清通过电子化交易系统告知所有购买招标文件的投标人，但不指明澄清问题的来源。澄清发出的时间距投标人须知前附表规定的投标截止时间不足15日的，并且澄清内容影响投标文件编制的，将相应延长投标截止时间。</w:t>
      </w:r>
    </w:p>
    <w:p w14:paraId="2E165ADB">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2.2.3因电子化交易平台在开标前具有保密性，投标人应登录三门峡市公共资源交易系统自行查看澄清信息或在澄清公告发布相关网站（同招标公告发布媒介）自行查看招标文件澄清信息，因投标人未及时查看而造成的后果自负。</w:t>
      </w:r>
    </w:p>
    <w:p w14:paraId="7692F91B">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2.2.4如果在规定的时间内投标人未提出疑问，将视为投标人完全理解并接受招标文件中的资格要求、投标人须知、格式、条款、技术要求、澄清等所有要求，则投标人应按照招标文件相应要求的要求提交有关资料和文件。</w:t>
      </w:r>
    </w:p>
    <w:p w14:paraId="13FFEF90">
      <w:pPr>
        <w:wordWrap w:val="0"/>
        <w:spacing w:line="480" w:lineRule="exact"/>
        <w:ind w:firstLine="420" w:firstLineChars="200"/>
        <w:rPr>
          <w:rFonts w:ascii="宋体" w:hAnsi="宋体" w:cs="宋体"/>
          <w:color w:val="auto"/>
          <w:szCs w:val="21"/>
        </w:rPr>
      </w:pPr>
      <w:r>
        <w:rPr>
          <w:rFonts w:hint="eastAsia" w:ascii="宋体" w:hAnsi="宋体" w:cs="宋体"/>
          <w:color w:val="auto"/>
          <w:szCs w:val="21"/>
        </w:rPr>
        <w:t>2.2.5投标人确认收到招标文件澄清的时间详见投标人须知前附表。招标文件的澄清文件在</w:t>
      </w:r>
      <w:r>
        <w:rPr>
          <w:rFonts w:hint="eastAsia" w:ascii="宋体" w:hAnsi="宋体" w:cs="仿宋_GB2312"/>
          <w:color w:val="auto"/>
          <w:kern w:val="0"/>
          <w:szCs w:val="21"/>
        </w:rPr>
        <w:t>三门峡市公共资源交易系统以公告形式发布，</w:t>
      </w:r>
      <w:r>
        <w:rPr>
          <w:rFonts w:hint="eastAsia" w:ascii="宋体" w:hAnsi="宋体" w:cs="宋体"/>
          <w:color w:val="auto"/>
          <w:szCs w:val="21"/>
        </w:rPr>
        <w:t>投标人应自行查看或下载。</w:t>
      </w:r>
    </w:p>
    <w:p w14:paraId="5A0B56E5">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2.3招标文件的修改</w:t>
      </w:r>
    </w:p>
    <w:p w14:paraId="15792E6D">
      <w:pPr>
        <w:widowControl/>
        <w:wordWrap w:val="0"/>
        <w:spacing w:line="450" w:lineRule="exact"/>
        <w:ind w:firstLine="420" w:firstLineChars="200"/>
        <w:jc w:val="left"/>
        <w:rPr>
          <w:rFonts w:ascii="宋体" w:hAnsi="宋体" w:cs="宋体"/>
          <w:color w:val="auto"/>
          <w:szCs w:val="21"/>
        </w:rPr>
      </w:pPr>
      <w:bookmarkStart w:id="69" w:name="_Toc936"/>
      <w:bookmarkEnd w:id="69"/>
      <w:bookmarkStart w:id="70" w:name="_Toc27113"/>
      <w:bookmarkEnd w:id="70"/>
      <w:bookmarkStart w:id="71" w:name="_Toc12617"/>
      <w:bookmarkEnd w:id="71"/>
      <w:bookmarkStart w:id="72" w:name="_Toc184635073"/>
      <w:r>
        <w:rPr>
          <w:rFonts w:hint="eastAsia" w:ascii="宋体" w:hAnsi="宋体" w:cs="仿宋_GB2312"/>
          <w:color w:val="auto"/>
          <w:kern w:val="0"/>
          <w:szCs w:val="21"/>
        </w:rPr>
        <w:t>2.3.1招标人可以通过电子化交易系统澄清修改招标文件，澄清修改招标文件的时间距投标人须知前附表规定的投标截止时间不足15日的，并且澄清内容影响投标文件编制的，将相应延长投标截止时间。</w:t>
      </w:r>
      <w:bookmarkEnd w:id="72"/>
      <w:r>
        <w:rPr>
          <w:rFonts w:hint="eastAsia" w:ascii="宋体" w:hAnsi="宋体" w:cs="仿宋_GB2312"/>
          <w:color w:val="auto"/>
          <w:kern w:val="0"/>
          <w:szCs w:val="21"/>
        </w:rPr>
        <w:t>2.3.2招标文件的澄清修改内容作为招标文件的组成部分，对投标人和招标人均具有约束作用。</w:t>
      </w:r>
      <w:r>
        <w:rPr>
          <w:rFonts w:hint="eastAsia" w:ascii="宋体" w:hAnsi="宋体" w:cs="宋体"/>
          <w:color w:val="auto"/>
          <w:szCs w:val="21"/>
        </w:rPr>
        <w:t>如果在规定的时间内投标人未提出疑问，将视为投标人完全理解并接受招标文件中的资格要求、投标人须知、格式、条款、技术标准、修改等所有要求，则投标人应按照招标文件相应要求的要求提交有关资料和文件。</w:t>
      </w:r>
    </w:p>
    <w:p w14:paraId="59D04083">
      <w:pPr>
        <w:wordWrap w:val="0"/>
        <w:spacing w:line="480" w:lineRule="exact"/>
        <w:ind w:firstLine="420" w:firstLineChars="200"/>
        <w:rPr>
          <w:rFonts w:ascii="宋体" w:hAnsi="宋体" w:cs="宋体"/>
          <w:color w:val="auto"/>
          <w:szCs w:val="21"/>
        </w:rPr>
      </w:pPr>
      <w:r>
        <w:rPr>
          <w:rFonts w:hint="eastAsia" w:ascii="宋体" w:hAnsi="宋体" w:cs="宋体"/>
          <w:color w:val="auto"/>
          <w:szCs w:val="21"/>
        </w:rPr>
        <w:t>2.3.3投标人确认收到招标文件修改的时间详见投标人须知前附表。招标文件的修改文件在</w:t>
      </w:r>
      <w:r>
        <w:rPr>
          <w:rFonts w:hint="eastAsia" w:ascii="宋体" w:hAnsi="宋体" w:cs="仿宋_GB2312"/>
          <w:color w:val="auto"/>
          <w:kern w:val="0"/>
          <w:szCs w:val="21"/>
        </w:rPr>
        <w:t>三门峡市公共资源交易系统以公告形式发布，</w:t>
      </w:r>
      <w:r>
        <w:rPr>
          <w:rFonts w:hint="eastAsia" w:ascii="宋体" w:hAnsi="宋体" w:cs="宋体"/>
          <w:color w:val="auto"/>
          <w:szCs w:val="21"/>
        </w:rPr>
        <w:t>投标人应自行查看或下载。</w:t>
      </w:r>
    </w:p>
    <w:p w14:paraId="62D33570">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2.3.4招标文件的澄清、修改、补充等内容均通过电子化交易系统明确的内容为准。当招标文件的澄清、修改、补充等在同一内容的表述不一致时，以最后发出的文件为准。投标人对招标文件的任何推论和误解所造成的后果，均有投标人承担。</w:t>
      </w:r>
    </w:p>
    <w:p w14:paraId="4FF61CC4">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根据本章第2.3.2款和第2.3.3款对招标文件所作的澄清、修改，构成招标文件的组成部分。上述所列内容均以书面文件（或网上发布的电子文件）为准，招标人（招标代理机构）的任何工作人员对投标人所作的任何口头解释、介绍、答复，对招标人和投标人无任何约束力。投标人应按照公告要求的时间请登陆三门峡市公共资源交易中心下载招标文件（含清单、图纸电子文件）、招标答疑文件等资料。并仔细检查招标文件的所有内容，如有残缺等问题应在收到招标文件10日内向招标人提出，否则，由此引起的损失由投标人自己承担。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下载的图纸电子文件，不得复制修改，并予以保密。因投标人原因造成图纸流失造成招标人损失的将依法追究责任。</w:t>
      </w:r>
    </w:p>
    <w:p w14:paraId="66E0F786">
      <w:pPr>
        <w:widowControl/>
        <w:wordWrap w:val="0"/>
        <w:spacing w:line="450" w:lineRule="exact"/>
        <w:ind w:firstLine="422" w:firstLineChars="200"/>
        <w:outlineLvl w:val="2"/>
        <w:rPr>
          <w:rFonts w:ascii="宋体" w:hAnsi="宋体" w:cs="仿宋_GB2312"/>
          <w:b/>
          <w:color w:val="auto"/>
          <w:szCs w:val="21"/>
        </w:rPr>
      </w:pPr>
      <w:bookmarkStart w:id="73" w:name="_Toc204691578"/>
      <w:bookmarkStart w:id="74" w:name="_Toc191031385"/>
      <w:bookmarkStart w:id="75" w:name="_Toc191031432"/>
      <w:r>
        <w:rPr>
          <w:rFonts w:hint="eastAsia" w:ascii="宋体" w:hAnsi="宋体" w:cs="仿宋_GB2312"/>
          <w:b/>
          <w:color w:val="auto"/>
          <w:szCs w:val="21"/>
        </w:rPr>
        <w:t>3．投标文件</w:t>
      </w:r>
      <w:bookmarkEnd w:id="73"/>
      <w:bookmarkEnd w:id="74"/>
      <w:bookmarkEnd w:id="75"/>
    </w:p>
    <w:p w14:paraId="2D23C494">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本项目为电子化、无纸化交易项目。电子投标文件需在电子平台上传，上传时必须用CA锁登陆上传。</w:t>
      </w:r>
    </w:p>
    <w:p w14:paraId="0667EAA9">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3.1投标文件的组成</w:t>
      </w:r>
    </w:p>
    <w:p w14:paraId="703BD39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3.1.1投标文件应包括下列内容：</w:t>
      </w:r>
    </w:p>
    <w:p w14:paraId="2588C02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(l）投标函及投标函附录；</w:t>
      </w:r>
    </w:p>
    <w:p w14:paraId="2BB19CB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(2）法定代表人身份证明及授权委托书；</w:t>
      </w:r>
    </w:p>
    <w:p w14:paraId="67B98768">
      <w:pPr>
        <w:widowControl/>
        <w:wordWrap w:val="0"/>
        <w:spacing w:line="450" w:lineRule="exact"/>
        <w:ind w:firstLine="367" w:firstLineChars="175"/>
        <w:jc w:val="left"/>
        <w:rPr>
          <w:rFonts w:hint="default" w:ascii="宋体" w:hAnsi="宋体" w:cs="仿宋_GB2312"/>
          <w:color w:val="auto"/>
          <w:kern w:val="0"/>
          <w:szCs w:val="21"/>
          <w:lang w:val="en-US"/>
        </w:rPr>
      </w:pPr>
      <w:r>
        <w:rPr>
          <w:rFonts w:hint="eastAsia" w:ascii="宋体" w:hAnsi="宋体" w:cs="仿宋_GB2312"/>
          <w:color w:val="auto"/>
          <w:kern w:val="0"/>
          <w:szCs w:val="21"/>
        </w:rPr>
        <w:t>（3）</w:t>
      </w:r>
      <w:r>
        <w:rPr>
          <w:rFonts w:hint="eastAsia" w:ascii="宋体" w:hAnsi="宋体" w:cs="仿宋_GB2312"/>
          <w:color w:val="auto"/>
          <w:kern w:val="0"/>
          <w:szCs w:val="21"/>
          <w:lang w:val="en-US" w:eastAsia="zh-CN"/>
        </w:rPr>
        <w:t>投标承诺函</w:t>
      </w:r>
    </w:p>
    <w:p w14:paraId="1F9A77A9">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(4）投标保证金；</w:t>
      </w:r>
    </w:p>
    <w:p w14:paraId="54910BA1">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(5）已标价工程量清单；</w:t>
      </w:r>
    </w:p>
    <w:p w14:paraId="39D7464A">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(6）施工组织设计；</w:t>
      </w:r>
    </w:p>
    <w:p w14:paraId="246C3B1E">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(7）项目管理机构；</w:t>
      </w:r>
    </w:p>
    <w:p w14:paraId="6E1F03EC">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（8）投标人基本情况表</w:t>
      </w:r>
    </w:p>
    <w:p w14:paraId="3A22097F">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（9）投标人认为应附的其他资料</w:t>
      </w:r>
    </w:p>
    <w:p w14:paraId="2AB12AD9">
      <w:pPr>
        <w:widowControl/>
        <w:wordWrap w:val="0"/>
        <w:spacing w:line="450" w:lineRule="exact"/>
        <w:ind w:firstLine="420"/>
        <w:jc w:val="left"/>
        <w:rPr>
          <w:rFonts w:ascii="宋体" w:hAnsi="宋体" w:cs="仿宋_GB2312"/>
          <w:color w:val="auto"/>
          <w:kern w:val="0"/>
          <w:szCs w:val="21"/>
        </w:rPr>
      </w:pPr>
      <w:r>
        <w:rPr>
          <w:rFonts w:hint="eastAsia" w:ascii="宋体" w:hAnsi="宋体" w:cs="仿宋_GB2312"/>
          <w:b/>
          <w:color w:val="auto"/>
          <w:kern w:val="0"/>
          <w:szCs w:val="21"/>
        </w:rPr>
        <w:t>3.2投标报价</w:t>
      </w:r>
    </w:p>
    <w:p w14:paraId="69CE9B65">
      <w:pPr>
        <w:wordWrap w:val="0"/>
        <w:spacing w:line="450" w:lineRule="exact"/>
        <w:ind w:firstLine="420" w:firstLineChars="200"/>
        <w:rPr>
          <w:rFonts w:ascii="宋体" w:hAnsi="宋体" w:cs="宋体"/>
          <w:color w:val="auto"/>
          <w:szCs w:val="21"/>
        </w:rPr>
      </w:pPr>
      <w:r>
        <w:rPr>
          <w:rFonts w:hint="eastAsia" w:ascii="宋体" w:hAnsi="宋体" w:cs="仿宋_GB2312"/>
          <w:color w:val="auto"/>
          <w:kern w:val="0"/>
          <w:szCs w:val="21"/>
        </w:rPr>
        <w:t>3.2.1根据招标文件规定的工程范围，投标人进行投标</w:t>
      </w:r>
      <w:r>
        <w:rPr>
          <w:rFonts w:hint="eastAsia" w:ascii="宋体" w:hAnsi="宋体" w:cs="仿宋_GB2312"/>
          <w:color w:val="auto"/>
          <w:kern w:val="0"/>
          <w:szCs w:val="21"/>
          <w:lang w:val="en-US" w:eastAsia="zh-CN"/>
        </w:rPr>
        <w:t>总</w:t>
      </w:r>
      <w:r>
        <w:rPr>
          <w:rFonts w:hint="eastAsia" w:ascii="宋体" w:hAnsi="宋体" w:cs="仿宋_GB2312"/>
          <w:color w:val="auto"/>
          <w:kern w:val="0"/>
          <w:szCs w:val="21"/>
        </w:rPr>
        <w:t>报价。</w:t>
      </w:r>
      <w:r>
        <w:rPr>
          <w:rFonts w:hint="eastAsia" w:ascii="宋体" w:hAnsi="宋体" w:cs="宋体"/>
          <w:color w:val="auto"/>
          <w:szCs w:val="21"/>
        </w:rPr>
        <w:t>投标</w:t>
      </w:r>
      <w:r>
        <w:rPr>
          <w:rFonts w:hint="eastAsia" w:ascii="宋体" w:hAnsi="宋体" w:cs="宋体"/>
          <w:color w:val="auto"/>
          <w:szCs w:val="21"/>
          <w:lang w:val="en-US" w:eastAsia="zh-CN"/>
        </w:rPr>
        <w:t>总</w:t>
      </w:r>
      <w:r>
        <w:rPr>
          <w:rFonts w:hint="eastAsia" w:ascii="宋体" w:hAnsi="宋体" w:cs="宋体"/>
          <w:color w:val="auto"/>
          <w:szCs w:val="21"/>
        </w:rPr>
        <w:t>报价应是招标文件所确定的招标范围内的全部工作内容的价格体现。</w:t>
      </w:r>
    </w:p>
    <w:p w14:paraId="1C497FF9">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3.2.2投标总报价为招标文件所确定的招标范围内的全部工程内容的价格体现，应包括招标文件及技术规范、设计图纸等规定的，实施和完成招标</w:t>
      </w:r>
      <w:r>
        <w:rPr>
          <w:rFonts w:hint="eastAsia" w:ascii="宋体" w:hAnsi="宋体" w:cs="仿宋_GB2312"/>
          <w:color w:val="auto"/>
          <w:kern w:val="0"/>
          <w:szCs w:val="21"/>
          <w:highlight w:val="none"/>
        </w:rPr>
        <w:t>工程及检测等最终验收合格及质保期等全部内容，及为达到质量和工期目标、安全文明、环境保护等要求所需的全部费用。</w:t>
      </w:r>
    </w:p>
    <w:p w14:paraId="0AAC1A5B">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3.2.3本工程采用工程量清单计价方式，投标人的投标总报价根据招标人提供的图纸、图纸补充说明、招标文件、工程量清单及编制说明、招标控制价及编制依据，充分考虑市场价格、风险因素，在合理范围内自主报价，但不得低于企业实际成本。</w:t>
      </w:r>
    </w:p>
    <w:p w14:paraId="60628CB6">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3.2.4本次招标，招标人提供的工程量清单为各投标人投标</w:t>
      </w:r>
      <w:r>
        <w:rPr>
          <w:rFonts w:hint="eastAsia" w:ascii="宋体" w:hAnsi="宋体" w:cs="仿宋_GB2312"/>
          <w:color w:val="auto"/>
          <w:kern w:val="0"/>
          <w:szCs w:val="21"/>
          <w:lang w:val="en-US" w:eastAsia="zh-CN"/>
        </w:rPr>
        <w:t>总</w:t>
      </w:r>
      <w:r>
        <w:rPr>
          <w:rFonts w:hint="eastAsia" w:ascii="宋体" w:hAnsi="宋体" w:cs="仿宋_GB2312"/>
          <w:color w:val="auto"/>
          <w:kern w:val="0"/>
          <w:szCs w:val="21"/>
        </w:rPr>
        <w:t>报价的基础。投标人所报的综合单价风险因素由投标人在计算报价时综合考虑。投标人应详细分析国家及项目地区的有关法律法规或政策，结合自身条件，综合考虑施工技术要求和质量要求、周边施工环境、临时用水用电、场地使用等因素，充分了解工地位置、情况、道路、储存空间、装卸限制及任何其它足以影响承包价的情况，仔细测算材料价格涨落趋势后合理报价。除非合同条款中另有约定，对图纸范围内的工程实施，投标人不得要求追加任何费用。</w:t>
      </w:r>
    </w:p>
    <w:p w14:paraId="77201435">
      <w:pPr>
        <w:widowControl/>
        <w:wordWrap w:val="0"/>
        <w:spacing w:line="450" w:lineRule="exact"/>
        <w:ind w:firstLine="525" w:firstLineChars="250"/>
        <w:jc w:val="left"/>
        <w:rPr>
          <w:rFonts w:ascii="宋体" w:hAnsi="宋体" w:cs="仿宋_GB2312"/>
          <w:color w:val="auto"/>
          <w:kern w:val="0"/>
          <w:szCs w:val="21"/>
        </w:rPr>
      </w:pPr>
      <w:r>
        <w:rPr>
          <w:rFonts w:hint="eastAsia" w:ascii="宋体" w:hAnsi="宋体" w:cs="仿宋_GB2312"/>
          <w:color w:val="auto"/>
          <w:kern w:val="0"/>
          <w:szCs w:val="21"/>
        </w:rPr>
        <w:t>对投标人提出的问题，招标人复核、回复后，以答疑回复的文件为投标依据，投标人不得在工程结算时以投标疑问与答疑回复文件不一致为由要求索赔。</w:t>
      </w:r>
    </w:p>
    <w:p w14:paraId="47BF8D99">
      <w:pPr>
        <w:widowControl/>
        <w:wordWrap w:val="0"/>
        <w:spacing w:line="450" w:lineRule="exact"/>
        <w:ind w:firstLine="420"/>
        <w:jc w:val="left"/>
        <w:rPr>
          <w:rFonts w:ascii="宋体" w:hAnsi="宋体" w:cs="仿宋_GB2312"/>
          <w:color w:val="auto"/>
          <w:kern w:val="0"/>
          <w:szCs w:val="21"/>
        </w:rPr>
      </w:pPr>
      <w:r>
        <w:rPr>
          <w:rFonts w:hint="eastAsia" w:ascii="宋体" w:hAnsi="宋体" w:cs="仿宋_GB2312"/>
          <w:color w:val="auto"/>
          <w:kern w:val="0"/>
          <w:szCs w:val="21"/>
        </w:rPr>
        <w:t>3.2.5招标人提供的工程量清单中各清单项目，不论其对应的项目特征是否描述完全，都将被认为已包括实施招标人已提供的图纸及对应项目的所有工作内容及完成此工作内容而必须的各种辅助工作的费用。</w:t>
      </w:r>
    </w:p>
    <w:p w14:paraId="3E1E64CB">
      <w:pPr>
        <w:widowControl/>
        <w:wordWrap w:val="0"/>
        <w:spacing w:line="450" w:lineRule="exact"/>
        <w:ind w:firstLine="420"/>
        <w:jc w:val="left"/>
        <w:rPr>
          <w:rFonts w:ascii="宋体" w:hAnsi="宋体" w:cs="仿宋_GB2312"/>
          <w:color w:val="auto"/>
          <w:kern w:val="0"/>
          <w:szCs w:val="21"/>
        </w:rPr>
      </w:pPr>
      <w:r>
        <w:rPr>
          <w:rFonts w:hint="eastAsia" w:ascii="宋体" w:hAnsi="宋体" w:cs="仿宋_GB2312"/>
          <w:color w:val="auto"/>
          <w:kern w:val="0"/>
          <w:szCs w:val="21"/>
        </w:rPr>
        <w:t>3.2.6投标人在投标时应按此要求，在投标文件中认真填写工程量清单所有项目的综合单价和合价，投标人未填写综合单价或合价的清单项目，将被视为该项费用已包括在其他项目的综合单价或合价以及投标总报价内，在工程实施时投标人必须无条件完成工程量清单中未填入单价或合价的工程项目，且不得向招标人索赔此部分的工程费用。</w:t>
      </w:r>
    </w:p>
    <w:p w14:paraId="05F1B378">
      <w:pPr>
        <w:widowControl/>
        <w:wordWrap w:val="0"/>
        <w:spacing w:line="450" w:lineRule="exact"/>
        <w:ind w:firstLine="420"/>
        <w:jc w:val="left"/>
        <w:rPr>
          <w:rFonts w:ascii="宋体" w:hAnsi="宋体" w:cs="仿宋_GB2312"/>
          <w:color w:val="auto"/>
          <w:kern w:val="0"/>
          <w:szCs w:val="21"/>
        </w:rPr>
      </w:pPr>
      <w:r>
        <w:rPr>
          <w:rFonts w:hint="eastAsia" w:ascii="宋体" w:hAnsi="宋体" w:cs="仿宋_GB2312"/>
          <w:color w:val="auto"/>
          <w:kern w:val="0"/>
          <w:szCs w:val="21"/>
        </w:rPr>
        <w:t>投标人投标时必须提供分部分项工程量清单计价表的各分部分项工程量清单项目的综合单价分析表，综合单价分析表应包含组成该综合单价各工作内容的人工费、材料费、机械费、管理费、利润等详细组成，并列出材料消耗量及材料单价。</w:t>
      </w:r>
    </w:p>
    <w:p w14:paraId="4133EDD1">
      <w:pPr>
        <w:widowControl/>
        <w:wordWrap w:val="0"/>
        <w:spacing w:line="450" w:lineRule="exact"/>
        <w:ind w:firstLine="420"/>
        <w:jc w:val="left"/>
        <w:rPr>
          <w:rFonts w:ascii="宋体" w:hAnsi="宋体" w:cs="仿宋_GB2312"/>
          <w:color w:val="auto"/>
          <w:kern w:val="0"/>
          <w:szCs w:val="21"/>
        </w:rPr>
      </w:pPr>
      <w:r>
        <w:rPr>
          <w:rFonts w:hint="eastAsia" w:ascii="宋体" w:hAnsi="宋体" w:cs="仿宋_GB2312"/>
          <w:color w:val="auto"/>
          <w:kern w:val="0"/>
          <w:szCs w:val="21"/>
        </w:rPr>
        <w:t>3.2.7工程量清单计价中措施项目费是投标人在完全熟知施工现场实际条件下所采取的一切措施费用总和，即达到安全文明施工标准化工地要求、工期保证、质量保证等所采取的所有技术、组织措施费用总和。措施项目费内容详见招标文件中工程量清单中所列的措施项目。</w:t>
      </w:r>
    </w:p>
    <w:p w14:paraId="1B3B77A3">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3.2.8投标人应结合自身条件，并充分考虑本工程施工难度、工期的要求、质量要求以及市场因素、现场环境因素、社会因素、市场价格调整因素等各方面原因合理报价。</w:t>
      </w:r>
      <w:r>
        <w:rPr>
          <w:rFonts w:hint="eastAsia" w:ascii="宋体" w:hAnsi="宋体" w:cs="仿宋_GB2312"/>
          <w:color w:val="auto"/>
          <w:kern w:val="0"/>
          <w:szCs w:val="21"/>
          <w:lang w:eastAsia="zh-CN"/>
        </w:rPr>
        <w:t>投标总报价</w:t>
      </w:r>
      <w:r>
        <w:rPr>
          <w:rFonts w:hint="eastAsia" w:ascii="宋体" w:hAnsi="宋体" w:cs="仿宋_GB2312"/>
          <w:color w:val="auto"/>
          <w:kern w:val="0"/>
          <w:szCs w:val="21"/>
        </w:rPr>
        <w:t>将被认为已综合考虑了在施工全过程中可能发生的全部不可预见费用。中标人无权再以任何理由提出延长工期、增加价款或索赔等要求。</w:t>
      </w:r>
    </w:p>
    <w:p w14:paraId="462D2B27">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3.2.9投标人在投标报价前可以自行踏勘施工现场，充分考虑了工地现状条件可能影响到工程正常施工的所有风险因素。无论投标人是否进行了上述现场踏勘工作，其</w:t>
      </w:r>
      <w:r>
        <w:rPr>
          <w:rFonts w:hint="eastAsia" w:ascii="宋体" w:hAnsi="宋体" w:cs="仿宋_GB2312"/>
          <w:color w:val="auto"/>
          <w:kern w:val="0"/>
          <w:szCs w:val="21"/>
          <w:lang w:eastAsia="zh-CN"/>
        </w:rPr>
        <w:t>投标总报价</w:t>
      </w:r>
      <w:r>
        <w:rPr>
          <w:rFonts w:hint="eastAsia" w:ascii="宋体" w:hAnsi="宋体" w:cs="仿宋_GB2312"/>
          <w:color w:val="auto"/>
          <w:kern w:val="0"/>
          <w:szCs w:val="21"/>
        </w:rPr>
        <w:t>中均将被认为已包含有工地现状在施工作业期间发生的全部不可预见的风险费用，投标人中标后则无权因此要求任何工期或费用上的索赔。一旦中标不得对现场条件提出额外要求和费用。</w:t>
      </w:r>
    </w:p>
    <w:p w14:paraId="06B23BC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3.2.10中标单位应独立、有效的做好工程周边的群众工作，并充分考虑工程实际范围内外的单位、个人和其他可能出现阻扰施工的情况，若发生机械台班停滞费、二次机械进退场费、人员窝工、处理周边群众纠纷等费用和损失，由投标人自行考虑，工程竣工结算时不予调整。</w:t>
      </w:r>
    </w:p>
    <w:p w14:paraId="416B2CB1">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3.2.11投标人须在工程竣工验收后7日内拆除现场所有的临时设施。包括所有的机械设备、建筑垃圾及剩余材料全部清运出现场，相关费用（含渣土证费用）由投标人在报价时自行考虑到</w:t>
      </w:r>
      <w:r>
        <w:rPr>
          <w:rFonts w:hint="eastAsia" w:ascii="宋体" w:hAnsi="宋体" w:cs="仿宋_GB2312"/>
          <w:color w:val="auto"/>
          <w:kern w:val="0"/>
          <w:szCs w:val="21"/>
          <w:lang w:eastAsia="zh-CN"/>
        </w:rPr>
        <w:t>投标总报价</w:t>
      </w:r>
      <w:r>
        <w:rPr>
          <w:rFonts w:hint="eastAsia" w:ascii="宋体" w:hAnsi="宋体" w:cs="仿宋_GB2312"/>
          <w:color w:val="auto"/>
          <w:kern w:val="0"/>
          <w:szCs w:val="21"/>
        </w:rPr>
        <w:t>中，竣工结算时不做任何调整。清理标准应得到发包人认可。否则，如发生相关费用则由发包人在工程结算价款中扣除。</w:t>
      </w:r>
    </w:p>
    <w:p w14:paraId="33FF1B22">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3.2.12施工期间由于工程条件发生变化或投标人原因造成施工方案的更改，所增加的措施费用及工期一概不予调整，相应的费用投标人应在</w:t>
      </w:r>
      <w:r>
        <w:rPr>
          <w:rFonts w:hint="eastAsia" w:ascii="宋体" w:hAnsi="宋体" w:cs="宋体"/>
          <w:color w:val="auto"/>
          <w:szCs w:val="21"/>
          <w:lang w:eastAsia="zh-CN"/>
        </w:rPr>
        <w:t>投标总报价</w:t>
      </w:r>
      <w:r>
        <w:rPr>
          <w:rFonts w:hint="eastAsia" w:ascii="宋体" w:hAnsi="宋体" w:cs="宋体"/>
          <w:color w:val="auto"/>
          <w:szCs w:val="21"/>
        </w:rPr>
        <w:t>中充分考虑，招标人不另支付。</w:t>
      </w:r>
    </w:p>
    <w:p w14:paraId="6483BE0F">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3.2.13投标报价要求</w:t>
      </w:r>
    </w:p>
    <w:p w14:paraId="2A23FC85">
      <w:pPr>
        <w:widowControl/>
        <w:wordWrap w:val="0"/>
        <w:spacing w:line="450" w:lineRule="exact"/>
        <w:ind w:firstLine="367" w:firstLineChars="175"/>
        <w:jc w:val="left"/>
        <w:rPr>
          <w:rFonts w:ascii="宋体" w:hAnsi="宋体" w:cs="仿宋_GB2312"/>
          <w:color w:val="auto"/>
          <w:kern w:val="0"/>
          <w:szCs w:val="21"/>
        </w:rPr>
      </w:pPr>
      <w:r>
        <w:rPr>
          <w:rFonts w:hint="eastAsia" w:ascii="宋体" w:hAnsi="宋体" w:cs="仿宋_GB2312"/>
          <w:color w:val="auto"/>
          <w:kern w:val="0"/>
          <w:szCs w:val="21"/>
        </w:rPr>
        <w:t>（1）招标人不接受任何有选择的报价，对同一工程、每一项投标内容只允许有一个报价；</w:t>
      </w:r>
    </w:p>
    <w:p w14:paraId="273A2FC3">
      <w:pPr>
        <w:widowControl/>
        <w:wordWrap w:val="0"/>
        <w:spacing w:line="450" w:lineRule="exact"/>
        <w:ind w:firstLine="367" w:firstLineChars="175"/>
        <w:jc w:val="left"/>
        <w:rPr>
          <w:rFonts w:hint="eastAsia" w:ascii="宋体" w:hAnsi="宋体" w:eastAsia="宋体" w:cs="仿宋_GB2312"/>
          <w:color w:val="auto"/>
          <w:kern w:val="0"/>
          <w:szCs w:val="21"/>
          <w:lang w:eastAsia="zh-CN"/>
        </w:rPr>
      </w:pPr>
      <w:r>
        <w:rPr>
          <w:rFonts w:hint="eastAsia" w:ascii="宋体" w:hAnsi="宋体" w:cs="仿宋_GB2312"/>
          <w:color w:val="auto"/>
          <w:kern w:val="0"/>
          <w:szCs w:val="21"/>
        </w:rPr>
        <w:t>（2）各投标人在投标时必须在投标文件中提供一份完整的工程量清单报价书</w:t>
      </w:r>
      <w:r>
        <w:rPr>
          <w:rFonts w:hint="eastAsia" w:ascii="宋体" w:hAnsi="宋体" w:cs="仿宋_GB2312"/>
          <w:color w:val="auto"/>
          <w:kern w:val="0"/>
          <w:szCs w:val="21"/>
          <w:lang w:eastAsia="zh-CN"/>
        </w:rPr>
        <w:t>。</w:t>
      </w:r>
    </w:p>
    <w:p w14:paraId="41DFBF47">
      <w:pPr>
        <w:widowControl/>
        <w:wordWrap w:val="0"/>
        <w:spacing w:line="450" w:lineRule="exact"/>
        <w:ind w:firstLine="367" w:firstLineChars="175"/>
        <w:jc w:val="left"/>
        <w:rPr>
          <w:rFonts w:ascii="宋体" w:hAnsi="宋体" w:cs="仿宋_GB2312"/>
          <w:color w:val="auto"/>
          <w:kern w:val="0"/>
          <w:szCs w:val="21"/>
        </w:rPr>
      </w:pPr>
      <w:r>
        <w:rPr>
          <w:rFonts w:hint="eastAsia" w:ascii="宋体" w:hAnsi="宋体" w:cs="仿宋_GB2312"/>
          <w:color w:val="auto"/>
          <w:kern w:val="0"/>
          <w:szCs w:val="21"/>
        </w:rPr>
        <w:t>（3）最低报价不能作为中标的保证；</w:t>
      </w:r>
    </w:p>
    <w:p w14:paraId="3A8E2A67">
      <w:pPr>
        <w:widowControl/>
        <w:wordWrap w:val="0"/>
        <w:spacing w:line="450" w:lineRule="exact"/>
        <w:ind w:firstLine="367" w:firstLineChars="175"/>
        <w:jc w:val="left"/>
        <w:rPr>
          <w:rFonts w:ascii="宋体" w:hAnsi="宋体" w:cs="仿宋_GB2312"/>
          <w:color w:val="auto"/>
          <w:kern w:val="0"/>
          <w:szCs w:val="21"/>
        </w:rPr>
      </w:pPr>
      <w:r>
        <w:rPr>
          <w:rFonts w:hint="eastAsia" w:ascii="宋体" w:hAnsi="宋体" w:cs="仿宋_GB2312"/>
          <w:color w:val="auto"/>
          <w:kern w:val="0"/>
          <w:szCs w:val="21"/>
        </w:rPr>
        <w:t>（4）投标人的投标总价必须与其他投标报价表中的数据合计相吻合；</w:t>
      </w:r>
    </w:p>
    <w:p w14:paraId="4290D626">
      <w:pPr>
        <w:widowControl/>
        <w:wordWrap w:val="0"/>
        <w:spacing w:line="450" w:lineRule="exact"/>
        <w:ind w:firstLine="367" w:firstLineChars="175"/>
        <w:jc w:val="left"/>
        <w:rPr>
          <w:rFonts w:ascii="宋体" w:hAnsi="宋体" w:cs="仿宋_GB2312"/>
          <w:color w:val="auto"/>
          <w:kern w:val="0"/>
          <w:szCs w:val="21"/>
        </w:rPr>
      </w:pPr>
      <w:r>
        <w:rPr>
          <w:rFonts w:hint="eastAsia" w:ascii="宋体" w:hAnsi="宋体" w:cs="仿宋_GB2312"/>
          <w:color w:val="auto"/>
          <w:kern w:val="0"/>
          <w:szCs w:val="21"/>
        </w:rPr>
        <w:t>（5）投标文件报价中的单价和总价全部采用人民币表示。</w:t>
      </w:r>
    </w:p>
    <w:p w14:paraId="33E98062">
      <w:pPr>
        <w:widowControl/>
        <w:wordWrap w:val="0"/>
        <w:spacing w:line="450" w:lineRule="exact"/>
        <w:ind w:firstLine="420" w:firstLineChars="200"/>
        <w:jc w:val="left"/>
        <w:rPr>
          <w:rFonts w:ascii="宋体" w:hAnsi="宋体" w:cs="仿宋_GB2312"/>
          <w:color w:val="auto"/>
          <w:kern w:val="0"/>
          <w:szCs w:val="21"/>
          <w:highlight w:val="none"/>
        </w:rPr>
      </w:pPr>
      <w:r>
        <w:rPr>
          <w:rFonts w:hint="eastAsia" w:ascii="宋体" w:hAnsi="宋体" w:cs="仿宋_GB2312"/>
          <w:color w:val="auto"/>
          <w:kern w:val="0"/>
          <w:szCs w:val="21"/>
        </w:rPr>
        <w:t>3.2.14</w:t>
      </w:r>
      <w:r>
        <w:rPr>
          <w:rFonts w:hint="eastAsia" w:ascii="宋体" w:hAnsi="宋体" w:cs="仿宋_GB2312"/>
          <w:color w:val="auto"/>
          <w:kern w:val="0"/>
          <w:szCs w:val="21"/>
          <w:highlight w:val="none"/>
        </w:rPr>
        <w:t>投标人必须在投标文件中承诺中标后能够及时、足额存入农民工工资保</w:t>
      </w:r>
      <w:r>
        <w:rPr>
          <w:rFonts w:hint="eastAsia" w:ascii="宋体" w:hAnsi="宋体" w:cs="仿宋_GB2312"/>
          <w:color w:val="auto"/>
          <w:kern w:val="0"/>
          <w:szCs w:val="21"/>
          <w:highlight w:val="none"/>
          <w:lang w:val="en-US" w:eastAsia="zh-CN"/>
        </w:rPr>
        <w:t>证</w:t>
      </w:r>
      <w:r>
        <w:rPr>
          <w:rFonts w:hint="eastAsia" w:ascii="宋体" w:hAnsi="宋体" w:cs="仿宋_GB2312"/>
          <w:color w:val="auto"/>
          <w:kern w:val="0"/>
          <w:szCs w:val="21"/>
          <w:highlight w:val="none"/>
        </w:rPr>
        <w:t>金。一旦其承包的建筑工程项目中出现拖欠农民工工资情况的，可从农民工工资保障金中先予划支。</w:t>
      </w:r>
    </w:p>
    <w:p w14:paraId="25E2C309">
      <w:pPr>
        <w:wordWrap w:val="0"/>
        <w:spacing w:line="450" w:lineRule="exact"/>
        <w:ind w:firstLine="420" w:firstLineChars="200"/>
        <w:rPr>
          <w:rFonts w:ascii="宋体" w:hAnsi="宋体" w:cs="宋体"/>
          <w:color w:val="auto"/>
          <w:szCs w:val="21"/>
        </w:rPr>
      </w:pPr>
      <w:r>
        <w:rPr>
          <w:rFonts w:hint="eastAsia" w:ascii="宋体" w:hAnsi="宋体" w:cs="仿宋_GB2312"/>
          <w:color w:val="auto"/>
          <w:kern w:val="0"/>
          <w:szCs w:val="21"/>
          <w:highlight w:val="none"/>
        </w:rPr>
        <w:t>3.2.15</w:t>
      </w:r>
      <w:r>
        <w:rPr>
          <w:rFonts w:hint="eastAsia" w:ascii="宋体" w:hAnsi="宋体" w:cs="宋体"/>
          <w:color w:val="auto"/>
          <w:szCs w:val="21"/>
          <w:highlight w:val="none"/>
        </w:rPr>
        <w:t>由投标人采购的主要材料，购置前必须得到招标人和监理方的认可，购置的</w:t>
      </w:r>
      <w:r>
        <w:rPr>
          <w:rFonts w:hint="eastAsia" w:ascii="宋体" w:hAnsi="宋体" w:cs="宋体"/>
          <w:color w:val="auto"/>
          <w:szCs w:val="21"/>
        </w:rPr>
        <w:t>材料在使用前按规定检验，其规格标准质量符合设计和施工规范要求。</w:t>
      </w:r>
      <w:r>
        <w:rPr>
          <w:rFonts w:hint="eastAsia" w:ascii="宋体" w:hAnsi="宋体" w:cs="仿宋_GB2312"/>
          <w:color w:val="auto"/>
          <w:kern w:val="0"/>
          <w:szCs w:val="21"/>
        </w:rPr>
        <w:t>施工期若提供的材料、设备不能满足规范及招标人的相关要求，招标人有权直接指定材料、设备品牌。</w:t>
      </w:r>
    </w:p>
    <w:p w14:paraId="2F3B6E68">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3.2.16因业主原因造成的工程量、材料等变更、签证的工程量清单项目，其对应的综合单价按下列方法确定：</w:t>
      </w:r>
    </w:p>
    <w:p w14:paraId="52E25E05">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1）合同中已有适用的综合单价，按合同中已有的综合单价确定；</w:t>
      </w:r>
    </w:p>
    <w:p w14:paraId="47303933">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2）合同中有类似的综合单价，参照类似的综合单价确定；</w:t>
      </w:r>
    </w:p>
    <w:p w14:paraId="37E0AF71">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3）合同中没有适用或类似的综合单价，由承包人提出综合单价，经发包人确认后执行。</w:t>
      </w:r>
    </w:p>
    <w:p w14:paraId="58A02DEF">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3.2.17本工程最终结算价以审计结果为准。</w:t>
      </w:r>
    </w:p>
    <w:p w14:paraId="44EFFBF6">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3.3投标有效期</w:t>
      </w:r>
    </w:p>
    <w:p w14:paraId="12343A45">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3.3.1在投标人须知前附表规定的投标有效期内，投标人不得要求撤销或修改其投标文件。</w:t>
      </w:r>
    </w:p>
    <w:p w14:paraId="01A8FBC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71A0890">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3.4投标保证金</w:t>
      </w:r>
    </w:p>
    <w:p w14:paraId="479D34D7">
      <w:pPr>
        <w:widowControl/>
        <w:wordWrap w:val="0"/>
        <w:spacing w:line="450" w:lineRule="exact"/>
        <w:ind w:firstLine="420" w:firstLineChars="200"/>
        <w:outlineLvl w:val="3"/>
        <w:rPr>
          <w:rFonts w:ascii="宋体" w:hAnsi="宋体" w:cs="仿宋_GB2312"/>
          <w:b/>
          <w:color w:val="auto"/>
          <w:szCs w:val="21"/>
        </w:rPr>
      </w:pPr>
      <w:r>
        <w:rPr>
          <w:rFonts w:hint="eastAsia" w:ascii="宋体" w:hAnsi="宋体" w:cs="仿宋_GB2312"/>
          <w:color w:val="auto"/>
          <w:szCs w:val="21"/>
        </w:rPr>
        <w:t>3.4.1投标人在递交投标文件的同时，应按投标人须知前附表规定的金额、形式递交投标保证金，并作为其投标文件的组成部分。投标人以转账形式提交的投标保证金，应当从其基本账户转出并在投标文件中附上基本账户开户证明。</w:t>
      </w:r>
    </w:p>
    <w:p w14:paraId="52FACC4C">
      <w:pPr>
        <w:widowControl/>
        <w:wordWrap w:val="0"/>
        <w:spacing w:line="450" w:lineRule="exact"/>
        <w:ind w:firstLine="420" w:firstLineChars="200"/>
        <w:outlineLvl w:val="3"/>
        <w:rPr>
          <w:rFonts w:ascii="宋体" w:hAnsi="宋体" w:cs="仿宋_GB2312"/>
          <w:b/>
          <w:color w:val="auto"/>
          <w:szCs w:val="21"/>
        </w:rPr>
      </w:pPr>
      <w:r>
        <w:rPr>
          <w:rFonts w:hint="eastAsia" w:ascii="宋体" w:hAnsi="宋体" w:cs="仿宋_GB2312"/>
          <w:color w:val="auto"/>
          <w:szCs w:val="21"/>
        </w:rPr>
        <w:t>3.4.2投标人不按本章第3.4.1项要求提交投标保证金的，评标委员会将否决其投标。</w:t>
      </w:r>
    </w:p>
    <w:p w14:paraId="4B1D4B97">
      <w:pPr>
        <w:widowControl/>
        <w:wordWrap w:val="0"/>
        <w:spacing w:line="450" w:lineRule="exact"/>
        <w:ind w:firstLine="420" w:firstLineChars="200"/>
        <w:outlineLvl w:val="3"/>
        <w:rPr>
          <w:rFonts w:ascii="宋体" w:hAnsi="宋体" w:cs="仿宋_GB2312"/>
          <w:b/>
          <w:color w:val="auto"/>
          <w:szCs w:val="21"/>
        </w:rPr>
      </w:pPr>
      <w:r>
        <w:rPr>
          <w:rFonts w:hint="eastAsia" w:ascii="宋体" w:hAnsi="宋体" w:cs="仿宋_GB2312"/>
          <w:color w:val="auto"/>
          <w:szCs w:val="21"/>
        </w:rPr>
        <w:t>3.4.3投标保证金的退还：</w:t>
      </w:r>
    </w:p>
    <w:p w14:paraId="41A777B6">
      <w:pPr>
        <w:widowControl/>
        <w:wordWrap w:val="0"/>
        <w:spacing w:line="450" w:lineRule="exact"/>
        <w:ind w:firstLine="420" w:firstLineChars="200"/>
        <w:outlineLvl w:val="3"/>
        <w:rPr>
          <w:rFonts w:ascii="宋体" w:hAnsi="宋体" w:cs="仿宋_GB2312"/>
          <w:color w:val="auto"/>
          <w:szCs w:val="21"/>
        </w:rPr>
      </w:pPr>
      <w:r>
        <w:rPr>
          <w:rFonts w:hint="eastAsia" w:ascii="宋体" w:hAnsi="宋体" w:cs="仿宋_GB2312"/>
          <w:color w:val="auto"/>
          <w:szCs w:val="21"/>
          <w:highlight w:val="none"/>
        </w:rPr>
        <w:t>评标结束后，确定中标单位，发布</w:t>
      </w:r>
      <w:r>
        <w:rPr>
          <w:rFonts w:hint="eastAsia" w:ascii="宋体" w:hAnsi="宋体" w:cs="仿宋_GB2312"/>
          <w:color w:val="auto"/>
          <w:szCs w:val="21"/>
        </w:rPr>
        <w:t>中标公示，公示期结束后，交易中心统一办理（无需投标人办理）。未中标人的保证金在结果公告发布后，系统自动提交退款申请至中心财务处，由财务核对后自动退还给未中标人基本账户；中标人的保证金在合同签订后，由代理机构上传合同扫描件，经项目负责人确认后，系统自动提交退款申请至中心财务处，由财务核对后自动退还给中标人基本账户招投标活动中因发生质疑、投诉、举报或有关部门立案调查，投标保证金暂不退还，待调查处理结案后，按有关规定办理。</w:t>
      </w:r>
    </w:p>
    <w:p w14:paraId="1D8074B1">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3.4.4有下列情形之一的，投标保证金将不予退还：</w:t>
      </w:r>
    </w:p>
    <w:p w14:paraId="476D324B">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(1）投标人在规定的投标有效期内撤销或修改其投标文件；</w:t>
      </w:r>
    </w:p>
    <w:p w14:paraId="764B8564">
      <w:pPr>
        <w:wordWrap w:val="0"/>
        <w:spacing w:line="450" w:lineRule="exact"/>
        <w:ind w:firstLine="315" w:firstLineChars="150"/>
        <w:rPr>
          <w:rFonts w:ascii="宋体" w:hAnsi="宋体" w:cs="宋体"/>
          <w:color w:val="auto"/>
          <w:szCs w:val="21"/>
        </w:rPr>
      </w:pPr>
      <w:r>
        <w:rPr>
          <w:rFonts w:hint="eastAsia" w:ascii="宋体" w:hAnsi="宋体" w:cs="宋体"/>
          <w:color w:val="auto"/>
          <w:szCs w:val="21"/>
        </w:rPr>
        <w:t>（2）投标人在招投标活动中弄虚作假、围标串标等骗取中标并经招标投标监督机构调查核实；</w:t>
      </w:r>
    </w:p>
    <w:p w14:paraId="78430D28">
      <w:pPr>
        <w:wordWrap w:val="0"/>
        <w:spacing w:line="450" w:lineRule="exact"/>
        <w:ind w:firstLine="315" w:firstLineChars="150"/>
        <w:rPr>
          <w:rFonts w:ascii="宋体" w:hAnsi="宋体" w:cs="宋体"/>
          <w:color w:val="auto"/>
          <w:szCs w:val="21"/>
        </w:rPr>
      </w:pPr>
      <w:r>
        <w:rPr>
          <w:rFonts w:hint="eastAsia" w:ascii="宋体" w:hAnsi="宋体" w:cs="宋体"/>
          <w:color w:val="auto"/>
          <w:szCs w:val="21"/>
        </w:rPr>
        <w:t>（3）评标结果公示期结束后，中标人无故放弃中标项目或无正当理由不在规定时间内领取中标通知书，或未按规定支付招标代理机构服务费。</w:t>
      </w:r>
    </w:p>
    <w:p w14:paraId="6335ADBD">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(4）中标人在收到中标通知书后，无正当理由拒签合同协议书或未按招标文件规定提交履约担保。</w:t>
      </w:r>
    </w:p>
    <w:p w14:paraId="7C13035D">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(5)法律法规、规章及招标文件规定的其它不予退还的情形。</w:t>
      </w:r>
    </w:p>
    <w:p w14:paraId="21677456">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3.5企业基本情况资料</w:t>
      </w:r>
    </w:p>
    <w:p w14:paraId="43C48942">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3.5.1“投标人基本情况表”应附投标人营业执照副本、企业资质证书副本、安全生产许可证等材料的原件扫描件。</w:t>
      </w:r>
    </w:p>
    <w:p w14:paraId="3BE9FD45">
      <w:pPr>
        <w:widowControl/>
        <w:wordWrap w:val="0"/>
        <w:spacing w:line="450" w:lineRule="exact"/>
        <w:ind w:firstLine="420" w:firstLineChars="200"/>
        <w:jc w:val="left"/>
        <w:rPr>
          <w:rFonts w:ascii="宋体" w:hAnsi="宋体" w:cs="仿宋_GB2312"/>
          <w:color w:val="auto"/>
          <w:kern w:val="0"/>
          <w:szCs w:val="21"/>
          <w:highlight w:val="none"/>
        </w:rPr>
      </w:pPr>
      <w:r>
        <w:rPr>
          <w:rFonts w:hint="eastAsia" w:ascii="宋体" w:hAnsi="宋体" w:cs="仿宋_GB2312"/>
          <w:color w:val="auto"/>
          <w:kern w:val="0"/>
          <w:szCs w:val="21"/>
          <w:highlight w:val="none"/>
        </w:rPr>
        <w:t>3.5.2“近年财务状况表”具体要求见投标人须知表。</w:t>
      </w:r>
    </w:p>
    <w:p w14:paraId="1BF9F66C">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3.5.3“近年完成的类似项目情况表”应附合同协议书的原件扫描件，具体年份要求见投标人须知前附表。每张表格只填写一个项目，并标明序号。</w:t>
      </w:r>
    </w:p>
    <w:p w14:paraId="731E361A">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3.5.4“正在施工和新承接的项目情况表”应附合同协议书的原件扫描件。每张表格只填写一个项目，并标明序号。</w:t>
      </w:r>
    </w:p>
    <w:p w14:paraId="668B9074">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3.5.5“近年发生的诉讼及仲裁情况”应说明相关情况，并附法院或仲裁机构作出的判决、裁决等有关法律文书的原件扫描件，具体年份要求见投标人须知前附表。</w:t>
      </w:r>
    </w:p>
    <w:p w14:paraId="3F8B678E">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3.6备选投标方案</w:t>
      </w:r>
    </w:p>
    <w:p w14:paraId="45223002">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除投标人须知前附表另有规定外，投标人不得递交备选投标方案。</w:t>
      </w:r>
    </w:p>
    <w:p w14:paraId="7ADFAF1B">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3.7投标文件的编制</w:t>
      </w:r>
    </w:p>
    <w:p w14:paraId="237E208B">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3.7.1投标文件应当对招标文件有关工期、投标有效期、质量要求、招标范围等实质性内容作出响应。</w:t>
      </w:r>
    </w:p>
    <w:p w14:paraId="39650ACE">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3.7.2本项目为电子化、无纸化交易项目，投标文件是投标人使用CA证书通过中心投标文件制作系统制作上传，并经过电子签章和加密后生成的电子版投标文件。投标人投标时，将不再接受任何纸质文件资料。</w:t>
      </w:r>
    </w:p>
    <w:p w14:paraId="7CE01DE9">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电子化投标文件具体制作教材请投标人通过CA证书登录三门峡市公共资源电子化交易系统在“组件下载”中查看。</w:t>
      </w:r>
    </w:p>
    <w:p w14:paraId="488871F8">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3.7.3电子化投标文件的签章</w:t>
      </w:r>
    </w:p>
    <w:p w14:paraId="7D2474E2">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（1）投标人在生成电子化投标文件后，应对电子化投标文件进行签章，未进行签章的视为无效投标。</w:t>
      </w:r>
    </w:p>
    <w:p w14:paraId="745851AD">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2）招标文件中要求法定代表人或授权委托人签字或盖章的，投标人在进行电子化投标文件签章时，以签盖法定代表人签章为准。电子化投标文件具体制作教材请投标人通过CA证书登录三门峡市公共资源电子化交易系统在右上角“组件下载”中查看。</w:t>
      </w:r>
    </w:p>
    <w:p w14:paraId="268F7EF0">
      <w:pPr>
        <w:widowControl/>
        <w:wordWrap w:val="0"/>
        <w:spacing w:line="450" w:lineRule="exact"/>
        <w:ind w:firstLine="422" w:firstLineChars="200"/>
        <w:outlineLvl w:val="2"/>
        <w:rPr>
          <w:rFonts w:ascii="宋体" w:hAnsi="宋体" w:cs="仿宋_GB2312"/>
          <w:b/>
          <w:color w:val="auto"/>
          <w:szCs w:val="21"/>
        </w:rPr>
      </w:pPr>
      <w:bookmarkStart w:id="76" w:name="_Toc11024"/>
      <w:bookmarkEnd w:id="76"/>
      <w:bookmarkStart w:id="77" w:name="_Toc184635074"/>
      <w:bookmarkEnd w:id="77"/>
      <w:bookmarkStart w:id="78" w:name="_Toc14807"/>
      <w:bookmarkEnd w:id="78"/>
      <w:bookmarkStart w:id="79" w:name="_Toc29312"/>
      <w:bookmarkStart w:id="80" w:name="_Toc191031386"/>
      <w:bookmarkStart w:id="81" w:name="_Toc204691579"/>
      <w:bookmarkStart w:id="82" w:name="_Toc191031433"/>
      <w:r>
        <w:rPr>
          <w:rFonts w:hint="eastAsia" w:ascii="宋体" w:hAnsi="宋体" w:cs="仿宋_GB2312"/>
          <w:b/>
          <w:color w:val="auto"/>
          <w:szCs w:val="21"/>
        </w:rPr>
        <w:t>4．投标</w:t>
      </w:r>
      <w:bookmarkEnd w:id="79"/>
      <w:r>
        <w:rPr>
          <w:rFonts w:hint="eastAsia" w:ascii="宋体" w:hAnsi="宋体" w:cs="仿宋_GB2312"/>
          <w:b/>
          <w:color w:val="auto"/>
          <w:szCs w:val="21"/>
        </w:rPr>
        <w:t>（电子平台投标文件上传）</w:t>
      </w:r>
      <w:bookmarkEnd w:id="80"/>
      <w:bookmarkEnd w:id="81"/>
      <w:bookmarkEnd w:id="82"/>
    </w:p>
    <w:p w14:paraId="40DD1EDC">
      <w:pPr>
        <w:widowControl/>
        <w:tabs>
          <w:tab w:val="left" w:pos="180"/>
        </w:tabs>
        <w:wordWrap w:val="0"/>
        <w:spacing w:line="450" w:lineRule="exact"/>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4.1电子化投标文件的格式</w:t>
      </w:r>
    </w:p>
    <w:p w14:paraId="71DFA3DF">
      <w:pPr>
        <w:widowControl/>
        <w:tabs>
          <w:tab w:val="left" w:pos="180"/>
        </w:tabs>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4.1.1投标人所上传的电子化投标文件，应是通过中心投标文件制作系统制作的，经过签章和加密后生成的电子版投标文件。</w:t>
      </w:r>
    </w:p>
    <w:p w14:paraId="0A24D690">
      <w:pPr>
        <w:widowControl/>
        <w:tabs>
          <w:tab w:val="left" w:pos="180"/>
        </w:tabs>
        <w:wordWrap w:val="0"/>
        <w:spacing w:line="450" w:lineRule="exact"/>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4.2上传投标</w:t>
      </w:r>
    </w:p>
    <w:p w14:paraId="16EBB313">
      <w:pPr>
        <w:widowControl/>
        <w:tabs>
          <w:tab w:val="left" w:pos="180"/>
        </w:tabs>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4.2.1电子化投标文件应在投标截止时间前成功上传至三门峡市公共资源电子化交易系统。至投标截止时间止，仍未上传成功的电子化投标文件将不予接收。</w:t>
      </w:r>
    </w:p>
    <w:p w14:paraId="4EDB3034">
      <w:pPr>
        <w:widowControl/>
        <w:tabs>
          <w:tab w:val="left" w:pos="180"/>
        </w:tabs>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4.2.2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03504525">
      <w:pPr>
        <w:widowControl/>
        <w:wordWrap w:val="0"/>
        <w:spacing w:line="450" w:lineRule="exact"/>
        <w:ind w:firstLine="422" w:firstLineChars="200"/>
        <w:outlineLvl w:val="2"/>
        <w:rPr>
          <w:rFonts w:ascii="宋体" w:hAnsi="宋体" w:cs="仿宋_GB2312"/>
          <w:b/>
          <w:color w:val="auto"/>
          <w:szCs w:val="21"/>
        </w:rPr>
      </w:pPr>
      <w:bookmarkStart w:id="83" w:name="_Toc12860"/>
      <w:bookmarkEnd w:id="83"/>
      <w:bookmarkStart w:id="84" w:name="_Toc184635075"/>
      <w:bookmarkEnd w:id="84"/>
      <w:bookmarkStart w:id="85" w:name="_Toc31268"/>
      <w:bookmarkEnd w:id="85"/>
      <w:bookmarkStart w:id="86" w:name="_Toc204691580"/>
      <w:bookmarkStart w:id="87" w:name="_Toc191031387"/>
      <w:bookmarkStart w:id="88" w:name="_Toc1848"/>
      <w:bookmarkStart w:id="89" w:name="_Toc191031434"/>
      <w:r>
        <w:rPr>
          <w:rFonts w:hint="eastAsia" w:ascii="宋体" w:hAnsi="宋体" w:cs="仿宋_GB2312"/>
          <w:b/>
          <w:color w:val="auto"/>
          <w:szCs w:val="21"/>
        </w:rPr>
        <w:t>5．开标</w:t>
      </w:r>
      <w:bookmarkEnd w:id="86"/>
      <w:bookmarkEnd w:id="87"/>
      <w:bookmarkEnd w:id="88"/>
      <w:bookmarkEnd w:id="89"/>
    </w:p>
    <w:p w14:paraId="5DFE418D">
      <w:pPr>
        <w:widowControl/>
        <w:tabs>
          <w:tab w:val="left" w:pos="180"/>
        </w:tabs>
        <w:wordWrap w:val="0"/>
        <w:spacing w:line="450" w:lineRule="exact"/>
        <w:ind w:firstLine="422" w:firstLineChars="200"/>
        <w:jc w:val="left"/>
        <w:rPr>
          <w:rFonts w:ascii="宋体" w:hAnsi="宋体" w:cs="仿宋_GB2312"/>
          <w:b/>
          <w:color w:val="auto"/>
          <w:kern w:val="0"/>
          <w:szCs w:val="21"/>
        </w:rPr>
      </w:pPr>
      <w:bookmarkStart w:id="90" w:name="_Toc7466"/>
      <w:bookmarkStart w:id="91" w:name="_Toc4072"/>
      <w:bookmarkStart w:id="92" w:name="_Toc5603"/>
      <w:bookmarkStart w:id="93" w:name="_Toc9263"/>
      <w:r>
        <w:rPr>
          <w:rFonts w:hint="eastAsia" w:ascii="宋体" w:hAnsi="宋体" w:cs="仿宋_GB2312"/>
          <w:b/>
          <w:color w:val="auto"/>
          <w:kern w:val="0"/>
          <w:szCs w:val="21"/>
        </w:rPr>
        <w:t>5.1开标时间和地点</w:t>
      </w:r>
      <w:bookmarkEnd w:id="90"/>
      <w:bookmarkEnd w:id="91"/>
      <w:bookmarkEnd w:id="92"/>
      <w:bookmarkEnd w:id="93"/>
    </w:p>
    <w:p w14:paraId="1CB1FEB9">
      <w:pPr>
        <w:wordWrap w:val="0"/>
        <w:spacing w:line="450" w:lineRule="exact"/>
        <w:ind w:firstLine="420" w:firstLineChars="200"/>
        <w:rPr>
          <w:rFonts w:hint="eastAsia" w:ascii="宋体" w:hAnsi="宋体" w:eastAsia="宋体" w:cs="宋体"/>
          <w:color w:val="auto"/>
          <w:szCs w:val="21"/>
          <w:lang w:eastAsia="zh-CN"/>
        </w:rPr>
      </w:pPr>
      <w:r>
        <w:rPr>
          <w:rFonts w:hint="eastAsia" w:ascii="宋体" w:hAnsi="宋体" w:cs="仿宋_GB2312"/>
          <w:color w:val="auto"/>
          <w:kern w:val="0"/>
          <w:szCs w:val="21"/>
        </w:rPr>
        <w:t>招标人</w:t>
      </w:r>
      <w:r>
        <w:rPr>
          <w:rFonts w:hint="eastAsia" w:ascii="宋体" w:hAnsi="宋体" w:cs="宋体"/>
          <w:color w:val="auto"/>
          <w:szCs w:val="21"/>
        </w:rPr>
        <w:t>在规定的投标截止时间(开标时间)</w:t>
      </w:r>
      <w:r>
        <w:rPr>
          <w:rFonts w:hint="eastAsia" w:ascii="宋体" w:hAnsi="宋体" w:cs="仿宋_GB2312"/>
          <w:color w:val="auto"/>
          <w:kern w:val="0"/>
          <w:szCs w:val="21"/>
        </w:rPr>
        <w:t>和投标人须知前附表规定的地点,通过电子招标投标交易平台公开开标。</w:t>
      </w:r>
    </w:p>
    <w:p w14:paraId="425A4ABC">
      <w:pPr>
        <w:widowControl/>
        <w:wordWrap w:val="0"/>
        <w:spacing w:line="450" w:lineRule="exact"/>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5.2开标程序</w:t>
      </w:r>
    </w:p>
    <w:p w14:paraId="7F46335A">
      <w:pPr>
        <w:wordWrap w:val="0"/>
        <w:snapToGrid w:val="0"/>
        <w:spacing w:line="450" w:lineRule="exact"/>
        <w:ind w:firstLine="573"/>
        <w:jc w:val="left"/>
        <w:rPr>
          <w:rFonts w:ascii="宋体" w:hAnsi="宋体" w:cs="宋体"/>
          <w:color w:val="auto"/>
          <w:szCs w:val="21"/>
        </w:rPr>
      </w:pPr>
      <w:r>
        <w:rPr>
          <w:rFonts w:hint="eastAsia" w:ascii="宋体" w:hAnsi="宋体" w:cs="仿宋_GB2312"/>
          <w:color w:val="auto"/>
          <w:kern w:val="0"/>
          <w:szCs w:val="21"/>
        </w:rPr>
        <w:t>5.2.1</w:t>
      </w:r>
      <w:r>
        <w:rPr>
          <w:rFonts w:hint="eastAsia" w:ascii="宋体" w:hAnsi="宋体" w:cs="宋体"/>
          <w:color w:val="auto"/>
          <w:szCs w:val="21"/>
        </w:rPr>
        <w:t>本项目采用</w:t>
      </w:r>
      <w:r>
        <w:rPr>
          <w:rFonts w:hint="eastAsia" w:ascii="宋体" w:hAnsi="宋体" w:cs="宋体"/>
          <w:b/>
          <w:color w:val="auto"/>
          <w:szCs w:val="21"/>
        </w:rPr>
        <w:t>电子化、无纸化</w:t>
      </w:r>
      <w:r>
        <w:rPr>
          <w:rFonts w:hint="eastAsia" w:ascii="宋体" w:hAnsi="宋体" w:cs="宋体"/>
          <w:color w:val="auto"/>
          <w:szCs w:val="21"/>
        </w:rPr>
        <w:t>、</w:t>
      </w:r>
      <w:r>
        <w:rPr>
          <w:rFonts w:hint="eastAsia" w:ascii="宋体" w:hAnsi="宋体" w:cs="宋体"/>
          <w:b/>
          <w:color w:val="auto"/>
          <w:szCs w:val="21"/>
        </w:rPr>
        <w:t>不见面交易</w:t>
      </w:r>
      <w:r>
        <w:rPr>
          <w:rFonts w:hint="eastAsia" w:ascii="宋体" w:hAnsi="宋体" w:cs="宋体"/>
          <w:color w:val="auto"/>
          <w:szCs w:val="21"/>
        </w:rPr>
        <w:t>招标，投标人通过网络登录交易平台进入项目开标大厅远程在线参加开标会议。</w:t>
      </w:r>
      <w:r>
        <w:rPr>
          <w:rFonts w:hint="eastAsia" w:ascii="宋体" w:hAnsi="宋体" w:cs="仿宋_GB2312"/>
          <w:color w:val="auto"/>
          <w:kern w:val="0"/>
          <w:szCs w:val="21"/>
        </w:rPr>
        <w:t>开标当日，投标人无需到开标现场参加开标会议，投标人应当在投标截止时间前，登陆不见面开标大厅选择登陆三门峡市公共资源电子招投标系统进行登陆（网址为</w:t>
      </w:r>
      <w:r>
        <w:rPr>
          <w:rFonts w:ascii="宋体" w:hAnsi="宋体" w:cs="仿宋_GB2312"/>
          <w:color w:val="auto"/>
          <w:kern w:val="0"/>
          <w:szCs w:val="21"/>
        </w:rPr>
        <w:t>http://120.194.249.36:10094/BidOpening/bidopeninghallaction/hall/login</w:t>
      </w:r>
      <w:r>
        <w:rPr>
          <w:rFonts w:hint="eastAsia" w:ascii="宋体" w:hAnsi="宋体" w:cs="仿宋_GB2312"/>
          <w:color w:val="auto"/>
          <w:kern w:val="0"/>
          <w:szCs w:val="21"/>
        </w:rPr>
        <w:t>）,</w:t>
      </w:r>
      <w:r>
        <w:rPr>
          <w:rFonts w:hint="eastAsia" w:ascii="宋体" w:hAnsi="宋体" w:cs="宋体"/>
          <w:color w:val="auto"/>
          <w:szCs w:val="21"/>
        </w:rPr>
        <w:t>进入项目开标大厅远程在线</w:t>
      </w:r>
      <w:r>
        <w:rPr>
          <w:rFonts w:hint="eastAsia" w:ascii="宋体" w:hAnsi="宋体" w:cs="仿宋_GB2312"/>
          <w:color w:val="auto"/>
          <w:kern w:val="0"/>
          <w:szCs w:val="21"/>
        </w:rPr>
        <w:t>准时参加开标</w:t>
      </w:r>
      <w:r>
        <w:rPr>
          <w:rFonts w:hint="eastAsia" w:ascii="宋体" w:hAnsi="宋体" w:cs="宋体"/>
          <w:color w:val="auto"/>
          <w:szCs w:val="21"/>
        </w:rPr>
        <w:t>会议。</w:t>
      </w:r>
      <w:r>
        <w:rPr>
          <w:rFonts w:hint="eastAsia" w:ascii="宋体" w:hAnsi="宋体" w:cs="仿宋_GB2312"/>
          <w:color w:val="auto"/>
          <w:kern w:val="0"/>
          <w:szCs w:val="21"/>
        </w:rPr>
        <w:t>并进行投标文件解密等。</w:t>
      </w:r>
    </w:p>
    <w:p w14:paraId="2F7497AC">
      <w:pPr>
        <w:widowControl/>
        <w:wordWrap w:val="0"/>
        <w:spacing w:line="450" w:lineRule="exact"/>
        <w:ind w:firstLine="420" w:firstLineChars="200"/>
        <w:jc w:val="left"/>
        <w:rPr>
          <w:rFonts w:ascii="宋体" w:hAnsi="宋体" w:cs="仿宋_GB2312"/>
          <w:color w:val="auto"/>
          <w:kern w:val="0"/>
          <w:szCs w:val="21"/>
        </w:rPr>
      </w:pPr>
      <w:bookmarkStart w:id="94" w:name="_Toc27649"/>
      <w:bookmarkEnd w:id="94"/>
      <w:bookmarkStart w:id="95" w:name="_Toc24220"/>
      <w:bookmarkEnd w:id="95"/>
      <w:bookmarkStart w:id="96" w:name="_Toc184635076"/>
      <w:bookmarkEnd w:id="96"/>
      <w:bookmarkStart w:id="97" w:name="_Toc24359"/>
      <w:r>
        <w:rPr>
          <w:rFonts w:hint="eastAsia" w:ascii="宋体" w:hAnsi="宋体" w:cs="仿宋_GB2312"/>
          <w:color w:val="auto"/>
          <w:kern w:val="0"/>
          <w:szCs w:val="21"/>
        </w:rPr>
        <w:t>5.2.2电子化投标文件采用一次加密方式。开标时，由投标人使用CA证书，在规定时间内对其电子化投标文件进行解密。每位投标人的解密时间为开标时间起30分钟内，如在规定时间内未完成解密的，其投标文件不予开标、唱标。每位投标人的解密时间为开标时间起30分钟内完成。</w:t>
      </w:r>
    </w:p>
    <w:p w14:paraId="5CFDDF3B">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5.2.3电子化投标文件解密异常的处理</w:t>
      </w:r>
    </w:p>
    <w:p w14:paraId="5F9FD231">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如出现投标人的电子投标文件无法解密等异常情况，投标人应及时通过开标大厅对话框向中介服务机构说明。投标文件异常，按以下步骤进行处理：</w:t>
      </w:r>
    </w:p>
    <w:p w14:paraId="00718822">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（1）首先由技术人员进行问题排查。</w:t>
      </w:r>
    </w:p>
    <w:p w14:paraId="006306AF">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（2）经技术人员排查后，是投标人文件自身问题导致投标文件无法解密的，该投标文件将不予接收、解密和唱标。开标会议继续进行。</w:t>
      </w:r>
    </w:p>
    <w:p w14:paraId="12C4AA69">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64563D0B">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5.2.4待所有投标人投标文件解密完成后，由中介服务机构操作，对所有已解密投标文件进行唱标。</w:t>
      </w:r>
    </w:p>
    <w:p w14:paraId="4F7D01B6">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投标人应保证在开标期间电脑、网络能够正常工作，投标人因停电、电脑病毒、网络堵塞等原因，未在规定的解密时间内对投标文件进行解密的，其投标文件不予接收、唱标。</w:t>
      </w:r>
    </w:p>
    <w:p w14:paraId="4A34C198">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5.2.5开标时投标人可登录到交易系统中在开标大厅中点击开标一览表查看自己的</w:t>
      </w:r>
      <w:r>
        <w:rPr>
          <w:rFonts w:hint="eastAsia" w:ascii="宋体" w:hAnsi="宋体" w:cs="仿宋_GB2312"/>
          <w:color w:val="auto"/>
          <w:kern w:val="0"/>
          <w:szCs w:val="21"/>
          <w:lang w:eastAsia="zh-CN"/>
        </w:rPr>
        <w:t>投标总报价</w:t>
      </w:r>
      <w:r>
        <w:rPr>
          <w:rFonts w:hint="eastAsia" w:ascii="宋体" w:hAnsi="宋体" w:cs="仿宋_GB2312"/>
          <w:color w:val="auto"/>
          <w:kern w:val="0"/>
          <w:szCs w:val="21"/>
        </w:rPr>
        <w:t>。如对自己的唱标内容</w:t>
      </w:r>
      <w:r>
        <w:rPr>
          <w:rFonts w:hint="eastAsia" w:ascii="宋体" w:hAnsi="宋体" w:cs="仿宋_GB2312"/>
          <w:color w:val="auto"/>
          <w:kern w:val="0"/>
          <w:szCs w:val="21"/>
          <w:highlight w:val="none"/>
        </w:rPr>
        <w:t>有异议的，应在唱标内容显示后10分钟内向中介服务机构通</w:t>
      </w:r>
      <w:r>
        <w:rPr>
          <w:rFonts w:hint="eastAsia" w:ascii="宋体" w:hAnsi="宋体" w:cs="仿宋_GB2312"/>
          <w:color w:val="auto"/>
          <w:kern w:val="0"/>
          <w:szCs w:val="21"/>
        </w:rPr>
        <w:t>过开标大厅对话框提出质疑。中介服务机构做好书面记录。投标人未在规定时间内提出质疑的，视为认可唱标内容。</w:t>
      </w:r>
    </w:p>
    <w:p w14:paraId="618B32B4">
      <w:pPr>
        <w:widowControl/>
        <w:wordWrap w:val="0"/>
        <w:spacing w:line="450" w:lineRule="exact"/>
        <w:ind w:firstLine="422" w:firstLineChars="200"/>
        <w:outlineLvl w:val="2"/>
        <w:rPr>
          <w:rFonts w:ascii="宋体" w:hAnsi="宋体" w:cs="仿宋_GB2312"/>
          <w:b/>
          <w:color w:val="auto"/>
          <w:szCs w:val="21"/>
        </w:rPr>
      </w:pPr>
      <w:bookmarkStart w:id="98" w:name="_Toc191031388"/>
      <w:bookmarkStart w:id="99" w:name="_Toc204691581"/>
      <w:bookmarkStart w:id="100" w:name="_Toc191031435"/>
      <w:r>
        <w:rPr>
          <w:rFonts w:hint="eastAsia" w:ascii="宋体" w:hAnsi="宋体" w:cs="仿宋_GB2312"/>
          <w:b/>
          <w:color w:val="auto"/>
          <w:szCs w:val="21"/>
        </w:rPr>
        <w:t>6．评标</w:t>
      </w:r>
      <w:bookmarkEnd w:id="97"/>
      <w:bookmarkEnd w:id="98"/>
      <w:bookmarkEnd w:id="99"/>
      <w:bookmarkEnd w:id="100"/>
    </w:p>
    <w:p w14:paraId="70395F9A">
      <w:pPr>
        <w:widowControl/>
        <w:wordWrap w:val="0"/>
        <w:spacing w:line="450" w:lineRule="exact"/>
        <w:ind w:firstLine="422" w:firstLineChars="200"/>
        <w:outlineLvl w:val="2"/>
        <w:rPr>
          <w:rFonts w:ascii="宋体" w:hAnsi="宋体" w:cs="仿宋_GB2312"/>
          <w:b/>
          <w:color w:val="auto"/>
          <w:szCs w:val="21"/>
        </w:rPr>
      </w:pPr>
      <w:bookmarkStart w:id="101" w:name="_Toc204639252"/>
      <w:bookmarkStart w:id="102" w:name="_Toc204639045"/>
      <w:bookmarkStart w:id="103" w:name="_Toc204691582"/>
      <w:r>
        <w:rPr>
          <w:rFonts w:hint="eastAsia" w:ascii="宋体" w:hAnsi="宋体" w:cs="仿宋_GB2312"/>
          <w:b/>
          <w:color w:val="auto"/>
          <w:szCs w:val="21"/>
        </w:rPr>
        <w:t>6.1评标、定标方式</w:t>
      </w:r>
      <w:bookmarkEnd w:id="101"/>
      <w:bookmarkEnd w:id="102"/>
      <w:bookmarkEnd w:id="103"/>
    </w:p>
    <w:p w14:paraId="3D7F356E">
      <w:pPr>
        <w:widowControl/>
        <w:wordWrap w:val="0"/>
        <w:spacing w:line="450" w:lineRule="exact"/>
        <w:ind w:firstLine="422" w:firstLineChars="200"/>
        <w:outlineLvl w:val="2"/>
        <w:rPr>
          <w:rFonts w:ascii="宋体" w:hAnsi="宋体" w:cs="仿宋_GB2312"/>
          <w:b/>
          <w:color w:val="auto"/>
          <w:szCs w:val="21"/>
        </w:rPr>
      </w:pPr>
      <w:bookmarkStart w:id="104" w:name="_Toc204639046"/>
      <w:bookmarkStart w:id="105" w:name="_Toc204691583"/>
      <w:bookmarkStart w:id="106" w:name="_Toc204639253"/>
      <w:r>
        <w:rPr>
          <w:rFonts w:hint="eastAsia" w:ascii="宋体" w:hAnsi="宋体" w:cs="仿宋_GB2312"/>
          <w:b/>
          <w:color w:val="auto"/>
          <w:szCs w:val="21"/>
        </w:rPr>
        <w:t>本项目采用评定分离方式。</w:t>
      </w:r>
      <w:bookmarkEnd w:id="104"/>
      <w:bookmarkEnd w:id="105"/>
      <w:bookmarkEnd w:id="106"/>
    </w:p>
    <w:p w14:paraId="4458A119">
      <w:pPr>
        <w:widowControl/>
        <w:wordWrap w:val="0"/>
        <w:spacing w:line="450" w:lineRule="exact"/>
        <w:ind w:firstLine="422" w:firstLineChars="200"/>
        <w:outlineLvl w:val="2"/>
        <w:rPr>
          <w:rFonts w:ascii="宋体" w:hAnsi="宋体" w:cs="仿宋_GB2312"/>
          <w:b/>
          <w:color w:val="auto"/>
          <w:szCs w:val="21"/>
        </w:rPr>
      </w:pPr>
      <w:bookmarkStart w:id="107" w:name="_Toc204639254"/>
      <w:bookmarkStart w:id="108" w:name="_Toc204691584"/>
      <w:bookmarkStart w:id="109" w:name="_Toc204639047"/>
      <w:r>
        <w:rPr>
          <w:rFonts w:hint="eastAsia" w:ascii="宋体" w:hAnsi="宋体" w:cs="仿宋_GB2312"/>
          <w:b/>
          <w:color w:val="auto"/>
          <w:szCs w:val="21"/>
        </w:rPr>
        <w:t>6.2评标委员会</w:t>
      </w:r>
      <w:bookmarkEnd w:id="107"/>
      <w:bookmarkEnd w:id="108"/>
      <w:bookmarkEnd w:id="109"/>
    </w:p>
    <w:p w14:paraId="5611DA5B">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6.2.1评标由招标人依法组建的评标委员会负责。评标委员会由有关技术、经济等方面的专家组成。评标委员会成员人数以及技术、经济等方面专家的确定方式见投标人须知前附表。</w:t>
      </w:r>
    </w:p>
    <w:p w14:paraId="71D7BE70">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6.2.2评标委员会成员有下列情形之一的，应当回避：</w:t>
      </w:r>
    </w:p>
    <w:p w14:paraId="4459CD86">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(1）投标人或投标人的主要负责人的近亲属；</w:t>
      </w:r>
    </w:p>
    <w:p w14:paraId="0DC9D741">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(2）项目主管部门或者行政监督部门的人员；</w:t>
      </w:r>
    </w:p>
    <w:p w14:paraId="1F807606">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(3）与投标人有经济利益关系，可能影响对投标公正评审的；</w:t>
      </w:r>
    </w:p>
    <w:p w14:paraId="3FFB88E1">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(4）曾因在招标、评标以及其他与招标投标有关活动中从事违法行为而受过行政处罚或刑事处罚的；</w:t>
      </w:r>
    </w:p>
    <w:p w14:paraId="445D733D">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(5）与投标人有其他利害关系。</w:t>
      </w:r>
    </w:p>
    <w:p w14:paraId="231EF53B">
      <w:pPr>
        <w:widowControl/>
        <w:wordWrap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6.3评标原则</w:t>
      </w:r>
    </w:p>
    <w:p w14:paraId="507B58AE">
      <w:pPr>
        <w:widowControl/>
        <w:wordWrap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评标活动遵循公平、公正、科学和择优的原则。</w:t>
      </w:r>
    </w:p>
    <w:p w14:paraId="51D2EA91">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6.4评标</w:t>
      </w:r>
    </w:p>
    <w:p w14:paraId="5C45ECB1">
      <w:pPr>
        <w:widowControl/>
        <w:wordWrap w:val="0"/>
        <w:autoSpaceDE w:val="0"/>
        <w:spacing w:line="450" w:lineRule="exact"/>
        <w:ind w:firstLine="420" w:firstLineChars="200"/>
        <w:jc w:val="left"/>
        <w:rPr>
          <w:rFonts w:ascii="宋体" w:hAnsi="宋体" w:cs="仿宋_GB2312"/>
          <w:color w:val="auto"/>
          <w:kern w:val="0"/>
          <w:szCs w:val="21"/>
        </w:rPr>
      </w:pPr>
      <w:r>
        <w:rPr>
          <w:rFonts w:hint="eastAsia" w:ascii="宋体" w:hAnsi="宋体" w:cs="宋体"/>
          <w:color w:val="auto"/>
          <w:szCs w:val="21"/>
        </w:rPr>
        <w:t>6.4.1</w:t>
      </w:r>
      <w:r>
        <w:rPr>
          <w:rFonts w:hint="eastAsia" w:ascii="宋体" w:hAnsi="宋体" w:cs="仿宋_GB2312"/>
          <w:color w:val="auto"/>
          <w:kern w:val="0"/>
          <w:szCs w:val="21"/>
        </w:rPr>
        <w:t>评标委员会按照第三章“评标办法”规定的方法、评审因素、标准和程序对投标文件进行评审。第三章“评标办法”没有规定的方法、评审因素和标准，不作为评标依据。</w:t>
      </w:r>
    </w:p>
    <w:p w14:paraId="7BD24829">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6.4.2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5CDEBD0A">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6.4.3如评标委员会对需要回复的投标人通过电子化交易系统对投标人发起质疑连续三次未回复的，视为投标人放弃回复，评标委员会将自行对需要回复的内容进行认定。</w:t>
      </w:r>
    </w:p>
    <w:p w14:paraId="4481AD5A">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6.4.4评标完成后，评标委员会应当向招标人提交书面评标报告和中标候选人名单。评标报告应当载明每个中标候选人的特点、优势、缺点、风险等评审情况和推荐理由，并对技术、质量、安全、工期的控制能力等提供技术咨询建议，供定标委员会参考。</w:t>
      </w:r>
      <w:bookmarkStart w:id="110" w:name="_Toc863735720"/>
    </w:p>
    <w:bookmarkEnd w:id="110"/>
    <w:p w14:paraId="07B5CEE9">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6.5推荐中标候选人</w:t>
      </w:r>
    </w:p>
    <w:p w14:paraId="2D6B9C63">
      <w:pPr>
        <w:wordWrap w:val="0"/>
        <w:spacing w:line="45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按“投标人须知前附表”规定的具体方法及规则</w:t>
      </w:r>
      <w:r>
        <w:rPr>
          <w:rFonts w:hint="eastAsia" w:ascii="宋体" w:hAnsi="宋体" w:cs="宋体"/>
          <w:color w:val="auto"/>
          <w:szCs w:val="21"/>
        </w:rPr>
        <w:t>推荐中标候选人。</w:t>
      </w:r>
    </w:p>
    <w:p w14:paraId="5B5B210F">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6.6中标候选人公示</w:t>
      </w:r>
    </w:p>
    <w:p w14:paraId="30A4081D">
      <w:pPr>
        <w:widowControl/>
        <w:wordWrap w:val="0"/>
        <w:autoSpaceDE w:val="0"/>
        <w:spacing w:line="450" w:lineRule="exact"/>
        <w:ind w:firstLine="420" w:firstLineChars="200"/>
        <w:jc w:val="left"/>
        <w:rPr>
          <w:rFonts w:ascii="宋体" w:hAnsi="宋体" w:cs="宋体"/>
          <w:color w:val="auto"/>
          <w:szCs w:val="21"/>
        </w:rPr>
      </w:pPr>
      <w:r>
        <w:rPr>
          <w:rFonts w:hint="eastAsia" w:ascii="宋体" w:hAnsi="宋体" w:cs="宋体"/>
          <w:color w:val="auto"/>
          <w:szCs w:val="21"/>
        </w:rPr>
        <w:t>6.6.1中标候选人公示媒介</w:t>
      </w:r>
    </w:p>
    <w:p w14:paraId="114B056D">
      <w:pPr>
        <w:widowControl/>
        <w:wordWrap w:val="0"/>
        <w:autoSpaceDE w:val="0"/>
        <w:spacing w:line="450" w:lineRule="exact"/>
        <w:ind w:firstLine="420" w:firstLineChars="200"/>
        <w:jc w:val="left"/>
        <w:rPr>
          <w:rFonts w:ascii="宋体" w:hAnsi="宋体" w:cs="宋体"/>
          <w:color w:val="auto"/>
          <w:szCs w:val="21"/>
        </w:rPr>
      </w:pPr>
      <w:r>
        <w:rPr>
          <w:rFonts w:hint="eastAsia" w:ascii="宋体" w:hAnsi="宋体" w:cs="宋体"/>
          <w:color w:val="auto"/>
          <w:szCs w:val="21"/>
        </w:rPr>
        <w:t>详见投标人须知前附表</w:t>
      </w:r>
    </w:p>
    <w:p w14:paraId="7F49CE2B">
      <w:pPr>
        <w:widowControl/>
        <w:wordWrap w:val="0"/>
        <w:autoSpaceDE w:val="0"/>
        <w:spacing w:line="450" w:lineRule="exact"/>
        <w:ind w:firstLine="420" w:firstLineChars="200"/>
        <w:jc w:val="left"/>
        <w:rPr>
          <w:rFonts w:ascii="宋体" w:hAnsi="宋体" w:cs="宋体"/>
          <w:color w:val="auto"/>
          <w:szCs w:val="21"/>
        </w:rPr>
      </w:pPr>
      <w:r>
        <w:rPr>
          <w:rFonts w:hint="eastAsia" w:ascii="宋体" w:hAnsi="宋体" w:cs="宋体"/>
          <w:color w:val="auto"/>
          <w:szCs w:val="21"/>
        </w:rPr>
        <w:t>6.6.2招标人</w:t>
      </w:r>
      <w:r>
        <w:rPr>
          <w:rFonts w:hint="eastAsia" w:ascii="宋体" w:hAnsi="宋体" w:cs="宋体"/>
          <w:color w:val="auto"/>
          <w:szCs w:val="21"/>
          <w:highlight w:val="none"/>
        </w:rPr>
        <w:t>在收到评标报告之日起3日内，在与发布招标公告一致的媒体上发布中标候选人公示，</w:t>
      </w:r>
      <w:r>
        <w:rPr>
          <w:rFonts w:hint="eastAsia" w:ascii="宋体" w:hAnsi="宋体" w:cs="宋体"/>
          <w:color w:val="auto"/>
          <w:szCs w:val="21"/>
        </w:rPr>
        <w:t>公示期不得少于3日，公示应当载明所有投标人情况、推荐的中标候选人情况（包括项目投标信息、管理人员信息、业绩信息等）、否决投标情况及原因、异议方式、监督电话及投诉方式等内容。</w:t>
      </w:r>
    </w:p>
    <w:p w14:paraId="3520A7A4">
      <w:pPr>
        <w:widowControl/>
        <w:wordWrap w:val="0"/>
        <w:autoSpaceDE w:val="0"/>
        <w:spacing w:line="450" w:lineRule="exact"/>
        <w:ind w:firstLine="420" w:firstLineChars="200"/>
        <w:jc w:val="left"/>
        <w:rPr>
          <w:rFonts w:ascii="宋体" w:hAnsi="宋体" w:cs="宋体"/>
          <w:color w:val="auto"/>
          <w:szCs w:val="21"/>
        </w:rPr>
      </w:pPr>
      <w:r>
        <w:rPr>
          <w:rFonts w:hint="eastAsia" w:ascii="宋体" w:hAnsi="宋体" w:cs="宋体"/>
          <w:color w:val="auto"/>
          <w:szCs w:val="21"/>
        </w:rPr>
        <w:t>6.6.3招标人应当在中标候选人公示前审查评标委员会提交的书面评标报告，发现异常情形的，依照法定程序复核，确认存在问题的，依照法定程序予以纠正。</w:t>
      </w:r>
    </w:p>
    <w:p w14:paraId="3221B5FE">
      <w:pPr>
        <w:widowControl/>
        <w:wordWrap w:val="0"/>
        <w:spacing w:line="450" w:lineRule="exact"/>
        <w:ind w:firstLine="422" w:firstLineChars="200"/>
        <w:outlineLvl w:val="2"/>
        <w:rPr>
          <w:rFonts w:ascii="宋体" w:hAnsi="宋体" w:cs="仿宋_GB2312"/>
          <w:b/>
          <w:color w:val="auto"/>
          <w:szCs w:val="21"/>
        </w:rPr>
      </w:pPr>
      <w:bookmarkStart w:id="111" w:name="_Toc204691585"/>
      <w:r>
        <w:rPr>
          <w:rFonts w:hint="eastAsia" w:ascii="宋体" w:hAnsi="宋体" w:cs="仿宋_GB2312"/>
          <w:b/>
          <w:color w:val="auto"/>
          <w:szCs w:val="21"/>
        </w:rPr>
        <w:t>7.定标</w:t>
      </w:r>
      <w:bookmarkEnd w:id="111"/>
    </w:p>
    <w:p w14:paraId="4A7DE048">
      <w:pPr>
        <w:widowControl/>
        <w:wordWrap w:val="0"/>
        <w:spacing w:line="450" w:lineRule="exact"/>
        <w:ind w:firstLine="422" w:firstLineChars="200"/>
        <w:outlineLvl w:val="2"/>
        <w:rPr>
          <w:rFonts w:ascii="宋体" w:hAnsi="宋体" w:cs="仿宋_GB2312"/>
          <w:b/>
          <w:color w:val="auto"/>
          <w:szCs w:val="21"/>
        </w:rPr>
      </w:pPr>
      <w:bookmarkStart w:id="112" w:name="_Toc204639256"/>
      <w:bookmarkStart w:id="113" w:name="_Toc204639049"/>
      <w:bookmarkStart w:id="114" w:name="_Toc204691586"/>
      <w:r>
        <w:rPr>
          <w:rFonts w:hint="eastAsia" w:ascii="宋体" w:hAnsi="宋体" w:cs="仿宋_GB2312"/>
          <w:b/>
          <w:color w:val="auto"/>
          <w:szCs w:val="21"/>
        </w:rPr>
        <w:t>7.1定标要求</w:t>
      </w:r>
      <w:bookmarkEnd w:id="112"/>
      <w:bookmarkEnd w:id="113"/>
      <w:bookmarkEnd w:id="114"/>
    </w:p>
    <w:p w14:paraId="2D0988FE">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招标人应当在收到评标报告10日内完成定标工作，定标过程包括核查和定标会议两个阶段。定标会议应当在</w:t>
      </w:r>
      <w:r>
        <w:rPr>
          <w:rFonts w:hint="eastAsia" w:cs="宋体" w:asciiTheme="minorEastAsia" w:hAnsiTheme="minorEastAsia"/>
          <w:color w:val="auto"/>
          <w:szCs w:val="21"/>
          <w:lang w:eastAsia="zh-CN"/>
        </w:rPr>
        <w:t>三门峡市公共资源交易中心</w:t>
      </w:r>
      <w:r>
        <w:rPr>
          <w:rFonts w:hint="eastAsia" w:ascii="宋体" w:hAnsi="宋体" w:cs="宋体"/>
          <w:color w:val="auto"/>
          <w:kern w:val="0"/>
          <w:szCs w:val="21"/>
        </w:rPr>
        <w:t>按流程进行，不能按时完成定标工作的，应当通过三门峡市公共资源交易平台发布延期原因和最终定标时间，最终定标时间不得超过投标有效期。</w:t>
      </w:r>
    </w:p>
    <w:p w14:paraId="7DC99A57">
      <w:pPr>
        <w:widowControl/>
        <w:wordWrap w:val="0"/>
        <w:spacing w:line="450" w:lineRule="exact"/>
        <w:ind w:firstLine="422" w:firstLineChars="200"/>
        <w:outlineLvl w:val="2"/>
        <w:rPr>
          <w:rFonts w:ascii="宋体" w:hAnsi="宋体" w:cs="仿宋_GB2312"/>
          <w:b/>
          <w:color w:val="auto"/>
          <w:szCs w:val="21"/>
        </w:rPr>
      </w:pPr>
      <w:bookmarkStart w:id="115" w:name="_Toc1960677989"/>
      <w:bookmarkStart w:id="116" w:name="_Toc204639050"/>
      <w:bookmarkStart w:id="117" w:name="_Toc204639257"/>
      <w:bookmarkStart w:id="118" w:name="_Toc204691587"/>
      <w:r>
        <w:rPr>
          <w:rFonts w:hint="eastAsia" w:ascii="宋体" w:hAnsi="宋体" w:cs="仿宋_GB2312"/>
          <w:b/>
          <w:color w:val="auto"/>
          <w:szCs w:val="21"/>
        </w:rPr>
        <w:t>7.2定标委员会</w:t>
      </w:r>
      <w:bookmarkEnd w:id="115"/>
      <w:bookmarkEnd w:id="116"/>
      <w:bookmarkEnd w:id="117"/>
      <w:bookmarkEnd w:id="118"/>
    </w:p>
    <w:p w14:paraId="550A581E">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7.2.1定标委员会的组建：详见投标人须知前附表</w:t>
      </w:r>
    </w:p>
    <w:p w14:paraId="774CF344">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7.2.2定标委员会成员有下列情形之一的，应当回避：</w:t>
      </w:r>
    </w:p>
    <w:p w14:paraId="6E454AA5">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（1）与投标单位有直接利益关系的。</w:t>
      </w:r>
    </w:p>
    <w:p w14:paraId="59E07048">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（2）与投标人有经济利益关系，可能影响对投标公正评审的。</w:t>
      </w:r>
    </w:p>
    <w:p w14:paraId="445DBEF3">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3</w:t>
      </w:r>
      <w:r>
        <w:rPr>
          <w:rFonts w:hint="eastAsia" w:ascii="宋体" w:hAnsi="宋体" w:cs="宋体"/>
          <w:color w:val="auto"/>
          <w:kern w:val="0"/>
          <w:szCs w:val="21"/>
        </w:rPr>
        <w:t>）其它影响招标、投标公正评审情形。</w:t>
      </w:r>
    </w:p>
    <w:p w14:paraId="621B11C6">
      <w:pPr>
        <w:widowControl/>
        <w:wordWrap w:val="0"/>
        <w:spacing w:line="450" w:lineRule="exact"/>
        <w:ind w:firstLine="422" w:firstLineChars="200"/>
        <w:outlineLvl w:val="2"/>
        <w:rPr>
          <w:rFonts w:ascii="宋体" w:hAnsi="宋体" w:cs="仿宋_GB2312"/>
          <w:b/>
          <w:color w:val="auto"/>
          <w:szCs w:val="21"/>
        </w:rPr>
      </w:pPr>
      <w:bookmarkStart w:id="119" w:name="_Toc204639051"/>
      <w:bookmarkStart w:id="120" w:name="_Toc204691588"/>
      <w:bookmarkStart w:id="121" w:name="_Toc761118850"/>
      <w:bookmarkStart w:id="122" w:name="_Toc204639258"/>
      <w:r>
        <w:rPr>
          <w:rFonts w:hint="eastAsia" w:ascii="宋体" w:hAnsi="宋体" w:cs="仿宋_GB2312"/>
          <w:b/>
          <w:color w:val="auto"/>
          <w:szCs w:val="21"/>
        </w:rPr>
        <w:t>7.3定标原则</w:t>
      </w:r>
      <w:bookmarkEnd w:id="119"/>
      <w:bookmarkEnd w:id="120"/>
      <w:bookmarkEnd w:id="121"/>
      <w:bookmarkEnd w:id="122"/>
    </w:p>
    <w:p w14:paraId="0C06C5CE">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定标应当遵循公开透明、择优竞争、科学规范、廉洁高效的原则。</w:t>
      </w:r>
    </w:p>
    <w:p w14:paraId="045DD51C">
      <w:pPr>
        <w:widowControl/>
        <w:wordWrap w:val="0"/>
        <w:spacing w:line="450" w:lineRule="exact"/>
        <w:ind w:firstLine="422" w:firstLineChars="200"/>
        <w:outlineLvl w:val="2"/>
        <w:rPr>
          <w:rFonts w:ascii="宋体" w:hAnsi="宋体" w:cs="仿宋_GB2312"/>
          <w:b/>
          <w:color w:val="auto"/>
          <w:szCs w:val="21"/>
        </w:rPr>
      </w:pPr>
      <w:bookmarkStart w:id="123" w:name="_Toc1243929273"/>
      <w:bookmarkStart w:id="124" w:name="_Toc204639259"/>
      <w:bookmarkStart w:id="125" w:name="_Toc204639052"/>
      <w:bookmarkStart w:id="126" w:name="_Toc204691589"/>
      <w:r>
        <w:rPr>
          <w:rFonts w:hint="eastAsia" w:ascii="宋体" w:hAnsi="宋体" w:cs="仿宋_GB2312"/>
          <w:b/>
          <w:color w:val="auto"/>
          <w:szCs w:val="21"/>
        </w:rPr>
        <w:t>7.4定标</w:t>
      </w:r>
      <w:bookmarkEnd w:id="123"/>
      <w:r>
        <w:rPr>
          <w:rFonts w:hint="eastAsia" w:ascii="宋体" w:hAnsi="宋体" w:cs="仿宋_GB2312"/>
          <w:b/>
          <w:color w:val="auto"/>
          <w:szCs w:val="21"/>
        </w:rPr>
        <w:t>程序</w:t>
      </w:r>
      <w:bookmarkEnd w:id="124"/>
      <w:bookmarkEnd w:id="125"/>
      <w:bookmarkEnd w:id="126"/>
    </w:p>
    <w:p w14:paraId="35C35B24">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7.4.1核查</w:t>
      </w:r>
    </w:p>
    <w:p w14:paraId="3A529D5C">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定标委员会应当在收到评标报告后首先对中标候选人进行核查，形成核查报告，核查报告在定标会议召开前应当保密。核查内容应包括中标候选人的信用信息、履约能力、以及招标人认为其他需要核查的内容。核查内容不得设置不合理限制和隐性壁垒。招标文件中没有规定的核查标准和方法不得作为定标核查的依据，不得在定标过程中新增定标条件和要求。定标委员会经核查发现中标候选人确有弄虚作假、围标串标等情形的，应当否决相应中标候选人的中标资格，并及时向行政监督部门报告。</w:t>
      </w:r>
    </w:p>
    <w:p w14:paraId="4380EE5D">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具体核查要求详见定标办法。</w:t>
      </w:r>
    </w:p>
    <w:p w14:paraId="5EDFAE15">
      <w:pPr>
        <w:wordWrap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7.4.2定标会议</w:t>
      </w:r>
    </w:p>
    <w:p w14:paraId="2EE2A347">
      <w:pPr>
        <w:wordWrap w:val="0"/>
        <w:spacing w:line="360" w:lineRule="auto"/>
        <w:ind w:firstLine="420" w:firstLineChars="200"/>
        <w:rPr>
          <w:b/>
          <w:color w:val="auto"/>
          <w:szCs w:val="21"/>
        </w:rPr>
      </w:pPr>
      <w:r>
        <w:rPr>
          <w:rFonts w:hint="eastAsia" w:ascii="宋体" w:hAnsi="宋体" w:cs="宋体"/>
          <w:color w:val="auto"/>
          <w:kern w:val="0"/>
          <w:szCs w:val="21"/>
        </w:rPr>
        <w:t>定标委员会对中标候</w:t>
      </w:r>
      <w:r>
        <w:rPr>
          <w:rFonts w:hint="eastAsia" w:ascii="宋体" w:hAnsi="宋体" w:cs="Courier New"/>
          <w:color w:val="auto"/>
          <w:szCs w:val="21"/>
        </w:rPr>
        <w:t>选人进行核查后，召开定标会议。定标方法</w:t>
      </w:r>
      <w:r>
        <w:rPr>
          <w:rFonts w:hint="eastAsia"/>
          <w:b/>
          <w:color w:val="auto"/>
          <w:szCs w:val="21"/>
        </w:rPr>
        <w:t>采用</w:t>
      </w:r>
      <w:r>
        <w:rPr>
          <w:rFonts w:hint="eastAsia" w:ascii="宋体" w:hAnsi="宋体" w:cs="宋体"/>
          <w:b/>
          <w:color w:val="auto"/>
          <w:szCs w:val="21"/>
          <w:lang w:eastAsia="zh-CN"/>
        </w:rPr>
        <w:t>票决法</w:t>
      </w:r>
      <w:r>
        <w:rPr>
          <w:rFonts w:hint="eastAsia"/>
          <w:b/>
          <w:color w:val="auto"/>
          <w:szCs w:val="21"/>
        </w:rPr>
        <w:t>确定中标人。</w:t>
      </w:r>
    </w:p>
    <w:p w14:paraId="31BEDE7C">
      <w:pPr>
        <w:spacing w:line="360" w:lineRule="auto"/>
        <w:ind w:firstLine="420" w:firstLineChars="200"/>
        <w:rPr>
          <w:rFonts w:hint="eastAsia" w:ascii="宋体" w:hAnsi="宋体" w:eastAsia="宋体" w:cs="Times New Roman"/>
          <w:b/>
          <w:bCs/>
          <w:color w:val="auto"/>
          <w:kern w:val="0"/>
          <w:sz w:val="24"/>
          <w:szCs w:val="24"/>
          <w:highlight w:val="none"/>
          <w:lang w:val="en-US" w:eastAsia="zh-CN"/>
        </w:rPr>
      </w:pPr>
      <w:r>
        <w:rPr>
          <w:rFonts w:hint="eastAsia" w:ascii="宋体" w:hAnsi="宋体" w:cs="Courier New"/>
          <w:color w:val="auto"/>
          <w:szCs w:val="21"/>
          <w:lang w:val="en-US" w:eastAsia="zh-CN"/>
        </w:rPr>
        <w:t>7.4.</w:t>
      </w:r>
      <w:r>
        <w:rPr>
          <w:rFonts w:hint="eastAsia" w:ascii="宋体" w:hAnsi="宋体" w:eastAsia="宋体" w:cs="Courier New"/>
          <w:color w:val="auto"/>
          <w:szCs w:val="21"/>
          <w:lang w:val="en-US" w:eastAsia="zh-CN"/>
        </w:rPr>
        <w:t>3定标会议流程</w:t>
      </w:r>
    </w:p>
    <w:p w14:paraId="187290E8">
      <w:pPr>
        <w:spacing w:line="360" w:lineRule="auto"/>
        <w:ind w:firstLine="420" w:firstLineChars="200"/>
        <w:rPr>
          <w:rFonts w:hint="default" w:ascii="宋体" w:hAnsi="宋体" w:eastAsia="宋体" w:cs="Courier New"/>
          <w:color w:val="auto"/>
          <w:szCs w:val="21"/>
          <w:lang w:val="en-US" w:eastAsia="zh-CN"/>
        </w:rPr>
      </w:pPr>
      <w:r>
        <w:rPr>
          <w:rFonts w:hint="eastAsia" w:ascii="宋体" w:hAnsi="宋体" w:eastAsia="宋体" w:cs="Times New Roman"/>
          <w:color w:val="auto"/>
          <w:szCs w:val="21"/>
          <w:highlight w:val="none"/>
          <w:lang w:val="en-US" w:eastAsia="zh-CN"/>
        </w:rPr>
        <w:t>定标委员会根据招标文件中明确的定标方法和方式确定中标人。</w:t>
      </w:r>
    </w:p>
    <w:p w14:paraId="5C7796A2">
      <w:pPr>
        <w:wordWrap w:val="0"/>
        <w:spacing w:line="360" w:lineRule="auto"/>
        <w:ind w:firstLine="420" w:firstLineChars="200"/>
        <w:rPr>
          <w:rFonts w:ascii="宋体" w:hAnsi="宋体" w:cs="Courier New"/>
          <w:color w:val="auto"/>
          <w:szCs w:val="21"/>
        </w:rPr>
      </w:pPr>
      <w:r>
        <w:rPr>
          <w:rFonts w:hint="eastAsia" w:ascii="宋体" w:hAnsi="宋体" w:cs="Courier New"/>
          <w:color w:val="auto"/>
          <w:szCs w:val="21"/>
        </w:rPr>
        <w:t>7.4.</w:t>
      </w:r>
      <w:r>
        <w:rPr>
          <w:rFonts w:hint="eastAsia" w:ascii="宋体" w:hAnsi="宋体" w:cs="Courier New"/>
          <w:color w:val="auto"/>
          <w:szCs w:val="21"/>
          <w:lang w:val="en-US" w:eastAsia="zh-CN"/>
        </w:rPr>
        <w:t>4</w:t>
      </w:r>
      <w:r>
        <w:rPr>
          <w:rFonts w:hint="eastAsia" w:ascii="宋体" w:hAnsi="宋体" w:cs="Courier New"/>
          <w:color w:val="auto"/>
          <w:szCs w:val="21"/>
        </w:rPr>
        <w:t>定标因素</w:t>
      </w:r>
    </w:p>
    <w:p w14:paraId="041A917E">
      <w:pPr>
        <w:wordWrap w:val="0"/>
        <w:spacing w:line="360" w:lineRule="auto"/>
        <w:ind w:firstLine="420" w:firstLineChars="200"/>
        <w:rPr>
          <w:rFonts w:ascii="宋体" w:hAnsi="宋体" w:cs="Courier New"/>
          <w:color w:val="auto"/>
          <w:szCs w:val="21"/>
        </w:rPr>
      </w:pPr>
      <w:r>
        <w:rPr>
          <w:rFonts w:hint="eastAsia" w:ascii="宋体" w:hAnsi="宋体" w:cs="Courier New"/>
          <w:color w:val="auto"/>
          <w:szCs w:val="21"/>
        </w:rPr>
        <w:t>定标因素：详见定标要素一览表。</w:t>
      </w:r>
      <w:bookmarkStart w:id="127" w:name="_Toc1319964594"/>
    </w:p>
    <w:p w14:paraId="3EA375D5">
      <w:pPr>
        <w:widowControl/>
        <w:wordWrap w:val="0"/>
        <w:spacing w:line="450" w:lineRule="exact"/>
        <w:ind w:firstLine="422" w:firstLineChars="200"/>
        <w:outlineLvl w:val="2"/>
        <w:rPr>
          <w:rFonts w:ascii="宋体" w:hAnsi="宋体" w:cs="仿宋_GB2312"/>
          <w:b/>
          <w:color w:val="auto"/>
          <w:szCs w:val="21"/>
        </w:rPr>
      </w:pPr>
      <w:bookmarkStart w:id="128" w:name="_Toc204691590"/>
      <w:bookmarkStart w:id="129" w:name="_Toc204639053"/>
      <w:bookmarkStart w:id="130" w:name="_Toc204639260"/>
      <w:r>
        <w:rPr>
          <w:rFonts w:hint="eastAsia" w:ascii="宋体" w:hAnsi="宋体" w:cs="仿宋_GB2312"/>
          <w:b/>
          <w:color w:val="auto"/>
          <w:szCs w:val="21"/>
        </w:rPr>
        <w:t>7.5中标结果公示</w:t>
      </w:r>
      <w:bookmarkEnd w:id="127"/>
      <w:bookmarkEnd w:id="128"/>
      <w:bookmarkEnd w:id="129"/>
      <w:bookmarkEnd w:id="130"/>
    </w:p>
    <w:p w14:paraId="28720234">
      <w:pPr>
        <w:wordWrap w:val="0"/>
        <w:spacing w:line="360" w:lineRule="auto"/>
        <w:ind w:firstLine="420" w:firstLineChars="200"/>
        <w:rPr>
          <w:rFonts w:ascii="宋体" w:hAnsi="宋体" w:cs="宋体"/>
          <w:b/>
          <w:color w:val="auto"/>
          <w:szCs w:val="21"/>
        </w:rPr>
      </w:pPr>
      <w:r>
        <w:rPr>
          <w:rFonts w:ascii="宋体" w:hAnsi="宋体" w:cs="宋体"/>
          <w:color w:val="auto"/>
          <w:kern w:val="0"/>
          <w:szCs w:val="21"/>
        </w:rPr>
        <w:t>招标人应当在定标工作完成后3日内发布中标结果公示，公示期不少于3日。中标结果公示应当载明定标时间、定标地点、定标方法、中标人名称、中标价格、质量、工期、资格条件、项目负责人信息，中标候选人的核查、考察、比较优势，核查未通过的中标候选人名单和原因以及异议和投诉渠道等内容。</w:t>
      </w:r>
    </w:p>
    <w:p w14:paraId="49CE8F32">
      <w:pPr>
        <w:widowControl/>
        <w:wordWrap w:val="0"/>
        <w:autoSpaceDE w:val="0"/>
        <w:spacing w:line="450" w:lineRule="exact"/>
        <w:ind w:firstLine="422" w:firstLineChars="200"/>
        <w:outlineLvl w:val="2"/>
        <w:rPr>
          <w:rFonts w:ascii="宋体" w:hAnsi="宋体" w:cs="仿宋_GB2312"/>
          <w:b/>
          <w:color w:val="auto"/>
          <w:szCs w:val="21"/>
        </w:rPr>
      </w:pPr>
      <w:bookmarkStart w:id="131" w:name="_Toc5958"/>
      <w:bookmarkEnd w:id="131"/>
      <w:bookmarkStart w:id="132" w:name="_Toc30599"/>
      <w:bookmarkEnd w:id="132"/>
      <w:bookmarkStart w:id="133" w:name="_Toc836"/>
      <w:bookmarkEnd w:id="133"/>
      <w:bookmarkStart w:id="134" w:name="_Toc204691591"/>
      <w:bookmarkStart w:id="135" w:name="_Toc191031436"/>
      <w:bookmarkStart w:id="136" w:name="_Toc184635077"/>
      <w:bookmarkStart w:id="137" w:name="_Toc191031389"/>
      <w:r>
        <w:rPr>
          <w:rFonts w:hint="eastAsia" w:ascii="宋体" w:hAnsi="宋体" w:cs="仿宋_GB2312"/>
          <w:b/>
          <w:color w:val="auto"/>
          <w:szCs w:val="21"/>
        </w:rPr>
        <w:t>8．合同授予</w:t>
      </w:r>
      <w:bookmarkEnd w:id="134"/>
      <w:bookmarkEnd w:id="135"/>
      <w:bookmarkEnd w:id="136"/>
      <w:bookmarkEnd w:id="137"/>
    </w:p>
    <w:p w14:paraId="017F615A">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8.1中标通知</w:t>
      </w:r>
    </w:p>
    <w:p w14:paraId="5B27E5A4">
      <w:pPr>
        <w:widowControl/>
        <w:wordWrap w:val="0"/>
        <w:autoSpaceDE w:val="0"/>
        <w:spacing w:line="450" w:lineRule="exact"/>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在投标人须知前附表规定的投标有效期内，招标人以书面形式向中标人发出中标通知书，同时将中标结果通知未中标的投标人。</w:t>
      </w:r>
    </w:p>
    <w:p w14:paraId="2E5CDFF8">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8.2履约担保</w:t>
      </w:r>
    </w:p>
    <w:p w14:paraId="0B2E46A1">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8.2.1在签订合同前，中标人应按投标人须知前附表规定的金额、担保形式向招标人提交履约担保。</w:t>
      </w:r>
    </w:p>
    <w:p w14:paraId="6A097734">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8.2.2中标人不能不能按投标人须知前附表要求提交履约担保的，视为放弃中标，其投标保证金不予退还，给招标人造成的损失超过投标保证金数额的，中标人还应当对超过部分予以赔偿。</w:t>
      </w:r>
    </w:p>
    <w:p w14:paraId="7D98319C">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8.3签订合同</w:t>
      </w:r>
    </w:p>
    <w:p w14:paraId="409AC4AB">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8.3.1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7EB068E0">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8.3.2发出中标通知书后，招标人无正当理由拒签合同的，招标人向中标人退还投标保证金；给中标人造成损失的，还应当赔偿损失。</w:t>
      </w:r>
    </w:p>
    <w:p w14:paraId="413706CB">
      <w:pPr>
        <w:widowControl/>
        <w:wordWrap w:val="0"/>
        <w:autoSpaceDE w:val="0"/>
        <w:spacing w:line="450" w:lineRule="exact"/>
        <w:ind w:firstLine="422" w:firstLineChars="200"/>
        <w:outlineLvl w:val="2"/>
        <w:rPr>
          <w:rFonts w:ascii="宋体" w:hAnsi="宋体" w:cs="仿宋_GB2312"/>
          <w:b/>
          <w:color w:val="auto"/>
          <w:szCs w:val="21"/>
        </w:rPr>
      </w:pPr>
      <w:bookmarkStart w:id="138" w:name="_Toc191031437"/>
      <w:bookmarkStart w:id="139" w:name="_Toc160722989"/>
      <w:bookmarkStart w:id="140" w:name="_Toc184635078"/>
      <w:bookmarkStart w:id="141" w:name="_Toc191031390"/>
      <w:bookmarkStart w:id="142" w:name="_Toc204691592"/>
      <w:r>
        <w:rPr>
          <w:rFonts w:hint="eastAsia" w:ascii="宋体" w:hAnsi="宋体" w:cs="仿宋_GB2312"/>
          <w:b/>
          <w:color w:val="auto"/>
          <w:szCs w:val="21"/>
        </w:rPr>
        <w:t>9．重新招标和不再招标</w:t>
      </w:r>
      <w:bookmarkEnd w:id="138"/>
      <w:bookmarkEnd w:id="139"/>
      <w:bookmarkEnd w:id="140"/>
      <w:bookmarkEnd w:id="141"/>
      <w:bookmarkEnd w:id="142"/>
    </w:p>
    <w:p w14:paraId="112CF862">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9.1重新招标</w:t>
      </w:r>
    </w:p>
    <w:p w14:paraId="501E205B">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有下列情形之一的，招标人将重新招标：</w:t>
      </w:r>
    </w:p>
    <w:p w14:paraId="19CF8D0F">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(l）投标截止时间止，投标人少于3个的；</w:t>
      </w:r>
    </w:p>
    <w:p w14:paraId="1414FC55">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(2）经评标委员会评审后否决所有投标的。</w:t>
      </w:r>
    </w:p>
    <w:p w14:paraId="6319C335">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9.2不再招标</w:t>
      </w:r>
    </w:p>
    <w:p w14:paraId="7BD8F5E4">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重新招标后投标人仍少于3个或者所有投标被否决的，属于必须审批或核准的工程建设项目，经原审批或核准部门批准后不再进行招标。</w:t>
      </w:r>
    </w:p>
    <w:p w14:paraId="3D124CCA">
      <w:pPr>
        <w:widowControl/>
        <w:wordWrap w:val="0"/>
        <w:autoSpaceDE w:val="0"/>
        <w:spacing w:line="450" w:lineRule="exact"/>
        <w:ind w:firstLine="422" w:firstLineChars="200"/>
        <w:outlineLvl w:val="2"/>
        <w:rPr>
          <w:rFonts w:ascii="宋体" w:hAnsi="宋体" w:cs="仿宋_GB2312"/>
          <w:b/>
          <w:color w:val="auto"/>
          <w:szCs w:val="21"/>
        </w:rPr>
      </w:pPr>
      <w:bookmarkStart w:id="143" w:name="_Toc184635079"/>
      <w:bookmarkStart w:id="144" w:name="_Toc160722990"/>
      <w:bookmarkStart w:id="145" w:name="_Toc191031438"/>
      <w:bookmarkStart w:id="146" w:name="_Toc191031391"/>
      <w:bookmarkStart w:id="147" w:name="_Toc204691593"/>
      <w:r>
        <w:rPr>
          <w:rFonts w:hint="eastAsia" w:ascii="宋体" w:hAnsi="宋体" w:cs="仿宋_GB2312"/>
          <w:b/>
          <w:color w:val="auto"/>
          <w:szCs w:val="21"/>
        </w:rPr>
        <w:t>10．纪律和监督</w:t>
      </w:r>
      <w:bookmarkEnd w:id="143"/>
      <w:bookmarkEnd w:id="144"/>
      <w:bookmarkEnd w:id="145"/>
      <w:bookmarkEnd w:id="146"/>
      <w:bookmarkEnd w:id="147"/>
    </w:p>
    <w:p w14:paraId="0A0A9DAA">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10.1对招标人的纪律要求</w:t>
      </w:r>
    </w:p>
    <w:p w14:paraId="56895089">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招标人不得泄漏招标投标活动中应当保密的情况和资料，不得与投标人串通损害国家利益、社会公共利益或者他人合法权益。</w:t>
      </w:r>
    </w:p>
    <w:p w14:paraId="347AEBDD">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10.2对投标人的纪律要求</w:t>
      </w:r>
    </w:p>
    <w:p w14:paraId="3A4BDBCF">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244B66A">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10.3对评标委员会成员的纪律要求</w:t>
      </w:r>
    </w:p>
    <w:p w14:paraId="0F6402A9">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60FE9BD">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10.4对与评标活动有关的工作人员的纪律要求</w:t>
      </w:r>
    </w:p>
    <w:p w14:paraId="1773F26F">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B092C08">
      <w:pPr>
        <w:widowControl/>
        <w:wordWrap w:val="0"/>
        <w:autoSpaceDE w:val="0"/>
        <w:spacing w:line="450" w:lineRule="exact"/>
        <w:ind w:firstLine="422" w:firstLineChars="200"/>
        <w:outlineLvl w:val="3"/>
        <w:rPr>
          <w:rFonts w:ascii="宋体" w:hAnsi="宋体" w:cs="仿宋_GB2312"/>
          <w:b/>
          <w:color w:val="auto"/>
          <w:szCs w:val="21"/>
        </w:rPr>
      </w:pPr>
      <w:r>
        <w:rPr>
          <w:rFonts w:hint="eastAsia" w:ascii="宋体" w:hAnsi="宋体" w:cs="仿宋_GB2312"/>
          <w:b/>
          <w:color w:val="auto"/>
          <w:szCs w:val="21"/>
        </w:rPr>
        <w:t>10.5投诉</w:t>
      </w:r>
    </w:p>
    <w:p w14:paraId="0D20FB04">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投标人和其他利害关系人认为本次招标活动违反法律、法规和规章规定的，有权向有关行政监督部门投诉。</w:t>
      </w:r>
    </w:p>
    <w:p w14:paraId="1A9B33A0">
      <w:pPr>
        <w:widowControl/>
        <w:wordWrap w:val="0"/>
        <w:autoSpaceDE w:val="0"/>
        <w:spacing w:line="450" w:lineRule="exact"/>
        <w:ind w:firstLine="422" w:firstLineChars="200"/>
        <w:outlineLvl w:val="2"/>
        <w:rPr>
          <w:rFonts w:ascii="宋体" w:hAnsi="宋体" w:cs="仿宋_GB2312"/>
          <w:b/>
          <w:color w:val="auto"/>
          <w:szCs w:val="21"/>
        </w:rPr>
      </w:pPr>
      <w:bookmarkStart w:id="148" w:name="_Toc191031392"/>
      <w:bookmarkStart w:id="149" w:name="_Toc204691594"/>
      <w:bookmarkStart w:id="150" w:name="_Toc191031439"/>
      <w:bookmarkStart w:id="151" w:name="_Toc160722991"/>
      <w:bookmarkStart w:id="152" w:name="_Toc184635080"/>
      <w:r>
        <w:rPr>
          <w:rFonts w:hint="eastAsia" w:ascii="宋体" w:hAnsi="宋体" w:cs="仿宋_GB2312"/>
          <w:b/>
          <w:color w:val="auto"/>
          <w:szCs w:val="21"/>
        </w:rPr>
        <w:t>11、需要补充的其他内容</w:t>
      </w:r>
      <w:bookmarkEnd w:id="148"/>
      <w:bookmarkEnd w:id="149"/>
      <w:bookmarkEnd w:id="150"/>
      <w:bookmarkEnd w:id="151"/>
      <w:bookmarkEnd w:id="152"/>
    </w:p>
    <w:p w14:paraId="6491DCF8">
      <w:pPr>
        <w:wordWrap w:val="0"/>
        <w:spacing w:line="450" w:lineRule="exact"/>
        <w:ind w:firstLine="420" w:firstLineChars="200"/>
        <w:rPr>
          <w:rFonts w:ascii="宋体" w:hAnsi="宋体" w:cs="宋体"/>
          <w:color w:val="auto"/>
          <w:szCs w:val="21"/>
        </w:rPr>
      </w:pPr>
      <w:r>
        <w:rPr>
          <w:rFonts w:hint="eastAsia" w:ascii="宋体" w:hAnsi="宋体" w:cs="宋体"/>
          <w:color w:val="auto"/>
          <w:szCs w:val="21"/>
        </w:rPr>
        <w:t>需要补充的其他内容：见投标人须知前附表。</w:t>
      </w:r>
    </w:p>
    <w:p w14:paraId="683303F2">
      <w:pPr>
        <w:wordWrap w:val="0"/>
        <w:spacing w:line="450" w:lineRule="exact"/>
        <w:ind w:firstLine="420" w:firstLineChars="200"/>
        <w:rPr>
          <w:rFonts w:ascii="宋体" w:hAnsi="宋体" w:cs="宋体"/>
          <w:color w:val="auto"/>
          <w:szCs w:val="21"/>
        </w:rPr>
        <w:sectPr>
          <w:footerReference r:id="rId7" w:type="first"/>
          <w:headerReference r:id="rId5" w:type="default"/>
          <w:footerReference r:id="rId6" w:type="default"/>
          <w:pgSz w:w="11906" w:h="16838"/>
          <w:pgMar w:top="1418" w:right="1134" w:bottom="1134" w:left="1304" w:header="794" w:footer="850" w:gutter="0"/>
          <w:pgBorders>
            <w:top w:val="none" w:sz="0" w:space="0"/>
            <w:left w:val="none" w:sz="0" w:space="0"/>
            <w:bottom w:val="none" w:sz="0" w:space="0"/>
            <w:right w:val="none" w:sz="0" w:space="0"/>
          </w:pgBorders>
          <w:cols w:space="720" w:num="1"/>
          <w:titlePg/>
          <w:docGrid w:type="lines" w:linePitch="312" w:charSpace="0"/>
        </w:sectPr>
      </w:pPr>
      <w:r>
        <w:rPr>
          <w:rFonts w:hint="eastAsia" w:ascii="宋体" w:hAnsi="宋体" w:cs="宋体"/>
          <w:color w:val="auto"/>
          <w:szCs w:val="21"/>
        </w:rPr>
        <w:t>未尽事宜，按照国家相关法律法规执行。</w:t>
      </w:r>
    </w:p>
    <w:p w14:paraId="7C566D1F">
      <w:pPr>
        <w:spacing w:line="360" w:lineRule="auto"/>
        <w:ind w:firstLine="435"/>
        <w:jc w:val="center"/>
        <w:outlineLvl w:val="0"/>
        <w:rPr>
          <w:rFonts w:ascii="宋体" w:hAnsi="宋体" w:cs="宋体"/>
          <w:b/>
          <w:bCs/>
          <w:color w:val="auto"/>
          <w:sz w:val="36"/>
          <w:szCs w:val="36"/>
        </w:rPr>
      </w:pPr>
      <w:r>
        <w:rPr>
          <w:rFonts w:hint="eastAsia" w:ascii="宋体" w:hAnsi="宋体" w:cs="宋体"/>
          <w:b/>
          <w:bCs/>
          <w:color w:val="auto"/>
          <w:sz w:val="36"/>
          <w:szCs w:val="36"/>
        </w:rPr>
        <w:t>第三章</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评标办法（</w:t>
      </w:r>
      <w:r>
        <w:rPr>
          <w:rFonts w:hint="eastAsia" w:ascii="宋体" w:hAnsi="宋体" w:cs="宋体"/>
          <w:b/>
          <w:bCs/>
          <w:color w:val="auto"/>
          <w:sz w:val="36"/>
          <w:szCs w:val="36"/>
          <w:lang w:eastAsia="zh-CN"/>
        </w:rPr>
        <w:t>综合评估法</w:t>
      </w:r>
      <w:r>
        <w:rPr>
          <w:rFonts w:hint="eastAsia" w:ascii="宋体" w:hAnsi="宋体" w:cs="宋体"/>
          <w:b/>
          <w:bCs/>
          <w:color w:val="auto"/>
          <w:sz w:val="36"/>
          <w:szCs w:val="36"/>
        </w:rPr>
        <w:t>）</w:t>
      </w:r>
    </w:p>
    <w:p w14:paraId="4445FADB">
      <w:pPr>
        <w:spacing w:beforeLines="50" w:afterLines="50" w:line="360" w:lineRule="auto"/>
        <w:jc w:val="center"/>
        <w:outlineLvl w:val="0"/>
        <w:rPr>
          <w:rFonts w:ascii="宋体" w:hAnsi="宋体" w:cs="宋体"/>
          <w:b/>
          <w:bCs/>
          <w:color w:val="auto"/>
          <w:sz w:val="24"/>
          <w:szCs w:val="24"/>
        </w:rPr>
      </w:pPr>
      <w:bookmarkStart w:id="153" w:name="_Toc18968"/>
      <w:bookmarkStart w:id="154" w:name="_Toc27728"/>
      <w:bookmarkStart w:id="155" w:name="_Toc25809"/>
      <w:bookmarkStart w:id="156" w:name="_Toc12268"/>
      <w:bookmarkStart w:id="157" w:name="_Toc21102"/>
      <w:bookmarkStart w:id="158" w:name="_Toc26900"/>
      <w:bookmarkStart w:id="159" w:name="_Toc14595"/>
      <w:bookmarkStart w:id="160" w:name="_Toc25567"/>
      <w:bookmarkStart w:id="161" w:name="_Toc19634"/>
      <w:bookmarkStart w:id="162" w:name="_Toc458759012"/>
      <w:r>
        <w:rPr>
          <w:rFonts w:hint="eastAsia" w:ascii="宋体" w:hAnsi="宋体" w:cs="宋体"/>
          <w:b/>
          <w:bCs/>
          <w:color w:val="auto"/>
          <w:sz w:val="24"/>
          <w:szCs w:val="24"/>
          <w:lang w:eastAsia="zh-CN"/>
        </w:rPr>
        <w:t>（</w:t>
      </w:r>
      <w:r>
        <w:rPr>
          <w:rFonts w:hint="eastAsia" w:ascii="宋体" w:hAnsi="宋体" w:cs="宋体"/>
          <w:b/>
          <w:bCs/>
          <w:color w:val="auto"/>
          <w:sz w:val="24"/>
          <w:szCs w:val="24"/>
          <w:lang w:val="en-US" w:eastAsia="zh-CN"/>
        </w:rPr>
        <w:t>一</w:t>
      </w:r>
      <w:r>
        <w:rPr>
          <w:rFonts w:hint="eastAsia" w:ascii="宋体" w:hAnsi="宋体" w:cs="宋体"/>
          <w:b/>
          <w:bCs/>
          <w:color w:val="auto"/>
          <w:sz w:val="24"/>
          <w:szCs w:val="24"/>
          <w:lang w:eastAsia="zh-CN"/>
        </w:rPr>
        <w:t>）</w:t>
      </w:r>
      <w:r>
        <w:rPr>
          <w:rFonts w:hint="eastAsia" w:ascii="宋体" w:hAnsi="宋体" w:cs="宋体"/>
          <w:b/>
          <w:bCs/>
          <w:color w:val="auto"/>
          <w:sz w:val="24"/>
          <w:szCs w:val="24"/>
        </w:rPr>
        <w:t>评标办法前附表</w:t>
      </w:r>
      <w:bookmarkEnd w:id="153"/>
      <w:bookmarkEnd w:id="154"/>
      <w:bookmarkEnd w:id="155"/>
      <w:bookmarkEnd w:id="156"/>
      <w:bookmarkEnd w:id="157"/>
      <w:bookmarkEnd w:id="158"/>
      <w:bookmarkEnd w:id="159"/>
    </w:p>
    <w:tbl>
      <w:tblPr>
        <w:tblStyle w:val="22"/>
        <w:tblW w:w="10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991"/>
        <w:gridCol w:w="1662"/>
        <w:gridCol w:w="6494"/>
      </w:tblGrid>
      <w:tr w14:paraId="5540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98" w:type="dxa"/>
            <w:gridSpan w:val="2"/>
            <w:tcMar>
              <w:left w:w="57" w:type="dxa"/>
              <w:right w:w="57" w:type="dxa"/>
            </w:tcMar>
            <w:vAlign w:val="center"/>
          </w:tcPr>
          <w:p w14:paraId="60E2D474">
            <w:pPr>
              <w:wordWrap w:val="0"/>
              <w:jc w:val="center"/>
              <w:rPr>
                <w:rFonts w:ascii="宋体" w:hAnsi="宋体" w:cs="宋体"/>
                <w:color w:val="auto"/>
                <w:szCs w:val="21"/>
              </w:rPr>
            </w:pPr>
            <w:r>
              <w:rPr>
                <w:rFonts w:hint="eastAsia" w:ascii="宋体" w:hAnsi="宋体" w:cs="宋体"/>
                <w:color w:val="auto"/>
                <w:szCs w:val="21"/>
              </w:rPr>
              <w:t>条款号</w:t>
            </w:r>
          </w:p>
        </w:tc>
        <w:tc>
          <w:tcPr>
            <w:tcW w:w="1662" w:type="dxa"/>
            <w:tcMar>
              <w:left w:w="57" w:type="dxa"/>
              <w:right w:w="57" w:type="dxa"/>
            </w:tcMar>
            <w:vAlign w:val="center"/>
          </w:tcPr>
          <w:p w14:paraId="3B4FB600">
            <w:pPr>
              <w:wordWrap w:val="0"/>
              <w:jc w:val="center"/>
              <w:rPr>
                <w:rFonts w:ascii="宋体" w:hAnsi="宋体" w:cs="宋体"/>
                <w:color w:val="auto"/>
                <w:szCs w:val="21"/>
              </w:rPr>
            </w:pPr>
            <w:r>
              <w:rPr>
                <w:rFonts w:hint="eastAsia" w:ascii="宋体" w:hAnsi="宋体" w:cs="宋体"/>
                <w:color w:val="auto"/>
                <w:szCs w:val="21"/>
              </w:rPr>
              <w:t>评审因素</w:t>
            </w:r>
          </w:p>
        </w:tc>
        <w:tc>
          <w:tcPr>
            <w:tcW w:w="6494" w:type="dxa"/>
            <w:tcMar>
              <w:left w:w="57" w:type="dxa"/>
              <w:right w:w="57" w:type="dxa"/>
            </w:tcMar>
            <w:vAlign w:val="center"/>
          </w:tcPr>
          <w:p w14:paraId="3143844B">
            <w:pPr>
              <w:wordWrap w:val="0"/>
              <w:jc w:val="center"/>
              <w:rPr>
                <w:rFonts w:ascii="宋体" w:hAnsi="宋体" w:cs="宋体"/>
                <w:color w:val="auto"/>
                <w:szCs w:val="21"/>
              </w:rPr>
            </w:pPr>
            <w:r>
              <w:rPr>
                <w:rFonts w:hint="eastAsia" w:ascii="宋体" w:hAnsi="宋体" w:cs="宋体"/>
                <w:color w:val="auto"/>
                <w:szCs w:val="21"/>
              </w:rPr>
              <w:t>评审标准</w:t>
            </w:r>
          </w:p>
        </w:tc>
      </w:tr>
      <w:tr w14:paraId="6A7E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restart"/>
            <w:tcMar>
              <w:left w:w="57" w:type="dxa"/>
              <w:right w:w="57" w:type="dxa"/>
            </w:tcMar>
            <w:vAlign w:val="center"/>
          </w:tcPr>
          <w:p w14:paraId="77A1C2BD">
            <w:pPr>
              <w:widowControl/>
              <w:wordWrap w:val="0"/>
              <w:jc w:val="center"/>
              <w:rPr>
                <w:rFonts w:ascii="宋体" w:hAnsi="宋体" w:cs="宋体"/>
                <w:color w:val="auto"/>
                <w:kern w:val="0"/>
                <w:szCs w:val="21"/>
              </w:rPr>
            </w:pPr>
            <w:r>
              <w:rPr>
                <w:rFonts w:hint="eastAsia" w:ascii="宋体" w:hAnsi="宋体" w:cs="宋体"/>
                <w:color w:val="auto"/>
                <w:kern w:val="0"/>
                <w:szCs w:val="21"/>
              </w:rPr>
              <w:t>2.1.1</w:t>
            </w:r>
          </w:p>
        </w:tc>
        <w:tc>
          <w:tcPr>
            <w:tcW w:w="991" w:type="dxa"/>
            <w:vMerge w:val="restart"/>
            <w:tcMar>
              <w:left w:w="57" w:type="dxa"/>
              <w:right w:w="57" w:type="dxa"/>
            </w:tcMar>
            <w:vAlign w:val="center"/>
          </w:tcPr>
          <w:p w14:paraId="5EED4A74">
            <w:pPr>
              <w:wordWrap w:val="0"/>
              <w:jc w:val="center"/>
              <w:rPr>
                <w:rFonts w:ascii="宋体" w:hAnsi="宋体" w:cs="宋体"/>
                <w:color w:val="auto"/>
                <w:szCs w:val="21"/>
              </w:rPr>
            </w:pPr>
            <w:r>
              <w:rPr>
                <w:rFonts w:hint="eastAsia" w:ascii="宋体" w:hAnsi="宋体" w:cs="宋体"/>
                <w:color w:val="auto"/>
                <w:szCs w:val="21"/>
              </w:rPr>
              <w:t>形式</w:t>
            </w:r>
          </w:p>
          <w:p w14:paraId="6B9C761B">
            <w:pPr>
              <w:wordWrap w:val="0"/>
              <w:jc w:val="center"/>
              <w:rPr>
                <w:rFonts w:ascii="宋体" w:hAnsi="宋体" w:cs="宋体"/>
                <w:color w:val="auto"/>
                <w:szCs w:val="21"/>
              </w:rPr>
            </w:pPr>
            <w:r>
              <w:rPr>
                <w:rFonts w:hint="eastAsia" w:ascii="宋体" w:hAnsi="宋体" w:cs="宋体"/>
                <w:color w:val="auto"/>
                <w:szCs w:val="21"/>
              </w:rPr>
              <w:t>评审</w:t>
            </w:r>
          </w:p>
          <w:p w14:paraId="1F2FA33B">
            <w:pPr>
              <w:wordWrap w:val="0"/>
              <w:jc w:val="center"/>
              <w:rPr>
                <w:rFonts w:ascii="宋体" w:hAnsi="宋体" w:cs="宋体"/>
                <w:color w:val="auto"/>
                <w:szCs w:val="21"/>
              </w:rPr>
            </w:pPr>
            <w:r>
              <w:rPr>
                <w:rFonts w:hint="eastAsia" w:ascii="宋体" w:hAnsi="宋体" w:cs="宋体"/>
                <w:color w:val="auto"/>
                <w:szCs w:val="21"/>
              </w:rPr>
              <w:t>标准</w:t>
            </w:r>
          </w:p>
        </w:tc>
        <w:tc>
          <w:tcPr>
            <w:tcW w:w="1662" w:type="dxa"/>
            <w:tcMar>
              <w:left w:w="57" w:type="dxa"/>
              <w:right w:w="57" w:type="dxa"/>
            </w:tcMar>
            <w:vAlign w:val="center"/>
          </w:tcPr>
          <w:p w14:paraId="00DA3628">
            <w:pPr>
              <w:widowControl/>
              <w:spacing w:line="400" w:lineRule="exact"/>
              <w:jc w:val="center"/>
              <w:rPr>
                <w:rFonts w:ascii="宋体" w:hAnsi="宋体" w:cs="仿宋_GB2312"/>
                <w:color w:val="auto"/>
                <w:kern w:val="0"/>
                <w:szCs w:val="21"/>
              </w:rPr>
            </w:pPr>
            <w:r>
              <w:rPr>
                <w:rFonts w:hint="eastAsia" w:ascii="宋体" w:hAnsi="宋体" w:cs="仿宋_GB2312"/>
                <w:color w:val="auto"/>
                <w:kern w:val="0"/>
                <w:szCs w:val="21"/>
              </w:rPr>
              <w:t>投标人名称</w:t>
            </w:r>
          </w:p>
        </w:tc>
        <w:tc>
          <w:tcPr>
            <w:tcW w:w="6494" w:type="dxa"/>
            <w:tcMar>
              <w:left w:w="57" w:type="dxa"/>
              <w:right w:w="57" w:type="dxa"/>
            </w:tcMar>
            <w:vAlign w:val="center"/>
          </w:tcPr>
          <w:p w14:paraId="7779D7FF">
            <w:pPr>
              <w:widowControl/>
              <w:spacing w:line="400" w:lineRule="exact"/>
              <w:jc w:val="left"/>
              <w:rPr>
                <w:rFonts w:ascii="宋体" w:hAnsi="宋体" w:cs="仿宋_GB2312"/>
                <w:color w:val="auto"/>
                <w:kern w:val="0"/>
                <w:szCs w:val="21"/>
              </w:rPr>
            </w:pPr>
            <w:r>
              <w:rPr>
                <w:rFonts w:hint="eastAsia" w:ascii="宋体" w:hAnsi="宋体" w:cs="仿宋_GB2312"/>
                <w:color w:val="auto"/>
                <w:kern w:val="0"/>
                <w:szCs w:val="21"/>
              </w:rPr>
              <w:t>与营业执照一致</w:t>
            </w:r>
          </w:p>
        </w:tc>
      </w:tr>
      <w:tr w14:paraId="3671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495FDF2B">
            <w:pPr>
              <w:wordWrap w:val="0"/>
              <w:jc w:val="center"/>
              <w:rPr>
                <w:rFonts w:ascii="宋体" w:hAnsi="宋体" w:cs="宋体"/>
                <w:color w:val="auto"/>
                <w:szCs w:val="21"/>
              </w:rPr>
            </w:pPr>
          </w:p>
        </w:tc>
        <w:tc>
          <w:tcPr>
            <w:tcW w:w="991" w:type="dxa"/>
            <w:vMerge w:val="continue"/>
            <w:tcMar>
              <w:left w:w="57" w:type="dxa"/>
              <w:right w:w="57" w:type="dxa"/>
            </w:tcMar>
            <w:vAlign w:val="center"/>
          </w:tcPr>
          <w:p w14:paraId="46FCB7AF">
            <w:pPr>
              <w:wordWrap w:val="0"/>
              <w:jc w:val="center"/>
              <w:rPr>
                <w:rFonts w:ascii="宋体" w:hAnsi="宋体" w:cs="宋体"/>
                <w:color w:val="auto"/>
                <w:szCs w:val="21"/>
              </w:rPr>
            </w:pPr>
          </w:p>
        </w:tc>
        <w:tc>
          <w:tcPr>
            <w:tcW w:w="1662" w:type="dxa"/>
            <w:tcMar>
              <w:left w:w="57" w:type="dxa"/>
              <w:right w:w="57" w:type="dxa"/>
            </w:tcMar>
            <w:vAlign w:val="center"/>
          </w:tcPr>
          <w:p w14:paraId="0546C61B">
            <w:pPr>
              <w:widowControl/>
              <w:spacing w:line="400" w:lineRule="exact"/>
              <w:jc w:val="center"/>
              <w:rPr>
                <w:rFonts w:ascii="宋体" w:hAnsi="宋体" w:cs="仿宋_GB2312"/>
                <w:color w:val="auto"/>
                <w:kern w:val="0"/>
                <w:szCs w:val="21"/>
              </w:rPr>
            </w:pPr>
            <w:r>
              <w:rPr>
                <w:rFonts w:hint="eastAsia" w:ascii="宋体" w:hAnsi="宋体" w:cs="仿宋_GB2312"/>
                <w:color w:val="auto"/>
                <w:kern w:val="0"/>
                <w:szCs w:val="21"/>
              </w:rPr>
              <w:t>投标文件签字盖章</w:t>
            </w:r>
          </w:p>
        </w:tc>
        <w:tc>
          <w:tcPr>
            <w:tcW w:w="6494" w:type="dxa"/>
            <w:tcMar>
              <w:left w:w="57" w:type="dxa"/>
              <w:right w:w="57" w:type="dxa"/>
            </w:tcMar>
            <w:vAlign w:val="center"/>
          </w:tcPr>
          <w:p w14:paraId="4E84AB0E">
            <w:pPr>
              <w:widowControl/>
              <w:spacing w:line="400" w:lineRule="exact"/>
              <w:jc w:val="left"/>
              <w:rPr>
                <w:rFonts w:hint="eastAsia" w:ascii="宋体" w:hAnsi="宋体" w:eastAsia="宋体" w:cs="仿宋_GB2312"/>
                <w:color w:val="auto"/>
                <w:kern w:val="0"/>
                <w:szCs w:val="21"/>
                <w:lang w:val="en-US" w:eastAsia="zh-CN"/>
              </w:rPr>
            </w:pPr>
            <w:r>
              <w:rPr>
                <w:rFonts w:hint="eastAsia" w:ascii="宋体" w:hAnsi="宋体" w:cs="仿宋_GB2312"/>
                <w:color w:val="auto"/>
                <w:kern w:val="0"/>
                <w:szCs w:val="21"/>
              </w:rPr>
              <w:t>投标文件符合招标文件格式要求、应加盖投标单位章、法定代表人</w:t>
            </w:r>
            <w:r>
              <w:rPr>
                <w:rFonts w:hint="eastAsia" w:ascii="宋体" w:hAnsi="宋体" w:cs="仿宋_GB2312"/>
                <w:color w:val="auto"/>
                <w:kern w:val="0"/>
                <w:szCs w:val="21"/>
                <w:lang w:val="en-US" w:eastAsia="zh-CN"/>
              </w:rPr>
              <w:t>签章</w:t>
            </w:r>
          </w:p>
        </w:tc>
      </w:tr>
      <w:tr w14:paraId="0244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258EC777">
            <w:pPr>
              <w:wordWrap w:val="0"/>
              <w:jc w:val="center"/>
              <w:rPr>
                <w:rFonts w:ascii="宋体" w:hAnsi="宋体" w:cs="宋体"/>
                <w:color w:val="auto"/>
                <w:szCs w:val="21"/>
              </w:rPr>
            </w:pPr>
          </w:p>
        </w:tc>
        <w:tc>
          <w:tcPr>
            <w:tcW w:w="991" w:type="dxa"/>
            <w:vMerge w:val="continue"/>
            <w:tcMar>
              <w:left w:w="57" w:type="dxa"/>
              <w:right w:w="57" w:type="dxa"/>
            </w:tcMar>
            <w:vAlign w:val="center"/>
          </w:tcPr>
          <w:p w14:paraId="4655EF4B">
            <w:pPr>
              <w:wordWrap w:val="0"/>
              <w:jc w:val="center"/>
              <w:rPr>
                <w:rFonts w:ascii="宋体" w:hAnsi="宋体" w:cs="宋体"/>
                <w:color w:val="auto"/>
                <w:szCs w:val="21"/>
              </w:rPr>
            </w:pPr>
          </w:p>
        </w:tc>
        <w:tc>
          <w:tcPr>
            <w:tcW w:w="1662" w:type="dxa"/>
            <w:tcMar>
              <w:left w:w="57" w:type="dxa"/>
              <w:right w:w="57" w:type="dxa"/>
            </w:tcMar>
            <w:vAlign w:val="center"/>
          </w:tcPr>
          <w:p w14:paraId="6847F98E">
            <w:pPr>
              <w:widowControl/>
              <w:spacing w:line="400" w:lineRule="exact"/>
              <w:jc w:val="center"/>
              <w:rPr>
                <w:rFonts w:ascii="宋体" w:hAnsi="宋体" w:cs="仿宋_GB2312"/>
                <w:color w:val="auto"/>
                <w:kern w:val="0"/>
                <w:szCs w:val="21"/>
              </w:rPr>
            </w:pPr>
            <w:r>
              <w:rPr>
                <w:rFonts w:hint="eastAsia" w:ascii="宋体" w:hAnsi="宋体" w:cs="仿宋_GB2312"/>
                <w:color w:val="auto"/>
                <w:kern w:val="0"/>
                <w:szCs w:val="21"/>
              </w:rPr>
              <w:t>投标文件格式</w:t>
            </w:r>
          </w:p>
        </w:tc>
        <w:tc>
          <w:tcPr>
            <w:tcW w:w="6494" w:type="dxa"/>
            <w:tcMar>
              <w:left w:w="57" w:type="dxa"/>
              <w:right w:w="57" w:type="dxa"/>
            </w:tcMar>
            <w:vAlign w:val="center"/>
          </w:tcPr>
          <w:p w14:paraId="02BF32A7">
            <w:pPr>
              <w:widowControl/>
              <w:spacing w:line="400" w:lineRule="exact"/>
              <w:jc w:val="left"/>
              <w:rPr>
                <w:rFonts w:ascii="宋体" w:hAnsi="宋体" w:cs="仿宋_GB2312"/>
                <w:color w:val="auto"/>
                <w:kern w:val="0"/>
                <w:szCs w:val="21"/>
              </w:rPr>
            </w:pPr>
            <w:r>
              <w:rPr>
                <w:rFonts w:hint="eastAsia" w:ascii="宋体" w:hAnsi="宋体" w:cs="仿宋_GB2312"/>
                <w:color w:val="auto"/>
                <w:kern w:val="0"/>
                <w:szCs w:val="21"/>
              </w:rPr>
              <w:t>符合第九章“投标文件格式”的规定</w:t>
            </w:r>
          </w:p>
        </w:tc>
      </w:tr>
      <w:tr w14:paraId="5D4A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07F94C54">
            <w:pPr>
              <w:wordWrap w:val="0"/>
              <w:jc w:val="center"/>
              <w:rPr>
                <w:rFonts w:ascii="宋体" w:hAnsi="宋体" w:cs="宋体"/>
                <w:color w:val="auto"/>
                <w:szCs w:val="21"/>
              </w:rPr>
            </w:pPr>
          </w:p>
        </w:tc>
        <w:tc>
          <w:tcPr>
            <w:tcW w:w="991" w:type="dxa"/>
            <w:vMerge w:val="continue"/>
            <w:tcMar>
              <w:left w:w="57" w:type="dxa"/>
              <w:right w:w="57" w:type="dxa"/>
            </w:tcMar>
            <w:vAlign w:val="center"/>
          </w:tcPr>
          <w:p w14:paraId="2E7E1DF1">
            <w:pPr>
              <w:wordWrap w:val="0"/>
              <w:jc w:val="center"/>
              <w:rPr>
                <w:rFonts w:ascii="宋体" w:hAnsi="宋体" w:cs="宋体"/>
                <w:color w:val="auto"/>
                <w:szCs w:val="21"/>
              </w:rPr>
            </w:pPr>
          </w:p>
        </w:tc>
        <w:tc>
          <w:tcPr>
            <w:tcW w:w="1662" w:type="dxa"/>
            <w:tcMar>
              <w:left w:w="57" w:type="dxa"/>
              <w:right w:w="57" w:type="dxa"/>
            </w:tcMar>
            <w:vAlign w:val="center"/>
          </w:tcPr>
          <w:p w14:paraId="7CB25A66">
            <w:pPr>
              <w:widowControl/>
              <w:spacing w:line="400" w:lineRule="exact"/>
              <w:jc w:val="center"/>
              <w:rPr>
                <w:rFonts w:ascii="宋体" w:hAnsi="宋体" w:cs="仿宋_GB2312"/>
                <w:color w:val="auto"/>
                <w:kern w:val="0"/>
                <w:szCs w:val="21"/>
                <w:highlight w:val="none"/>
              </w:rPr>
            </w:pPr>
            <w:r>
              <w:rPr>
                <w:rFonts w:hint="eastAsia" w:ascii="宋体" w:hAnsi="宋体" w:cs="仿宋_GB2312"/>
                <w:color w:val="auto"/>
                <w:kern w:val="0"/>
                <w:szCs w:val="21"/>
                <w:highlight w:val="none"/>
              </w:rPr>
              <w:t>报价唯一</w:t>
            </w:r>
          </w:p>
        </w:tc>
        <w:tc>
          <w:tcPr>
            <w:tcW w:w="6494" w:type="dxa"/>
            <w:tcMar>
              <w:left w:w="57" w:type="dxa"/>
              <w:right w:w="57" w:type="dxa"/>
            </w:tcMar>
            <w:vAlign w:val="center"/>
          </w:tcPr>
          <w:p w14:paraId="6EAFDC44">
            <w:pPr>
              <w:widowControl/>
              <w:spacing w:line="400" w:lineRule="exact"/>
              <w:jc w:val="left"/>
              <w:rPr>
                <w:rFonts w:hint="default" w:ascii="宋体" w:hAnsi="宋体" w:eastAsia="宋体" w:cs="仿宋_GB2312"/>
                <w:color w:val="auto"/>
                <w:kern w:val="0"/>
                <w:szCs w:val="21"/>
                <w:highlight w:val="none"/>
                <w:lang w:val="en-US" w:eastAsia="zh-CN"/>
              </w:rPr>
            </w:pPr>
            <w:r>
              <w:rPr>
                <w:rFonts w:hint="eastAsia" w:ascii="宋体" w:hAnsi="宋体" w:cs="仿宋_GB2312"/>
                <w:color w:val="auto"/>
                <w:kern w:val="0"/>
                <w:szCs w:val="21"/>
                <w:highlight w:val="none"/>
                <w:lang w:val="en-US" w:eastAsia="zh-CN"/>
              </w:rPr>
              <w:t>只有一个有效报价</w:t>
            </w:r>
          </w:p>
        </w:tc>
      </w:tr>
      <w:tr w14:paraId="456D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restart"/>
            <w:tcMar>
              <w:left w:w="57" w:type="dxa"/>
              <w:right w:w="57" w:type="dxa"/>
            </w:tcMar>
            <w:vAlign w:val="center"/>
          </w:tcPr>
          <w:p w14:paraId="39F06904">
            <w:pPr>
              <w:wordWrap w:val="0"/>
              <w:jc w:val="center"/>
              <w:rPr>
                <w:rFonts w:ascii="宋体" w:hAnsi="宋体" w:cs="宋体"/>
                <w:color w:val="auto"/>
                <w:szCs w:val="21"/>
              </w:rPr>
            </w:pPr>
            <w:r>
              <w:rPr>
                <w:rFonts w:hint="eastAsia" w:ascii="宋体" w:hAnsi="宋体" w:cs="宋体"/>
                <w:color w:val="auto"/>
                <w:szCs w:val="21"/>
              </w:rPr>
              <w:t>2.1.2</w:t>
            </w:r>
          </w:p>
          <w:p w14:paraId="20DC776F">
            <w:pPr>
              <w:wordWrap w:val="0"/>
              <w:jc w:val="center"/>
              <w:rPr>
                <w:rFonts w:hint="eastAsia" w:ascii="宋体" w:hAnsi="宋体" w:eastAsia="宋体" w:cs="宋体"/>
                <w:color w:val="auto"/>
                <w:szCs w:val="21"/>
                <w:lang w:eastAsia="zh-CN"/>
              </w:rPr>
            </w:pPr>
          </w:p>
          <w:p w14:paraId="7DFFED53">
            <w:pPr>
              <w:pStyle w:val="20"/>
              <w:ind w:firstLine="210"/>
              <w:rPr>
                <w:rFonts w:ascii="宋体" w:hAnsi="宋体" w:cs="宋体"/>
                <w:color w:val="auto"/>
                <w:szCs w:val="21"/>
              </w:rPr>
            </w:pPr>
          </w:p>
          <w:p w14:paraId="341925A4">
            <w:pPr>
              <w:pStyle w:val="21"/>
              <w:ind w:firstLine="400"/>
              <w:rPr>
                <w:rFonts w:ascii="宋体" w:hAnsi="宋体" w:cs="宋体"/>
                <w:color w:val="auto"/>
                <w:szCs w:val="21"/>
              </w:rPr>
            </w:pPr>
          </w:p>
          <w:p w14:paraId="124513E1">
            <w:pPr>
              <w:pStyle w:val="8"/>
              <w:rPr>
                <w:rFonts w:ascii="宋体" w:hAnsi="宋体" w:cs="宋体"/>
                <w:color w:val="auto"/>
                <w:szCs w:val="21"/>
              </w:rPr>
            </w:pPr>
          </w:p>
        </w:tc>
        <w:tc>
          <w:tcPr>
            <w:tcW w:w="991" w:type="dxa"/>
            <w:vMerge w:val="restart"/>
            <w:tcMar>
              <w:left w:w="57" w:type="dxa"/>
              <w:right w:w="57" w:type="dxa"/>
            </w:tcMar>
            <w:vAlign w:val="center"/>
          </w:tcPr>
          <w:p w14:paraId="1A04C93D">
            <w:pPr>
              <w:wordWrap w:val="0"/>
              <w:jc w:val="center"/>
              <w:rPr>
                <w:rFonts w:ascii="宋体" w:hAnsi="宋体" w:cs="宋体"/>
                <w:color w:val="auto"/>
                <w:szCs w:val="21"/>
              </w:rPr>
            </w:pPr>
            <w:r>
              <w:rPr>
                <w:rFonts w:hint="eastAsia" w:ascii="宋体" w:hAnsi="宋体" w:cs="宋体"/>
                <w:color w:val="auto"/>
                <w:szCs w:val="21"/>
              </w:rPr>
              <w:t>资格</w:t>
            </w:r>
          </w:p>
          <w:p w14:paraId="514EEA07">
            <w:pPr>
              <w:wordWrap w:val="0"/>
              <w:jc w:val="center"/>
              <w:rPr>
                <w:rFonts w:ascii="宋体" w:hAnsi="宋体" w:cs="宋体"/>
                <w:color w:val="auto"/>
                <w:szCs w:val="21"/>
              </w:rPr>
            </w:pPr>
            <w:r>
              <w:rPr>
                <w:rFonts w:hint="eastAsia" w:ascii="宋体" w:hAnsi="宋体" w:cs="宋体"/>
                <w:color w:val="auto"/>
                <w:szCs w:val="21"/>
              </w:rPr>
              <w:t>评审</w:t>
            </w:r>
          </w:p>
          <w:p w14:paraId="425E8696">
            <w:pPr>
              <w:wordWrap w:val="0"/>
              <w:jc w:val="center"/>
              <w:rPr>
                <w:rFonts w:ascii="宋体" w:hAnsi="宋体" w:cs="宋体"/>
                <w:color w:val="auto"/>
                <w:szCs w:val="21"/>
              </w:rPr>
            </w:pPr>
            <w:r>
              <w:rPr>
                <w:rFonts w:hint="eastAsia" w:ascii="宋体" w:hAnsi="宋体" w:cs="宋体"/>
                <w:color w:val="auto"/>
                <w:szCs w:val="21"/>
              </w:rPr>
              <w:t>标准</w:t>
            </w:r>
          </w:p>
        </w:tc>
        <w:tc>
          <w:tcPr>
            <w:tcW w:w="1662" w:type="dxa"/>
            <w:tcMar>
              <w:left w:w="57" w:type="dxa"/>
              <w:right w:w="57" w:type="dxa"/>
            </w:tcMar>
            <w:vAlign w:val="center"/>
          </w:tcPr>
          <w:p w14:paraId="3E3EE0CB">
            <w:pPr>
              <w:widowControl/>
              <w:spacing w:line="400" w:lineRule="exact"/>
              <w:jc w:val="center"/>
              <w:rPr>
                <w:rFonts w:ascii="宋体" w:hAnsi="宋体" w:cs="仿宋_GB2312"/>
                <w:color w:val="auto"/>
                <w:kern w:val="0"/>
                <w:szCs w:val="21"/>
                <w:highlight w:val="none"/>
              </w:rPr>
            </w:pPr>
            <w:r>
              <w:rPr>
                <w:rFonts w:hint="eastAsia" w:ascii="宋体" w:hAnsi="宋体" w:cs="仿宋_GB2312"/>
                <w:color w:val="auto"/>
                <w:kern w:val="0"/>
                <w:szCs w:val="21"/>
                <w:highlight w:val="none"/>
              </w:rPr>
              <w:t>营业执照</w:t>
            </w:r>
          </w:p>
        </w:tc>
        <w:tc>
          <w:tcPr>
            <w:tcW w:w="6494" w:type="dxa"/>
            <w:vAlign w:val="center"/>
          </w:tcPr>
          <w:p w14:paraId="05D4B1F0">
            <w:pPr>
              <w:widowControl/>
              <w:spacing w:line="400" w:lineRule="exact"/>
              <w:jc w:val="left"/>
              <w:rPr>
                <w:rFonts w:ascii="宋体" w:hAnsi="宋体" w:cs="仿宋_GB2312"/>
                <w:color w:val="auto"/>
                <w:kern w:val="0"/>
                <w:szCs w:val="21"/>
                <w:highlight w:val="none"/>
              </w:rPr>
            </w:pPr>
            <w:r>
              <w:rPr>
                <w:rFonts w:hint="eastAsia" w:asciiTheme="minorEastAsia" w:hAnsiTheme="minorEastAsia" w:eastAsiaTheme="minorEastAsia" w:cstheme="minorEastAsia"/>
                <w:color w:val="auto"/>
                <w:szCs w:val="21"/>
                <w:highlight w:val="none"/>
              </w:rPr>
              <w:t>投标人须为中华人民共和国境内合法注册设立并有效存续的独立企业法人，具有有效的营业执照</w:t>
            </w:r>
            <w:bookmarkStart w:id="907" w:name="_GoBack"/>
            <w:bookmarkEnd w:id="907"/>
          </w:p>
        </w:tc>
      </w:tr>
      <w:tr w14:paraId="4990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169EDCF6">
            <w:pPr>
              <w:pStyle w:val="8"/>
              <w:rPr>
                <w:rFonts w:ascii="宋体" w:hAnsi="宋体" w:cs="宋体"/>
                <w:color w:val="auto"/>
                <w:szCs w:val="21"/>
              </w:rPr>
            </w:pPr>
          </w:p>
        </w:tc>
        <w:tc>
          <w:tcPr>
            <w:tcW w:w="991" w:type="dxa"/>
            <w:vMerge w:val="continue"/>
            <w:tcMar>
              <w:left w:w="57" w:type="dxa"/>
              <w:right w:w="57" w:type="dxa"/>
            </w:tcMar>
            <w:vAlign w:val="center"/>
          </w:tcPr>
          <w:p w14:paraId="78D22351">
            <w:pPr>
              <w:wordWrap w:val="0"/>
              <w:jc w:val="center"/>
              <w:rPr>
                <w:rFonts w:hint="eastAsia" w:ascii="宋体" w:hAnsi="宋体" w:cs="宋体"/>
                <w:color w:val="auto"/>
                <w:szCs w:val="21"/>
              </w:rPr>
            </w:pPr>
          </w:p>
        </w:tc>
        <w:tc>
          <w:tcPr>
            <w:tcW w:w="1662" w:type="dxa"/>
            <w:tcMar>
              <w:left w:w="57" w:type="dxa"/>
              <w:right w:w="57" w:type="dxa"/>
            </w:tcMar>
            <w:vAlign w:val="center"/>
          </w:tcPr>
          <w:p w14:paraId="3716C2F4">
            <w:pPr>
              <w:widowControl/>
              <w:spacing w:line="400" w:lineRule="exact"/>
              <w:jc w:val="center"/>
              <w:rPr>
                <w:rFonts w:hint="default" w:ascii="宋体" w:hAnsi="宋体" w:eastAsia="宋体" w:cs="仿宋_GB2312"/>
                <w:color w:val="auto"/>
                <w:kern w:val="0"/>
                <w:szCs w:val="21"/>
                <w:highlight w:val="none"/>
                <w:lang w:val="en-US" w:eastAsia="zh-CN"/>
              </w:rPr>
            </w:pPr>
            <w:r>
              <w:rPr>
                <w:rFonts w:hint="eastAsia" w:ascii="宋体" w:hAnsi="宋体" w:cs="仿宋_GB2312"/>
                <w:color w:val="auto"/>
                <w:kern w:val="0"/>
                <w:szCs w:val="21"/>
                <w:highlight w:val="none"/>
                <w:lang w:val="en-US" w:eastAsia="zh-CN"/>
              </w:rPr>
              <w:t>资质要求</w:t>
            </w:r>
          </w:p>
        </w:tc>
        <w:tc>
          <w:tcPr>
            <w:tcW w:w="6494" w:type="dxa"/>
            <w:vAlign w:val="center"/>
          </w:tcPr>
          <w:p w14:paraId="72B09D28">
            <w:pPr>
              <w:widowControl/>
              <w:spacing w:line="400" w:lineRule="exact"/>
              <w:jc w:val="left"/>
              <w:rPr>
                <w:rFonts w:hint="eastAsia" w:asciiTheme="minorEastAsia" w:hAnsiTheme="minorEastAsia" w:eastAsiaTheme="minorEastAsia" w:cstheme="minorEastAsia"/>
                <w:color w:val="auto"/>
                <w:szCs w:val="21"/>
                <w:highlight w:val="none"/>
              </w:rPr>
            </w:pPr>
            <w:r>
              <w:rPr>
                <w:rFonts w:hint="eastAsia" w:ascii="宋体" w:hAnsi="宋体" w:cs="仿宋_GB2312"/>
                <w:color w:val="auto"/>
                <w:kern w:val="0"/>
                <w:szCs w:val="21"/>
              </w:rPr>
              <w:t>符合第二章“</w:t>
            </w:r>
            <w:r>
              <w:rPr>
                <w:rFonts w:hint="eastAsia" w:ascii="宋体" w:hAnsi="宋体" w:cs="宋体"/>
                <w:color w:val="auto"/>
                <w:sz w:val="22"/>
              </w:rPr>
              <w:t>投标人须知</w:t>
            </w:r>
            <w:r>
              <w:rPr>
                <w:rFonts w:hint="eastAsia" w:ascii="宋体" w:hAnsi="宋体" w:cs="仿宋_GB2312"/>
                <w:color w:val="auto"/>
                <w:kern w:val="0"/>
                <w:szCs w:val="21"/>
              </w:rPr>
              <w:t>”第1.4.1项规定</w:t>
            </w:r>
          </w:p>
        </w:tc>
      </w:tr>
      <w:tr w14:paraId="0BD9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07" w:type="dxa"/>
            <w:vMerge w:val="continue"/>
            <w:tcMar>
              <w:left w:w="57" w:type="dxa"/>
              <w:right w:w="57" w:type="dxa"/>
            </w:tcMar>
            <w:vAlign w:val="center"/>
          </w:tcPr>
          <w:p w14:paraId="56F2C43B">
            <w:pPr>
              <w:pStyle w:val="8"/>
              <w:rPr>
                <w:rFonts w:ascii="宋体" w:hAnsi="宋体" w:cs="宋体"/>
                <w:color w:val="auto"/>
                <w:szCs w:val="21"/>
              </w:rPr>
            </w:pPr>
          </w:p>
        </w:tc>
        <w:tc>
          <w:tcPr>
            <w:tcW w:w="991" w:type="dxa"/>
            <w:vMerge w:val="continue"/>
            <w:tcMar>
              <w:left w:w="57" w:type="dxa"/>
              <w:right w:w="57" w:type="dxa"/>
            </w:tcMar>
            <w:vAlign w:val="center"/>
          </w:tcPr>
          <w:p w14:paraId="4B07B19F">
            <w:pPr>
              <w:wordWrap w:val="0"/>
              <w:jc w:val="center"/>
              <w:rPr>
                <w:rFonts w:ascii="宋体" w:hAnsi="宋体" w:cs="宋体"/>
                <w:color w:val="auto"/>
                <w:szCs w:val="21"/>
              </w:rPr>
            </w:pPr>
          </w:p>
        </w:tc>
        <w:tc>
          <w:tcPr>
            <w:tcW w:w="1662" w:type="dxa"/>
            <w:tcMar>
              <w:left w:w="57" w:type="dxa"/>
              <w:right w:w="57" w:type="dxa"/>
            </w:tcMar>
            <w:vAlign w:val="center"/>
          </w:tcPr>
          <w:p w14:paraId="47C0F6BF">
            <w:pPr>
              <w:widowControl/>
              <w:spacing w:line="400" w:lineRule="exact"/>
              <w:jc w:val="center"/>
              <w:rPr>
                <w:rFonts w:hint="default" w:ascii="宋体" w:hAnsi="宋体" w:eastAsia="宋体" w:cs="仿宋_GB2312"/>
                <w:color w:val="auto"/>
                <w:kern w:val="0"/>
                <w:szCs w:val="21"/>
                <w:lang w:val="en-US" w:eastAsia="zh-CN"/>
              </w:rPr>
            </w:pPr>
            <w:r>
              <w:rPr>
                <w:rFonts w:hint="eastAsia" w:ascii="宋体" w:hAnsi="宋体" w:cs="仿宋_GB2312"/>
                <w:color w:val="auto"/>
                <w:kern w:val="0"/>
                <w:szCs w:val="21"/>
                <w:lang w:val="en-US" w:eastAsia="zh-CN"/>
              </w:rPr>
              <w:t>项目经理</w:t>
            </w:r>
          </w:p>
        </w:tc>
        <w:tc>
          <w:tcPr>
            <w:tcW w:w="6494" w:type="dxa"/>
            <w:vAlign w:val="center"/>
          </w:tcPr>
          <w:p w14:paraId="7892ECAA">
            <w:pPr>
              <w:widowControl/>
              <w:spacing w:line="400" w:lineRule="exact"/>
              <w:jc w:val="left"/>
              <w:rPr>
                <w:rFonts w:ascii="宋体" w:hAnsi="宋体" w:cs="仿宋_GB2312"/>
                <w:color w:val="auto"/>
                <w:kern w:val="0"/>
                <w:szCs w:val="21"/>
              </w:rPr>
            </w:pPr>
            <w:r>
              <w:rPr>
                <w:rFonts w:hint="eastAsia" w:ascii="宋体" w:hAnsi="宋体" w:cs="仿宋_GB2312"/>
                <w:color w:val="auto"/>
                <w:kern w:val="0"/>
                <w:szCs w:val="21"/>
              </w:rPr>
              <w:t>符合第二章“</w:t>
            </w:r>
            <w:r>
              <w:rPr>
                <w:rFonts w:hint="eastAsia" w:ascii="宋体" w:hAnsi="宋体" w:cs="宋体"/>
                <w:color w:val="auto"/>
                <w:sz w:val="22"/>
              </w:rPr>
              <w:t>投标人须知</w:t>
            </w:r>
            <w:r>
              <w:rPr>
                <w:rFonts w:hint="eastAsia" w:ascii="宋体" w:hAnsi="宋体" w:cs="仿宋_GB2312"/>
                <w:color w:val="auto"/>
                <w:kern w:val="0"/>
                <w:szCs w:val="21"/>
              </w:rPr>
              <w:t>”第1.4.1项规定</w:t>
            </w:r>
          </w:p>
        </w:tc>
      </w:tr>
      <w:tr w14:paraId="157F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07" w:type="dxa"/>
            <w:vMerge w:val="continue"/>
            <w:tcMar>
              <w:left w:w="57" w:type="dxa"/>
              <w:right w:w="57" w:type="dxa"/>
            </w:tcMar>
            <w:vAlign w:val="center"/>
          </w:tcPr>
          <w:p w14:paraId="787EDE57">
            <w:pPr>
              <w:pStyle w:val="8"/>
              <w:rPr>
                <w:rFonts w:ascii="宋体" w:hAnsi="宋体" w:cs="宋体"/>
                <w:color w:val="auto"/>
                <w:szCs w:val="21"/>
              </w:rPr>
            </w:pPr>
          </w:p>
        </w:tc>
        <w:tc>
          <w:tcPr>
            <w:tcW w:w="991" w:type="dxa"/>
            <w:vMerge w:val="continue"/>
            <w:tcMar>
              <w:left w:w="57" w:type="dxa"/>
              <w:right w:w="57" w:type="dxa"/>
            </w:tcMar>
            <w:vAlign w:val="center"/>
          </w:tcPr>
          <w:p w14:paraId="7BD07234">
            <w:pPr>
              <w:wordWrap w:val="0"/>
              <w:jc w:val="center"/>
              <w:rPr>
                <w:rFonts w:ascii="宋体" w:hAnsi="宋体" w:cs="宋体"/>
                <w:color w:val="auto"/>
                <w:szCs w:val="21"/>
              </w:rPr>
            </w:pPr>
          </w:p>
        </w:tc>
        <w:tc>
          <w:tcPr>
            <w:tcW w:w="1662" w:type="dxa"/>
            <w:tcMar>
              <w:left w:w="57" w:type="dxa"/>
              <w:right w:w="57" w:type="dxa"/>
            </w:tcMar>
            <w:vAlign w:val="center"/>
          </w:tcPr>
          <w:p w14:paraId="40A615E6">
            <w:pPr>
              <w:widowControl/>
              <w:spacing w:line="400" w:lineRule="exact"/>
              <w:jc w:val="center"/>
              <w:rPr>
                <w:rFonts w:hint="eastAsia" w:ascii="宋体" w:hAnsi="宋体" w:cs="仿宋_GB2312"/>
                <w:color w:val="auto"/>
                <w:kern w:val="0"/>
                <w:szCs w:val="21"/>
                <w:lang w:val="en-US" w:eastAsia="zh-CN"/>
              </w:rPr>
            </w:pPr>
            <w:r>
              <w:rPr>
                <w:rFonts w:hint="eastAsia" w:ascii="宋体" w:hAnsi="宋体" w:cs="仿宋_GB2312"/>
                <w:color w:val="auto"/>
                <w:kern w:val="0"/>
                <w:szCs w:val="21"/>
                <w:lang w:val="en-US" w:eastAsia="zh-CN"/>
              </w:rPr>
              <w:t>财务要求</w:t>
            </w:r>
          </w:p>
        </w:tc>
        <w:tc>
          <w:tcPr>
            <w:tcW w:w="6494" w:type="dxa"/>
            <w:vAlign w:val="center"/>
          </w:tcPr>
          <w:p w14:paraId="455E0BD5">
            <w:pPr>
              <w:widowControl/>
              <w:spacing w:line="400" w:lineRule="exact"/>
              <w:jc w:val="left"/>
              <w:rPr>
                <w:rFonts w:hint="eastAsia" w:ascii="宋体" w:hAnsi="宋体" w:cs="仿宋_GB2312"/>
                <w:color w:val="auto"/>
                <w:kern w:val="0"/>
                <w:szCs w:val="21"/>
                <w:lang w:val="en-US" w:eastAsia="zh-CN"/>
              </w:rPr>
            </w:pPr>
            <w:r>
              <w:rPr>
                <w:rFonts w:hint="eastAsia" w:ascii="宋体" w:hAnsi="宋体" w:cs="仿宋_GB2312"/>
                <w:color w:val="auto"/>
                <w:kern w:val="0"/>
                <w:szCs w:val="21"/>
                <w:lang w:val="en-US" w:eastAsia="zh-CN"/>
              </w:rPr>
              <w:t>符合第二章“投标人须知”第1.4.1项规定</w:t>
            </w:r>
          </w:p>
        </w:tc>
      </w:tr>
      <w:tr w14:paraId="755D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7672315C">
            <w:pPr>
              <w:pStyle w:val="8"/>
              <w:rPr>
                <w:color w:val="auto"/>
              </w:rPr>
            </w:pPr>
          </w:p>
        </w:tc>
        <w:tc>
          <w:tcPr>
            <w:tcW w:w="991" w:type="dxa"/>
            <w:vMerge w:val="continue"/>
            <w:tcMar>
              <w:left w:w="57" w:type="dxa"/>
              <w:right w:w="57" w:type="dxa"/>
            </w:tcMar>
            <w:vAlign w:val="center"/>
          </w:tcPr>
          <w:p w14:paraId="42DA6270">
            <w:pPr>
              <w:wordWrap w:val="0"/>
              <w:jc w:val="center"/>
              <w:rPr>
                <w:rFonts w:ascii="宋体" w:hAnsi="宋体" w:cs="宋体"/>
                <w:color w:val="auto"/>
                <w:szCs w:val="21"/>
              </w:rPr>
            </w:pPr>
          </w:p>
        </w:tc>
        <w:tc>
          <w:tcPr>
            <w:tcW w:w="1662" w:type="dxa"/>
            <w:tcMar>
              <w:left w:w="57" w:type="dxa"/>
              <w:right w:w="57" w:type="dxa"/>
            </w:tcMar>
            <w:vAlign w:val="center"/>
          </w:tcPr>
          <w:p w14:paraId="1FE62648">
            <w:pPr>
              <w:widowControl/>
              <w:spacing w:line="400" w:lineRule="exact"/>
              <w:jc w:val="center"/>
              <w:rPr>
                <w:rFonts w:hint="default" w:ascii="宋体" w:hAnsi="宋体" w:eastAsia="宋体" w:cs="仿宋_GB2312"/>
                <w:color w:val="auto"/>
                <w:kern w:val="0"/>
                <w:szCs w:val="21"/>
                <w:highlight w:val="none"/>
                <w:lang w:val="en-US" w:eastAsia="zh-CN"/>
              </w:rPr>
            </w:pPr>
            <w:r>
              <w:rPr>
                <w:rFonts w:hint="eastAsia" w:ascii="宋体" w:hAnsi="宋体" w:eastAsia="宋体" w:cs="仿宋_GB2312"/>
                <w:color w:val="auto"/>
                <w:kern w:val="0"/>
                <w:szCs w:val="21"/>
                <w:highlight w:val="none"/>
                <w:lang w:val="en-US" w:eastAsia="zh-CN"/>
              </w:rPr>
              <w:t>无商业行贿和无不正当竞争承诺书</w:t>
            </w:r>
          </w:p>
        </w:tc>
        <w:tc>
          <w:tcPr>
            <w:tcW w:w="6494" w:type="dxa"/>
            <w:vAlign w:val="center"/>
          </w:tcPr>
          <w:p w14:paraId="51BA6B93">
            <w:pPr>
              <w:widowControl/>
              <w:spacing w:line="400" w:lineRule="exact"/>
              <w:jc w:val="left"/>
              <w:rPr>
                <w:rFonts w:hint="default" w:ascii="宋体" w:hAnsi="宋体" w:eastAsia="宋体" w:cs="仿宋_GB2312"/>
                <w:color w:val="auto"/>
                <w:kern w:val="0"/>
                <w:szCs w:val="21"/>
                <w:highlight w:val="none"/>
                <w:lang w:val="en-US" w:eastAsia="zh-CN"/>
              </w:rPr>
            </w:pPr>
            <w:r>
              <w:rPr>
                <w:rFonts w:hint="eastAsia" w:ascii="宋体" w:hAnsi="宋体" w:eastAsia="宋体" w:cs="仿宋_GB2312"/>
                <w:color w:val="auto"/>
                <w:kern w:val="0"/>
                <w:szCs w:val="21"/>
                <w:highlight w:val="none"/>
                <w:lang w:val="en-US" w:eastAsia="zh-CN"/>
              </w:rPr>
              <w:t>符合第二章“投标人须知”第1.4.1项规定</w:t>
            </w:r>
          </w:p>
        </w:tc>
      </w:tr>
      <w:tr w14:paraId="78CA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27E59B24">
            <w:pPr>
              <w:pStyle w:val="8"/>
              <w:rPr>
                <w:color w:val="auto"/>
              </w:rPr>
            </w:pPr>
          </w:p>
        </w:tc>
        <w:tc>
          <w:tcPr>
            <w:tcW w:w="991" w:type="dxa"/>
            <w:vMerge w:val="continue"/>
            <w:tcMar>
              <w:left w:w="57" w:type="dxa"/>
              <w:right w:w="57" w:type="dxa"/>
            </w:tcMar>
            <w:vAlign w:val="center"/>
          </w:tcPr>
          <w:p w14:paraId="5638A4F8">
            <w:pPr>
              <w:wordWrap w:val="0"/>
              <w:jc w:val="center"/>
              <w:rPr>
                <w:rFonts w:ascii="宋体" w:hAnsi="宋体" w:cs="宋体"/>
                <w:color w:val="auto"/>
                <w:szCs w:val="21"/>
              </w:rPr>
            </w:pPr>
          </w:p>
        </w:tc>
        <w:tc>
          <w:tcPr>
            <w:tcW w:w="1662" w:type="dxa"/>
            <w:tcMar>
              <w:left w:w="57" w:type="dxa"/>
              <w:right w:w="57" w:type="dxa"/>
            </w:tcMar>
            <w:vAlign w:val="center"/>
          </w:tcPr>
          <w:p w14:paraId="2AD4D8A7">
            <w:pPr>
              <w:widowControl/>
              <w:spacing w:line="400" w:lineRule="exact"/>
              <w:jc w:val="center"/>
              <w:rPr>
                <w:rFonts w:hint="default" w:ascii="宋体" w:hAnsi="宋体" w:eastAsia="宋体" w:cs="仿宋_GB2312"/>
                <w:color w:val="auto"/>
                <w:kern w:val="0"/>
                <w:szCs w:val="21"/>
                <w:highlight w:val="none"/>
                <w:lang w:val="en-US" w:eastAsia="zh-CN"/>
              </w:rPr>
            </w:pPr>
            <w:r>
              <w:rPr>
                <w:rFonts w:hint="eastAsia" w:ascii="宋体" w:hAnsi="宋体" w:eastAsia="宋体" w:cs="仿宋_GB2312"/>
                <w:color w:val="auto"/>
                <w:kern w:val="0"/>
                <w:szCs w:val="21"/>
                <w:highlight w:val="none"/>
                <w:lang w:val="en-US" w:eastAsia="zh-CN"/>
              </w:rPr>
              <w:t>信誉要求</w:t>
            </w:r>
          </w:p>
        </w:tc>
        <w:tc>
          <w:tcPr>
            <w:tcW w:w="6494" w:type="dxa"/>
            <w:vAlign w:val="center"/>
          </w:tcPr>
          <w:p w14:paraId="4098B002">
            <w:pPr>
              <w:widowControl/>
              <w:spacing w:line="400" w:lineRule="exact"/>
              <w:jc w:val="left"/>
              <w:rPr>
                <w:rFonts w:hint="default" w:ascii="宋体" w:hAnsi="宋体" w:eastAsia="宋体" w:cs="仿宋_GB2312"/>
                <w:color w:val="auto"/>
                <w:kern w:val="0"/>
                <w:szCs w:val="21"/>
                <w:highlight w:val="none"/>
                <w:lang w:val="en-US" w:eastAsia="zh-CN"/>
              </w:rPr>
            </w:pPr>
            <w:r>
              <w:rPr>
                <w:rFonts w:hint="eastAsia" w:ascii="宋体" w:hAnsi="宋体" w:eastAsia="宋体" w:cs="仿宋_GB2312"/>
                <w:color w:val="auto"/>
                <w:kern w:val="0"/>
                <w:szCs w:val="21"/>
                <w:highlight w:val="none"/>
                <w:lang w:val="en-US" w:eastAsia="zh-CN"/>
              </w:rPr>
              <w:t>符合第二章“投标人须知”第1.4.1项规定</w:t>
            </w:r>
          </w:p>
        </w:tc>
      </w:tr>
      <w:tr w14:paraId="146A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682D4A5F">
            <w:pPr>
              <w:wordWrap w:val="0"/>
              <w:jc w:val="center"/>
              <w:rPr>
                <w:rFonts w:ascii="宋体" w:hAnsi="宋体" w:cs="宋体"/>
                <w:color w:val="auto"/>
                <w:szCs w:val="21"/>
              </w:rPr>
            </w:pPr>
          </w:p>
        </w:tc>
        <w:tc>
          <w:tcPr>
            <w:tcW w:w="991" w:type="dxa"/>
            <w:vMerge w:val="continue"/>
            <w:tcMar>
              <w:left w:w="57" w:type="dxa"/>
              <w:right w:w="57" w:type="dxa"/>
            </w:tcMar>
            <w:vAlign w:val="center"/>
          </w:tcPr>
          <w:p w14:paraId="49A7C720">
            <w:pPr>
              <w:wordWrap w:val="0"/>
              <w:jc w:val="center"/>
              <w:rPr>
                <w:rFonts w:ascii="宋体" w:hAnsi="宋体" w:cs="宋体"/>
                <w:color w:val="auto"/>
                <w:szCs w:val="21"/>
              </w:rPr>
            </w:pPr>
          </w:p>
        </w:tc>
        <w:tc>
          <w:tcPr>
            <w:tcW w:w="1662" w:type="dxa"/>
            <w:tcMar>
              <w:left w:w="57" w:type="dxa"/>
              <w:right w:w="57" w:type="dxa"/>
            </w:tcMar>
            <w:vAlign w:val="center"/>
          </w:tcPr>
          <w:p w14:paraId="6CEC0E78">
            <w:pPr>
              <w:widowControl/>
              <w:spacing w:line="400" w:lineRule="exact"/>
              <w:jc w:val="center"/>
              <w:rPr>
                <w:rFonts w:ascii="宋体" w:hAnsi="宋体" w:cs="仿宋_GB2312"/>
                <w:color w:val="auto"/>
                <w:kern w:val="0"/>
                <w:szCs w:val="21"/>
              </w:rPr>
            </w:pPr>
            <w:r>
              <w:rPr>
                <w:rFonts w:hint="eastAsia" w:ascii="宋体" w:hAnsi="宋体" w:cs="仿宋_GB2312"/>
                <w:color w:val="auto"/>
                <w:kern w:val="0"/>
                <w:szCs w:val="21"/>
                <w:lang w:eastAsia="zh-CN"/>
              </w:rPr>
              <w:t>国家企业信用信息公示系统</w:t>
            </w:r>
          </w:p>
        </w:tc>
        <w:tc>
          <w:tcPr>
            <w:tcW w:w="6494" w:type="dxa"/>
            <w:vAlign w:val="center"/>
          </w:tcPr>
          <w:p w14:paraId="255F6272">
            <w:pPr>
              <w:widowControl/>
              <w:jc w:val="left"/>
              <w:rPr>
                <w:rFonts w:ascii="宋体" w:hAnsi="宋体" w:cs="仿宋_GB2312"/>
                <w:b/>
                <w:color w:val="auto"/>
                <w:kern w:val="0"/>
                <w:szCs w:val="21"/>
              </w:rPr>
            </w:pPr>
            <w:r>
              <w:rPr>
                <w:rFonts w:hint="eastAsia" w:ascii="宋体" w:hAnsi="宋体" w:cs="仿宋_GB2312"/>
                <w:b w:val="0"/>
                <w:bCs/>
                <w:color w:val="auto"/>
                <w:kern w:val="0"/>
                <w:szCs w:val="21"/>
              </w:rPr>
              <w:t>单位负责人为同一人或者存在控股、管理关系的不同单位，不得参加同一标段投标或者未划分标段的同一招标项目投标（</w:t>
            </w:r>
            <w:r>
              <w:rPr>
                <w:rFonts w:hint="eastAsia" w:ascii="宋体" w:hAnsi="宋体" w:cs="仿宋_GB2312"/>
                <w:b w:val="0"/>
                <w:bCs/>
                <w:color w:val="auto"/>
                <w:kern w:val="0"/>
                <w:szCs w:val="21"/>
                <w:lang w:eastAsia="zh-CN"/>
              </w:rPr>
              <w:t>提供“国家企业信用信息公示系统”中加盖投标人企业电子印章查询网页截图，截图需包括公司信息、股东或投资人相关信息、查询日期，查询日期为公告发布之后至投标截止时间前。</w:t>
            </w:r>
            <w:r>
              <w:rPr>
                <w:rFonts w:hint="eastAsia" w:ascii="宋体" w:hAnsi="宋体" w:cs="仿宋_GB2312"/>
                <w:b w:val="0"/>
                <w:bCs/>
                <w:color w:val="auto"/>
                <w:kern w:val="0"/>
                <w:szCs w:val="21"/>
              </w:rPr>
              <w:t>）</w:t>
            </w:r>
          </w:p>
        </w:tc>
      </w:tr>
      <w:tr w14:paraId="7820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21C89548">
            <w:pPr>
              <w:wordWrap w:val="0"/>
              <w:jc w:val="center"/>
              <w:rPr>
                <w:rFonts w:ascii="宋体" w:hAnsi="宋体" w:cs="宋体"/>
                <w:color w:val="auto"/>
                <w:szCs w:val="21"/>
              </w:rPr>
            </w:pPr>
          </w:p>
        </w:tc>
        <w:tc>
          <w:tcPr>
            <w:tcW w:w="991" w:type="dxa"/>
            <w:vMerge w:val="continue"/>
            <w:tcMar>
              <w:left w:w="57" w:type="dxa"/>
              <w:right w:w="57" w:type="dxa"/>
            </w:tcMar>
            <w:vAlign w:val="center"/>
          </w:tcPr>
          <w:p w14:paraId="44583D12">
            <w:pPr>
              <w:wordWrap w:val="0"/>
              <w:jc w:val="center"/>
              <w:rPr>
                <w:rFonts w:ascii="宋体" w:hAnsi="宋体" w:cs="宋体"/>
                <w:color w:val="auto"/>
                <w:szCs w:val="21"/>
              </w:rPr>
            </w:pPr>
          </w:p>
        </w:tc>
        <w:tc>
          <w:tcPr>
            <w:tcW w:w="1662" w:type="dxa"/>
            <w:tcMar>
              <w:left w:w="57" w:type="dxa"/>
              <w:right w:w="57" w:type="dxa"/>
            </w:tcMar>
            <w:vAlign w:val="center"/>
          </w:tcPr>
          <w:p w14:paraId="3EEBE669">
            <w:pPr>
              <w:widowControl/>
              <w:spacing w:line="400" w:lineRule="exact"/>
              <w:jc w:val="center"/>
              <w:rPr>
                <w:rFonts w:ascii="宋体" w:hAnsi="宋体" w:cs="仿宋_GB2312"/>
                <w:color w:val="auto"/>
                <w:kern w:val="0"/>
                <w:szCs w:val="21"/>
              </w:rPr>
            </w:pPr>
            <w:r>
              <w:rPr>
                <w:rFonts w:hint="eastAsia" w:ascii="宋体" w:hAnsi="宋体" w:cs="仿宋_GB2312"/>
                <w:color w:val="auto"/>
                <w:kern w:val="0"/>
                <w:szCs w:val="21"/>
                <w:lang w:val="en-US" w:eastAsia="zh-CN"/>
              </w:rPr>
              <w:t>联合体</w:t>
            </w:r>
          </w:p>
        </w:tc>
        <w:tc>
          <w:tcPr>
            <w:tcW w:w="6494" w:type="dxa"/>
            <w:vAlign w:val="center"/>
          </w:tcPr>
          <w:p w14:paraId="0F1E5CAD">
            <w:pPr>
              <w:widowControl/>
              <w:jc w:val="left"/>
              <w:rPr>
                <w:rFonts w:ascii="宋体" w:hAnsi="宋体" w:cs="仿宋_GB2312"/>
                <w:color w:val="auto"/>
                <w:kern w:val="0"/>
                <w:szCs w:val="21"/>
              </w:rPr>
            </w:pPr>
            <w:r>
              <w:rPr>
                <w:rFonts w:hint="eastAsia" w:ascii="宋体" w:hAnsi="宋体" w:cs="仿宋_GB2312"/>
                <w:color w:val="auto"/>
                <w:kern w:val="0"/>
                <w:szCs w:val="21"/>
              </w:rPr>
              <w:t>符合第二章“投标人须知”第1.4.1项规定</w:t>
            </w:r>
          </w:p>
        </w:tc>
      </w:tr>
      <w:tr w14:paraId="636F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18E23C06">
            <w:pPr>
              <w:wordWrap w:val="0"/>
              <w:jc w:val="center"/>
              <w:rPr>
                <w:rFonts w:ascii="宋体" w:hAnsi="宋体" w:cs="宋体"/>
                <w:color w:val="auto"/>
                <w:szCs w:val="21"/>
              </w:rPr>
            </w:pPr>
          </w:p>
        </w:tc>
        <w:tc>
          <w:tcPr>
            <w:tcW w:w="991" w:type="dxa"/>
            <w:vMerge w:val="continue"/>
            <w:tcMar>
              <w:left w:w="57" w:type="dxa"/>
              <w:right w:w="57" w:type="dxa"/>
            </w:tcMar>
            <w:vAlign w:val="center"/>
          </w:tcPr>
          <w:p w14:paraId="4C44A94C">
            <w:pPr>
              <w:wordWrap w:val="0"/>
              <w:jc w:val="center"/>
              <w:rPr>
                <w:rFonts w:ascii="宋体" w:hAnsi="宋体" w:cs="宋体"/>
                <w:color w:val="auto"/>
                <w:szCs w:val="21"/>
              </w:rPr>
            </w:pPr>
          </w:p>
        </w:tc>
        <w:tc>
          <w:tcPr>
            <w:tcW w:w="8156" w:type="dxa"/>
            <w:gridSpan w:val="2"/>
            <w:tcMar>
              <w:left w:w="57" w:type="dxa"/>
              <w:right w:w="57" w:type="dxa"/>
            </w:tcMar>
            <w:vAlign w:val="center"/>
          </w:tcPr>
          <w:p w14:paraId="283B87E5">
            <w:pPr>
              <w:widowControl/>
              <w:jc w:val="left"/>
              <w:rPr>
                <w:rFonts w:ascii="宋体" w:hAnsi="宋体" w:cs="仿宋_GB2312"/>
                <w:color w:val="auto"/>
                <w:kern w:val="0"/>
                <w:szCs w:val="21"/>
              </w:rPr>
            </w:pPr>
            <w:bookmarkStart w:id="163" w:name="OLE_LINK6"/>
            <w:r>
              <w:rPr>
                <w:rFonts w:hint="eastAsia" w:ascii="宋体" w:hAnsi="宋体" w:cs="宋体"/>
                <w:b/>
                <w:color w:val="auto"/>
                <w:szCs w:val="21"/>
              </w:rPr>
              <w:t>备注：招标文件中所要求证件、证明等，投标文件中应附相应资料清晰的扫描件，由于模糊不清导致评委无法辨别的，后果由投标人自行承担。</w:t>
            </w:r>
            <w:bookmarkEnd w:id="163"/>
          </w:p>
        </w:tc>
      </w:tr>
      <w:tr w14:paraId="4032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7" w:type="dxa"/>
            <w:vMerge w:val="restart"/>
            <w:tcMar>
              <w:left w:w="57" w:type="dxa"/>
              <w:right w:w="57" w:type="dxa"/>
            </w:tcMar>
            <w:vAlign w:val="center"/>
          </w:tcPr>
          <w:p w14:paraId="6F856BB2">
            <w:pPr>
              <w:wordWrap w:val="0"/>
              <w:jc w:val="center"/>
              <w:rPr>
                <w:rFonts w:ascii="宋体" w:hAnsi="宋体" w:cs="宋体"/>
                <w:color w:val="auto"/>
                <w:szCs w:val="21"/>
              </w:rPr>
            </w:pPr>
            <w:r>
              <w:rPr>
                <w:rFonts w:hint="eastAsia" w:ascii="宋体" w:hAnsi="宋体" w:cs="宋体"/>
                <w:color w:val="auto"/>
                <w:szCs w:val="21"/>
              </w:rPr>
              <w:t>2.1.3</w:t>
            </w:r>
          </w:p>
        </w:tc>
        <w:tc>
          <w:tcPr>
            <w:tcW w:w="991" w:type="dxa"/>
            <w:vMerge w:val="restart"/>
            <w:tcMar>
              <w:left w:w="57" w:type="dxa"/>
              <w:right w:w="57" w:type="dxa"/>
            </w:tcMar>
            <w:vAlign w:val="center"/>
          </w:tcPr>
          <w:p w14:paraId="5488D21B">
            <w:pPr>
              <w:wordWrap w:val="0"/>
              <w:jc w:val="center"/>
              <w:rPr>
                <w:rFonts w:ascii="宋体" w:hAnsi="宋体" w:cs="宋体"/>
                <w:color w:val="auto"/>
                <w:szCs w:val="21"/>
              </w:rPr>
            </w:pPr>
            <w:r>
              <w:rPr>
                <w:rFonts w:hint="eastAsia" w:ascii="宋体" w:hAnsi="宋体" w:cs="宋体"/>
                <w:color w:val="auto"/>
                <w:szCs w:val="21"/>
              </w:rPr>
              <w:t>响应性</w:t>
            </w:r>
          </w:p>
          <w:p w14:paraId="184880F0">
            <w:pPr>
              <w:wordWrap w:val="0"/>
              <w:jc w:val="center"/>
              <w:rPr>
                <w:rFonts w:ascii="宋体" w:hAnsi="宋体" w:cs="宋体"/>
                <w:color w:val="auto"/>
                <w:szCs w:val="21"/>
              </w:rPr>
            </w:pPr>
            <w:r>
              <w:rPr>
                <w:rFonts w:hint="eastAsia" w:ascii="宋体" w:hAnsi="宋体" w:cs="宋体"/>
                <w:color w:val="auto"/>
                <w:szCs w:val="21"/>
              </w:rPr>
              <w:t>评审</w:t>
            </w:r>
          </w:p>
          <w:p w14:paraId="646F297B">
            <w:pPr>
              <w:wordWrap w:val="0"/>
              <w:jc w:val="center"/>
              <w:rPr>
                <w:rFonts w:ascii="宋体" w:hAnsi="宋体" w:cs="宋体"/>
                <w:color w:val="auto"/>
                <w:szCs w:val="21"/>
              </w:rPr>
            </w:pPr>
            <w:r>
              <w:rPr>
                <w:rFonts w:hint="eastAsia" w:ascii="宋体" w:hAnsi="宋体" w:cs="宋体"/>
                <w:color w:val="auto"/>
                <w:szCs w:val="21"/>
              </w:rPr>
              <w:t>标准</w:t>
            </w:r>
          </w:p>
        </w:tc>
        <w:tc>
          <w:tcPr>
            <w:tcW w:w="1662" w:type="dxa"/>
            <w:tcMar>
              <w:left w:w="57" w:type="dxa"/>
              <w:right w:w="57" w:type="dxa"/>
            </w:tcMar>
            <w:vAlign w:val="center"/>
          </w:tcPr>
          <w:p w14:paraId="5F28A949">
            <w:pPr>
              <w:wordWrap w:val="0"/>
              <w:jc w:val="center"/>
              <w:rPr>
                <w:rFonts w:hint="eastAsia" w:ascii="宋体" w:hAnsi="宋体" w:cs="宋体"/>
                <w:color w:val="auto"/>
                <w:szCs w:val="21"/>
              </w:rPr>
            </w:pPr>
            <w:r>
              <w:rPr>
                <w:rFonts w:hint="eastAsia" w:ascii="宋体" w:hAnsi="宋体" w:cs="宋体"/>
                <w:color w:val="auto"/>
                <w:szCs w:val="21"/>
              </w:rPr>
              <w:t>投标内容</w:t>
            </w:r>
          </w:p>
        </w:tc>
        <w:tc>
          <w:tcPr>
            <w:tcW w:w="6494" w:type="dxa"/>
            <w:vAlign w:val="center"/>
          </w:tcPr>
          <w:p w14:paraId="5FF71193">
            <w:pPr>
              <w:wordWrap w:val="0"/>
              <w:jc w:val="left"/>
              <w:rPr>
                <w:rFonts w:hint="eastAsia" w:ascii="宋体" w:hAnsi="宋体" w:cs="宋体"/>
                <w:color w:val="auto"/>
                <w:szCs w:val="21"/>
              </w:rPr>
            </w:pPr>
            <w:r>
              <w:rPr>
                <w:rFonts w:hint="eastAsia" w:ascii="宋体" w:hAnsi="宋体" w:cs="宋体"/>
                <w:color w:val="auto"/>
                <w:szCs w:val="21"/>
              </w:rPr>
              <w:t>符合第二章“投标人须知”第1.3.1项规定</w:t>
            </w:r>
          </w:p>
        </w:tc>
      </w:tr>
      <w:tr w14:paraId="01B6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7" w:type="dxa"/>
            <w:vMerge w:val="continue"/>
            <w:tcMar>
              <w:left w:w="57" w:type="dxa"/>
              <w:right w:w="57" w:type="dxa"/>
            </w:tcMar>
            <w:vAlign w:val="center"/>
          </w:tcPr>
          <w:p w14:paraId="1BAEEDB8">
            <w:pPr>
              <w:wordWrap w:val="0"/>
              <w:jc w:val="center"/>
              <w:rPr>
                <w:rFonts w:ascii="宋体" w:hAnsi="宋体" w:cs="宋体"/>
                <w:color w:val="auto"/>
                <w:szCs w:val="21"/>
              </w:rPr>
            </w:pPr>
          </w:p>
        </w:tc>
        <w:tc>
          <w:tcPr>
            <w:tcW w:w="991" w:type="dxa"/>
            <w:vMerge w:val="continue"/>
            <w:tcMar>
              <w:left w:w="57" w:type="dxa"/>
              <w:right w:w="57" w:type="dxa"/>
            </w:tcMar>
            <w:vAlign w:val="center"/>
          </w:tcPr>
          <w:p w14:paraId="024505A6">
            <w:pPr>
              <w:wordWrap w:val="0"/>
              <w:jc w:val="center"/>
              <w:rPr>
                <w:rFonts w:ascii="宋体" w:hAnsi="宋体" w:cs="宋体"/>
                <w:color w:val="auto"/>
                <w:szCs w:val="21"/>
              </w:rPr>
            </w:pPr>
          </w:p>
        </w:tc>
        <w:tc>
          <w:tcPr>
            <w:tcW w:w="1662" w:type="dxa"/>
            <w:tcMar>
              <w:left w:w="57" w:type="dxa"/>
              <w:right w:w="57" w:type="dxa"/>
            </w:tcMar>
            <w:vAlign w:val="center"/>
          </w:tcPr>
          <w:p w14:paraId="2E9D8F05">
            <w:pPr>
              <w:wordWrap w:val="0"/>
              <w:jc w:val="center"/>
              <w:rPr>
                <w:rFonts w:hint="eastAsia" w:ascii="宋体" w:hAnsi="宋体" w:cs="宋体"/>
                <w:color w:val="auto"/>
                <w:szCs w:val="21"/>
              </w:rPr>
            </w:pPr>
            <w:r>
              <w:rPr>
                <w:rFonts w:hint="eastAsia" w:ascii="宋体" w:hAnsi="宋体" w:cs="宋体"/>
                <w:color w:val="auto"/>
                <w:szCs w:val="21"/>
                <w:lang w:val="en-US" w:eastAsia="zh-CN"/>
              </w:rPr>
              <w:t>投标总报价</w:t>
            </w:r>
          </w:p>
        </w:tc>
        <w:tc>
          <w:tcPr>
            <w:tcW w:w="6494" w:type="dxa"/>
            <w:vAlign w:val="center"/>
          </w:tcPr>
          <w:p w14:paraId="4C92AABD">
            <w:pPr>
              <w:wordWrap w:val="0"/>
              <w:jc w:val="left"/>
              <w:rPr>
                <w:rFonts w:hint="eastAsia" w:ascii="宋体" w:hAnsi="宋体" w:cs="宋体"/>
                <w:color w:val="auto"/>
                <w:szCs w:val="21"/>
              </w:rPr>
            </w:pPr>
            <w:r>
              <w:rPr>
                <w:rFonts w:hint="eastAsia" w:ascii="宋体" w:hAnsi="宋体" w:cs="宋体"/>
                <w:color w:val="auto"/>
                <w:szCs w:val="21"/>
                <w:lang w:val="en-US" w:eastAsia="zh-CN"/>
              </w:rPr>
              <w:t>不得高于招标人公布的最高投标限价（招标控制价），否则其投标将被否决</w:t>
            </w:r>
          </w:p>
        </w:tc>
      </w:tr>
      <w:tr w14:paraId="67F5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07" w:type="dxa"/>
            <w:vMerge w:val="continue"/>
            <w:tcMar>
              <w:left w:w="57" w:type="dxa"/>
              <w:right w:w="57" w:type="dxa"/>
            </w:tcMar>
            <w:vAlign w:val="center"/>
          </w:tcPr>
          <w:p w14:paraId="2E01B0E7">
            <w:pPr>
              <w:wordWrap w:val="0"/>
              <w:jc w:val="center"/>
              <w:rPr>
                <w:rFonts w:ascii="宋体" w:hAnsi="宋体" w:cs="宋体"/>
                <w:color w:val="auto"/>
                <w:szCs w:val="21"/>
              </w:rPr>
            </w:pPr>
          </w:p>
        </w:tc>
        <w:tc>
          <w:tcPr>
            <w:tcW w:w="991" w:type="dxa"/>
            <w:vMerge w:val="continue"/>
            <w:tcMar>
              <w:left w:w="57" w:type="dxa"/>
              <w:right w:w="57" w:type="dxa"/>
            </w:tcMar>
            <w:vAlign w:val="center"/>
          </w:tcPr>
          <w:p w14:paraId="1C7D856C">
            <w:pPr>
              <w:wordWrap w:val="0"/>
              <w:jc w:val="center"/>
              <w:rPr>
                <w:rFonts w:ascii="宋体" w:hAnsi="宋体" w:cs="宋体"/>
                <w:color w:val="auto"/>
                <w:szCs w:val="21"/>
              </w:rPr>
            </w:pPr>
          </w:p>
        </w:tc>
        <w:tc>
          <w:tcPr>
            <w:tcW w:w="1662" w:type="dxa"/>
            <w:tcMar>
              <w:left w:w="57" w:type="dxa"/>
              <w:right w:w="57" w:type="dxa"/>
            </w:tcMar>
            <w:vAlign w:val="center"/>
          </w:tcPr>
          <w:p w14:paraId="14D36A43">
            <w:pPr>
              <w:wordWrap w:val="0"/>
              <w:jc w:val="center"/>
              <w:rPr>
                <w:rFonts w:hint="eastAsia" w:ascii="宋体" w:hAnsi="宋体" w:cs="宋体"/>
                <w:color w:val="auto"/>
                <w:szCs w:val="21"/>
              </w:rPr>
            </w:pPr>
            <w:r>
              <w:rPr>
                <w:rFonts w:hint="eastAsia" w:ascii="宋体" w:hAnsi="宋体" w:cs="宋体"/>
                <w:color w:val="auto"/>
                <w:szCs w:val="21"/>
              </w:rPr>
              <w:t>工期</w:t>
            </w:r>
          </w:p>
        </w:tc>
        <w:tc>
          <w:tcPr>
            <w:tcW w:w="6494" w:type="dxa"/>
            <w:vAlign w:val="center"/>
          </w:tcPr>
          <w:p w14:paraId="3A8CFDB0">
            <w:pPr>
              <w:wordWrap w:val="0"/>
              <w:jc w:val="left"/>
              <w:rPr>
                <w:rFonts w:hint="eastAsia" w:ascii="宋体" w:hAnsi="宋体" w:cs="宋体"/>
                <w:color w:val="auto"/>
                <w:szCs w:val="21"/>
              </w:rPr>
            </w:pPr>
            <w:r>
              <w:rPr>
                <w:rFonts w:hint="eastAsia" w:ascii="宋体" w:hAnsi="宋体" w:cs="宋体"/>
                <w:color w:val="auto"/>
                <w:szCs w:val="21"/>
              </w:rPr>
              <w:t>符合第二章“投标人须知”第1.3.2项规定</w:t>
            </w:r>
          </w:p>
        </w:tc>
      </w:tr>
      <w:tr w14:paraId="2872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72154719">
            <w:pPr>
              <w:wordWrap w:val="0"/>
              <w:jc w:val="center"/>
              <w:rPr>
                <w:rFonts w:ascii="宋体" w:hAnsi="宋体" w:cs="宋体"/>
                <w:color w:val="auto"/>
                <w:szCs w:val="21"/>
              </w:rPr>
            </w:pPr>
          </w:p>
        </w:tc>
        <w:tc>
          <w:tcPr>
            <w:tcW w:w="991" w:type="dxa"/>
            <w:vMerge w:val="continue"/>
            <w:tcMar>
              <w:left w:w="57" w:type="dxa"/>
              <w:right w:w="57" w:type="dxa"/>
            </w:tcMar>
            <w:vAlign w:val="center"/>
          </w:tcPr>
          <w:p w14:paraId="7E084ED1">
            <w:pPr>
              <w:wordWrap w:val="0"/>
              <w:jc w:val="center"/>
              <w:rPr>
                <w:rFonts w:ascii="宋体" w:hAnsi="宋体" w:cs="宋体"/>
                <w:color w:val="auto"/>
                <w:szCs w:val="21"/>
              </w:rPr>
            </w:pPr>
          </w:p>
        </w:tc>
        <w:tc>
          <w:tcPr>
            <w:tcW w:w="1662" w:type="dxa"/>
            <w:tcMar>
              <w:left w:w="57" w:type="dxa"/>
              <w:right w:w="57" w:type="dxa"/>
            </w:tcMar>
            <w:vAlign w:val="center"/>
          </w:tcPr>
          <w:p w14:paraId="6601EB6C">
            <w:pPr>
              <w:wordWrap w:val="0"/>
              <w:jc w:val="center"/>
              <w:rPr>
                <w:rFonts w:hint="eastAsia" w:ascii="宋体" w:hAnsi="宋体" w:cs="宋体" w:eastAsiaTheme="minorEastAsia"/>
                <w:color w:val="auto"/>
                <w:szCs w:val="21"/>
                <w:highlight w:val="yellow"/>
                <w:lang w:val="en-US" w:eastAsia="zh-CN"/>
              </w:rPr>
            </w:pPr>
            <w:r>
              <w:rPr>
                <w:rFonts w:hint="eastAsia" w:ascii="宋体" w:hAnsi="宋体" w:cs="仿宋_GB2312"/>
                <w:color w:val="auto"/>
                <w:kern w:val="0"/>
                <w:szCs w:val="21"/>
              </w:rPr>
              <w:t>质量要求</w:t>
            </w:r>
          </w:p>
        </w:tc>
        <w:tc>
          <w:tcPr>
            <w:tcW w:w="6494" w:type="dxa"/>
            <w:vAlign w:val="center"/>
          </w:tcPr>
          <w:p w14:paraId="74FF045C">
            <w:pPr>
              <w:wordWrap w:val="0"/>
              <w:rPr>
                <w:rFonts w:ascii="宋体" w:hAnsi="宋体" w:cs="宋体"/>
                <w:color w:val="auto"/>
                <w:szCs w:val="21"/>
              </w:rPr>
            </w:pPr>
            <w:r>
              <w:rPr>
                <w:rFonts w:hint="eastAsia" w:ascii="宋体" w:hAnsi="宋体" w:cs="宋体"/>
                <w:color w:val="auto"/>
                <w:szCs w:val="21"/>
              </w:rPr>
              <w:t>符合第二章“投标人须知”第</w:t>
            </w:r>
            <w:r>
              <w:rPr>
                <w:rFonts w:ascii="宋体" w:hAnsi="宋体" w:cs="宋体"/>
                <w:color w:val="auto"/>
                <w:szCs w:val="21"/>
              </w:rPr>
              <w:t>1.3.</w:t>
            </w:r>
            <w:r>
              <w:rPr>
                <w:rFonts w:hint="eastAsia" w:ascii="宋体" w:hAnsi="宋体" w:cs="宋体"/>
                <w:color w:val="auto"/>
                <w:szCs w:val="21"/>
              </w:rPr>
              <w:t>3</w:t>
            </w:r>
            <w:r>
              <w:rPr>
                <w:rFonts w:ascii="宋体" w:hAnsi="宋体" w:cs="宋体"/>
                <w:color w:val="auto"/>
                <w:szCs w:val="21"/>
              </w:rPr>
              <w:t>项规定</w:t>
            </w:r>
          </w:p>
        </w:tc>
      </w:tr>
      <w:tr w14:paraId="14E7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12B57001">
            <w:pPr>
              <w:wordWrap w:val="0"/>
              <w:jc w:val="center"/>
              <w:rPr>
                <w:rFonts w:ascii="宋体" w:hAnsi="宋体" w:cs="宋体"/>
                <w:color w:val="auto"/>
                <w:szCs w:val="21"/>
              </w:rPr>
            </w:pPr>
          </w:p>
        </w:tc>
        <w:tc>
          <w:tcPr>
            <w:tcW w:w="991" w:type="dxa"/>
            <w:vMerge w:val="continue"/>
            <w:tcMar>
              <w:left w:w="57" w:type="dxa"/>
              <w:right w:w="57" w:type="dxa"/>
            </w:tcMar>
            <w:vAlign w:val="center"/>
          </w:tcPr>
          <w:p w14:paraId="5BB60105">
            <w:pPr>
              <w:wordWrap w:val="0"/>
              <w:jc w:val="center"/>
              <w:rPr>
                <w:rFonts w:ascii="宋体" w:hAnsi="宋体" w:cs="宋体"/>
                <w:color w:val="auto"/>
                <w:szCs w:val="21"/>
              </w:rPr>
            </w:pPr>
          </w:p>
        </w:tc>
        <w:tc>
          <w:tcPr>
            <w:tcW w:w="1662" w:type="dxa"/>
            <w:tcMar>
              <w:left w:w="57" w:type="dxa"/>
              <w:right w:w="57" w:type="dxa"/>
            </w:tcMar>
            <w:vAlign w:val="center"/>
          </w:tcPr>
          <w:p w14:paraId="7DF783D9">
            <w:pPr>
              <w:wordWrap w:val="0"/>
              <w:jc w:val="center"/>
              <w:rPr>
                <w:rFonts w:ascii="宋体" w:hAnsi="宋体" w:cs="宋体"/>
                <w:color w:val="auto"/>
                <w:szCs w:val="21"/>
              </w:rPr>
            </w:pPr>
            <w:r>
              <w:rPr>
                <w:rFonts w:hint="eastAsia" w:ascii="宋体" w:hAnsi="宋体" w:cs="宋体"/>
                <w:color w:val="auto"/>
                <w:szCs w:val="21"/>
              </w:rPr>
              <w:t>投标有效期</w:t>
            </w:r>
          </w:p>
        </w:tc>
        <w:tc>
          <w:tcPr>
            <w:tcW w:w="6494" w:type="dxa"/>
            <w:vAlign w:val="center"/>
          </w:tcPr>
          <w:p w14:paraId="482DC52F">
            <w:pPr>
              <w:wordWrap w:val="0"/>
              <w:rPr>
                <w:rFonts w:ascii="宋体" w:hAnsi="宋体" w:cs="宋体"/>
                <w:color w:val="auto"/>
                <w:szCs w:val="21"/>
              </w:rPr>
            </w:pPr>
            <w:r>
              <w:rPr>
                <w:rFonts w:hint="eastAsia" w:ascii="宋体" w:hAnsi="宋体" w:cs="宋体"/>
                <w:color w:val="auto"/>
                <w:szCs w:val="21"/>
              </w:rPr>
              <w:t>符合第二章“投标人须知”第</w:t>
            </w:r>
            <w:r>
              <w:rPr>
                <w:rFonts w:ascii="宋体" w:hAnsi="宋体" w:cs="宋体"/>
                <w:color w:val="auto"/>
                <w:szCs w:val="21"/>
              </w:rPr>
              <w:t>3.3</w:t>
            </w:r>
            <w:r>
              <w:rPr>
                <w:rFonts w:hint="eastAsia" w:ascii="宋体" w:hAnsi="宋体" w:cs="宋体"/>
                <w:color w:val="auto"/>
                <w:szCs w:val="21"/>
              </w:rPr>
              <w:t>.1</w:t>
            </w:r>
            <w:r>
              <w:rPr>
                <w:rFonts w:ascii="宋体" w:hAnsi="宋体" w:cs="宋体"/>
                <w:color w:val="auto"/>
                <w:szCs w:val="21"/>
              </w:rPr>
              <w:t>项规定</w:t>
            </w:r>
          </w:p>
        </w:tc>
      </w:tr>
      <w:tr w14:paraId="7086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7" w:type="dxa"/>
            <w:vMerge w:val="continue"/>
            <w:tcMar>
              <w:left w:w="57" w:type="dxa"/>
              <w:right w:w="57" w:type="dxa"/>
            </w:tcMar>
            <w:vAlign w:val="center"/>
          </w:tcPr>
          <w:p w14:paraId="1345F3E6">
            <w:pPr>
              <w:wordWrap w:val="0"/>
              <w:jc w:val="center"/>
              <w:rPr>
                <w:rFonts w:ascii="宋体" w:hAnsi="宋体" w:cs="宋体"/>
                <w:color w:val="auto"/>
                <w:szCs w:val="21"/>
              </w:rPr>
            </w:pPr>
          </w:p>
        </w:tc>
        <w:tc>
          <w:tcPr>
            <w:tcW w:w="991" w:type="dxa"/>
            <w:vMerge w:val="continue"/>
            <w:tcMar>
              <w:left w:w="57" w:type="dxa"/>
              <w:right w:w="57" w:type="dxa"/>
            </w:tcMar>
            <w:vAlign w:val="center"/>
          </w:tcPr>
          <w:p w14:paraId="2A874487">
            <w:pPr>
              <w:wordWrap w:val="0"/>
              <w:jc w:val="center"/>
              <w:rPr>
                <w:rFonts w:ascii="宋体" w:hAnsi="宋体" w:cs="宋体"/>
                <w:color w:val="auto"/>
                <w:szCs w:val="21"/>
              </w:rPr>
            </w:pPr>
          </w:p>
        </w:tc>
        <w:tc>
          <w:tcPr>
            <w:tcW w:w="1662" w:type="dxa"/>
            <w:tcMar>
              <w:left w:w="57" w:type="dxa"/>
              <w:right w:w="57" w:type="dxa"/>
            </w:tcMar>
            <w:vAlign w:val="center"/>
          </w:tcPr>
          <w:p w14:paraId="480B2A27">
            <w:pPr>
              <w:wordWrap w:val="0"/>
              <w:jc w:val="center"/>
              <w:rPr>
                <w:rFonts w:ascii="宋体" w:hAnsi="宋体" w:cs="宋体"/>
                <w:color w:val="auto"/>
                <w:szCs w:val="21"/>
              </w:rPr>
            </w:pPr>
            <w:r>
              <w:rPr>
                <w:rFonts w:hint="eastAsia" w:ascii="宋体" w:hAnsi="宋体" w:cs="宋体"/>
                <w:color w:val="auto"/>
                <w:szCs w:val="21"/>
              </w:rPr>
              <w:t>投标保证金</w:t>
            </w:r>
          </w:p>
        </w:tc>
        <w:tc>
          <w:tcPr>
            <w:tcW w:w="6494" w:type="dxa"/>
            <w:vAlign w:val="center"/>
          </w:tcPr>
          <w:p w14:paraId="5FD5E580">
            <w:pPr>
              <w:wordWrap w:val="0"/>
              <w:rPr>
                <w:rFonts w:ascii="宋体" w:hAnsi="宋体" w:cs="宋体"/>
                <w:color w:val="auto"/>
                <w:szCs w:val="21"/>
              </w:rPr>
            </w:pPr>
            <w:r>
              <w:rPr>
                <w:rFonts w:hint="eastAsia" w:ascii="宋体" w:hAnsi="宋体" w:cs="宋体"/>
                <w:color w:val="auto"/>
                <w:szCs w:val="21"/>
              </w:rPr>
              <w:t>符合第二章“投标人须知”第</w:t>
            </w:r>
            <w:r>
              <w:rPr>
                <w:rFonts w:ascii="宋体" w:hAnsi="宋体" w:cs="宋体"/>
                <w:color w:val="auto"/>
                <w:szCs w:val="21"/>
              </w:rPr>
              <w:t>3.4</w:t>
            </w:r>
            <w:r>
              <w:rPr>
                <w:rFonts w:hint="eastAsia" w:ascii="宋体" w:hAnsi="宋体" w:cs="宋体"/>
                <w:color w:val="auto"/>
                <w:szCs w:val="21"/>
              </w:rPr>
              <w:t>.1</w:t>
            </w:r>
            <w:r>
              <w:rPr>
                <w:rFonts w:ascii="宋体" w:hAnsi="宋体" w:cs="宋体"/>
                <w:color w:val="auto"/>
                <w:szCs w:val="21"/>
              </w:rPr>
              <w:t>项规定</w:t>
            </w:r>
          </w:p>
        </w:tc>
      </w:tr>
      <w:tr w14:paraId="289E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7" w:type="dxa"/>
            <w:vMerge w:val="continue"/>
            <w:tcMar>
              <w:left w:w="57" w:type="dxa"/>
              <w:right w:w="57" w:type="dxa"/>
            </w:tcMar>
            <w:vAlign w:val="center"/>
          </w:tcPr>
          <w:p w14:paraId="162BB115">
            <w:pPr>
              <w:wordWrap w:val="0"/>
              <w:jc w:val="center"/>
              <w:rPr>
                <w:rFonts w:ascii="宋体" w:hAnsi="宋体" w:cs="宋体"/>
                <w:color w:val="auto"/>
                <w:szCs w:val="21"/>
              </w:rPr>
            </w:pPr>
          </w:p>
        </w:tc>
        <w:tc>
          <w:tcPr>
            <w:tcW w:w="991" w:type="dxa"/>
            <w:vMerge w:val="continue"/>
            <w:tcMar>
              <w:left w:w="57" w:type="dxa"/>
              <w:right w:w="57" w:type="dxa"/>
            </w:tcMar>
            <w:vAlign w:val="center"/>
          </w:tcPr>
          <w:p w14:paraId="1743E80B">
            <w:pPr>
              <w:wordWrap w:val="0"/>
              <w:jc w:val="center"/>
              <w:rPr>
                <w:rFonts w:ascii="宋体" w:hAnsi="宋体" w:cs="宋体"/>
                <w:color w:val="auto"/>
                <w:szCs w:val="21"/>
              </w:rPr>
            </w:pPr>
          </w:p>
        </w:tc>
        <w:tc>
          <w:tcPr>
            <w:tcW w:w="1662" w:type="dxa"/>
            <w:tcMar>
              <w:left w:w="57" w:type="dxa"/>
              <w:right w:w="57" w:type="dxa"/>
            </w:tcMar>
            <w:vAlign w:val="center"/>
          </w:tcPr>
          <w:p w14:paraId="6B439093">
            <w:pPr>
              <w:wordWrap w:val="0"/>
              <w:jc w:val="center"/>
              <w:rPr>
                <w:rFonts w:hint="eastAsia" w:ascii="宋体" w:hAnsi="宋体" w:cs="宋体"/>
                <w:color w:val="auto"/>
                <w:szCs w:val="21"/>
              </w:rPr>
            </w:pPr>
            <w:r>
              <w:rPr>
                <w:rFonts w:hint="eastAsia" w:ascii="宋体" w:hAnsi="宋体" w:cs="宋体"/>
                <w:color w:val="auto"/>
                <w:szCs w:val="21"/>
              </w:rPr>
              <w:t>已标价工程量清单</w:t>
            </w:r>
          </w:p>
        </w:tc>
        <w:tc>
          <w:tcPr>
            <w:tcW w:w="6494" w:type="dxa"/>
            <w:vAlign w:val="center"/>
          </w:tcPr>
          <w:p w14:paraId="3E1D9CB8">
            <w:pPr>
              <w:wordWrap w:val="0"/>
              <w:rPr>
                <w:rFonts w:hint="eastAsia" w:ascii="宋体" w:hAnsi="宋体" w:cs="宋体"/>
                <w:color w:val="auto"/>
                <w:szCs w:val="21"/>
              </w:rPr>
            </w:pPr>
            <w:r>
              <w:rPr>
                <w:rFonts w:hint="eastAsia" w:ascii="宋体" w:hAnsi="宋体" w:cs="宋体"/>
                <w:color w:val="auto"/>
                <w:szCs w:val="21"/>
              </w:rPr>
              <w:t>符合第六章“工程量清单”给出的项目编码、项目名称、项目特征描述、计量单位和工程量</w:t>
            </w:r>
          </w:p>
        </w:tc>
      </w:tr>
      <w:tr w14:paraId="649B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7" w:type="dxa"/>
            <w:vMerge w:val="continue"/>
            <w:tcMar>
              <w:left w:w="57" w:type="dxa"/>
              <w:right w:w="57" w:type="dxa"/>
            </w:tcMar>
            <w:vAlign w:val="center"/>
          </w:tcPr>
          <w:p w14:paraId="0E39C1EB">
            <w:pPr>
              <w:wordWrap w:val="0"/>
              <w:jc w:val="center"/>
              <w:rPr>
                <w:rFonts w:ascii="宋体" w:hAnsi="宋体" w:cs="宋体"/>
                <w:color w:val="auto"/>
                <w:szCs w:val="21"/>
              </w:rPr>
            </w:pPr>
          </w:p>
        </w:tc>
        <w:tc>
          <w:tcPr>
            <w:tcW w:w="991" w:type="dxa"/>
            <w:vMerge w:val="continue"/>
            <w:tcMar>
              <w:left w:w="57" w:type="dxa"/>
              <w:right w:w="57" w:type="dxa"/>
            </w:tcMar>
            <w:vAlign w:val="center"/>
          </w:tcPr>
          <w:p w14:paraId="29707897">
            <w:pPr>
              <w:wordWrap w:val="0"/>
              <w:jc w:val="center"/>
              <w:rPr>
                <w:rFonts w:ascii="宋体" w:hAnsi="宋体" w:cs="宋体"/>
                <w:color w:val="auto"/>
                <w:szCs w:val="21"/>
              </w:rPr>
            </w:pPr>
          </w:p>
        </w:tc>
        <w:tc>
          <w:tcPr>
            <w:tcW w:w="1662" w:type="dxa"/>
            <w:tcMar>
              <w:left w:w="57" w:type="dxa"/>
              <w:right w:w="57" w:type="dxa"/>
            </w:tcMar>
            <w:vAlign w:val="center"/>
          </w:tcPr>
          <w:p w14:paraId="4BE355D8">
            <w:pPr>
              <w:widowControl/>
              <w:spacing w:line="400" w:lineRule="exact"/>
              <w:jc w:val="center"/>
              <w:rPr>
                <w:rFonts w:ascii="宋体" w:hAnsi="宋体" w:cs="宋体"/>
                <w:color w:val="auto"/>
                <w:szCs w:val="21"/>
              </w:rPr>
            </w:pPr>
            <w:r>
              <w:rPr>
                <w:rFonts w:hint="eastAsia" w:ascii="宋体" w:hAnsi="宋体" w:cs="仿宋_GB2312"/>
                <w:color w:val="auto"/>
                <w:kern w:val="0"/>
                <w:szCs w:val="21"/>
              </w:rPr>
              <w:t>对招标文件的响应、重大偏差及违反法律、法规、规章、规范性文件规定的情况</w:t>
            </w:r>
          </w:p>
        </w:tc>
        <w:tc>
          <w:tcPr>
            <w:tcW w:w="6494" w:type="dxa"/>
            <w:vAlign w:val="center"/>
          </w:tcPr>
          <w:p w14:paraId="0AA2EDFF">
            <w:pPr>
              <w:widowControl/>
              <w:jc w:val="left"/>
              <w:rPr>
                <w:rFonts w:ascii="宋体" w:hAnsi="宋体" w:cs="仿宋_GB2312"/>
                <w:color w:val="auto"/>
                <w:kern w:val="0"/>
                <w:szCs w:val="21"/>
              </w:rPr>
            </w:pPr>
            <w:r>
              <w:rPr>
                <w:rFonts w:hint="eastAsia" w:ascii="宋体" w:hAnsi="宋体" w:cs="仿宋_GB2312"/>
                <w:color w:val="auto"/>
                <w:kern w:val="0"/>
                <w:szCs w:val="21"/>
              </w:rPr>
              <w:t>不存在投标人为招标人不具有独立法人资格的附属机构</w:t>
            </w:r>
            <w:r>
              <w:rPr>
                <w:rFonts w:ascii="宋体" w:hAnsi="宋体" w:cs="仿宋_GB2312"/>
                <w:color w:val="auto"/>
                <w:kern w:val="0"/>
                <w:szCs w:val="21"/>
              </w:rPr>
              <w:t>(单位)的情形；</w:t>
            </w:r>
          </w:p>
          <w:p w14:paraId="0E08D1E1">
            <w:pPr>
              <w:widowControl/>
              <w:jc w:val="left"/>
              <w:rPr>
                <w:rFonts w:ascii="宋体" w:hAnsi="宋体" w:cs="仿宋_GB2312"/>
                <w:color w:val="auto"/>
                <w:kern w:val="0"/>
                <w:szCs w:val="21"/>
              </w:rPr>
            </w:pPr>
            <w:r>
              <w:rPr>
                <w:rFonts w:hint="eastAsia" w:ascii="宋体" w:hAnsi="宋体" w:cs="仿宋_GB2312"/>
                <w:color w:val="auto"/>
                <w:kern w:val="0"/>
                <w:szCs w:val="21"/>
              </w:rPr>
              <w:t>不存在投标人与招标人存在利害关系且可能影响招标公正性的情形；</w:t>
            </w:r>
          </w:p>
          <w:p w14:paraId="4DB5DCDA">
            <w:pPr>
              <w:widowControl/>
              <w:jc w:val="left"/>
              <w:rPr>
                <w:rFonts w:ascii="宋体" w:hAnsi="宋体" w:cs="仿宋_GB2312"/>
                <w:color w:val="auto"/>
                <w:kern w:val="0"/>
                <w:szCs w:val="21"/>
              </w:rPr>
            </w:pPr>
            <w:r>
              <w:rPr>
                <w:rFonts w:hint="eastAsia" w:ascii="宋体" w:hAnsi="宋体" w:cs="仿宋_GB2312"/>
                <w:color w:val="auto"/>
                <w:kern w:val="0"/>
                <w:szCs w:val="21"/>
              </w:rPr>
              <w:t>不存在投标人与本招标项目的其他投标人为同一单位负责人的情形；</w:t>
            </w:r>
          </w:p>
          <w:p w14:paraId="14A38DC7">
            <w:pPr>
              <w:widowControl/>
              <w:jc w:val="left"/>
              <w:rPr>
                <w:rFonts w:ascii="宋体" w:hAnsi="宋体" w:cs="仿宋_GB2312"/>
                <w:color w:val="auto"/>
                <w:kern w:val="0"/>
                <w:szCs w:val="21"/>
              </w:rPr>
            </w:pPr>
            <w:r>
              <w:rPr>
                <w:rFonts w:hint="eastAsia" w:ascii="宋体" w:hAnsi="宋体" w:cs="仿宋_GB2312"/>
                <w:color w:val="auto"/>
                <w:kern w:val="0"/>
                <w:szCs w:val="21"/>
              </w:rPr>
              <w:t>不存在投标人与本招标项目的其他投标人存在控股、管理关系的情形；</w:t>
            </w:r>
          </w:p>
          <w:p w14:paraId="1E5AA5A8">
            <w:pPr>
              <w:widowControl/>
              <w:jc w:val="left"/>
              <w:rPr>
                <w:rFonts w:ascii="宋体" w:hAnsi="宋体" w:cs="仿宋_GB2312"/>
                <w:color w:val="auto"/>
                <w:kern w:val="0"/>
                <w:szCs w:val="21"/>
              </w:rPr>
            </w:pPr>
            <w:r>
              <w:rPr>
                <w:rFonts w:hint="eastAsia" w:ascii="宋体" w:hAnsi="宋体" w:cs="仿宋_GB2312"/>
                <w:color w:val="auto"/>
                <w:kern w:val="0"/>
                <w:szCs w:val="21"/>
              </w:rPr>
              <w:t>不存在投标人为本招标项目的代建单位、招标代理机构或承担设计、造价咨询、监理业务的单位的情形；</w:t>
            </w:r>
          </w:p>
          <w:p w14:paraId="5C5A8FFA">
            <w:pPr>
              <w:widowControl/>
              <w:jc w:val="left"/>
              <w:rPr>
                <w:rFonts w:ascii="宋体" w:hAnsi="宋体" w:cs="仿宋_GB2312"/>
                <w:color w:val="auto"/>
                <w:kern w:val="0"/>
                <w:szCs w:val="21"/>
              </w:rPr>
            </w:pPr>
            <w:r>
              <w:rPr>
                <w:rFonts w:hint="eastAsia" w:ascii="宋体" w:hAnsi="宋体" w:cs="仿宋_GB2312"/>
                <w:color w:val="auto"/>
                <w:kern w:val="0"/>
                <w:szCs w:val="21"/>
              </w:rPr>
              <w:t>不存在投标人与本招标项目的代建单位、招标代理机构、设计单位、造价咨询机构、监理单位的法定代表人为同一人的情形；</w:t>
            </w:r>
          </w:p>
          <w:p w14:paraId="675FA4CB">
            <w:pPr>
              <w:widowControl/>
              <w:jc w:val="left"/>
              <w:rPr>
                <w:rFonts w:ascii="宋体" w:hAnsi="宋体" w:cs="仿宋_GB2312"/>
                <w:color w:val="auto"/>
                <w:kern w:val="0"/>
                <w:szCs w:val="21"/>
              </w:rPr>
            </w:pPr>
            <w:r>
              <w:rPr>
                <w:rFonts w:hint="eastAsia" w:ascii="宋体" w:hAnsi="宋体" w:cs="仿宋_GB2312"/>
                <w:color w:val="auto"/>
                <w:kern w:val="0"/>
                <w:szCs w:val="21"/>
              </w:rPr>
              <w:t>不存在投标人与本招标项目的代建单位、招标代理机构、造价咨询机构、监理单位存在管理关系、相互控股或参股关系的情形；</w:t>
            </w:r>
          </w:p>
          <w:p w14:paraId="73D36813">
            <w:pPr>
              <w:widowControl/>
              <w:jc w:val="left"/>
              <w:rPr>
                <w:rFonts w:ascii="宋体" w:hAnsi="宋体" w:cs="仿宋_GB2312"/>
                <w:color w:val="auto"/>
                <w:kern w:val="0"/>
                <w:szCs w:val="21"/>
              </w:rPr>
            </w:pPr>
            <w:r>
              <w:rPr>
                <w:rFonts w:hint="eastAsia" w:ascii="宋体" w:hAnsi="宋体" w:cs="仿宋_GB2312"/>
                <w:color w:val="auto"/>
                <w:kern w:val="0"/>
                <w:szCs w:val="21"/>
              </w:rPr>
              <w:t>不存在投标人被依法暂停或取消项目所在区域或行业投标资格的情形；</w:t>
            </w:r>
          </w:p>
          <w:p w14:paraId="26773E93">
            <w:pPr>
              <w:widowControl/>
              <w:jc w:val="left"/>
              <w:rPr>
                <w:rFonts w:ascii="宋体" w:hAnsi="宋体" w:cs="仿宋_GB2312"/>
                <w:color w:val="auto"/>
                <w:kern w:val="0"/>
                <w:szCs w:val="21"/>
              </w:rPr>
            </w:pPr>
            <w:r>
              <w:rPr>
                <w:rFonts w:hint="eastAsia" w:ascii="宋体" w:hAnsi="宋体" w:cs="仿宋_GB2312"/>
                <w:color w:val="auto"/>
                <w:kern w:val="0"/>
                <w:szCs w:val="21"/>
              </w:rPr>
              <w:t>不存在投标人被责令停业，暂扣或吊销执照，或吊销资质证书的情形；</w:t>
            </w:r>
          </w:p>
          <w:p w14:paraId="41982EAB">
            <w:pPr>
              <w:widowControl/>
              <w:jc w:val="left"/>
              <w:rPr>
                <w:rFonts w:ascii="宋体" w:hAnsi="宋体" w:cs="仿宋_GB2312"/>
                <w:color w:val="auto"/>
                <w:kern w:val="0"/>
                <w:szCs w:val="21"/>
              </w:rPr>
            </w:pPr>
            <w:r>
              <w:rPr>
                <w:rFonts w:hint="eastAsia" w:ascii="宋体" w:hAnsi="宋体" w:cs="仿宋_GB2312"/>
                <w:color w:val="auto"/>
                <w:kern w:val="0"/>
                <w:szCs w:val="21"/>
              </w:rPr>
              <w:t>不存在投标人进入清算程序，或被宣告破产，或其他丧失履约能力情形的情形；</w:t>
            </w:r>
          </w:p>
          <w:p w14:paraId="672F3655">
            <w:pPr>
              <w:widowControl/>
              <w:jc w:val="left"/>
              <w:rPr>
                <w:rFonts w:ascii="宋体" w:hAnsi="宋体" w:cs="仿宋_GB2312"/>
                <w:color w:val="auto"/>
                <w:kern w:val="0"/>
                <w:szCs w:val="21"/>
              </w:rPr>
            </w:pPr>
            <w:r>
              <w:rPr>
                <w:rFonts w:hint="eastAsia" w:ascii="宋体" w:hAnsi="宋体" w:cs="仿宋_GB2312"/>
                <w:color w:val="auto"/>
                <w:kern w:val="0"/>
                <w:szCs w:val="21"/>
              </w:rPr>
              <w:t>不存在投标人或拟派项目经理被列入建筑市场主体“黑名单”且在管理期限内的情形；</w:t>
            </w:r>
          </w:p>
          <w:p w14:paraId="046C5420">
            <w:pPr>
              <w:widowControl/>
              <w:jc w:val="left"/>
              <w:rPr>
                <w:rFonts w:ascii="宋体" w:hAnsi="宋体" w:cs="仿宋_GB2312"/>
                <w:color w:val="auto"/>
                <w:kern w:val="0"/>
                <w:szCs w:val="21"/>
              </w:rPr>
            </w:pPr>
            <w:r>
              <w:rPr>
                <w:rFonts w:hint="eastAsia" w:ascii="宋体" w:hAnsi="宋体" w:cs="仿宋_GB2312"/>
                <w:color w:val="auto"/>
                <w:kern w:val="0"/>
                <w:szCs w:val="21"/>
              </w:rPr>
              <w:t>不存在投标人被市场监管机关在国家企业信用信息公示系统中列入严重违法失信企业名单且在管理期限内的情形；</w:t>
            </w:r>
          </w:p>
          <w:p w14:paraId="5703DDD5">
            <w:pPr>
              <w:widowControl/>
              <w:jc w:val="left"/>
              <w:rPr>
                <w:rFonts w:ascii="宋体" w:hAnsi="宋体" w:cs="仿宋_GB2312"/>
                <w:color w:val="auto"/>
                <w:kern w:val="0"/>
                <w:szCs w:val="21"/>
              </w:rPr>
            </w:pPr>
            <w:r>
              <w:rPr>
                <w:rFonts w:hint="eastAsia" w:ascii="宋体" w:hAnsi="宋体" w:cs="仿宋_GB2312"/>
                <w:color w:val="auto"/>
                <w:kern w:val="0"/>
                <w:szCs w:val="21"/>
              </w:rPr>
              <w:t>不存在投标人或其法定代表人、拟委任的项目经理在“信用中国”网站重点领域严重失信主体名单中被限制或者禁止参与招标投标活动的“严重失信主体”且在管理期限内的情形；</w:t>
            </w:r>
          </w:p>
          <w:p w14:paraId="58FDD233">
            <w:pPr>
              <w:widowControl/>
              <w:jc w:val="left"/>
              <w:rPr>
                <w:rFonts w:ascii="宋体" w:hAnsi="宋体" w:cs="仿宋_GB2312"/>
                <w:color w:val="auto"/>
                <w:kern w:val="0"/>
                <w:szCs w:val="21"/>
              </w:rPr>
            </w:pPr>
            <w:r>
              <w:rPr>
                <w:rFonts w:hint="eastAsia" w:ascii="宋体" w:hAnsi="宋体" w:cs="仿宋_GB2312"/>
                <w:color w:val="auto"/>
                <w:kern w:val="0"/>
                <w:szCs w:val="21"/>
              </w:rPr>
              <w:t>不存在投标人拖欠工人工资，或情节严重被有关行政主管部门向社会公布且在公布的期限内的情形；</w:t>
            </w:r>
          </w:p>
          <w:p w14:paraId="074346AA">
            <w:pPr>
              <w:widowControl/>
              <w:jc w:val="left"/>
              <w:rPr>
                <w:rFonts w:ascii="宋体" w:hAnsi="宋体" w:cs="仿宋_GB2312"/>
                <w:color w:val="auto"/>
                <w:kern w:val="0"/>
                <w:szCs w:val="21"/>
              </w:rPr>
            </w:pPr>
            <w:r>
              <w:rPr>
                <w:rFonts w:hint="eastAsia" w:ascii="宋体" w:hAnsi="宋体" w:cs="仿宋_GB2312"/>
                <w:color w:val="auto"/>
                <w:kern w:val="0"/>
                <w:szCs w:val="21"/>
              </w:rPr>
              <w:t>不存在投标人违反法律、法规、规章或无正当理由放弃中标资格受到行业主管部门处罚且在处罚期内的情形；</w:t>
            </w:r>
          </w:p>
          <w:p w14:paraId="561A247A">
            <w:pPr>
              <w:widowControl/>
              <w:jc w:val="left"/>
              <w:rPr>
                <w:rFonts w:ascii="宋体" w:hAnsi="宋体" w:cs="宋体"/>
                <w:color w:val="auto"/>
                <w:szCs w:val="21"/>
              </w:rPr>
            </w:pPr>
            <w:r>
              <w:rPr>
                <w:rFonts w:hint="eastAsia" w:ascii="宋体" w:hAnsi="宋体" w:cs="仿宋_GB2312"/>
                <w:b/>
                <w:color w:val="auto"/>
                <w:kern w:val="0"/>
                <w:szCs w:val="21"/>
              </w:rPr>
              <w:t>以上提供承诺书</w:t>
            </w:r>
          </w:p>
        </w:tc>
      </w:tr>
      <w:tr w14:paraId="2DCE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54" w:type="dxa"/>
            <w:gridSpan w:val="4"/>
            <w:tcMar>
              <w:left w:w="57" w:type="dxa"/>
              <w:right w:w="57" w:type="dxa"/>
            </w:tcMar>
            <w:vAlign w:val="center"/>
          </w:tcPr>
          <w:p w14:paraId="23AA66A9">
            <w:pPr>
              <w:spacing w:line="360" w:lineRule="auto"/>
              <w:rPr>
                <w:rFonts w:ascii="宋体" w:hAnsi="宋体" w:cs="宋体"/>
                <w:b/>
                <w:color w:val="auto"/>
                <w:szCs w:val="21"/>
              </w:rPr>
            </w:pPr>
            <w:r>
              <w:rPr>
                <w:rFonts w:hint="eastAsia" w:ascii="宋体" w:hAnsi="宋体" w:cs="宋体"/>
                <w:b/>
                <w:color w:val="auto"/>
                <w:szCs w:val="21"/>
              </w:rPr>
              <w:t>备注：1.招标文件中所要求证件、证明等，投标文件中应附相应资料清晰的扫描件，由于模糊不清导致评委无法辨别的，后果由投标人自行承担。</w:t>
            </w:r>
          </w:p>
          <w:p w14:paraId="597C0CC4">
            <w:pPr>
              <w:spacing w:beforeLines="50" w:afterLines="50"/>
              <w:rPr>
                <w:rFonts w:ascii="宋体" w:hAnsi="宋体" w:cs="宋体"/>
                <w:b/>
                <w:color w:val="auto"/>
                <w:szCs w:val="21"/>
              </w:rPr>
            </w:pPr>
            <w:r>
              <w:rPr>
                <w:rFonts w:hint="eastAsia" w:ascii="宋体" w:hAnsi="宋体" w:cs="宋体"/>
                <w:b/>
                <w:color w:val="auto"/>
                <w:szCs w:val="21"/>
              </w:rPr>
              <w:t>2.不在上述范围内且不具有实质性影响的内容，一般不作为否决投标的依据或理由。</w:t>
            </w:r>
          </w:p>
        </w:tc>
      </w:tr>
    </w:tbl>
    <w:p w14:paraId="21D68C7C">
      <w:pPr>
        <w:rPr>
          <w:rFonts w:ascii="宋体" w:hAnsi="宋体" w:cs="宋体"/>
          <w:b/>
          <w:bCs/>
          <w:color w:val="auto"/>
          <w:kern w:val="0"/>
          <w:sz w:val="28"/>
          <w:szCs w:val="28"/>
        </w:rPr>
      </w:pPr>
      <w:bookmarkStart w:id="164" w:name="_Toc27979"/>
    </w:p>
    <w:p w14:paraId="64B1FBB5">
      <w:pPr>
        <w:rPr>
          <w:rFonts w:ascii="宋体" w:hAnsi="宋体" w:cs="宋体"/>
          <w:b/>
          <w:bCs/>
          <w:color w:val="auto"/>
          <w:kern w:val="0"/>
          <w:sz w:val="28"/>
          <w:szCs w:val="28"/>
        </w:rPr>
      </w:pPr>
    </w:p>
    <w:p w14:paraId="5C59DA40">
      <w:pPr>
        <w:rPr>
          <w:rFonts w:ascii="宋体" w:hAnsi="宋体" w:cs="宋体"/>
          <w:b/>
          <w:bCs/>
          <w:color w:val="auto"/>
          <w:kern w:val="0"/>
          <w:sz w:val="28"/>
          <w:szCs w:val="28"/>
        </w:rPr>
      </w:pPr>
    </w:p>
    <w:bookmarkEnd w:id="164"/>
    <w:tbl>
      <w:tblPr>
        <w:tblStyle w:val="22"/>
        <w:tblW w:w="9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230"/>
        <w:gridCol w:w="1727"/>
        <w:gridCol w:w="5598"/>
      </w:tblGrid>
      <w:tr w14:paraId="248F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160" w:type="dxa"/>
            <w:gridSpan w:val="2"/>
            <w:vAlign w:val="center"/>
          </w:tcPr>
          <w:p w14:paraId="6FAD9F8F">
            <w:pPr>
              <w:spacing w:line="440" w:lineRule="exact"/>
              <w:jc w:val="center"/>
              <w:rPr>
                <w:rFonts w:hint="eastAsia" w:ascii="宋体" w:hAnsi="宋体" w:eastAsia="宋体" w:cs="宋体"/>
                <w:sz w:val="21"/>
                <w:szCs w:val="21"/>
              </w:rPr>
            </w:pPr>
            <w:r>
              <w:rPr>
                <w:rFonts w:hint="eastAsia" w:ascii="宋体" w:hAnsi="宋体" w:eastAsia="宋体" w:cs="宋体"/>
                <w:b/>
                <w:sz w:val="21"/>
                <w:szCs w:val="21"/>
              </w:rPr>
              <w:t>条款号</w:t>
            </w:r>
          </w:p>
        </w:tc>
        <w:tc>
          <w:tcPr>
            <w:tcW w:w="1727" w:type="dxa"/>
            <w:vAlign w:val="center"/>
          </w:tcPr>
          <w:p w14:paraId="0F858234">
            <w:pPr>
              <w:snapToGrid w:val="0"/>
              <w:spacing w:line="380" w:lineRule="exact"/>
              <w:jc w:val="center"/>
              <w:rPr>
                <w:rFonts w:hint="eastAsia" w:ascii="宋体" w:hAnsi="宋体" w:eastAsia="宋体" w:cs="宋体"/>
                <w:sz w:val="21"/>
                <w:szCs w:val="21"/>
              </w:rPr>
            </w:pPr>
            <w:r>
              <w:rPr>
                <w:rFonts w:hint="eastAsia" w:ascii="宋体" w:hAnsi="宋体" w:eastAsia="宋体" w:cs="宋体"/>
                <w:b/>
                <w:bCs/>
                <w:sz w:val="21"/>
                <w:szCs w:val="21"/>
              </w:rPr>
              <w:t>评审因素</w:t>
            </w:r>
          </w:p>
        </w:tc>
        <w:tc>
          <w:tcPr>
            <w:tcW w:w="5598" w:type="dxa"/>
            <w:vAlign w:val="center"/>
          </w:tcPr>
          <w:p w14:paraId="6D7FFBDC">
            <w:pPr>
              <w:snapToGrid w:val="0"/>
              <w:spacing w:line="380" w:lineRule="exact"/>
              <w:jc w:val="center"/>
              <w:rPr>
                <w:rFonts w:hint="eastAsia" w:ascii="宋体" w:hAnsi="宋体" w:eastAsia="宋体" w:cs="宋体"/>
                <w:sz w:val="21"/>
                <w:szCs w:val="21"/>
              </w:rPr>
            </w:pPr>
            <w:r>
              <w:rPr>
                <w:rFonts w:hint="eastAsia" w:ascii="宋体" w:hAnsi="宋体" w:eastAsia="宋体" w:cs="宋体"/>
                <w:b/>
                <w:sz w:val="21"/>
                <w:szCs w:val="21"/>
              </w:rPr>
              <w:t>评审内容</w:t>
            </w:r>
          </w:p>
        </w:tc>
      </w:tr>
      <w:tr w14:paraId="494A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30" w:type="dxa"/>
            <w:vMerge w:val="restart"/>
            <w:vAlign w:val="center"/>
          </w:tcPr>
          <w:p w14:paraId="5CACEC8C">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技术标2.2.1</w:t>
            </w:r>
          </w:p>
        </w:tc>
        <w:tc>
          <w:tcPr>
            <w:tcW w:w="1230" w:type="dxa"/>
            <w:vMerge w:val="restart"/>
            <w:vAlign w:val="center"/>
          </w:tcPr>
          <w:p w14:paraId="18C84248">
            <w:pPr>
              <w:spacing w:line="44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施工组织设计</w:t>
            </w:r>
          </w:p>
          <w:p w14:paraId="3C380C2D">
            <w:pPr>
              <w:spacing w:line="44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25分</w:t>
            </w:r>
            <w:r>
              <w:rPr>
                <w:rFonts w:hint="eastAsia" w:ascii="宋体" w:hAnsi="宋体" w:eastAsia="宋体" w:cs="宋体"/>
                <w:sz w:val="21"/>
                <w:szCs w:val="21"/>
                <w:lang w:eastAsia="zh-CN"/>
              </w:rPr>
              <w:t>）</w:t>
            </w:r>
          </w:p>
        </w:tc>
        <w:tc>
          <w:tcPr>
            <w:tcW w:w="1727" w:type="dxa"/>
            <w:vAlign w:val="center"/>
          </w:tcPr>
          <w:p w14:paraId="2875AC2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主要施工方案 与技术措施</w:t>
            </w:r>
          </w:p>
          <w:p w14:paraId="60BEDB6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bidi="zh-CN"/>
              </w:rPr>
              <w:t>（</w:t>
            </w:r>
            <w:r>
              <w:rPr>
                <w:rFonts w:hint="eastAsia" w:ascii="宋体" w:hAnsi="宋体" w:eastAsia="宋体" w:cs="宋体"/>
                <w:sz w:val="21"/>
                <w:szCs w:val="21"/>
                <w:lang w:val="en-US" w:bidi="zh-CN"/>
              </w:rPr>
              <w:t>0-3</w:t>
            </w:r>
            <w:r>
              <w:rPr>
                <w:rFonts w:hint="eastAsia" w:ascii="宋体" w:hAnsi="宋体" w:eastAsia="宋体" w:cs="宋体"/>
                <w:sz w:val="21"/>
                <w:szCs w:val="21"/>
                <w:lang w:bidi="zh-CN"/>
              </w:rPr>
              <w:t>分）</w:t>
            </w:r>
          </w:p>
        </w:tc>
        <w:tc>
          <w:tcPr>
            <w:tcW w:w="5598" w:type="dxa"/>
            <w:vAlign w:val="center"/>
          </w:tcPr>
          <w:p w14:paraId="606DF68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施工方案（含工程特点、施工重点与难点及绿色施工）总体安排合理，合理运用先进的施工工艺、施工机械；对施工难点有科学合理的建议。（0-</w:t>
            </w:r>
            <w:r>
              <w:rPr>
                <w:rFonts w:hint="eastAsia" w:ascii="宋体" w:hAnsi="宋体" w:eastAsia="宋体" w:cs="宋体"/>
                <w:sz w:val="21"/>
                <w:szCs w:val="21"/>
                <w:lang w:val="en-US" w:bidi="zh-CN"/>
              </w:rPr>
              <w:t>3</w:t>
            </w:r>
            <w:r>
              <w:rPr>
                <w:rFonts w:hint="eastAsia" w:ascii="宋体" w:hAnsi="宋体" w:eastAsia="宋体" w:cs="宋体"/>
                <w:sz w:val="21"/>
                <w:szCs w:val="21"/>
                <w:lang w:bidi="zh-CN"/>
              </w:rPr>
              <w:t>分）</w:t>
            </w:r>
          </w:p>
        </w:tc>
      </w:tr>
      <w:tr w14:paraId="3CAC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930" w:type="dxa"/>
            <w:vMerge w:val="continue"/>
            <w:vAlign w:val="center"/>
          </w:tcPr>
          <w:p w14:paraId="5214AE27">
            <w:pPr>
              <w:spacing w:line="440" w:lineRule="exact"/>
              <w:jc w:val="center"/>
              <w:rPr>
                <w:rFonts w:hint="eastAsia" w:ascii="宋体" w:hAnsi="宋体" w:eastAsia="宋体" w:cs="宋体"/>
                <w:sz w:val="21"/>
                <w:szCs w:val="21"/>
              </w:rPr>
            </w:pPr>
          </w:p>
        </w:tc>
        <w:tc>
          <w:tcPr>
            <w:tcW w:w="1230" w:type="dxa"/>
            <w:vMerge w:val="continue"/>
            <w:vAlign w:val="center"/>
          </w:tcPr>
          <w:p w14:paraId="746375D1">
            <w:pPr>
              <w:spacing w:line="440" w:lineRule="exact"/>
              <w:jc w:val="center"/>
              <w:rPr>
                <w:rFonts w:hint="eastAsia" w:ascii="宋体" w:hAnsi="宋体" w:eastAsia="宋体" w:cs="宋体"/>
                <w:sz w:val="21"/>
                <w:szCs w:val="21"/>
              </w:rPr>
            </w:pPr>
          </w:p>
        </w:tc>
        <w:tc>
          <w:tcPr>
            <w:tcW w:w="1727" w:type="dxa"/>
            <w:vAlign w:val="center"/>
          </w:tcPr>
          <w:p w14:paraId="02EE132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质量管理体系与措施</w:t>
            </w:r>
          </w:p>
          <w:p w14:paraId="7B4287F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（0-</w:t>
            </w:r>
            <w:r>
              <w:rPr>
                <w:rFonts w:hint="eastAsia" w:ascii="宋体" w:hAnsi="宋体" w:eastAsia="宋体" w:cs="宋体"/>
                <w:sz w:val="21"/>
                <w:szCs w:val="21"/>
                <w:lang w:val="en-US" w:bidi="zh-CN"/>
              </w:rPr>
              <w:t>3</w:t>
            </w:r>
            <w:r>
              <w:rPr>
                <w:rFonts w:hint="eastAsia" w:ascii="宋体" w:hAnsi="宋体" w:eastAsia="宋体" w:cs="宋体"/>
                <w:sz w:val="21"/>
                <w:szCs w:val="21"/>
                <w:lang w:bidi="zh-CN"/>
              </w:rPr>
              <w:t>分）</w:t>
            </w:r>
          </w:p>
        </w:tc>
        <w:tc>
          <w:tcPr>
            <w:tcW w:w="5598" w:type="dxa"/>
            <w:vAlign w:val="center"/>
          </w:tcPr>
          <w:p w14:paraId="12FC19D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组织机构形式合理，有完善的指挥系统、质量监控系统、联络协调系统，有健全的质量管理体系、相应的施工技术标准、施工质量检验制度和综合施工质量水平评定考核制度。施工措施符合国家及我省现行工程建设标准，满足通用规范、项目规范及质量验收规范的要求，质量保证措施内容完整、经济安全、合理先进、切实可行。（0-</w:t>
            </w:r>
            <w:r>
              <w:rPr>
                <w:rFonts w:hint="eastAsia" w:ascii="宋体" w:hAnsi="宋体" w:eastAsia="宋体" w:cs="宋体"/>
                <w:sz w:val="21"/>
                <w:szCs w:val="21"/>
                <w:lang w:val="en-US" w:bidi="zh-CN"/>
              </w:rPr>
              <w:t>3</w:t>
            </w:r>
            <w:r>
              <w:rPr>
                <w:rFonts w:hint="eastAsia" w:ascii="宋体" w:hAnsi="宋体" w:eastAsia="宋体" w:cs="宋体"/>
                <w:sz w:val="21"/>
                <w:szCs w:val="21"/>
                <w:lang w:bidi="zh-CN"/>
              </w:rPr>
              <w:t>分）</w:t>
            </w:r>
          </w:p>
        </w:tc>
      </w:tr>
      <w:tr w14:paraId="1D5B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525CEFC3">
            <w:pPr>
              <w:spacing w:line="440" w:lineRule="exact"/>
              <w:jc w:val="center"/>
              <w:rPr>
                <w:rFonts w:hint="eastAsia" w:ascii="宋体" w:hAnsi="宋体" w:eastAsia="宋体" w:cs="宋体"/>
                <w:sz w:val="21"/>
                <w:szCs w:val="21"/>
              </w:rPr>
            </w:pPr>
          </w:p>
        </w:tc>
        <w:tc>
          <w:tcPr>
            <w:tcW w:w="1230" w:type="dxa"/>
            <w:vMerge w:val="continue"/>
            <w:vAlign w:val="center"/>
          </w:tcPr>
          <w:p w14:paraId="0DF7EAF4">
            <w:pPr>
              <w:spacing w:line="440" w:lineRule="exact"/>
              <w:jc w:val="center"/>
              <w:rPr>
                <w:rFonts w:hint="eastAsia" w:ascii="宋体" w:hAnsi="宋体" w:eastAsia="宋体" w:cs="宋体"/>
                <w:sz w:val="21"/>
                <w:szCs w:val="21"/>
              </w:rPr>
            </w:pPr>
          </w:p>
        </w:tc>
        <w:tc>
          <w:tcPr>
            <w:tcW w:w="1727" w:type="dxa"/>
            <w:vAlign w:val="center"/>
          </w:tcPr>
          <w:p w14:paraId="43FB925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安全管理体系与措施</w:t>
            </w:r>
          </w:p>
          <w:p w14:paraId="3D4D29F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FF0000"/>
                <w:sz w:val="21"/>
                <w:szCs w:val="21"/>
                <w:lang w:bidi="zh-CN"/>
              </w:rPr>
            </w:pPr>
            <w:r>
              <w:rPr>
                <w:rFonts w:hint="eastAsia" w:ascii="宋体" w:hAnsi="宋体" w:eastAsia="宋体" w:cs="宋体"/>
                <w:sz w:val="21"/>
                <w:szCs w:val="21"/>
                <w:lang w:bidi="zh-CN"/>
              </w:rPr>
              <w:t>（</w:t>
            </w:r>
            <w:r>
              <w:rPr>
                <w:rFonts w:hint="eastAsia" w:ascii="宋体" w:hAnsi="宋体" w:eastAsia="宋体" w:cs="宋体"/>
                <w:sz w:val="21"/>
                <w:szCs w:val="21"/>
                <w:lang w:val="en-US" w:bidi="zh-CN"/>
              </w:rPr>
              <w:t>0-3</w:t>
            </w:r>
            <w:r>
              <w:rPr>
                <w:rFonts w:hint="eastAsia" w:ascii="宋体" w:hAnsi="宋体" w:eastAsia="宋体" w:cs="宋体"/>
                <w:sz w:val="21"/>
                <w:szCs w:val="21"/>
                <w:lang w:bidi="zh-CN"/>
              </w:rPr>
              <w:t>分）</w:t>
            </w:r>
          </w:p>
        </w:tc>
        <w:tc>
          <w:tcPr>
            <w:tcW w:w="5598" w:type="dxa"/>
            <w:vAlign w:val="center"/>
          </w:tcPr>
          <w:p w14:paraId="767B007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lang w:bidi="zh-CN"/>
              </w:rPr>
            </w:pPr>
            <w:r>
              <w:rPr>
                <w:rFonts w:hint="eastAsia" w:ascii="宋体" w:hAnsi="宋体" w:eastAsia="宋体" w:cs="宋体"/>
                <w:color w:val="auto"/>
                <w:sz w:val="21"/>
                <w:szCs w:val="21"/>
                <w:lang w:bidi="zh-CN"/>
              </w:rPr>
              <w:t>1.施工安全生产保障体系健全，安全管理制度完善，安全管理目标具体，全员安全责任制明确，现场安全管理组织机构、人员配备满足国家规定要求。（0-</w:t>
            </w:r>
            <w:r>
              <w:rPr>
                <w:rFonts w:hint="eastAsia" w:ascii="宋体" w:hAnsi="宋体" w:eastAsia="宋体" w:cs="宋体"/>
                <w:color w:val="auto"/>
                <w:sz w:val="21"/>
                <w:szCs w:val="21"/>
                <w:lang w:val="en-US" w:bidi="zh-CN"/>
              </w:rPr>
              <w:t>1分</w:t>
            </w:r>
            <w:r>
              <w:rPr>
                <w:rFonts w:hint="eastAsia" w:ascii="宋体" w:hAnsi="宋体" w:eastAsia="宋体" w:cs="宋体"/>
                <w:color w:val="auto"/>
                <w:sz w:val="21"/>
                <w:szCs w:val="21"/>
                <w:lang w:bidi="zh-CN"/>
              </w:rPr>
              <w:t>）</w:t>
            </w:r>
          </w:p>
          <w:p w14:paraId="73C32D4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lang w:bidi="zh-CN"/>
              </w:rPr>
            </w:pPr>
            <w:r>
              <w:rPr>
                <w:rFonts w:hint="eastAsia" w:ascii="宋体" w:hAnsi="宋体" w:eastAsia="宋体" w:cs="宋体"/>
                <w:color w:val="auto"/>
                <w:sz w:val="21"/>
                <w:szCs w:val="21"/>
                <w:lang w:bidi="zh-CN"/>
              </w:rPr>
              <w:t>2.安全技术方案根据工程特点、周边环境和施工工艺，制定措施科学合理、可行。（0-</w:t>
            </w:r>
            <w:r>
              <w:rPr>
                <w:rFonts w:hint="eastAsia" w:ascii="宋体" w:hAnsi="宋体" w:eastAsia="宋体" w:cs="宋体"/>
                <w:color w:val="auto"/>
                <w:sz w:val="21"/>
                <w:szCs w:val="21"/>
                <w:lang w:val="en-US" w:bidi="zh-CN"/>
              </w:rPr>
              <w:t>1分</w:t>
            </w:r>
            <w:r>
              <w:rPr>
                <w:rFonts w:hint="eastAsia" w:ascii="宋体" w:hAnsi="宋体" w:eastAsia="宋体" w:cs="宋体"/>
                <w:color w:val="auto"/>
                <w:sz w:val="21"/>
                <w:szCs w:val="21"/>
                <w:lang w:bidi="zh-CN"/>
              </w:rPr>
              <w:t>）</w:t>
            </w:r>
          </w:p>
          <w:p w14:paraId="5F04DEB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FF0000"/>
                <w:sz w:val="21"/>
                <w:szCs w:val="21"/>
                <w:lang w:bidi="zh-CN"/>
              </w:rPr>
            </w:pPr>
            <w:r>
              <w:rPr>
                <w:rFonts w:hint="eastAsia" w:ascii="宋体" w:hAnsi="宋体" w:eastAsia="宋体" w:cs="宋体"/>
                <w:color w:val="auto"/>
                <w:sz w:val="21"/>
                <w:szCs w:val="21"/>
                <w:lang w:bidi="zh-CN"/>
              </w:rPr>
              <w:t>3.现场重大危险源辨识全面，有项目危险性较大的分部分项工程清单并明确有相应的安全管理措施。（0-</w:t>
            </w:r>
            <w:r>
              <w:rPr>
                <w:rFonts w:hint="eastAsia" w:ascii="宋体" w:hAnsi="宋体" w:eastAsia="宋体" w:cs="宋体"/>
                <w:color w:val="auto"/>
                <w:sz w:val="21"/>
                <w:szCs w:val="21"/>
                <w:lang w:val="en-US" w:bidi="zh-CN"/>
              </w:rPr>
              <w:t>1分</w:t>
            </w:r>
            <w:r>
              <w:rPr>
                <w:rFonts w:hint="eastAsia" w:ascii="宋体" w:hAnsi="宋体" w:eastAsia="宋体" w:cs="宋体"/>
                <w:color w:val="auto"/>
                <w:sz w:val="21"/>
                <w:szCs w:val="21"/>
                <w:lang w:bidi="zh-CN"/>
              </w:rPr>
              <w:t>）</w:t>
            </w:r>
          </w:p>
        </w:tc>
      </w:tr>
      <w:tr w14:paraId="6882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36E35E2C">
            <w:pPr>
              <w:spacing w:line="440" w:lineRule="exact"/>
              <w:jc w:val="center"/>
              <w:rPr>
                <w:rFonts w:hint="eastAsia" w:ascii="宋体" w:hAnsi="宋体" w:eastAsia="宋体" w:cs="宋体"/>
                <w:sz w:val="21"/>
                <w:szCs w:val="21"/>
              </w:rPr>
            </w:pPr>
          </w:p>
        </w:tc>
        <w:tc>
          <w:tcPr>
            <w:tcW w:w="1230" w:type="dxa"/>
            <w:vMerge w:val="continue"/>
            <w:vAlign w:val="center"/>
          </w:tcPr>
          <w:p w14:paraId="33B2729C">
            <w:pPr>
              <w:spacing w:line="440" w:lineRule="exact"/>
              <w:jc w:val="center"/>
              <w:rPr>
                <w:rFonts w:hint="eastAsia" w:ascii="宋体" w:hAnsi="宋体" w:eastAsia="宋体" w:cs="宋体"/>
                <w:sz w:val="21"/>
                <w:szCs w:val="21"/>
              </w:rPr>
            </w:pPr>
          </w:p>
        </w:tc>
        <w:tc>
          <w:tcPr>
            <w:tcW w:w="1727" w:type="dxa"/>
            <w:vAlign w:val="center"/>
          </w:tcPr>
          <w:p w14:paraId="32BA187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文明施工、环境保护管理体系及施工现场扬尘治理措施</w:t>
            </w:r>
          </w:p>
          <w:p w14:paraId="535A29F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（0-</w:t>
            </w:r>
            <w:r>
              <w:rPr>
                <w:rFonts w:hint="eastAsia" w:ascii="宋体" w:hAnsi="宋体" w:eastAsia="宋体" w:cs="宋体"/>
                <w:sz w:val="21"/>
                <w:szCs w:val="21"/>
                <w:lang w:val="en-US" w:bidi="zh-CN"/>
              </w:rPr>
              <w:t>2分</w:t>
            </w:r>
            <w:r>
              <w:rPr>
                <w:rFonts w:hint="eastAsia" w:ascii="宋体" w:hAnsi="宋体" w:eastAsia="宋体" w:cs="宋体"/>
                <w:sz w:val="21"/>
                <w:szCs w:val="21"/>
                <w:lang w:bidi="zh-CN"/>
              </w:rPr>
              <w:t>）</w:t>
            </w:r>
          </w:p>
        </w:tc>
        <w:tc>
          <w:tcPr>
            <w:tcW w:w="5598" w:type="dxa"/>
            <w:vAlign w:val="center"/>
          </w:tcPr>
          <w:p w14:paraId="74CAF7F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创安全文明标准化工地目标明确，有针对项目实际情况，科学可行的创建计划和符合相关标准、规范、规程的创建保证措施和安全生产措施费投入使用计划，现场施工区、生活区、办公区等设置科学规范，符合有关文明施工、健康卫生的规定。有防治施工现场扬尘治理方案，措施符合河南省《城市房屋建筑和市政基础设施工程及道路扬尘污染防治标准》（DBJ41/174 ）的规定。（0-</w:t>
            </w:r>
            <w:r>
              <w:rPr>
                <w:rFonts w:hint="eastAsia" w:ascii="宋体" w:hAnsi="宋体" w:eastAsia="宋体" w:cs="宋体"/>
                <w:sz w:val="21"/>
                <w:szCs w:val="21"/>
                <w:lang w:val="en-US" w:bidi="zh-CN"/>
              </w:rPr>
              <w:t>2分</w:t>
            </w:r>
            <w:r>
              <w:rPr>
                <w:rFonts w:hint="eastAsia" w:ascii="宋体" w:hAnsi="宋体" w:eastAsia="宋体" w:cs="宋体"/>
                <w:sz w:val="21"/>
                <w:szCs w:val="21"/>
                <w:lang w:bidi="zh-CN"/>
              </w:rPr>
              <w:t>）</w:t>
            </w:r>
          </w:p>
        </w:tc>
      </w:tr>
      <w:tr w14:paraId="6280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36B279B8">
            <w:pPr>
              <w:spacing w:line="440" w:lineRule="exact"/>
              <w:jc w:val="center"/>
              <w:rPr>
                <w:rFonts w:hint="eastAsia" w:ascii="宋体" w:hAnsi="宋体" w:eastAsia="宋体" w:cs="宋体"/>
                <w:sz w:val="21"/>
                <w:szCs w:val="21"/>
              </w:rPr>
            </w:pPr>
          </w:p>
        </w:tc>
        <w:tc>
          <w:tcPr>
            <w:tcW w:w="1230" w:type="dxa"/>
            <w:vMerge w:val="continue"/>
            <w:vAlign w:val="center"/>
          </w:tcPr>
          <w:p w14:paraId="2571370E">
            <w:pPr>
              <w:spacing w:line="440" w:lineRule="exact"/>
              <w:jc w:val="center"/>
              <w:rPr>
                <w:rFonts w:hint="eastAsia" w:ascii="宋体" w:hAnsi="宋体" w:eastAsia="宋体" w:cs="宋体"/>
                <w:sz w:val="21"/>
                <w:szCs w:val="21"/>
              </w:rPr>
            </w:pPr>
          </w:p>
        </w:tc>
        <w:tc>
          <w:tcPr>
            <w:tcW w:w="1727" w:type="dxa"/>
            <w:vAlign w:val="center"/>
          </w:tcPr>
          <w:p w14:paraId="541C527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工期保证措施（0-</w:t>
            </w:r>
            <w:r>
              <w:rPr>
                <w:rFonts w:hint="eastAsia" w:ascii="宋体" w:hAnsi="宋体" w:eastAsia="宋体" w:cs="宋体"/>
                <w:sz w:val="21"/>
                <w:szCs w:val="21"/>
                <w:lang w:val="en-US" w:bidi="zh-CN"/>
              </w:rPr>
              <w:t>1</w:t>
            </w:r>
            <w:r>
              <w:rPr>
                <w:rFonts w:hint="eastAsia" w:ascii="宋体" w:hAnsi="宋体" w:eastAsia="宋体" w:cs="宋体"/>
                <w:sz w:val="21"/>
                <w:szCs w:val="21"/>
                <w:lang w:bidi="zh-CN"/>
              </w:rPr>
              <w:t>分）</w:t>
            </w:r>
          </w:p>
        </w:tc>
        <w:tc>
          <w:tcPr>
            <w:tcW w:w="5598" w:type="dxa"/>
            <w:vAlign w:val="center"/>
          </w:tcPr>
          <w:p w14:paraId="3D528C8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工期承诺满足招标文件要求，工期保证措施合理且有针对性，有具体的违约责任承诺。（0-</w:t>
            </w:r>
            <w:r>
              <w:rPr>
                <w:rFonts w:hint="eastAsia" w:ascii="宋体" w:hAnsi="宋体" w:eastAsia="宋体" w:cs="宋体"/>
                <w:sz w:val="21"/>
                <w:szCs w:val="21"/>
                <w:lang w:val="en-US" w:bidi="zh-CN"/>
              </w:rPr>
              <w:t>1</w:t>
            </w:r>
            <w:r>
              <w:rPr>
                <w:rFonts w:hint="eastAsia" w:ascii="宋体" w:hAnsi="宋体" w:eastAsia="宋体" w:cs="宋体"/>
                <w:sz w:val="21"/>
                <w:szCs w:val="21"/>
                <w:lang w:bidi="zh-CN"/>
              </w:rPr>
              <w:t>分）</w:t>
            </w:r>
          </w:p>
        </w:tc>
      </w:tr>
      <w:tr w14:paraId="7726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3DD39BB9">
            <w:pPr>
              <w:spacing w:line="440" w:lineRule="exact"/>
              <w:jc w:val="center"/>
              <w:rPr>
                <w:rFonts w:hint="eastAsia" w:ascii="宋体" w:hAnsi="宋体" w:eastAsia="宋体" w:cs="宋体"/>
                <w:sz w:val="21"/>
                <w:szCs w:val="21"/>
              </w:rPr>
            </w:pPr>
          </w:p>
        </w:tc>
        <w:tc>
          <w:tcPr>
            <w:tcW w:w="1230" w:type="dxa"/>
            <w:vMerge w:val="continue"/>
            <w:vAlign w:val="center"/>
          </w:tcPr>
          <w:p w14:paraId="056D6AB2">
            <w:pPr>
              <w:spacing w:line="440" w:lineRule="exact"/>
              <w:jc w:val="center"/>
              <w:rPr>
                <w:rFonts w:hint="eastAsia" w:ascii="宋体" w:hAnsi="宋体" w:eastAsia="宋体" w:cs="宋体"/>
                <w:sz w:val="21"/>
                <w:szCs w:val="21"/>
              </w:rPr>
            </w:pPr>
          </w:p>
        </w:tc>
        <w:tc>
          <w:tcPr>
            <w:tcW w:w="1727" w:type="dxa"/>
            <w:vAlign w:val="center"/>
          </w:tcPr>
          <w:p w14:paraId="364DE91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拟投入资源配备计划</w:t>
            </w:r>
          </w:p>
          <w:p w14:paraId="37171A30">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w:t>
            </w:r>
            <w:r>
              <w:rPr>
                <w:rFonts w:hint="eastAsia" w:ascii="宋体" w:hAnsi="宋体" w:eastAsia="宋体" w:cs="宋体"/>
                <w:sz w:val="21"/>
                <w:szCs w:val="21"/>
                <w:lang w:val="en-US" w:bidi="zh-CN"/>
              </w:rPr>
              <w:t>0-1.5</w:t>
            </w:r>
            <w:r>
              <w:rPr>
                <w:rFonts w:hint="eastAsia" w:ascii="宋体" w:hAnsi="宋体" w:eastAsia="宋体" w:cs="宋体"/>
                <w:sz w:val="21"/>
                <w:szCs w:val="21"/>
                <w:lang w:bidi="zh-CN"/>
              </w:rPr>
              <w:t>分）</w:t>
            </w:r>
          </w:p>
        </w:tc>
        <w:tc>
          <w:tcPr>
            <w:tcW w:w="5598" w:type="dxa"/>
            <w:vAlign w:val="center"/>
          </w:tcPr>
          <w:p w14:paraId="1C2AA75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1.机械：投入计划与进度计划呼应，采用先进机械设备且配置合理，满足安全技术规范和施工进度需要；PC构件运输、安装设备满足施工要求；（0-0.5分）</w:t>
            </w:r>
          </w:p>
          <w:p w14:paraId="722CA5F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2.劳动力：投入计划与进度计划呼应，满足施工需要，调配投入计划合理、准确；（0-0.5分）</w:t>
            </w:r>
          </w:p>
          <w:p w14:paraId="6060772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3.主要物资计划：主要物资（含PC构件的供应需求）投入计划与进度计划呼应，满足施工需要，调配投入计划合理、准确。（0-0.5分）</w:t>
            </w:r>
          </w:p>
        </w:tc>
      </w:tr>
      <w:tr w14:paraId="07D9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63F88272">
            <w:pPr>
              <w:spacing w:line="440" w:lineRule="exact"/>
              <w:jc w:val="center"/>
              <w:rPr>
                <w:rFonts w:hint="eastAsia" w:ascii="宋体" w:hAnsi="宋体" w:eastAsia="宋体" w:cs="宋体"/>
                <w:sz w:val="21"/>
                <w:szCs w:val="21"/>
              </w:rPr>
            </w:pPr>
          </w:p>
        </w:tc>
        <w:tc>
          <w:tcPr>
            <w:tcW w:w="1230" w:type="dxa"/>
            <w:vMerge w:val="continue"/>
            <w:vAlign w:val="center"/>
          </w:tcPr>
          <w:p w14:paraId="69C28A2A">
            <w:pPr>
              <w:spacing w:line="440" w:lineRule="exact"/>
              <w:jc w:val="center"/>
              <w:rPr>
                <w:rFonts w:hint="eastAsia" w:ascii="宋体" w:hAnsi="宋体" w:eastAsia="宋体" w:cs="宋体"/>
                <w:sz w:val="21"/>
                <w:szCs w:val="21"/>
              </w:rPr>
            </w:pPr>
          </w:p>
        </w:tc>
        <w:tc>
          <w:tcPr>
            <w:tcW w:w="1727" w:type="dxa"/>
            <w:vAlign w:val="center"/>
          </w:tcPr>
          <w:p w14:paraId="28644B60">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施工进度表与网络计划图</w:t>
            </w:r>
          </w:p>
          <w:p w14:paraId="7FEB764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eastAsia="zh-CN" w:bidi="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0-1分</w:t>
            </w:r>
            <w:r>
              <w:rPr>
                <w:rFonts w:hint="eastAsia" w:ascii="宋体" w:hAnsi="宋体" w:eastAsia="宋体" w:cs="宋体"/>
                <w:color w:val="auto"/>
                <w:sz w:val="21"/>
                <w:szCs w:val="21"/>
                <w:lang w:eastAsia="zh-CN"/>
              </w:rPr>
              <w:t>）</w:t>
            </w:r>
          </w:p>
        </w:tc>
        <w:tc>
          <w:tcPr>
            <w:tcW w:w="5598" w:type="dxa"/>
            <w:vAlign w:val="center"/>
          </w:tcPr>
          <w:p w14:paraId="3853A39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关键线路清晰、准确、完整，计划编制合理、可行，满足招标文件对工期的要求。（</w:t>
            </w:r>
            <w:r>
              <w:rPr>
                <w:rFonts w:hint="eastAsia" w:ascii="宋体" w:hAnsi="宋体" w:eastAsia="宋体" w:cs="宋体"/>
                <w:sz w:val="21"/>
                <w:szCs w:val="21"/>
                <w:lang w:val="en-US" w:bidi="zh-CN"/>
              </w:rPr>
              <w:t>0-1分</w:t>
            </w:r>
            <w:r>
              <w:rPr>
                <w:rFonts w:hint="eastAsia" w:ascii="宋体" w:hAnsi="宋体" w:eastAsia="宋体" w:cs="宋体"/>
                <w:sz w:val="21"/>
                <w:szCs w:val="21"/>
                <w:lang w:bidi="zh-CN"/>
              </w:rPr>
              <w:t>）</w:t>
            </w:r>
          </w:p>
        </w:tc>
      </w:tr>
      <w:tr w14:paraId="18C4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671B95B3">
            <w:pPr>
              <w:spacing w:line="440" w:lineRule="exact"/>
              <w:jc w:val="center"/>
              <w:rPr>
                <w:rFonts w:hint="eastAsia" w:ascii="宋体" w:hAnsi="宋体" w:eastAsia="宋体" w:cs="宋体"/>
                <w:sz w:val="21"/>
                <w:szCs w:val="21"/>
              </w:rPr>
            </w:pPr>
          </w:p>
        </w:tc>
        <w:tc>
          <w:tcPr>
            <w:tcW w:w="1230" w:type="dxa"/>
            <w:vMerge w:val="continue"/>
            <w:vAlign w:val="center"/>
          </w:tcPr>
          <w:p w14:paraId="41D01EB6">
            <w:pPr>
              <w:spacing w:line="440" w:lineRule="exact"/>
              <w:jc w:val="center"/>
              <w:rPr>
                <w:rFonts w:hint="eastAsia" w:ascii="宋体" w:hAnsi="宋体" w:eastAsia="宋体" w:cs="宋体"/>
                <w:sz w:val="21"/>
                <w:szCs w:val="21"/>
              </w:rPr>
            </w:pPr>
          </w:p>
        </w:tc>
        <w:tc>
          <w:tcPr>
            <w:tcW w:w="1727" w:type="dxa"/>
            <w:vAlign w:val="center"/>
          </w:tcPr>
          <w:p w14:paraId="51D320D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施工总平面图布置</w:t>
            </w:r>
          </w:p>
          <w:p w14:paraId="4C576D7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eastAsia="zh-CN" w:bidi="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0-1分</w:t>
            </w:r>
            <w:r>
              <w:rPr>
                <w:rFonts w:hint="eastAsia" w:ascii="宋体" w:hAnsi="宋体" w:eastAsia="宋体" w:cs="宋体"/>
                <w:color w:val="auto"/>
                <w:sz w:val="21"/>
                <w:szCs w:val="21"/>
                <w:lang w:eastAsia="zh-CN"/>
              </w:rPr>
              <w:t>）</w:t>
            </w:r>
          </w:p>
        </w:tc>
        <w:tc>
          <w:tcPr>
            <w:tcW w:w="5598" w:type="dxa"/>
            <w:vAlign w:val="center"/>
          </w:tcPr>
          <w:p w14:paraId="4EDECE1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总体布置有针对性、合理，能满足施工需要，符合安全、文明施工要求，材料堆放有序。（</w:t>
            </w:r>
            <w:r>
              <w:rPr>
                <w:rFonts w:hint="eastAsia" w:ascii="宋体" w:hAnsi="宋体" w:eastAsia="宋体" w:cs="宋体"/>
                <w:sz w:val="21"/>
                <w:szCs w:val="21"/>
                <w:lang w:val="en-US" w:bidi="zh-CN"/>
              </w:rPr>
              <w:t>0-1分</w:t>
            </w:r>
            <w:r>
              <w:rPr>
                <w:rFonts w:hint="eastAsia" w:ascii="宋体" w:hAnsi="宋体" w:eastAsia="宋体" w:cs="宋体"/>
                <w:sz w:val="21"/>
                <w:szCs w:val="21"/>
                <w:lang w:bidi="zh-CN"/>
              </w:rPr>
              <w:t>）</w:t>
            </w:r>
          </w:p>
        </w:tc>
      </w:tr>
      <w:tr w14:paraId="0893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23525757">
            <w:pPr>
              <w:spacing w:line="440" w:lineRule="exact"/>
              <w:jc w:val="center"/>
              <w:rPr>
                <w:rFonts w:hint="eastAsia" w:ascii="宋体" w:hAnsi="宋体" w:eastAsia="宋体" w:cs="宋体"/>
                <w:sz w:val="21"/>
                <w:szCs w:val="21"/>
              </w:rPr>
            </w:pPr>
          </w:p>
        </w:tc>
        <w:tc>
          <w:tcPr>
            <w:tcW w:w="1230" w:type="dxa"/>
            <w:vMerge w:val="continue"/>
            <w:vAlign w:val="center"/>
          </w:tcPr>
          <w:p w14:paraId="63151BD9">
            <w:pPr>
              <w:spacing w:line="440" w:lineRule="exact"/>
              <w:jc w:val="center"/>
              <w:rPr>
                <w:rFonts w:hint="eastAsia" w:ascii="宋体" w:hAnsi="宋体" w:eastAsia="宋体" w:cs="宋体"/>
                <w:sz w:val="21"/>
                <w:szCs w:val="21"/>
              </w:rPr>
            </w:pPr>
          </w:p>
        </w:tc>
        <w:tc>
          <w:tcPr>
            <w:tcW w:w="1727" w:type="dxa"/>
            <w:vAlign w:val="center"/>
          </w:tcPr>
          <w:p w14:paraId="571B705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建造方式的创新应用实施方案</w:t>
            </w:r>
          </w:p>
          <w:p w14:paraId="5240216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eastAsia="zh-CN" w:bidi="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0-4分</w:t>
            </w:r>
            <w:r>
              <w:rPr>
                <w:rFonts w:hint="eastAsia" w:ascii="宋体" w:hAnsi="宋体" w:eastAsia="宋体" w:cs="宋体"/>
                <w:color w:val="auto"/>
                <w:sz w:val="21"/>
                <w:szCs w:val="21"/>
                <w:lang w:eastAsia="zh-CN"/>
              </w:rPr>
              <w:t>）</w:t>
            </w:r>
          </w:p>
        </w:tc>
        <w:tc>
          <w:tcPr>
            <w:tcW w:w="5598" w:type="dxa"/>
            <w:vAlign w:val="center"/>
          </w:tcPr>
          <w:p w14:paraId="2905AC5F">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1.智能建造、2.节能减排、3.绿色施工、4.装配式建筑等建造方式的创新应用实施方案符合工程情况，具有针对性、可行性、经济适用性；每一项（0-1分）。</w:t>
            </w:r>
          </w:p>
        </w:tc>
      </w:tr>
      <w:tr w14:paraId="2628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7A0F859E">
            <w:pPr>
              <w:spacing w:line="440" w:lineRule="exact"/>
              <w:jc w:val="center"/>
              <w:rPr>
                <w:rFonts w:hint="eastAsia" w:ascii="宋体" w:hAnsi="宋体" w:eastAsia="宋体" w:cs="宋体"/>
                <w:sz w:val="21"/>
                <w:szCs w:val="21"/>
              </w:rPr>
            </w:pPr>
          </w:p>
        </w:tc>
        <w:tc>
          <w:tcPr>
            <w:tcW w:w="1230" w:type="dxa"/>
            <w:vMerge w:val="continue"/>
            <w:vAlign w:val="center"/>
          </w:tcPr>
          <w:p w14:paraId="1A908194">
            <w:pPr>
              <w:spacing w:line="440" w:lineRule="exact"/>
              <w:jc w:val="center"/>
              <w:rPr>
                <w:rFonts w:hint="eastAsia" w:ascii="宋体" w:hAnsi="宋体" w:eastAsia="宋体" w:cs="宋体"/>
                <w:sz w:val="21"/>
                <w:szCs w:val="21"/>
              </w:rPr>
            </w:pPr>
          </w:p>
        </w:tc>
        <w:tc>
          <w:tcPr>
            <w:tcW w:w="1727" w:type="dxa"/>
            <w:vAlign w:val="center"/>
          </w:tcPr>
          <w:p w14:paraId="4E14109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采用新工艺、新技术、新设备、新材料、BIM等的程度</w:t>
            </w:r>
          </w:p>
          <w:p w14:paraId="1CECED1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eastAsia="zh-CN" w:bidi="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0-3.5分</w:t>
            </w:r>
            <w:r>
              <w:rPr>
                <w:rFonts w:hint="eastAsia" w:ascii="宋体" w:hAnsi="宋体" w:eastAsia="宋体" w:cs="宋体"/>
                <w:color w:val="auto"/>
                <w:sz w:val="21"/>
                <w:szCs w:val="21"/>
                <w:lang w:eastAsia="zh-CN"/>
              </w:rPr>
              <w:t>）</w:t>
            </w:r>
          </w:p>
        </w:tc>
        <w:tc>
          <w:tcPr>
            <w:tcW w:w="5598" w:type="dxa"/>
            <w:vAlign w:val="center"/>
          </w:tcPr>
          <w:p w14:paraId="5E8F7251">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1.采用1.新工艺、2.新技术、3.新设备（含工器具、智能设备等）、4.新材料等满足实现设计要求，符合施工需要和相应技术标准等规定，经济适用；每一项（0-0.5分），本小项共2分。</w:t>
            </w:r>
          </w:p>
          <w:p w14:paraId="13CE41E3">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2.应用BIM技术优化施工工序、资源配置及数字化管理，措施得当，有效提高施工效率。（0-1.5分）</w:t>
            </w:r>
          </w:p>
        </w:tc>
      </w:tr>
      <w:tr w14:paraId="3569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5B6378E7">
            <w:pPr>
              <w:spacing w:line="440" w:lineRule="exact"/>
              <w:jc w:val="center"/>
              <w:rPr>
                <w:rFonts w:hint="eastAsia" w:ascii="宋体" w:hAnsi="宋体" w:eastAsia="宋体" w:cs="宋体"/>
                <w:sz w:val="21"/>
                <w:szCs w:val="21"/>
              </w:rPr>
            </w:pPr>
          </w:p>
        </w:tc>
        <w:tc>
          <w:tcPr>
            <w:tcW w:w="1230" w:type="dxa"/>
            <w:vMerge w:val="continue"/>
            <w:vAlign w:val="center"/>
          </w:tcPr>
          <w:p w14:paraId="4367540A">
            <w:pPr>
              <w:spacing w:line="440" w:lineRule="exact"/>
              <w:jc w:val="center"/>
              <w:rPr>
                <w:rFonts w:hint="eastAsia" w:ascii="宋体" w:hAnsi="宋体" w:eastAsia="宋体" w:cs="宋体"/>
                <w:sz w:val="21"/>
                <w:szCs w:val="21"/>
              </w:rPr>
            </w:pPr>
          </w:p>
        </w:tc>
        <w:tc>
          <w:tcPr>
            <w:tcW w:w="1727" w:type="dxa"/>
            <w:vAlign w:val="center"/>
          </w:tcPr>
          <w:p w14:paraId="4338E86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施工现场实施信息化监控和数据处理</w:t>
            </w:r>
          </w:p>
          <w:p w14:paraId="46D2D62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eastAsia="zh-CN" w:bidi="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0-1分</w:t>
            </w:r>
            <w:r>
              <w:rPr>
                <w:rFonts w:hint="eastAsia" w:ascii="宋体" w:hAnsi="宋体" w:eastAsia="宋体" w:cs="宋体"/>
                <w:color w:val="auto"/>
                <w:sz w:val="21"/>
                <w:szCs w:val="21"/>
                <w:lang w:eastAsia="zh-CN"/>
              </w:rPr>
              <w:t>）</w:t>
            </w:r>
          </w:p>
        </w:tc>
        <w:tc>
          <w:tcPr>
            <w:tcW w:w="5598" w:type="dxa"/>
            <w:vAlign w:val="center"/>
          </w:tcPr>
          <w:p w14:paraId="71F85EE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施工现场实施信息化监控和数据处理系统布置合理，满足管理需要。（</w:t>
            </w:r>
            <w:r>
              <w:rPr>
                <w:rFonts w:hint="eastAsia" w:ascii="宋体" w:hAnsi="宋体" w:eastAsia="宋体" w:cs="宋体"/>
                <w:sz w:val="21"/>
                <w:szCs w:val="21"/>
                <w:lang w:val="en-US" w:bidi="zh-CN"/>
              </w:rPr>
              <w:t>0-1分</w:t>
            </w:r>
            <w:r>
              <w:rPr>
                <w:rFonts w:hint="eastAsia" w:ascii="宋体" w:hAnsi="宋体" w:eastAsia="宋体" w:cs="宋体"/>
                <w:sz w:val="21"/>
                <w:szCs w:val="21"/>
                <w:lang w:bidi="zh-CN"/>
              </w:rPr>
              <w:t>）</w:t>
            </w:r>
          </w:p>
        </w:tc>
      </w:tr>
      <w:tr w14:paraId="6AF4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30" w:type="dxa"/>
            <w:vMerge w:val="continue"/>
            <w:vAlign w:val="center"/>
          </w:tcPr>
          <w:p w14:paraId="60A2E1A4">
            <w:pPr>
              <w:spacing w:line="440" w:lineRule="exact"/>
              <w:jc w:val="center"/>
              <w:rPr>
                <w:rFonts w:hint="eastAsia" w:ascii="宋体" w:hAnsi="宋体" w:eastAsia="宋体" w:cs="宋体"/>
                <w:sz w:val="21"/>
                <w:szCs w:val="21"/>
              </w:rPr>
            </w:pPr>
          </w:p>
        </w:tc>
        <w:tc>
          <w:tcPr>
            <w:tcW w:w="1230" w:type="dxa"/>
            <w:vMerge w:val="continue"/>
            <w:vAlign w:val="center"/>
          </w:tcPr>
          <w:p w14:paraId="1DE06334">
            <w:pPr>
              <w:spacing w:line="440" w:lineRule="exact"/>
              <w:jc w:val="center"/>
              <w:rPr>
                <w:rFonts w:hint="eastAsia" w:ascii="宋体" w:hAnsi="宋体" w:eastAsia="宋体" w:cs="宋体"/>
                <w:sz w:val="21"/>
                <w:szCs w:val="21"/>
              </w:rPr>
            </w:pPr>
          </w:p>
        </w:tc>
        <w:tc>
          <w:tcPr>
            <w:tcW w:w="1727" w:type="dxa"/>
            <w:vAlign w:val="center"/>
          </w:tcPr>
          <w:p w14:paraId="6B132D3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风险管理措施（</w:t>
            </w:r>
            <w:r>
              <w:rPr>
                <w:rFonts w:hint="eastAsia" w:ascii="宋体" w:hAnsi="宋体" w:eastAsia="宋体" w:cs="宋体"/>
                <w:sz w:val="21"/>
                <w:szCs w:val="21"/>
                <w:lang w:val="en-US" w:bidi="zh-CN"/>
              </w:rPr>
              <w:t>0-1分</w:t>
            </w:r>
            <w:r>
              <w:rPr>
                <w:rFonts w:hint="eastAsia" w:ascii="宋体" w:hAnsi="宋体" w:eastAsia="宋体" w:cs="宋体"/>
                <w:sz w:val="21"/>
                <w:szCs w:val="21"/>
                <w:lang w:bidi="zh-CN"/>
              </w:rPr>
              <w:t>）</w:t>
            </w:r>
          </w:p>
        </w:tc>
        <w:tc>
          <w:tcPr>
            <w:tcW w:w="5598" w:type="dxa"/>
            <w:vAlign w:val="center"/>
          </w:tcPr>
          <w:p w14:paraId="311E663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lang w:bidi="zh-CN"/>
              </w:rPr>
            </w:pPr>
            <w:r>
              <w:rPr>
                <w:rFonts w:hint="eastAsia" w:ascii="宋体" w:hAnsi="宋体" w:eastAsia="宋体" w:cs="宋体"/>
                <w:sz w:val="21"/>
                <w:szCs w:val="21"/>
                <w:lang w:bidi="zh-CN"/>
              </w:rPr>
              <w:t>风险防控管理措施齐全，风险预控符合规范要求，风险控制要点定位准确，各阶段风险控制及应急措施得力。（0-1分）</w:t>
            </w:r>
          </w:p>
        </w:tc>
      </w:tr>
      <w:tr w14:paraId="4E83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0" w:type="dxa"/>
            <w:vMerge w:val="restart"/>
            <w:vAlign w:val="center"/>
          </w:tcPr>
          <w:p w14:paraId="70A72DD6">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综合标2.2.2</w:t>
            </w:r>
          </w:p>
        </w:tc>
        <w:tc>
          <w:tcPr>
            <w:tcW w:w="1230" w:type="dxa"/>
            <w:vMerge w:val="restart"/>
            <w:vAlign w:val="center"/>
          </w:tcPr>
          <w:p w14:paraId="1D08EDD3">
            <w:pPr>
              <w:spacing w:line="440" w:lineRule="exact"/>
              <w:jc w:val="center"/>
              <w:rPr>
                <w:rFonts w:hint="eastAsia" w:ascii="宋体" w:hAnsi="宋体" w:eastAsia="宋体" w:cs="宋体"/>
                <w:sz w:val="21"/>
                <w:szCs w:val="21"/>
                <w:lang w:eastAsia="zh-CN"/>
              </w:rPr>
            </w:pPr>
            <w:r>
              <w:rPr>
                <w:rFonts w:hint="eastAsia" w:ascii="宋体" w:hAnsi="宋体" w:eastAsia="宋体" w:cs="宋体"/>
                <w:sz w:val="21"/>
                <w:szCs w:val="21"/>
              </w:rPr>
              <w:t>综合</w:t>
            </w:r>
            <w:r>
              <w:rPr>
                <w:rFonts w:hint="eastAsia" w:ascii="宋体" w:hAnsi="宋体" w:eastAsia="宋体" w:cs="宋体"/>
                <w:sz w:val="21"/>
                <w:szCs w:val="21"/>
                <w:lang w:eastAsia="zh-CN"/>
              </w:rPr>
              <w:t>部分（</w:t>
            </w:r>
            <w:r>
              <w:rPr>
                <w:rFonts w:hint="eastAsia" w:ascii="宋体" w:hAnsi="宋体" w:eastAsia="宋体" w:cs="宋体"/>
                <w:sz w:val="21"/>
                <w:szCs w:val="21"/>
                <w:lang w:val="en-US" w:eastAsia="zh-CN"/>
              </w:rPr>
              <w:t>25分</w:t>
            </w:r>
            <w:r>
              <w:rPr>
                <w:rFonts w:hint="eastAsia" w:ascii="宋体" w:hAnsi="宋体" w:eastAsia="宋体" w:cs="宋体"/>
                <w:sz w:val="21"/>
                <w:szCs w:val="21"/>
                <w:lang w:eastAsia="zh-CN"/>
              </w:rPr>
              <w:t>）</w:t>
            </w:r>
          </w:p>
        </w:tc>
        <w:tc>
          <w:tcPr>
            <w:tcW w:w="1727" w:type="dxa"/>
            <w:vAlign w:val="center"/>
          </w:tcPr>
          <w:p w14:paraId="4B748CCF">
            <w:pPr>
              <w:pStyle w:val="14"/>
              <w:keepNext w:val="0"/>
              <w:keepLines w:val="0"/>
              <w:pageBreakBefore w:val="0"/>
              <w:widowControl/>
              <w:kinsoku/>
              <w:wordWrap w:val="0"/>
              <w:overflowPunct/>
              <w:topLinePunct w:val="0"/>
              <w:bidi w:val="0"/>
              <w:spacing w:before="0" w:beforeAutospacing="0" w:after="0" w:afterAutospacing="0" w:line="360" w:lineRule="auto"/>
              <w:jc w:val="center"/>
              <w:textAlignment w:val="auto"/>
              <w:rPr>
                <w:rFonts w:hint="eastAsia" w:ascii="宋体" w:hAnsi="宋体" w:eastAsia="宋体" w:cs="宋体"/>
                <w:sz w:val="21"/>
                <w:szCs w:val="21"/>
                <w:lang w:val="en-US"/>
              </w:rPr>
            </w:pPr>
            <w:r>
              <w:rPr>
                <w:rFonts w:hint="eastAsia" w:ascii="宋体" w:hAnsi="宋体" w:eastAsia="宋体" w:cs="宋体"/>
                <w:sz w:val="21"/>
                <w:szCs w:val="21"/>
                <w:lang w:val="en-US" w:eastAsia="zh-CN"/>
              </w:rPr>
              <w:t>项目管理机构（</w:t>
            </w:r>
            <w:r>
              <w:rPr>
                <w:rFonts w:hint="eastAsia" w:ascii="宋体" w:hAnsi="宋体" w:cs="宋体"/>
                <w:sz w:val="21"/>
                <w:szCs w:val="21"/>
                <w:lang w:val="en-US" w:eastAsia="zh-CN"/>
              </w:rPr>
              <w:t>12</w:t>
            </w:r>
            <w:r>
              <w:rPr>
                <w:rFonts w:hint="eastAsia" w:ascii="宋体" w:hAnsi="宋体" w:eastAsia="宋体" w:cs="宋体"/>
                <w:sz w:val="21"/>
                <w:szCs w:val="21"/>
                <w:lang w:val="en-US" w:eastAsia="zh-CN"/>
              </w:rPr>
              <w:t>分）</w:t>
            </w:r>
          </w:p>
        </w:tc>
        <w:tc>
          <w:tcPr>
            <w:tcW w:w="5598" w:type="dxa"/>
            <w:shd w:val="clear" w:color="auto" w:fill="auto"/>
            <w:vAlign w:val="center"/>
          </w:tcPr>
          <w:p w14:paraId="4F82E16C">
            <w:pPr>
              <w:pStyle w:val="51"/>
              <w:spacing w:line="360"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bidi="zh-CN"/>
              </w:rPr>
              <w:t>项目管理机构人员配备齐全，具备施工员、质检员、资料员、安全员、材料员</w:t>
            </w:r>
            <w:r>
              <w:rPr>
                <w:rFonts w:hint="eastAsia" w:hAnsi="宋体" w:cs="宋体"/>
                <w:color w:val="auto"/>
                <w:sz w:val="21"/>
                <w:szCs w:val="21"/>
                <w:lang w:val="en-US" w:eastAsia="zh-CN" w:bidi="zh-CN"/>
              </w:rPr>
              <w:t>、测量员</w:t>
            </w:r>
            <w:r>
              <w:rPr>
                <w:rFonts w:hint="eastAsia" w:ascii="宋体" w:hAnsi="宋体" w:eastAsia="宋体" w:cs="宋体"/>
                <w:color w:val="auto"/>
                <w:sz w:val="21"/>
                <w:szCs w:val="21"/>
                <w:lang w:val="en-US" w:eastAsia="zh-CN" w:bidi="zh-CN"/>
              </w:rPr>
              <w:t>（投标文件中需提供以上人员的有效执业证的原件扫描件），每有一人得</w:t>
            </w:r>
            <w:r>
              <w:rPr>
                <w:rFonts w:hint="eastAsia" w:hAnsi="宋体" w:cs="宋体"/>
                <w:color w:val="auto"/>
                <w:sz w:val="21"/>
                <w:szCs w:val="21"/>
                <w:lang w:val="en-US" w:eastAsia="zh-CN" w:bidi="zh-CN"/>
              </w:rPr>
              <w:t>2</w:t>
            </w:r>
            <w:r>
              <w:rPr>
                <w:rFonts w:hint="eastAsia" w:ascii="宋体" w:hAnsi="宋体" w:eastAsia="宋体" w:cs="宋体"/>
                <w:color w:val="auto"/>
                <w:sz w:val="21"/>
                <w:szCs w:val="21"/>
                <w:lang w:val="en-US" w:eastAsia="zh-CN" w:bidi="zh-CN"/>
              </w:rPr>
              <w:t>分，最多得</w:t>
            </w:r>
            <w:r>
              <w:rPr>
                <w:rFonts w:hint="eastAsia" w:hAnsi="宋体" w:cs="宋体"/>
                <w:color w:val="auto"/>
                <w:sz w:val="21"/>
                <w:szCs w:val="21"/>
                <w:lang w:val="en-US" w:eastAsia="zh-CN" w:bidi="zh-CN"/>
              </w:rPr>
              <w:t>12</w:t>
            </w:r>
            <w:r>
              <w:rPr>
                <w:rFonts w:hint="eastAsia" w:ascii="宋体" w:hAnsi="宋体" w:eastAsia="宋体" w:cs="宋体"/>
                <w:color w:val="auto"/>
                <w:sz w:val="21"/>
                <w:szCs w:val="21"/>
                <w:lang w:val="en-US" w:eastAsia="zh-CN" w:bidi="zh-CN"/>
              </w:rPr>
              <w:t>分。</w:t>
            </w:r>
          </w:p>
        </w:tc>
      </w:tr>
      <w:tr w14:paraId="20C2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0" w:type="dxa"/>
            <w:vMerge w:val="continue"/>
            <w:vAlign w:val="center"/>
          </w:tcPr>
          <w:p w14:paraId="56F49996">
            <w:pPr>
              <w:spacing w:line="440" w:lineRule="exact"/>
              <w:jc w:val="center"/>
              <w:rPr>
                <w:rFonts w:hint="eastAsia" w:ascii="宋体" w:hAnsi="宋体" w:eastAsia="宋体" w:cs="宋体"/>
                <w:sz w:val="21"/>
                <w:szCs w:val="21"/>
              </w:rPr>
            </w:pPr>
          </w:p>
        </w:tc>
        <w:tc>
          <w:tcPr>
            <w:tcW w:w="1230" w:type="dxa"/>
            <w:vMerge w:val="continue"/>
            <w:vAlign w:val="center"/>
          </w:tcPr>
          <w:p w14:paraId="5FE80F7B">
            <w:pPr>
              <w:spacing w:line="440" w:lineRule="exact"/>
              <w:jc w:val="center"/>
              <w:rPr>
                <w:rFonts w:hint="eastAsia" w:ascii="宋体" w:hAnsi="宋体" w:eastAsia="宋体" w:cs="宋体"/>
                <w:sz w:val="21"/>
                <w:szCs w:val="21"/>
              </w:rPr>
            </w:pPr>
          </w:p>
        </w:tc>
        <w:tc>
          <w:tcPr>
            <w:tcW w:w="1727" w:type="dxa"/>
            <w:vAlign w:val="center"/>
          </w:tcPr>
          <w:p w14:paraId="25889E75">
            <w:pPr>
              <w:pStyle w:val="14"/>
              <w:keepNext w:val="0"/>
              <w:keepLines w:val="0"/>
              <w:pageBreakBefore w:val="0"/>
              <w:widowControl/>
              <w:kinsoku/>
              <w:wordWrap w:val="0"/>
              <w:overflowPunct/>
              <w:topLinePunct w:val="0"/>
              <w:bidi w:val="0"/>
              <w:spacing w:before="0" w:beforeAutospacing="0" w:after="0" w:afterAutospacing="0" w:line="36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服务</w:t>
            </w:r>
            <w:r>
              <w:rPr>
                <w:rFonts w:hint="eastAsia" w:ascii="宋体" w:hAnsi="宋体" w:eastAsia="宋体" w:cs="宋体"/>
                <w:sz w:val="21"/>
                <w:szCs w:val="21"/>
                <w:lang w:val="en-US" w:eastAsia="zh-CN"/>
              </w:rPr>
              <w:t>承诺</w:t>
            </w:r>
            <w:r>
              <w:rPr>
                <w:rFonts w:hint="eastAsia" w:ascii="宋体" w:hAnsi="宋体" w:cs="宋体"/>
                <w:sz w:val="21"/>
                <w:szCs w:val="21"/>
                <w:lang w:val="en-US" w:eastAsia="zh-CN"/>
              </w:rPr>
              <w:t>（9分）</w:t>
            </w:r>
          </w:p>
        </w:tc>
        <w:tc>
          <w:tcPr>
            <w:tcW w:w="5598" w:type="dxa"/>
            <w:shd w:val="clear" w:color="auto" w:fill="auto"/>
            <w:vAlign w:val="center"/>
          </w:tcPr>
          <w:p w14:paraId="1847876C">
            <w:pPr>
              <w:pStyle w:val="14"/>
              <w:keepNext w:val="0"/>
              <w:keepLines w:val="0"/>
              <w:pageBreakBefore w:val="0"/>
              <w:widowControl/>
              <w:numPr>
                <w:ilvl w:val="0"/>
                <w:numId w:val="3"/>
              </w:numPr>
              <w:kinsoku/>
              <w:wordWrap w:val="0"/>
              <w:overflowPunct/>
              <w:topLinePunct w:val="0"/>
              <w:bidi w:val="0"/>
              <w:spacing w:before="0" w:beforeAutospacing="0" w:after="0" w:afterAutospacing="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工期承诺（</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分）：能够响应招标文件工期要求，并有工期管控、进度保障措施，可针对本排水防涝项目汛期节点提出优化保障措施的得</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分；仅简单响应招标文件工期，无配套保障措施得1分；不响应招标文件工期要求本项得0分。</w:t>
            </w:r>
          </w:p>
          <w:p w14:paraId="4593C6E4">
            <w:pPr>
              <w:pStyle w:val="14"/>
              <w:keepNext w:val="0"/>
              <w:keepLines w:val="0"/>
              <w:pageBreakBefore w:val="0"/>
              <w:widowControl/>
              <w:numPr>
                <w:ilvl w:val="0"/>
                <w:numId w:val="3"/>
              </w:numPr>
              <w:kinsoku/>
              <w:wordWrap w:val="0"/>
              <w:overflowPunct/>
              <w:topLinePunct w:val="0"/>
              <w:bidi w:val="0"/>
              <w:spacing w:before="0" w:beforeAutospacing="0" w:after="0" w:afterAutospacing="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质量与保修服务承诺（</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分）：承诺工程质量达到合格标准，完整提供缺陷责任期内维修响应时间、故障抢修、回访维保等具体措施得</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分；仅原则性响应无具体措施得1分；不满足质量标准要求得0分。</w:t>
            </w:r>
          </w:p>
          <w:p w14:paraId="2688DB83">
            <w:pPr>
              <w:pStyle w:val="14"/>
              <w:keepNext w:val="0"/>
              <w:keepLines w:val="0"/>
              <w:pageBreakBefore w:val="0"/>
              <w:widowControl/>
              <w:numPr>
                <w:ilvl w:val="0"/>
                <w:numId w:val="3"/>
              </w:numPr>
              <w:kinsoku/>
              <w:wordWrap w:val="0"/>
              <w:overflowPunct/>
              <w:topLinePunct w:val="0"/>
              <w:bidi w:val="0"/>
              <w:spacing w:before="0" w:beforeAutospacing="0" w:after="0" w:afterAutospacing="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项目管理班子履职承诺（2分）：对项目经理、技术负责人及主要管理人员在岗履职、离岗审批、违约处置作出明确承诺的得2分；仅有简单承诺，无管控措施得1分；未提供承诺得0分。</w:t>
            </w:r>
          </w:p>
          <w:p w14:paraId="57EC21B0">
            <w:pPr>
              <w:pStyle w:val="14"/>
              <w:keepNext w:val="0"/>
              <w:keepLines w:val="0"/>
              <w:pageBreakBefore w:val="0"/>
              <w:widowControl/>
              <w:numPr>
                <w:ilvl w:val="0"/>
                <w:numId w:val="3"/>
              </w:numPr>
              <w:kinsoku/>
              <w:wordWrap w:val="0"/>
              <w:overflowPunct/>
              <w:topLinePunct w:val="0"/>
              <w:bidi w:val="0"/>
              <w:spacing w:before="0" w:beforeAutospacing="0" w:after="0" w:afterAutospacing="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安全文明施工及汛期应急保障承诺（1分）：针对本城市排水防涝工程，提供扬尘治理、现场安全管理、汛期应急排涝抢险处置承诺得1分，缺项不得分。</w:t>
            </w:r>
          </w:p>
          <w:p w14:paraId="36221648">
            <w:pPr>
              <w:pStyle w:val="14"/>
              <w:keepNext w:val="0"/>
              <w:keepLines w:val="0"/>
              <w:pageBreakBefore w:val="0"/>
              <w:widowControl/>
              <w:kinsoku/>
              <w:wordWrap w:val="0"/>
              <w:overflowPunct/>
              <w:topLinePunct w:val="0"/>
              <w:bidi w:val="0"/>
              <w:spacing w:before="0" w:beforeAutospacing="0" w:after="0" w:afterAutospacing="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（投标文件需附相关承诺书）。</w:t>
            </w:r>
          </w:p>
        </w:tc>
      </w:tr>
      <w:tr w14:paraId="7CD1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930" w:type="dxa"/>
            <w:vMerge w:val="continue"/>
          </w:tcPr>
          <w:p w14:paraId="2F844275">
            <w:pPr>
              <w:spacing w:line="440" w:lineRule="exact"/>
              <w:jc w:val="center"/>
              <w:rPr>
                <w:rFonts w:hint="eastAsia" w:ascii="宋体" w:hAnsi="宋体" w:eastAsia="宋体" w:cs="宋体"/>
                <w:sz w:val="21"/>
                <w:szCs w:val="21"/>
              </w:rPr>
            </w:pPr>
          </w:p>
        </w:tc>
        <w:tc>
          <w:tcPr>
            <w:tcW w:w="1230" w:type="dxa"/>
            <w:vMerge w:val="continue"/>
          </w:tcPr>
          <w:p w14:paraId="1C4380B7">
            <w:pPr>
              <w:spacing w:line="440" w:lineRule="exact"/>
              <w:jc w:val="center"/>
              <w:rPr>
                <w:rFonts w:hint="eastAsia" w:ascii="宋体" w:hAnsi="宋体" w:eastAsia="宋体" w:cs="宋体"/>
                <w:sz w:val="21"/>
                <w:szCs w:val="21"/>
              </w:rPr>
            </w:pPr>
          </w:p>
        </w:tc>
        <w:tc>
          <w:tcPr>
            <w:tcW w:w="1727" w:type="dxa"/>
            <w:vMerge w:val="restart"/>
            <w:vAlign w:val="center"/>
          </w:tcPr>
          <w:p w14:paraId="3AE9DD72">
            <w:pPr>
              <w:snapToGrid w:val="0"/>
              <w:spacing w:line="380" w:lineRule="exact"/>
              <w:jc w:val="center"/>
              <w:rPr>
                <w:rFonts w:hint="eastAsia" w:ascii="宋体" w:hAnsi="宋体" w:eastAsia="宋体" w:cs="宋体"/>
                <w:sz w:val="21"/>
                <w:szCs w:val="21"/>
              </w:rPr>
            </w:pPr>
            <w:r>
              <w:rPr>
                <w:rFonts w:hint="eastAsia" w:ascii="宋体" w:hAnsi="宋体" w:eastAsia="宋体" w:cs="宋体"/>
                <w:sz w:val="21"/>
                <w:szCs w:val="21"/>
              </w:rPr>
              <w:t>履职尽责承诺</w:t>
            </w:r>
          </w:p>
          <w:p w14:paraId="096EB0D0">
            <w:pPr>
              <w:snapToGrid w:val="0"/>
              <w:spacing w:line="380" w:lineRule="exact"/>
              <w:jc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4</w:t>
            </w:r>
            <w:r>
              <w:rPr>
                <w:rFonts w:hint="eastAsia" w:ascii="宋体" w:hAnsi="宋体" w:eastAsia="宋体" w:cs="宋体"/>
                <w:sz w:val="21"/>
                <w:szCs w:val="21"/>
              </w:rPr>
              <w:t>分）</w:t>
            </w:r>
          </w:p>
        </w:tc>
        <w:tc>
          <w:tcPr>
            <w:tcW w:w="5598" w:type="dxa"/>
          </w:tcPr>
          <w:p w14:paraId="183F4A3A">
            <w:pPr>
              <w:pStyle w:val="51"/>
              <w:spacing w:line="360" w:lineRule="auto"/>
              <w:rPr>
                <w:rFonts w:hint="eastAsia" w:ascii="宋体" w:hAnsi="宋体" w:eastAsia="宋体" w:cs="宋体"/>
                <w:color w:val="auto"/>
                <w:sz w:val="21"/>
                <w:szCs w:val="21"/>
                <w:lang w:bidi="zh-CN"/>
              </w:rPr>
            </w:pPr>
            <w:r>
              <w:rPr>
                <w:rFonts w:hint="eastAsia" w:ascii="宋体" w:hAnsi="宋体" w:eastAsia="宋体" w:cs="宋体"/>
                <w:color w:val="auto"/>
                <w:sz w:val="21"/>
                <w:szCs w:val="21"/>
                <w:lang w:bidi="zh-CN"/>
              </w:rPr>
              <w:t>（1）具有全面、详实、可行、合法有效的书面保证技术措施落实到位的承诺和落实不到位的处理承诺；（</w:t>
            </w:r>
            <w:r>
              <w:rPr>
                <w:rFonts w:hint="eastAsia" w:hAnsi="宋体" w:cs="宋体"/>
                <w:color w:val="auto"/>
                <w:sz w:val="21"/>
                <w:szCs w:val="21"/>
                <w:lang w:val="en-US" w:bidi="zh-CN"/>
              </w:rPr>
              <w:t>1</w:t>
            </w:r>
            <w:r>
              <w:rPr>
                <w:rFonts w:hint="eastAsia" w:ascii="宋体" w:hAnsi="宋体" w:eastAsia="宋体" w:cs="宋体"/>
                <w:color w:val="auto"/>
                <w:sz w:val="21"/>
                <w:szCs w:val="21"/>
                <w:lang w:bidi="zh-CN"/>
              </w:rPr>
              <w:t>分）</w:t>
            </w:r>
          </w:p>
        </w:tc>
      </w:tr>
      <w:tr w14:paraId="3ACC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30" w:type="dxa"/>
            <w:vMerge w:val="continue"/>
          </w:tcPr>
          <w:p w14:paraId="162F215E">
            <w:pPr>
              <w:spacing w:line="440" w:lineRule="exact"/>
              <w:jc w:val="center"/>
              <w:rPr>
                <w:rFonts w:hint="eastAsia" w:ascii="宋体" w:hAnsi="宋体" w:eastAsia="宋体" w:cs="宋体"/>
                <w:sz w:val="21"/>
                <w:szCs w:val="21"/>
              </w:rPr>
            </w:pPr>
          </w:p>
        </w:tc>
        <w:tc>
          <w:tcPr>
            <w:tcW w:w="1230" w:type="dxa"/>
            <w:vMerge w:val="continue"/>
          </w:tcPr>
          <w:p w14:paraId="274F6F8C">
            <w:pPr>
              <w:spacing w:line="440" w:lineRule="exact"/>
              <w:jc w:val="center"/>
              <w:rPr>
                <w:rFonts w:hint="eastAsia" w:ascii="宋体" w:hAnsi="宋体" w:eastAsia="宋体" w:cs="宋体"/>
                <w:sz w:val="21"/>
                <w:szCs w:val="21"/>
              </w:rPr>
            </w:pPr>
          </w:p>
        </w:tc>
        <w:tc>
          <w:tcPr>
            <w:tcW w:w="1727" w:type="dxa"/>
            <w:vMerge w:val="continue"/>
            <w:vAlign w:val="center"/>
          </w:tcPr>
          <w:p w14:paraId="7D647061">
            <w:pPr>
              <w:snapToGrid w:val="0"/>
              <w:spacing w:line="380" w:lineRule="exact"/>
              <w:jc w:val="center"/>
              <w:rPr>
                <w:rFonts w:hint="eastAsia" w:ascii="宋体" w:hAnsi="宋体" w:eastAsia="宋体" w:cs="宋体"/>
                <w:sz w:val="21"/>
                <w:szCs w:val="21"/>
              </w:rPr>
            </w:pPr>
          </w:p>
        </w:tc>
        <w:tc>
          <w:tcPr>
            <w:tcW w:w="5598" w:type="dxa"/>
          </w:tcPr>
          <w:p w14:paraId="396374C1">
            <w:pPr>
              <w:pStyle w:val="51"/>
              <w:spacing w:line="360" w:lineRule="auto"/>
              <w:rPr>
                <w:rFonts w:hint="eastAsia" w:ascii="宋体" w:hAnsi="宋体" w:eastAsia="宋体" w:cs="宋体"/>
                <w:b/>
                <w:bCs/>
                <w:color w:val="auto"/>
                <w:sz w:val="21"/>
                <w:szCs w:val="21"/>
                <w:lang w:val="en-US" w:bidi="zh-CN"/>
              </w:rPr>
            </w:pPr>
            <w:r>
              <w:rPr>
                <w:rFonts w:hint="eastAsia" w:ascii="宋体" w:hAnsi="宋体" w:eastAsia="宋体" w:cs="宋体"/>
                <w:color w:val="auto"/>
                <w:sz w:val="21"/>
                <w:szCs w:val="21"/>
                <w:lang w:bidi="zh-CN"/>
              </w:rPr>
              <w:t>（</w:t>
            </w:r>
            <w:r>
              <w:rPr>
                <w:rFonts w:hint="eastAsia" w:ascii="宋体" w:hAnsi="宋体" w:eastAsia="宋体" w:cs="宋体"/>
                <w:color w:val="auto"/>
                <w:sz w:val="21"/>
                <w:szCs w:val="21"/>
                <w:lang w:val="en-US" w:bidi="zh-CN"/>
              </w:rPr>
              <w:t>2</w:t>
            </w:r>
            <w:r>
              <w:rPr>
                <w:rFonts w:hint="eastAsia" w:ascii="宋体" w:hAnsi="宋体" w:eastAsia="宋体" w:cs="宋体"/>
                <w:color w:val="auto"/>
                <w:sz w:val="21"/>
                <w:szCs w:val="21"/>
                <w:lang w:bidi="zh-CN"/>
              </w:rPr>
              <w:t>）按时完工，连续施工承诺；关于项目建设实施阶段的工程进度控制、工程质量控制，项目建设过程中安全管理、文明及环境保护管理措施等内容的承诺；（</w:t>
            </w:r>
            <w:r>
              <w:rPr>
                <w:rFonts w:hint="eastAsia" w:hAnsi="宋体" w:cs="宋体"/>
                <w:color w:val="auto"/>
                <w:sz w:val="21"/>
                <w:szCs w:val="21"/>
                <w:lang w:val="en-US" w:bidi="zh-CN"/>
              </w:rPr>
              <w:t>1</w:t>
            </w:r>
            <w:r>
              <w:rPr>
                <w:rFonts w:hint="eastAsia" w:ascii="宋体" w:hAnsi="宋体" w:eastAsia="宋体" w:cs="宋体"/>
                <w:color w:val="auto"/>
                <w:sz w:val="21"/>
                <w:szCs w:val="21"/>
                <w:lang w:bidi="zh-CN"/>
              </w:rPr>
              <w:t>分）</w:t>
            </w:r>
          </w:p>
        </w:tc>
      </w:tr>
      <w:tr w14:paraId="18C6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30" w:type="dxa"/>
            <w:vMerge w:val="continue"/>
          </w:tcPr>
          <w:p w14:paraId="17BDE982">
            <w:pPr>
              <w:spacing w:line="440" w:lineRule="exact"/>
              <w:jc w:val="center"/>
              <w:rPr>
                <w:rFonts w:hint="eastAsia" w:ascii="宋体" w:hAnsi="宋体" w:eastAsia="宋体" w:cs="宋体"/>
                <w:sz w:val="21"/>
                <w:szCs w:val="21"/>
              </w:rPr>
            </w:pPr>
          </w:p>
        </w:tc>
        <w:tc>
          <w:tcPr>
            <w:tcW w:w="1230" w:type="dxa"/>
            <w:vMerge w:val="continue"/>
          </w:tcPr>
          <w:p w14:paraId="074DA32B">
            <w:pPr>
              <w:spacing w:line="440" w:lineRule="exact"/>
              <w:jc w:val="center"/>
              <w:rPr>
                <w:rFonts w:hint="eastAsia" w:ascii="宋体" w:hAnsi="宋体" w:eastAsia="宋体" w:cs="宋体"/>
                <w:sz w:val="21"/>
                <w:szCs w:val="21"/>
              </w:rPr>
            </w:pPr>
          </w:p>
        </w:tc>
        <w:tc>
          <w:tcPr>
            <w:tcW w:w="1727" w:type="dxa"/>
            <w:vMerge w:val="continue"/>
            <w:vAlign w:val="center"/>
          </w:tcPr>
          <w:p w14:paraId="7BB0FD61">
            <w:pPr>
              <w:snapToGrid w:val="0"/>
              <w:spacing w:line="380" w:lineRule="exact"/>
              <w:jc w:val="center"/>
              <w:rPr>
                <w:rFonts w:hint="eastAsia" w:ascii="宋体" w:hAnsi="宋体" w:eastAsia="宋体" w:cs="宋体"/>
                <w:sz w:val="21"/>
                <w:szCs w:val="21"/>
              </w:rPr>
            </w:pPr>
          </w:p>
        </w:tc>
        <w:tc>
          <w:tcPr>
            <w:tcW w:w="5598" w:type="dxa"/>
          </w:tcPr>
          <w:p w14:paraId="30C6C7E1">
            <w:pPr>
              <w:pStyle w:val="51"/>
              <w:spacing w:line="360" w:lineRule="auto"/>
              <w:rPr>
                <w:rFonts w:hint="eastAsia" w:ascii="宋体" w:hAnsi="宋体" w:eastAsia="宋体" w:cs="宋体"/>
                <w:b/>
                <w:bCs/>
                <w:color w:val="auto"/>
                <w:sz w:val="21"/>
                <w:szCs w:val="21"/>
                <w:lang w:val="en-US" w:bidi="zh-CN"/>
              </w:rPr>
            </w:pPr>
            <w:r>
              <w:rPr>
                <w:rFonts w:hint="eastAsia" w:ascii="宋体" w:hAnsi="宋体" w:eastAsia="宋体" w:cs="宋体"/>
                <w:color w:val="auto"/>
                <w:sz w:val="21"/>
                <w:szCs w:val="21"/>
                <w:lang w:bidi="zh-CN"/>
              </w:rPr>
              <w:t>（</w:t>
            </w:r>
            <w:r>
              <w:rPr>
                <w:rFonts w:hint="eastAsia" w:ascii="宋体" w:hAnsi="宋体" w:eastAsia="宋体" w:cs="宋体"/>
                <w:color w:val="auto"/>
                <w:sz w:val="21"/>
                <w:szCs w:val="21"/>
                <w:lang w:val="en-US" w:bidi="zh-CN"/>
              </w:rPr>
              <w:t>3</w:t>
            </w:r>
            <w:r>
              <w:rPr>
                <w:rFonts w:hint="eastAsia" w:ascii="宋体" w:hAnsi="宋体" w:eastAsia="宋体" w:cs="宋体"/>
                <w:color w:val="auto"/>
                <w:sz w:val="21"/>
                <w:szCs w:val="21"/>
                <w:lang w:bidi="zh-CN"/>
              </w:rPr>
              <w:t>）按时发放农民工工资，不能出现上访事件等，并提供承诺函；（</w:t>
            </w:r>
            <w:r>
              <w:rPr>
                <w:rFonts w:hint="eastAsia" w:hAnsi="宋体" w:cs="宋体"/>
                <w:color w:val="auto"/>
                <w:sz w:val="21"/>
                <w:szCs w:val="21"/>
                <w:lang w:val="en-US" w:bidi="zh-CN"/>
              </w:rPr>
              <w:t>1</w:t>
            </w:r>
            <w:r>
              <w:rPr>
                <w:rFonts w:hint="eastAsia" w:ascii="宋体" w:hAnsi="宋体" w:eastAsia="宋体" w:cs="宋体"/>
                <w:color w:val="auto"/>
                <w:sz w:val="21"/>
                <w:szCs w:val="21"/>
                <w:lang w:bidi="zh-CN"/>
              </w:rPr>
              <w:t>分）</w:t>
            </w:r>
          </w:p>
        </w:tc>
      </w:tr>
      <w:tr w14:paraId="3516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30" w:type="dxa"/>
            <w:vMerge w:val="continue"/>
          </w:tcPr>
          <w:p w14:paraId="71E090B0">
            <w:pPr>
              <w:spacing w:line="440" w:lineRule="exact"/>
              <w:jc w:val="center"/>
              <w:rPr>
                <w:rFonts w:hint="eastAsia" w:ascii="宋体" w:hAnsi="宋体" w:eastAsia="宋体" w:cs="宋体"/>
                <w:sz w:val="21"/>
                <w:szCs w:val="21"/>
              </w:rPr>
            </w:pPr>
          </w:p>
        </w:tc>
        <w:tc>
          <w:tcPr>
            <w:tcW w:w="1230" w:type="dxa"/>
            <w:vMerge w:val="continue"/>
          </w:tcPr>
          <w:p w14:paraId="61879C0A">
            <w:pPr>
              <w:spacing w:line="440" w:lineRule="exact"/>
              <w:jc w:val="center"/>
              <w:rPr>
                <w:rFonts w:hint="eastAsia" w:ascii="宋体" w:hAnsi="宋体" w:eastAsia="宋体" w:cs="宋体"/>
                <w:sz w:val="21"/>
                <w:szCs w:val="21"/>
              </w:rPr>
            </w:pPr>
          </w:p>
        </w:tc>
        <w:tc>
          <w:tcPr>
            <w:tcW w:w="1727" w:type="dxa"/>
            <w:vMerge w:val="continue"/>
            <w:vAlign w:val="center"/>
          </w:tcPr>
          <w:p w14:paraId="3D9CC703">
            <w:pPr>
              <w:snapToGrid w:val="0"/>
              <w:spacing w:line="380" w:lineRule="exact"/>
              <w:jc w:val="center"/>
              <w:rPr>
                <w:rFonts w:hint="eastAsia" w:ascii="宋体" w:hAnsi="宋体" w:eastAsia="宋体" w:cs="宋体"/>
                <w:sz w:val="21"/>
                <w:szCs w:val="21"/>
              </w:rPr>
            </w:pPr>
          </w:p>
        </w:tc>
        <w:tc>
          <w:tcPr>
            <w:tcW w:w="5598" w:type="dxa"/>
          </w:tcPr>
          <w:p w14:paraId="2B4285D2">
            <w:pPr>
              <w:pStyle w:val="51"/>
              <w:spacing w:line="360" w:lineRule="auto"/>
              <w:rPr>
                <w:rFonts w:hint="eastAsia" w:ascii="宋体" w:hAnsi="宋体" w:eastAsia="宋体" w:cs="宋体"/>
                <w:color w:val="auto"/>
                <w:sz w:val="21"/>
                <w:szCs w:val="21"/>
                <w:lang w:bidi="zh-CN"/>
              </w:rPr>
            </w:pPr>
            <w:r>
              <w:rPr>
                <w:rFonts w:hint="eastAsia" w:ascii="宋体" w:hAnsi="宋体" w:eastAsia="宋体" w:cs="宋体"/>
                <w:color w:val="auto"/>
                <w:sz w:val="21"/>
                <w:szCs w:val="21"/>
                <w:lang w:bidi="zh-CN"/>
              </w:rPr>
              <w:t>（</w:t>
            </w:r>
            <w:r>
              <w:rPr>
                <w:rFonts w:hint="eastAsia" w:ascii="宋体" w:hAnsi="宋体" w:eastAsia="宋体" w:cs="宋体"/>
                <w:color w:val="auto"/>
                <w:sz w:val="21"/>
                <w:szCs w:val="21"/>
                <w:lang w:val="en-US" w:bidi="zh-CN"/>
              </w:rPr>
              <w:t>4</w:t>
            </w:r>
            <w:r>
              <w:rPr>
                <w:rFonts w:hint="eastAsia" w:ascii="宋体" w:hAnsi="宋体" w:eastAsia="宋体" w:cs="宋体"/>
                <w:color w:val="auto"/>
                <w:sz w:val="21"/>
                <w:szCs w:val="21"/>
                <w:lang w:bidi="zh-CN"/>
              </w:rPr>
              <w:t>）具有配合招标人开展各项检查、审计等工作</w:t>
            </w:r>
            <w:r>
              <w:rPr>
                <w:rFonts w:hint="eastAsia" w:ascii="宋体" w:hAnsi="宋体" w:eastAsia="宋体" w:cs="宋体"/>
                <w:color w:val="auto"/>
                <w:sz w:val="21"/>
                <w:szCs w:val="21"/>
                <w:lang w:val="en-US" w:bidi="zh-CN"/>
              </w:rPr>
              <w:t>的承诺</w:t>
            </w:r>
            <w:r>
              <w:rPr>
                <w:rFonts w:hint="eastAsia" w:ascii="宋体" w:hAnsi="宋体" w:eastAsia="宋体" w:cs="宋体"/>
                <w:color w:val="auto"/>
                <w:sz w:val="21"/>
                <w:szCs w:val="21"/>
                <w:lang w:bidi="zh-CN"/>
              </w:rPr>
              <w:t>；（</w:t>
            </w:r>
            <w:r>
              <w:rPr>
                <w:rFonts w:hint="eastAsia" w:hAnsi="宋体" w:cs="宋体"/>
                <w:color w:val="auto"/>
                <w:sz w:val="21"/>
                <w:szCs w:val="21"/>
                <w:lang w:val="en-US" w:bidi="zh-CN"/>
              </w:rPr>
              <w:t>1</w:t>
            </w:r>
            <w:r>
              <w:rPr>
                <w:rFonts w:hint="eastAsia" w:ascii="宋体" w:hAnsi="宋体" w:eastAsia="宋体" w:cs="宋体"/>
                <w:color w:val="auto"/>
                <w:sz w:val="21"/>
                <w:szCs w:val="21"/>
                <w:lang w:bidi="zh-CN"/>
              </w:rPr>
              <w:t>分）</w:t>
            </w:r>
          </w:p>
          <w:p w14:paraId="263F2459">
            <w:pPr>
              <w:pStyle w:val="51"/>
              <w:spacing w:line="360" w:lineRule="auto"/>
              <w:rPr>
                <w:rFonts w:hint="eastAsia" w:ascii="宋体" w:hAnsi="宋体" w:eastAsia="宋体" w:cs="宋体"/>
                <w:sz w:val="21"/>
                <w:szCs w:val="21"/>
                <w:lang w:val="en-US"/>
              </w:rPr>
            </w:pPr>
            <w:r>
              <w:rPr>
                <w:rFonts w:hint="eastAsia" w:ascii="宋体" w:hAnsi="宋体" w:eastAsia="宋体" w:cs="宋体"/>
                <w:b/>
                <w:bCs/>
                <w:color w:val="auto"/>
                <w:sz w:val="21"/>
                <w:szCs w:val="21"/>
                <w:lang w:val="en-US" w:bidi="zh-CN"/>
              </w:rPr>
              <w:t>注：以上资料未提供不得分。</w:t>
            </w:r>
          </w:p>
        </w:tc>
      </w:tr>
      <w:tr w14:paraId="439E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30" w:type="dxa"/>
            <w:vMerge w:val="restart"/>
            <w:vAlign w:val="center"/>
          </w:tcPr>
          <w:p w14:paraId="49981D3A">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商务标2.2.3</w:t>
            </w:r>
          </w:p>
          <w:p w14:paraId="719B4680">
            <w:pPr>
              <w:spacing w:line="440" w:lineRule="exact"/>
              <w:jc w:val="center"/>
              <w:rPr>
                <w:rFonts w:hint="eastAsia" w:ascii="宋体" w:hAnsi="宋体" w:eastAsia="宋体" w:cs="宋体"/>
                <w:sz w:val="21"/>
                <w:szCs w:val="21"/>
              </w:rPr>
            </w:pPr>
          </w:p>
        </w:tc>
        <w:tc>
          <w:tcPr>
            <w:tcW w:w="2957" w:type="dxa"/>
            <w:gridSpan w:val="2"/>
            <w:vAlign w:val="center"/>
          </w:tcPr>
          <w:p w14:paraId="172891D5">
            <w:pPr>
              <w:snapToGrid w:val="0"/>
              <w:spacing w:line="380" w:lineRule="exact"/>
              <w:jc w:val="center"/>
              <w:rPr>
                <w:rFonts w:hint="eastAsia" w:ascii="宋体" w:hAnsi="宋体" w:eastAsia="宋体" w:cs="宋体"/>
                <w:sz w:val="21"/>
                <w:szCs w:val="21"/>
              </w:rPr>
            </w:pPr>
            <w:r>
              <w:rPr>
                <w:rFonts w:hint="eastAsia" w:ascii="宋体" w:hAnsi="宋体" w:eastAsia="宋体" w:cs="宋体"/>
                <w:sz w:val="21"/>
                <w:szCs w:val="21"/>
              </w:rPr>
              <w:t>评标基准价及偏差率的计算方法</w:t>
            </w:r>
          </w:p>
        </w:tc>
        <w:tc>
          <w:tcPr>
            <w:tcW w:w="5598" w:type="dxa"/>
          </w:tcPr>
          <w:p w14:paraId="61B5FDFD">
            <w:pPr>
              <w:pStyle w:val="51"/>
              <w:spacing w:line="360" w:lineRule="auto"/>
              <w:rPr>
                <w:rFonts w:hint="eastAsia" w:ascii="宋体" w:hAnsi="宋体" w:eastAsia="宋体" w:cs="宋体"/>
                <w:color w:val="auto"/>
                <w:sz w:val="21"/>
                <w:szCs w:val="21"/>
                <w:lang w:bidi="zh-CN"/>
              </w:rPr>
            </w:pPr>
            <w:r>
              <w:rPr>
                <w:rFonts w:hint="eastAsia" w:ascii="宋体" w:hAnsi="宋体" w:eastAsia="宋体" w:cs="宋体"/>
                <w:color w:val="auto"/>
                <w:sz w:val="21"/>
                <w:szCs w:val="21"/>
                <w:lang w:val="en-US" w:bidi="zh-CN"/>
              </w:rPr>
              <w:t>1.</w:t>
            </w:r>
            <w:r>
              <w:rPr>
                <w:rFonts w:hint="eastAsia" w:ascii="宋体" w:hAnsi="宋体" w:eastAsia="宋体" w:cs="宋体"/>
                <w:color w:val="auto"/>
                <w:sz w:val="21"/>
                <w:szCs w:val="21"/>
                <w:lang w:bidi="zh-CN"/>
              </w:rPr>
              <w:t>评标基准</w:t>
            </w:r>
            <w:r>
              <w:rPr>
                <w:rFonts w:hint="eastAsia" w:hAnsi="宋体" w:cs="宋体"/>
                <w:color w:val="auto"/>
                <w:sz w:val="21"/>
                <w:szCs w:val="21"/>
                <w:lang w:val="en-US" w:bidi="zh-CN"/>
              </w:rPr>
              <w:t>价</w:t>
            </w:r>
            <w:r>
              <w:rPr>
                <w:rFonts w:hint="eastAsia" w:ascii="宋体" w:hAnsi="宋体" w:eastAsia="宋体" w:cs="宋体"/>
                <w:color w:val="auto"/>
                <w:sz w:val="21"/>
                <w:szCs w:val="21"/>
                <w:lang w:bidi="zh-CN"/>
              </w:rPr>
              <w:t>=最高投标限价</w:t>
            </w:r>
            <w:r>
              <w:rPr>
                <w:rFonts w:hint="eastAsia" w:hAnsi="宋体" w:cs="宋体"/>
                <w:color w:val="auto"/>
                <w:sz w:val="21"/>
                <w:szCs w:val="21"/>
                <w:lang w:bidi="zh-CN"/>
              </w:rPr>
              <w:t>（</w:t>
            </w:r>
            <w:r>
              <w:rPr>
                <w:rFonts w:hint="eastAsia" w:hAnsi="宋体" w:cs="宋体"/>
                <w:color w:val="auto"/>
                <w:sz w:val="21"/>
                <w:szCs w:val="21"/>
                <w:lang w:val="en-US" w:bidi="zh-CN"/>
              </w:rPr>
              <w:t>招标控制价）</w:t>
            </w:r>
            <w:r>
              <w:rPr>
                <w:rFonts w:hint="eastAsia" w:ascii="宋体" w:hAnsi="宋体" w:eastAsia="宋体" w:cs="宋体"/>
                <w:color w:val="auto"/>
                <w:sz w:val="21"/>
                <w:szCs w:val="21"/>
                <w:lang w:bidi="zh-CN"/>
              </w:rPr>
              <w:t>×50%+所有</w:t>
            </w:r>
            <w:r>
              <w:rPr>
                <w:rFonts w:hint="eastAsia" w:ascii="宋体" w:hAnsi="宋体" w:eastAsia="宋体" w:cs="宋体"/>
                <w:color w:val="auto"/>
                <w:sz w:val="21"/>
                <w:szCs w:val="21"/>
                <w:lang w:val="en-US" w:bidi="zh-CN"/>
              </w:rPr>
              <w:t>有效投标</w:t>
            </w:r>
            <w:r>
              <w:rPr>
                <w:rFonts w:hint="eastAsia" w:hAnsi="宋体" w:cs="宋体"/>
                <w:color w:val="auto"/>
                <w:sz w:val="21"/>
                <w:szCs w:val="21"/>
                <w:lang w:val="en-US" w:bidi="zh-CN"/>
              </w:rPr>
              <w:t>总</w:t>
            </w:r>
            <w:r>
              <w:rPr>
                <w:rFonts w:hint="eastAsia" w:ascii="宋体" w:hAnsi="宋体" w:eastAsia="宋体" w:cs="宋体"/>
                <w:color w:val="auto"/>
                <w:sz w:val="21"/>
                <w:szCs w:val="21"/>
                <w:lang w:bidi="zh-CN"/>
              </w:rPr>
              <w:t>报价的算术平均值（有效投标人数量在五家（不含五家）以上的，去掉一个最高报价和一个最低报价后的算术平均值）×50%。</w:t>
            </w:r>
          </w:p>
          <w:p w14:paraId="54AF43FF">
            <w:pPr>
              <w:pStyle w:val="51"/>
              <w:numPr>
                <w:ilvl w:val="0"/>
                <w:numId w:val="0"/>
              </w:numPr>
              <w:spacing w:line="360" w:lineRule="auto"/>
              <w:rPr>
                <w:rFonts w:hint="eastAsia" w:ascii="宋体" w:hAnsi="宋体" w:eastAsia="宋体" w:cs="宋体"/>
                <w:sz w:val="21"/>
                <w:szCs w:val="21"/>
              </w:rPr>
            </w:pPr>
            <w:r>
              <w:rPr>
                <w:rFonts w:hint="eastAsia" w:ascii="宋体" w:hAnsi="宋体" w:eastAsia="宋体" w:cs="宋体"/>
                <w:color w:val="auto"/>
                <w:sz w:val="21"/>
                <w:szCs w:val="21"/>
                <w:lang w:val="en-US" w:bidi="zh-CN"/>
              </w:rPr>
              <w:t>2.</w:t>
            </w:r>
            <w:r>
              <w:rPr>
                <w:rFonts w:hint="eastAsia" w:ascii="宋体" w:hAnsi="宋体" w:eastAsia="宋体" w:cs="宋体"/>
                <w:color w:val="auto"/>
                <w:sz w:val="21"/>
                <w:szCs w:val="21"/>
                <w:lang w:bidi="zh-CN"/>
              </w:rPr>
              <w:t>偏差率=100%×（投标人有效投标</w:t>
            </w:r>
            <w:r>
              <w:rPr>
                <w:rFonts w:hint="eastAsia" w:hAnsi="宋体" w:cs="宋体"/>
                <w:color w:val="auto"/>
                <w:sz w:val="21"/>
                <w:szCs w:val="21"/>
                <w:lang w:val="en-US" w:bidi="zh-CN"/>
              </w:rPr>
              <w:t>总</w:t>
            </w:r>
            <w:r>
              <w:rPr>
                <w:rFonts w:hint="eastAsia" w:ascii="宋体" w:hAnsi="宋体" w:eastAsia="宋体" w:cs="宋体"/>
                <w:color w:val="auto"/>
                <w:sz w:val="21"/>
                <w:szCs w:val="21"/>
                <w:lang w:bidi="zh-CN"/>
              </w:rPr>
              <w:t>报价－评标基准价）/评标基准价</w:t>
            </w:r>
          </w:p>
        </w:tc>
      </w:tr>
      <w:tr w14:paraId="153B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30" w:type="dxa"/>
            <w:vMerge w:val="continue"/>
            <w:vAlign w:val="center"/>
          </w:tcPr>
          <w:p w14:paraId="26DC26FB">
            <w:pPr>
              <w:spacing w:line="440" w:lineRule="exact"/>
              <w:jc w:val="center"/>
              <w:rPr>
                <w:rFonts w:hint="eastAsia" w:ascii="宋体" w:hAnsi="宋体" w:eastAsia="宋体" w:cs="宋体"/>
                <w:sz w:val="21"/>
                <w:szCs w:val="21"/>
              </w:rPr>
            </w:pPr>
          </w:p>
        </w:tc>
        <w:tc>
          <w:tcPr>
            <w:tcW w:w="2957" w:type="dxa"/>
            <w:gridSpan w:val="2"/>
            <w:vAlign w:val="center"/>
          </w:tcPr>
          <w:p w14:paraId="1198B220">
            <w:pPr>
              <w:pStyle w:val="14"/>
              <w:widowControl/>
              <w:wordWrap w:val="0"/>
              <w:spacing w:before="0" w:beforeAutospacing="0" w:after="0" w:afterAutospacing="0"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w:t>
            </w:r>
          </w:p>
          <w:p w14:paraId="7BEB10AE">
            <w:pPr>
              <w:pStyle w:val="14"/>
              <w:widowControl/>
              <w:wordWrap w:val="0"/>
              <w:spacing w:before="0" w:beforeAutospacing="0" w:after="0" w:afterAutospacing="0" w:line="440" w:lineRule="exact"/>
              <w:jc w:val="center"/>
              <w:rPr>
                <w:rFonts w:hint="eastAsia" w:ascii="宋体" w:hAnsi="宋体" w:eastAsia="宋体" w:cs="宋体"/>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u w:val="none"/>
              </w:rPr>
              <w:t>0</w:t>
            </w:r>
            <w:r>
              <w:rPr>
                <w:rFonts w:hint="eastAsia" w:ascii="宋体" w:hAnsi="宋体" w:eastAsia="宋体" w:cs="宋体"/>
                <w:color w:val="auto"/>
                <w:sz w:val="21"/>
                <w:szCs w:val="21"/>
              </w:rPr>
              <w:t>分）</w:t>
            </w:r>
          </w:p>
        </w:tc>
        <w:tc>
          <w:tcPr>
            <w:tcW w:w="5598" w:type="dxa"/>
            <w:vAlign w:val="center"/>
          </w:tcPr>
          <w:p w14:paraId="27FAAC4E">
            <w:pPr>
              <w:wordWrap w:val="0"/>
              <w:adjustRightInd w:val="0"/>
              <w:snapToGrid w:val="0"/>
              <w:spacing w:line="440" w:lineRule="exact"/>
              <w:jc w:val="left"/>
              <w:rPr>
                <w:rFonts w:hint="eastAsia" w:ascii="宋体" w:hAnsi="宋体" w:eastAsia="宋体" w:cs="宋体"/>
                <w:b w:val="0"/>
                <w:bCs w:val="0"/>
                <w:color w:val="auto"/>
                <w:sz w:val="21"/>
                <w:szCs w:val="21"/>
                <w:lang w:val="en-US" w:bidi="zh-CN"/>
              </w:rPr>
            </w:pPr>
            <w:r>
              <w:rPr>
                <w:rFonts w:hint="eastAsia" w:ascii="宋体" w:hAnsi="宋体" w:eastAsia="宋体" w:cs="宋体"/>
                <w:b w:val="0"/>
                <w:bCs w:val="0"/>
                <w:color w:val="auto"/>
                <w:sz w:val="21"/>
                <w:szCs w:val="21"/>
                <w:lang w:val="en-US" w:bidi="zh-CN"/>
              </w:rPr>
              <w:t>（1）当投标人投标</w:t>
            </w:r>
            <w:r>
              <w:rPr>
                <w:rFonts w:hint="eastAsia" w:ascii="宋体" w:hAnsi="宋体" w:cs="宋体"/>
                <w:b w:val="0"/>
                <w:bCs w:val="0"/>
                <w:color w:val="auto"/>
                <w:sz w:val="21"/>
                <w:szCs w:val="21"/>
                <w:lang w:val="en-US" w:bidi="zh-CN"/>
              </w:rPr>
              <w:t>总</w:t>
            </w:r>
            <w:r>
              <w:rPr>
                <w:rFonts w:hint="eastAsia" w:ascii="宋体" w:hAnsi="宋体" w:eastAsia="宋体" w:cs="宋体"/>
                <w:b w:val="0"/>
                <w:bCs w:val="0"/>
                <w:color w:val="auto"/>
                <w:sz w:val="21"/>
                <w:szCs w:val="21"/>
                <w:lang w:val="en-US" w:bidi="zh-CN"/>
              </w:rPr>
              <w:t>报价等于评标基准价时，得基本分40分；</w:t>
            </w:r>
          </w:p>
          <w:p w14:paraId="7C607B3A">
            <w:pPr>
              <w:wordWrap w:val="0"/>
              <w:adjustRightInd w:val="0"/>
              <w:snapToGrid w:val="0"/>
              <w:spacing w:line="440" w:lineRule="exact"/>
              <w:jc w:val="left"/>
              <w:rPr>
                <w:rFonts w:hint="eastAsia" w:ascii="宋体" w:hAnsi="宋体" w:eastAsia="宋体" w:cs="宋体"/>
                <w:b w:val="0"/>
                <w:bCs w:val="0"/>
                <w:color w:val="auto"/>
                <w:sz w:val="21"/>
                <w:szCs w:val="21"/>
                <w:lang w:val="en-US" w:bidi="zh-CN"/>
              </w:rPr>
            </w:pPr>
            <w:r>
              <w:rPr>
                <w:rFonts w:hint="eastAsia" w:ascii="宋体" w:hAnsi="宋体" w:eastAsia="宋体" w:cs="宋体"/>
                <w:b w:val="0"/>
                <w:bCs w:val="0"/>
                <w:color w:val="auto"/>
                <w:sz w:val="21"/>
                <w:szCs w:val="21"/>
                <w:lang w:val="en-US" w:bidi="zh-CN"/>
              </w:rPr>
              <w:t>（2）当投标人投标</w:t>
            </w:r>
            <w:r>
              <w:rPr>
                <w:rFonts w:hint="eastAsia" w:ascii="宋体" w:hAnsi="宋体" w:cs="宋体"/>
                <w:b w:val="0"/>
                <w:bCs w:val="0"/>
                <w:color w:val="auto"/>
                <w:sz w:val="21"/>
                <w:szCs w:val="21"/>
                <w:lang w:val="en-US" w:bidi="zh-CN"/>
              </w:rPr>
              <w:t>总</w:t>
            </w:r>
            <w:r>
              <w:rPr>
                <w:rFonts w:hint="eastAsia" w:ascii="宋体" w:hAnsi="宋体" w:eastAsia="宋体" w:cs="宋体"/>
                <w:b w:val="0"/>
                <w:bCs w:val="0"/>
                <w:color w:val="auto"/>
                <w:sz w:val="21"/>
                <w:szCs w:val="21"/>
                <w:lang w:val="en-US" w:bidi="zh-CN"/>
              </w:rPr>
              <w:t>报价低于评标基准价时，每低1%在基本分40分基础上加2分，最高加10分；当投标</w:t>
            </w:r>
            <w:r>
              <w:rPr>
                <w:rFonts w:hint="eastAsia" w:ascii="宋体" w:hAnsi="宋体" w:cs="宋体"/>
                <w:b w:val="0"/>
                <w:bCs w:val="0"/>
                <w:color w:val="auto"/>
                <w:sz w:val="21"/>
                <w:szCs w:val="21"/>
                <w:lang w:val="en-US" w:bidi="zh-CN"/>
              </w:rPr>
              <w:t>总</w:t>
            </w:r>
            <w:r>
              <w:rPr>
                <w:rFonts w:hint="eastAsia" w:ascii="宋体" w:hAnsi="宋体" w:eastAsia="宋体" w:cs="宋体"/>
                <w:b w:val="0"/>
                <w:bCs w:val="0"/>
                <w:color w:val="auto"/>
                <w:sz w:val="21"/>
                <w:szCs w:val="21"/>
                <w:lang w:val="en-US" w:bidi="zh-CN"/>
              </w:rPr>
              <w:t>报价低于评标基准价5%以上（不含5%）时，每再低1%范围内在满分50分的基础上扣2分，扣完为止；</w:t>
            </w:r>
          </w:p>
          <w:p w14:paraId="26A182A7">
            <w:pPr>
              <w:wordWrap w:val="0"/>
              <w:adjustRightInd w:val="0"/>
              <w:snapToGrid w:val="0"/>
              <w:spacing w:line="440" w:lineRule="exact"/>
              <w:jc w:val="left"/>
              <w:rPr>
                <w:rFonts w:hint="eastAsia" w:ascii="宋体" w:hAnsi="宋体" w:eastAsia="宋体" w:cs="宋体"/>
                <w:b w:val="0"/>
                <w:bCs w:val="0"/>
                <w:color w:val="auto"/>
                <w:sz w:val="21"/>
                <w:szCs w:val="21"/>
                <w:lang w:val="en-US" w:bidi="zh-CN"/>
              </w:rPr>
            </w:pPr>
            <w:r>
              <w:rPr>
                <w:rFonts w:hint="eastAsia" w:ascii="宋体" w:hAnsi="宋体" w:eastAsia="宋体" w:cs="宋体"/>
                <w:b w:val="0"/>
                <w:bCs w:val="0"/>
                <w:color w:val="auto"/>
                <w:sz w:val="21"/>
                <w:szCs w:val="21"/>
                <w:lang w:val="en-US" w:bidi="zh-CN"/>
              </w:rPr>
              <w:t>（3）当投标人投标</w:t>
            </w:r>
            <w:r>
              <w:rPr>
                <w:rFonts w:hint="eastAsia" w:ascii="宋体" w:hAnsi="宋体" w:cs="宋体"/>
                <w:b w:val="0"/>
                <w:bCs w:val="0"/>
                <w:color w:val="auto"/>
                <w:sz w:val="21"/>
                <w:szCs w:val="21"/>
                <w:lang w:val="en-US" w:bidi="zh-CN"/>
              </w:rPr>
              <w:t>总</w:t>
            </w:r>
            <w:r>
              <w:rPr>
                <w:rFonts w:hint="eastAsia" w:ascii="宋体" w:hAnsi="宋体" w:eastAsia="宋体" w:cs="宋体"/>
                <w:b w:val="0"/>
                <w:bCs w:val="0"/>
                <w:color w:val="auto"/>
                <w:sz w:val="21"/>
                <w:szCs w:val="21"/>
                <w:lang w:val="en-US" w:bidi="zh-CN"/>
              </w:rPr>
              <w:t>报价高于评标基准价时，每高1%，在基本分40分基础上扣2分，扣完为止。</w:t>
            </w:r>
          </w:p>
          <w:p w14:paraId="2963CCA3">
            <w:pPr>
              <w:wordWrap w:val="0"/>
              <w:adjustRightInd w:val="0"/>
              <w:snapToGrid w:val="0"/>
              <w:spacing w:line="440" w:lineRule="exact"/>
              <w:jc w:val="left"/>
              <w:rPr>
                <w:rFonts w:hint="eastAsia" w:ascii="宋体" w:hAnsi="宋体" w:eastAsia="宋体" w:cs="宋体"/>
                <w:b/>
                <w:bCs/>
                <w:color w:val="auto"/>
                <w:sz w:val="21"/>
                <w:szCs w:val="21"/>
                <w:lang w:val="en-US" w:bidi="zh-CN"/>
              </w:rPr>
            </w:pPr>
            <w:r>
              <w:rPr>
                <w:rFonts w:hint="eastAsia" w:ascii="宋体" w:hAnsi="宋体" w:eastAsia="宋体" w:cs="宋体"/>
                <w:b/>
                <w:bCs/>
                <w:color w:val="auto"/>
                <w:sz w:val="21"/>
                <w:szCs w:val="21"/>
                <w:lang w:val="en-US" w:bidi="zh-CN"/>
              </w:rPr>
              <w:t>注：按偏差率±1%的比例计算投标</w:t>
            </w:r>
            <w:r>
              <w:rPr>
                <w:rFonts w:hint="eastAsia" w:ascii="宋体" w:hAnsi="宋体" w:cs="宋体"/>
                <w:b/>
                <w:bCs/>
                <w:color w:val="auto"/>
                <w:sz w:val="21"/>
                <w:szCs w:val="21"/>
                <w:lang w:val="en-US" w:bidi="zh-CN"/>
              </w:rPr>
              <w:t>总</w:t>
            </w:r>
            <w:r>
              <w:rPr>
                <w:rFonts w:hint="eastAsia" w:ascii="宋体" w:hAnsi="宋体" w:eastAsia="宋体" w:cs="宋体"/>
                <w:b/>
                <w:bCs/>
                <w:color w:val="auto"/>
                <w:sz w:val="21"/>
                <w:szCs w:val="21"/>
                <w:lang w:val="en-US" w:bidi="zh-CN"/>
              </w:rPr>
              <w:t>报价得分，评分计算最终保留两位小数（第三位四舍五入）。</w:t>
            </w:r>
          </w:p>
        </w:tc>
      </w:tr>
    </w:tbl>
    <w:p w14:paraId="20D6DDED">
      <w:pPr>
        <w:rPr>
          <w:rFonts w:hint="eastAsia" w:ascii="宋体" w:hAnsi="宋体" w:eastAsia="宋体" w:cs="宋体"/>
          <w:color w:val="auto"/>
          <w:sz w:val="21"/>
          <w:szCs w:val="21"/>
        </w:rPr>
      </w:pPr>
      <w:r>
        <w:rPr>
          <w:rFonts w:hint="eastAsia" w:ascii="宋体" w:hAnsi="宋体" w:eastAsia="宋体" w:cs="宋体"/>
          <w:b/>
          <w:bCs/>
          <w:color w:val="auto"/>
          <w:sz w:val="21"/>
          <w:szCs w:val="21"/>
        </w:rPr>
        <w:t>1.评标方法</w:t>
      </w:r>
      <w:bookmarkStart w:id="165" w:name="_Toc251767414"/>
      <w:bookmarkStart w:id="166" w:name="_Toc191983639"/>
      <w:bookmarkStart w:id="167" w:name="_Toc27118"/>
    </w:p>
    <w:p w14:paraId="31D3BB8F">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本次评标采用综合评估法。评标委员会对满足招标文件实质性要求的投标文件，按照本章附表2规定的评分标准进行打分，并按得分由高到低顺序推荐不标明排序的中标候选人，但投标</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报价低于其成本的除外。第三章“评标办法”没有规定的方法、评审因素和标准，不作为评标依据。</w:t>
      </w:r>
    </w:p>
    <w:p w14:paraId="6E0C9BB2">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中标候选人排序方法：当有效投标人数量大于10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含</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家，将综合得分前10名的有效投标人推荐为中标候选人。如遇投标人综合得分及排序相等时，则以评标报价低的优先；评标报价也相等的，由招标人自行确定；当有效投标人数量为3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含</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不含</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家，将有效投标人全部推荐为中标候选人；当有效投标人数量不足3家时，应当重新招标。</w:t>
      </w:r>
    </w:p>
    <w:p w14:paraId="74BDEA41">
      <w:pPr>
        <w:pStyle w:val="2"/>
        <w:tabs>
          <w:tab w:val="left" w:pos="425"/>
        </w:tabs>
        <w:spacing w:before="0" w:after="0" w:line="500" w:lineRule="exact"/>
        <w:rPr>
          <w:rFonts w:hint="eastAsia" w:ascii="宋体" w:hAnsi="宋体" w:eastAsia="宋体" w:cs="宋体"/>
          <w:color w:val="auto"/>
          <w:sz w:val="21"/>
          <w:szCs w:val="21"/>
        </w:rPr>
      </w:pPr>
      <w:bookmarkStart w:id="168" w:name="_Toc528051241"/>
      <w:bookmarkStart w:id="169" w:name="_Toc15172"/>
      <w:bookmarkStart w:id="170" w:name="_Toc528057102"/>
      <w:bookmarkStart w:id="171" w:name="_Toc24053"/>
      <w:bookmarkStart w:id="172" w:name="_Toc4468"/>
      <w:bookmarkStart w:id="173" w:name="_Toc2845"/>
      <w:bookmarkStart w:id="174" w:name="_Toc31611"/>
      <w:bookmarkStart w:id="175" w:name="_Toc16860"/>
      <w:bookmarkStart w:id="176" w:name="_Toc24231"/>
      <w:bookmarkStart w:id="177" w:name="_Toc5086"/>
      <w:bookmarkStart w:id="178" w:name="_Toc11275"/>
      <w:bookmarkStart w:id="179" w:name="_Toc268"/>
      <w:bookmarkStart w:id="180" w:name="_Toc15552"/>
      <w:bookmarkStart w:id="181" w:name="_Toc524622325"/>
      <w:bookmarkStart w:id="182" w:name="_Toc380053215"/>
      <w:r>
        <w:rPr>
          <w:rFonts w:hint="eastAsia" w:ascii="宋体" w:hAnsi="宋体" w:eastAsia="宋体" w:cs="宋体"/>
          <w:color w:val="auto"/>
          <w:sz w:val="21"/>
          <w:szCs w:val="21"/>
        </w:rPr>
        <w:t>2.评审标准</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34D0C3B6">
      <w:pPr>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2.1 初步评审标准</w:t>
      </w:r>
    </w:p>
    <w:p w14:paraId="47F0FFF3">
      <w:pPr>
        <w:spacing w:line="500" w:lineRule="exact"/>
        <w:ind w:firstLine="420" w:firstLineChars="200"/>
        <w:rPr>
          <w:rFonts w:hint="eastAsia" w:ascii="宋体" w:hAnsi="宋体" w:eastAsia="宋体" w:cs="宋体"/>
          <w:color w:val="auto"/>
          <w:sz w:val="21"/>
          <w:szCs w:val="21"/>
        </w:rPr>
      </w:pPr>
      <w:bookmarkStart w:id="183" w:name="_Toc565672312"/>
      <w:r>
        <w:rPr>
          <w:rFonts w:hint="eastAsia" w:ascii="宋体" w:hAnsi="宋体" w:eastAsia="宋体" w:cs="宋体"/>
          <w:color w:val="auto"/>
          <w:sz w:val="21"/>
          <w:szCs w:val="21"/>
        </w:rPr>
        <w:t>2.1.1 形式评审标准：见评标办法前附表；</w:t>
      </w:r>
    </w:p>
    <w:p w14:paraId="0397D729">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2.1.2 资格评审标准：</w:t>
      </w:r>
      <w:r>
        <w:rPr>
          <w:rFonts w:hint="eastAsia" w:ascii="宋体" w:hAnsi="宋体" w:eastAsia="宋体" w:cs="宋体"/>
          <w:color w:val="auto"/>
          <w:sz w:val="21"/>
          <w:szCs w:val="21"/>
          <w:lang w:eastAsia="zh-CN"/>
        </w:rPr>
        <w:t>见评标办法前附表</w:t>
      </w:r>
      <w:r>
        <w:rPr>
          <w:rFonts w:hint="eastAsia" w:ascii="宋体" w:hAnsi="宋体" w:eastAsia="宋体" w:cs="宋体"/>
          <w:color w:val="auto"/>
          <w:sz w:val="21"/>
          <w:szCs w:val="21"/>
        </w:rPr>
        <w:t>；</w:t>
      </w:r>
    </w:p>
    <w:p w14:paraId="7325F71D">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2.1.3 响应性评审标准：</w:t>
      </w:r>
      <w:r>
        <w:rPr>
          <w:rFonts w:hint="eastAsia" w:ascii="宋体" w:hAnsi="宋体" w:eastAsia="宋体" w:cs="宋体"/>
          <w:color w:val="auto"/>
          <w:sz w:val="21"/>
          <w:szCs w:val="21"/>
          <w:lang w:eastAsia="zh-CN"/>
        </w:rPr>
        <w:t>见评标办法前附表</w:t>
      </w:r>
      <w:r>
        <w:rPr>
          <w:rFonts w:hint="eastAsia" w:ascii="宋体" w:hAnsi="宋体" w:eastAsia="宋体" w:cs="宋体"/>
          <w:color w:val="auto"/>
          <w:sz w:val="21"/>
          <w:szCs w:val="21"/>
        </w:rPr>
        <w:t>；</w:t>
      </w:r>
    </w:p>
    <w:p w14:paraId="12860EB8">
      <w:pPr>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 xml:space="preserve">2.2 </w:t>
      </w:r>
      <w:bookmarkEnd w:id="183"/>
      <w:r>
        <w:rPr>
          <w:rFonts w:hint="eastAsia" w:ascii="宋体" w:hAnsi="宋体" w:eastAsia="宋体" w:cs="宋体"/>
          <w:b/>
          <w:bCs/>
          <w:color w:val="auto"/>
          <w:sz w:val="21"/>
          <w:szCs w:val="21"/>
          <w:lang w:eastAsia="zh-CN"/>
        </w:rPr>
        <w:t>详细</w:t>
      </w:r>
      <w:r>
        <w:rPr>
          <w:rFonts w:hint="eastAsia" w:ascii="宋体" w:hAnsi="宋体" w:eastAsia="宋体" w:cs="宋体"/>
          <w:b/>
          <w:bCs/>
          <w:color w:val="auto"/>
          <w:sz w:val="21"/>
          <w:szCs w:val="21"/>
        </w:rPr>
        <w:t>评审标准</w:t>
      </w:r>
    </w:p>
    <w:p w14:paraId="57663D7D">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2.2.</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评标基准价计算</w:t>
      </w:r>
    </w:p>
    <w:p w14:paraId="3948442F">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评标基准价计算方法：</w:t>
      </w:r>
      <w:r>
        <w:rPr>
          <w:rFonts w:hint="eastAsia" w:ascii="宋体" w:hAnsi="宋体" w:eastAsia="宋体" w:cs="宋体"/>
          <w:color w:val="auto"/>
          <w:sz w:val="21"/>
          <w:szCs w:val="21"/>
          <w:lang w:eastAsia="zh-CN"/>
        </w:rPr>
        <w:t>见评标办法前附表</w:t>
      </w:r>
      <w:r>
        <w:rPr>
          <w:rFonts w:hint="eastAsia" w:ascii="宋体" w:hAnsi="宋体" w:eastAsia="宋体" w:cs="宋体"/>
          <w:color w:val="auto"/>
          <w:sz w:val="21"/>
          <w:szCs w:val="21"/>
        </w:rPr>
        <w:t>；</w:t>
      </w:r>
    </w:p>
    <w:p w14:paraId="6C2F6ABA">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2.2.</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评标报价的偏差率计算</w:t>
      </w:r>
    </w:p>
    <w:p w14:paraId="2F3A8499">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评标报价的偏差率计算办法：</w:t>
      </w:r>
      <w:r>
        <w:rPr>
          <w:rFonts w:hint="eastAsia" w:ascii="宋体" w:hAnsi="宋体" w:eastAsia="宋体" w:cs="宋体"/>
          <w:color w:val="auto"/>
          <w:sz w:val="21"/>
          <w:szCs w:val="21"/>
          <w:lang w:eastAsia="zh-CN"/>
        </w:rPr>
        <w:t>见评标办法前附表</w:t>
      </w:r>
      <w:r>
        <w:rPr>
          <w:rFonts w:hint="eastAsia" w:ascii="宋体" w:hAnsi="宋体" w:eastAsia="宋体" w:cs="宋体"/>
          <w:color w:val="auto"/>
          <w:sz w:val="21"/>
          <w:szCs w:val="21"/>
        </w:rPr>
        <w:t>；</w:t>
      </w:r>
    </w:p>
    <w:p w14:paraId="5EF37255">
      <w:pPr>
        <w:spacing w:line="5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2.2.</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评分标准：</w:t>
      </w:r>
      <w:r>
        <w:rPr>
          <w:rFonts w:hint="eastAsia" w:ascii="宋体" w:hAnsi="宋体" w:eastAsia="宋体" w:cs="宋体"/>
          <w:color w:val="auto"/>
          <w:sz w:val="21"/>
          <w:szCs w:val="21"/>
          <w:lang w:eastAsia="zh-CN"/>
        </w:rPr>
        <w:t>见评标办法前附表</w:t>
      </w:r>
      <w:r>
        <w:rPr>
          <w:rFonts w:hint="eastAsia" w:ascii="宋体" w:hAnsi="宋体" w:eastAsia="宋体" w:cs="宋体"/>
          <w:color w:val="auto"/>
          <w:sz w:val="21"/>
          <w:szCs w:val="21"/>
        </w:rPr>
        <w:t>；</w:t>
      </w:r>
    </w:p>
    <w:p w14:paraId="360548B5">
      <w:pPr>
        <w:pStyle w:val="2"/>
        <w:tabs>
          <w:tab w:val="left" w:pos="425"/>
        </w:tabs>
        <w:spacing w:before="0" w:after="0" w:line="500" w:lineRule="exact"/>
        <w:rPr>
          <w:rFonts w:hint="eastAsia" w:ascii="宋体" w:hAnsi="宋体" w:eastAsia="宋体" w:cs="宋体"/>
          <w:color w:val="auto"/>
          <w:sz w:val="21"/>
          <w:szCs w:val="21"/>
        </w:rPr>
      </w:pPr>
      <w:bookmarkStart w:id="184" w:name="_Toc27895"/>
      <w:bookmarkStart w:id="185" w:name="_Toc15162"/>
      <w:bookmarkStart w:id="186" w:name="_Toc32697"/>
      <w:bookmarkStart w:id="187" w:name="_Toc32717"/>
      <w:bookmarkStart w:id="188" w:name="_Toc12521"/>
      <w:bookmarkStart w:id="189" w:name="_Toc380053216"/>
      <w:bookmarkStart w:id="190" w:name="_Toc21299"/>
      <w:bookmarkStart w:id="191" w:name="_Toc251767415"/>
      <w:bookmarkStart w:id="192" w:name="_Toc528051242"/>
      <w:bookmarkStart w:id="193" w:name="_Toc12945"/>
      <w:bookmarkStart w:id="194" w:name="_Toc23756"/>
      <w:bookmarkStart w:id="195" w:name="_Toc7394"/>
      <w:bookmarkStart w:id="196" w:name="_Toc31315"/>
      <w:bookmarkStart w:id="197" w:name="_Toc528057103"/>
      <w:bookmarkStart w:id="198" w:name="_Toc191983640"/>
      <w:bookmarkStart w:id="199" w:name="_Toc4342"/>
      <w:bookmarkStart w:id="200" w:name="_Toc11960"/>
      <w:bookmarkStart w:id="201" w:name="_Toc524622326"/>
      <w:r>
        <w:rPr>
          <w:rFonts w:hint="eastAsia" w:ascii="宋体" w:hAnsi="宋体" w:eastAsia="宋体" w:cs="宋体"/>
          <w:color w:val="auto"/>
          <w:sz w:val="21"/>
          <w:szCs w:val="21"/>
        </w:rPr>
        <w:t>3.评标程序</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03C3195B">
      <w:pPr>
        <w:spacing w:line="5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3.1初步评审</w:t>
      </w:r>
    </w:p>
    <w:p w14:paraId="00B6D5B3">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3.1.1 评标委员会依据本章第2.1.1项、第2.1.2项、第2.1.3项规定的评审标准对投标文件进行初步评审。有一项不符合评审标准的，评标委员会应当否决其投标。</w:t>
      </w:r>
    </w:p>
    <w:p w14:paraId="68919E2C">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3.1.2 投标人有以下情形之一的，评标委员会应当否决其投标：</w:t>
      </w:r>
    </w:p>
    <w:p w14:paraId="5FE6FFE4">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（1）投标文件没有对招标文件的实质性要求和条件作出响应，或者对招标文件的偏差超出招标文件规定的偏差范围或最高项数；</w:t>
      </w:r>
    </w:p>
    <w:p w14:paraId="1B0D3926">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（2）串通投标或弄虚作假或有其他违法行为的；</w:t>
      </w:r>
    </w:p>
    <w:p w14:paraId="655638C6">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（3）不按评标委员会要求澄清、说明或补正的；</w:t>
      </w:r>
    </w:p>
    <w:p w14:paraId="37CCF931">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（4）投标</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报价超出</w:t>
      </w:r>
      <w:r>
        <w:rPr>
          <w:rFonts w:hint="eastAsia" w:ascii="宋体" w:hAnsi="宋体" w:eastAsia="宋体" w:cs="宋体"/>
          <w:color w:val="auto"/>
          <w:sz w:val="21"/>
          <w:szCs w:val="21"/>
          <w:lang w:eastAsia="zh-CN"/>
        </w:rPr>
        <w:t>最高投标限价</w:t>
      </w:r>
      <w:r>
        <w:rPr>
          <w:rFonts w:hint="eastAsia" w:ascii="宋体" w:hAnsi="宋体" w:eastAsia="宋体" w:cs="宋体"/>
          <w:color w:val="auto"/>
          <w:sz w:val="21"/>
          <w:szCs w:val="21"/>
        </w:rPr>
        <w:t>的；</w:t>
      </w:r>
    </w:p>
    <w:p w14:paraId="4D80B0E8">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（5）投标文件未按规定的格式填写，内容不全或关键字迹模糊、无法辨认的；</w:t>
      </w:r>
    </w:p>
    <w:p w14:paraId="5D0F8188">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（6）投标人一个标段递交两份或多份内容不同的投标文件，或在一份投标文件中对同一招标项目报有两个或多个报价，且未声明哪一个有效的；</w:t>
      </w:r>
    </w:p>
    <w:p w14:paraId="36E922A9">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（7）不符合招标文件中规定的</w:t>
      </w:r>
      <w:r>
        <w:rPr>
          <w:rFonts w:hint="eastAsia" w:ascii="宋体" w:hAnsi="宋体" w:eastAsia="宋体" w:cs="宋体"/>
          <w:color w:val="auto"/>
          <w:sz w:val="21"/>
          <w:szCs w:val="21"/>
          <w:lang w:eastAsia="zh-CN"/>
        </w:rPr>
        <w:t>其他</w:t>
      </w:r>
      <w:r>
        <w:rPr>
          <w:rFonts w:hint="eastAsia" w:ascii="宋体" w:hAnsi="宋体" w:eastAsia="宋体" w:cs="宋体"/>
          <w:color w:val="auto"/>
          <w:sz w:val="21"/>
          <w:szCs w:val="21"/>
        </w:rPr>
        <w:t>实质性要求的；</w:t>
      </w:r>
    </w:p>
    <w:p w14:paraId="28E38896">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（8）投标文件附有招标人不能接受的条件的。</w:t>
      </w:r>
    </w:p>
    <w:p w14:paraId="3BFB9824">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3.1.3 投标</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报价有算术错误的，评标委员会按以下原则对投标</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报价进行修正，修正的价格经投标人确认后具有约束力。投标人不接受修正价格的，其投标文件将被否决。</w:t>
      </w:r>
    </w:p>
    <w:p w14:paraId="3E087904">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1）投标文件中的大写金额与小写金额不一致的，以大写金额为准；</w:t>
      </w:r>
    </w:p>
    <w:p w14:paraId="6617636B">
      <w:pPr>
        <w:tabs>
          <w:tab w:val="left" w:pos="840"/>
        </w:tabs>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2）总价金额与依据单价计算出的结果不一致的，以单价金额为准修正总价，但单价金额小数点有明显错误的除外。</w:t>
      </w:r>
    </w:p>
    <w:p w14:paraId="2A4DFF53">
      <w:pPr>
        <w:spacing w:line="500" w:lineRule="exact"/>
        <w:rPr>
          <w:rFonts w:hint="eastAsia" w:ascii="宋体" w:hAnsi="宋体" w:eastAsia="宋体" w:cs="宋体"/>
          <w:b/>
          <w:bCs/>
          <w:color w:val="auto"/>
          <w:sz w:val="21"/>
          <w:szCs w:val="21"/>
        </w:rPr>
      </w:pPr>
      <w:r>
        <w:rPr>
          <w:rFonts w:hint="eastAsia" w:ascii="宋体" w:hAnsi="宋体" w:eastAsia="宋体" w:cs="宋体"/>
          <w:b/>
          <w:bCs/>
          <w:color w:val="auto"/>
          <w:sz w:val="21"/>
          <w:szCs w:val="21"/>
        </w:rPr>
        <w:t>3.2 详细评审</w:t>
      </w:r>
    </w:p>
    <w:p w14:paraId="2D08C8A2">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3.2.1 评标委员会按本章规定的量化因素和分值进行打分，并计算出综合得分。</w:t>
      </w:r>
    </w:p>
    <w:p w14:paraId="4C0C6F9F">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3.2.2 评分分值计算保留小数点后两位，小数点后第三位“四舍五入”。</w:t>
      </w:r>
    </w:p>
    <w:p w14:paraId="398DD869">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3.2.3 投标人综合得分=商务标得分+技术标得分+综合标得分。</w:t>
      </w:r>
    </w:p>
    <w:p w14:paraId="1DA19986">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评标委员会发现投标人的</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报价明显低于其他投标</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报价，或者在设有标底时明显低于标底，使得其投标</w:t>
      </w:r>
      <w:r>
        <w:rPr>
          <w:rFonts w:hint="eastAsia" w:ascii="宋体" w:hAnsi="宋体" w:cs="宋体"/>
          <w:color w:val="auto"/>
          <w:sz w:val="21"/>
          <w:szCs w:val="21"/>
          <w:lang w:val="en-US" w:eastAsia="zh-CN"/>
        </w:rPr>
        <w:t>总</w:t>
      </w:r>
      <w:r>
        <w:rPr>
          <w:rFonts w:hint="eastAsia" w:ascii="宋体" w:hAnsi="宋体" w:eastAsia="宋体" w:cs="宋体"/>
          <w:color w:val="auto"/>
          <w:sz w:val="21"/>
          <w:szCs w:val="21"/>
        </w:rPr>
        <w:t>报价可能低于其个别成本的，应当要求该投标人作出书面说明并提供相应的证明材料。投标人不能合理说明或者不能提供相应证明材料的，评标委员会认定该投标人以低于成本报价竞标，否决其投标。</w:t>
      </w:r>
    </w:p>
    <w:p w14:paraId="2B99B42A">
      <w:pPr>
        <w:spacing w:line="5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3.3投标文件的澄清和补正</w:t>
      </w:r>
    </w:p>
    <w:p w14:paraId="0C92D86E">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3.3.1 在评标过程中，评标委员会可以要求投标人对所提交投标文件中不明确的内容进行澄清或说明，或者对细微偏差进行补正。评标委员会不接受投标人主动提出的澄清、说明或补正。</w:t>
      </w:r>
    </w:p>
    <w:p w14:paraId="7885B49F">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3.3.2 澄清、说明和补正不得改变投标文件的实质性内容（算术性错误修正的除外）。投标人的澄清、说明和补正属于投标文件的组成部分。</w:t>
      </w:r>
    </w:p>
    <w:p w14:paraId="3C6F2E99">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3.3.3 评标委员会对投标人提交的澄清、说明或补正有疑问的，可以要求投标人进一步澄清、说明或补正，直至满足评标委员会的要求。</w:t>
      </w:r>
    </w:p>
    <w:p w14:paraId="405E67BD">
      <w:pPr>
        <w:spacing w:line="500" w:lineRule="exact"/>
        <w:rPr>
          <w:rFonts w:hint="eastAsia" w:ascii="宋体" w:hAnsi="宋体" w:eastAsia="宋体" w:cs="宋体"/>
          <w:b/>
          <w:bCs/>
          <w:color w:val="auto"/>
          <w:sz w:val="21"/>
          <w:szCs w:val="21"/>
        </w:rPr>
      </w:pPr>
      <w:r>
        <w:rPr>
          <w:rFonts w:hint="eastAsia" w:ascii="宋体" w:hAnsi="宋体" w:eastAsia="宋体" w:cs="宋体"/>
          <w:b/>
          <w:bCs/>
          <w:color w:val="auto"/>
          <w:sz w:val="21"/>
          <w:szCs w:val="21"/>
        </w:rPr>
        <w:t>3.</w:t>
      </w: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rPr>
        <w:t xml:space="preserve"> 评标结果</w:t>
      </w:r>
    </w:p>
    <w:p w14:paraId="16E1C3AD">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3.4.1 评标委员会完成评标后，向招标人推荐一定数量不标明排序的中标候选人，并提交书面评标报告。</w:t>
      </w:r>
    </w:p>
    <w:p w14:paraId="24E7A79F">
      <w:pPr>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3.4.2评标委员会成员对评标结果意见不一致时，应以书面形式说明其不同意见和理由，招标人可暂停本次评标行为，视情况选择择期复议、重新招标等处理方式，评标委员会成员有违法、违纪行为的，招标人可申请按照相关规定进行处理。</w:t>
      </w:r>
    </w:p>
    <w:p w14:paraId="27690E3C">
      <w:pPr>
        <w:numPr>
          <w:ilvl w:val="0"/>
          <w:numId w:val="0"/>
        </w:numPr>
        <w:spacing w:line="360" w:lineRule="auto"/>
        <w:ind w:left="0" w:leftChars="0" w:firstLine="399" w:firstLineChars="190"/>
        <w:outlineLvl w:val="1"/>
        <w:rPr>
          <w:rFonts w:ascii="宋体" w:hAnsi="宋体" w:eastAsia="宋体" w:cs="宋体"/>
          <w:color w:val="auto"/>
          <w:sz w:val="22"/>
          <w:szCs w:val="22"/>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.3</w:t>
      </w:r>
      <w:r>
        <w:rPr>
          <w:rFonts w:hint="eastAsia" w:ascii="宋体" w:hAnsi="宋体" w:eastAsia="宋体" w:cs="宋体"/>
          <w:b/>
          <w:bCs/>
          <w:color w:val="auto"/>
          <w:sz w:val="21"/>
          <w:szCs w:val="21"/>
        </w:rPr>
        <w:t>评标报告应当载明每个中标候选人的特点、优势、缺点、风险等评审情况和推荐理由，并对技术、质量、安全、工期的控制能力等提供技术咨询建议</w:t>
      </w:r>
      <w:r>
        <w:rPr>
          <w:rFonts w:hint="eastAsia" w:ascii="宋体" w:hAnsi="宋体" w:eastAsia="宋体" w:cs="宋体"/>
          <w:color w:val="auto"/>
          <w:sz w:val="21"/>
          <w:szCs w:val="21"/>
        </w:rPr>
        <w:t>。</w:t>
      </w:r>
    </w:p>
    <w:p w14:paraId="42EDA1C3">
      <w:pPr>
        <w:numPr>
          <w:ilvl w:val="0"/>
          <w:numId w:val="0"/>
        </w:numPr>
        <w:spacing w:line="360" w:lineRule="auto"/>
        <w:outlineLvl w:val="1"/>
        <w:rPr>
          <w:rFonts w:ascii="宋体" w:hAnsi="宋体" w:eastAsia="宋体" w:cs="宋体"/>
          <w:color w:val="auto"/>
          <w:sz w:val="24"/>
          <w:szCs w:val="24"/>
        </w:rPr>
      </w:pPr>
    </w:p>
    <w:p w14:paraId="11FFAF87">
      <w:pPr>
        <w:spacing w:line="360" w:lineRule="auto"/>
        <w:ind w:firstLine="435"/>
        <w:jc w:val="center"/>
        <w:outlineLvl w:val="0"/>
        <w:rPr>
          <w:rFonts w:ascii="宋体" w:hAnsi="宋体" w:cs="宋体"/>
          <w:b/>
          <w:bCs/>
          <w:color w:val="auto"/>
          <w:sz w:val="28"/>
          <w:szCs w:val="28"/>
        </w:rPr>
      </w:pPr>
      <w:r>
        <w:rPr>
          <w:rFonts w:hint="eastAsia" w:ascii="宋体" w:hAnsi="宋体" w:cs="宋体"/>
          <w:b/>
          <w:bCs/>
          <w:color w:val="auto"/>
          <w:kern w:val="0"/>
          <w:szCs w:val="21"/>
        </w:rPr>
        <w:br w:type="page"/>
      </w:r>
      <w:bookmarkEnd w:id="160"/>
      <w:bookmarkEnd w:id="161"/>
      <w:bookmarkEnd w:id="162"/>
      <w:bookmarkStart w:id="202" w:name="_Toc14831"/>
      <w:bookmarkStart w:id="203" w:name="_Toc31870"/>
      <w:bookmarkStart w:id="204" w:name="_Toc22638"/>
      <w:bookmarkStart w:id="205" w:name="_Toc3692"/>
      <w:r>
        <w:rPr>
          <w:rFonts w:hint="eastAsia" w:ascii="宋体" w:hAnsi="宋体" w:cs="宋体"/>
          <w:b/>
          <w:bCs/>
          <w:color w:val="auto"/>
          <w:sz w:val="36"/>
          <w:szCs w:val="36"/>
          <w:lang w:val="en-US" w:eastAsia="zh-CN"/>
        </w:rPr>
        <w:t xml:space="preserve">第四章  </w:t>
      </w:r>
      <w:r>
        <w:rPr>
          <w:rFonts w:hint="eastAsia" w:ascii="宋体" w:hAnsi="宋体" w:cs="宋体"/>
          <w:b/>
          <w:bCs/>
          <w:color w:val="auto"/>
          <w:sz w:val="36"/>
          <w:szCs w:val="36"/>
        </w:rPr>
        <w:t>定标办法</w:t>
      </w:r>
      <w:bookmarkEnd w:id="202"/>
      <w:r>
        <w:rPr>
          <w:rFonts w:hint="eastAsia" w:ascii="宋体" w:hAnsi="宋体" w:cs="宋体"/>
          <w:b/>
          <w:bCs/>
          <w:color w:val="auto"/>
          <w:sz w:val="36"/>
          <w:szCs w:val="36"/>
        </w:rPr>
        <w:t>（</w:t>
      </w:r>
      <w:r>
        <w:rPr>
          <w:rFonts w:hint="eastAsia" w:ascii="宋体" w:hAnsi="宋体" w:cs="宋体"/>
          <w:b/>
          <w:bCs/>
          <w:color w:val="auto"/>
          <w:sz w:val="36"/>
          <w:szCs w:val="36"/>
          <w:lang w:eastAsia="zh-CN"/>
        </w:rPr>
        <w:t>票决法</w:t>
      </w:r>
      <w:r>
        <w:rPr>
          <w:rFonts w:hint="eastAsia" w:ascii="宋体" w:hAnsi="宋体" w:cs="宋体"/>
          <w:b/>
          <w:bCs/>
          <w:color w:val="auto"/>
          <w:sz w:val="36"/>
          <w:szCs w:val="36"/>
        </w:rPr>
        <w:t>）</w:t>
      </w:r>
    </w:p>
    <w:p w14:paraId="4920E8F6">
      <w:pPr>
        <w:spacing w:line="440" w:lineRule="exact"/>
        <w:jc w:val="left"/>
        <w:rPr>
          <w:rFonts w:ascii="宋体" w:hAnsi="宋体" w:cs="黑体"/>
          <w:b/>
          <w:color w:val="auto"/>
          <w:szCs w:val="21"/>
        </w:rPr>
      </w:pPr>
      <w:bookmarkStart w:id="206" w:name="_Toc31869"/>
      <w:r>
        <w:rPr>
          <w:rFonts w:hint="eastAsia" w:ascii="宋体" w:hAnsi="宋体" w:cs="黑体"/>
          <w:b/>
          <w:color w:val="auto"/>
          <w:szCs w:val="21"/>
        </w:rPr>
        <w:t>1、定标依据</w:t>
      </w:r>
    </w:p>
    <w:p w14:paraId="129FB11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本次定标办法的制定依据下列文件进行：</w:t>
      </w:r>
    </w:p>
    <w:p w14:paraId="27926835">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（1）《中华人民共和国招标投标法》；</w:t>
      </w:r>
    </w:p>
    <w:p w14:paraId="2313D84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（2）《国务院办公厅关于创新完善体制机制推动招标投标市场规范健康发展的意见》（国办发〔2024〕21号）；</w:t>
      </w:r>
    </w:p>
    <w:p w14:paraId="1612C32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（3）《河南省政府投资工程建设项目招标投标“评定分离”管理办法（试行）》（豫发改公管规〔2025〕559号）；</w:t>
      </w:r>
    </w:p>
    <w:p w14:paraId="4DF9BAC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（4）本项目招标文件及招标投标全过程资料；</w:t>
      </w:r>
    </w:p>
    <w:p w14:paraId="00E1863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（5）评标委员会推荐的合格中标候选人名单；</w:t>
      </w:r>
    </w:p>
    <w:p w14:paraId="3AF9D1B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（6）其他有关法律法规和相关制度。</w:t>
      </w:r>
    </w:p>
    <w:p w14:paraId="2B2777FF">
      <w:pPr>
        <w:spacing w:line="360" w:lineRule="auto"/>
        <w:jc w:val="left"/>
        <w:rPr>
          <w:rFonts w:ascii="宋体" w:hAnsi="宋体" w:cs="黑体"/>
          <w:b/>
          <w:color w:val="auto"/>
          <w:sz w:val="21"/>
          <w:szCs w:val="21"/>
          <w:highlight w:val="none"/>
        </w:rPr>
      </w:pPr>
      <w:r>
        <w:rPr>
          <w:rFonts w:hint="eastAsia" w:ascii="宋体" w:hAnsi="宋体" w:cs="黑体"/>
          <w:b/>
          <w:color w:val="auto"/>
          <w:sz w:val="21"/>
          <w:szCs w:val="21"/>
          <w:highlight w:val="none"/>
        </w:rPr>
        <w:t>2、定标原则</w:t>
      </w:r>
    </w:p>
    <w:p w14:paraId="3BDB091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定标应当公开透明、择优竞争、科学规范、廉洁高效的原则。</w:t>
      </w:r>
    </w:p>
    <w:p w14:paraId="10216EF9">
      <w:pPr>
        <w:spacing w:line="360" w:lineRule="auto"/>
        <w:jc w:val="left"/>
        <w:rPr>
          <w:rFonts w:ascii="宋体" w:hAnsi="宋体" w:cs="黑体"/>
          <w:b/>
          <w:color w:val="auto"/>
          <w:sz w:val="21"/>
          <w:szCs w:val="21"/>
          <w:highlight w:val="none"/>
        </w:rPr>
      </w:pPr>
      <w:r>
        <w:rPr>
          <w:rFonts w:hint="eastAsia" w:ascii="宋体" w:hAnsi="宋体" w:cs="黑体"/>
          <w:b/>
          <w:color w:val="auto"/>
          <w:sz w:val="21"/>
          <w:szCs w:val="21"/>
          <w:highlight w:val="none"/>
        </w:rPr>
        <w:t>3、定标方法</w:t>
      </w:r>
    </w:p>
    <w:p w14:paraId="28A34DEA">
      <w:pPr>
        <w:spacing w:line="440" w:lineRule="exact"/>
        <w:ind w:firstLine="420" w:firstLineChars="200"/>
        <w:jc w:val="left"/>
        <w:rPr>
          <w:rFonts w:ascii="Times New Roman" w:hAnsi="Times New Roman"/>
          <w:color w:val="auto"/>
          <w:sz w:val="21"/>
          <w:szCs w:val="21"/>
          <w:highlight w:val="none"/>
        </w:rPr>
      </w:pPr>
      <w:r>
        <w:rPr>
          <w:rFonts w:hint="eastAsia" w:ascii="宋体" w:hAnsi="宋体" w:cs="宋体"/>
          <w:color w:val="auto"/>
          <w:sz w:val="21"/>
          <w:szCs w:val="21"/>
          <w:highlight w:val="none"/>
        </w:rPr>
        <w:t>本项目采用</w:t>
      </w:r>
      <w:r>
        <w:rPr>
          <w:rFonts w:hint="eastAsia" w:ascii="宋体" w:hAnsi="宋体" w:cs="宋体"/>
          <w:b/>
          <w:bCs/>
          <w:color w:val="auto"/>
          <w:sz w:val="21"/>
          <w:szCs w:val="21"/>
          <w:highlight w:val="none"/>
          <w:lang w:eastAsia="zh-CN"/>
        </w:rPr>
        <w:t>票决法</w:t>
      </w:r>
      <w:r>
        <w:rPr>
          <w:rFonts w:hint="eastAsia" w:ascii="宋体" w:hAnsi="宋体" w:cs="宋体"/>
          <w:color w:val="auto"/>
          <w:sz w:val="21"/>
          <w:szCs w:val="21"/>
          <w:highlight w:val="none"/>
        </w:rPr>
        <w:t>进行定标。</w:t>
      </w:r>
    </w:p>
    <w:p w14:paraId="24562037">
      <w:pPr>
        <w:spacing w:line="360" w:lineRule="auto"/>
        <w:jc w:val="left"/>
        <w:rPr>
          <w:rFonts w:ascii="宋体" w:hAnsi="宋体" w:cs="黑体"/>
          <w:b/>
          <w:color w:val="auto"/>
          <w:sz w:val="21"/>
          <w:szCs w:val="21"/>
          <w:highlight w:val="none"/>
        </w:rPr>
      </w:pPr>
      <w:r>
        <w:rPr>
          <w:rFonts w:hint="eastAsia" w:ascii="宋体" w:hAnsi="宋体" w:cs="黑体"/>
          <w:b/>
          <w:color w:val="auto"/>
          <w:sz w:val="21"/>
          <w:szCs w:val="21"/>
          <w:highlight w:val="none"/>
        </w:rPr>
        <w:t>4、定标委员会的组建</w:t>
      </w:r>
    </w:p>
    <w:p w14:paraId="45A8A77D">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招标人应当组建定标委员会，负责对中标候选人进行核查和组织召开定标会议等内容。定标工作应当由定标委员会独立完成。</w:t>
      </w:r>
    </w:p>
    <w:p w14:paraId="7F03F7F9">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定标委员会构成：定标委员会共5人组成。</w:t>
      </w:r>
    </w:p>
    <w:p w14:paraId="2D94FE0D">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备注：定标委员会成员数量为5人，招标人单位成员不得低于成员总数的三分之二。定标委员会组长由招标人的法定代表人、主要负责人或分管负责人担任，其他成员可由招标人自行选定。</w:t>
      </w:r>
    </w:p>
    <w:p w14:paraId="34232583">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定标委员会成员与中标候选人有利害关系的应当主动申请回避。</w:t>
      </w:r>
    </w:p>
    <w:p w14:paraId="4E762146">
      <w:pPr>
        <w:spacing w:line="360" w:lineRule="auto"/>
        <w:jc w:val="left"/>
        <w:rPr>
          <w:rFonts w:ascii="宋体" w:hAnsi="宋体" w:cs="黑体"/>
          <w:b/>
          <w:color w:val="auto"/>
          <w:sz w:val="21"/>
          <w:szCs w:val="21"/>
          <w:highlight w:val="none"/>
        </w:rPr>
      </w:pPr>
      <w:r>
        <w:rPr>
          <w:rFonts w:hint="eastAsia" w:ascii="宋体" w:hAnsi="宋体" w:cs="黑体"/>
          <w:b/>
          <w:color w:val="auto"/>
          <w:sz w:val="21"/>
          <w:szCs w:val="21"/>
          <w:highlight w:val="none"/>
        </w:rPr>
        <w:t>5、定标核查内容</w:t>
      </w:r>
    </w:p>
    <w:p w14:paraId="57F8BB8F">
      <w:pPr>
        <w:spacing w:line="360" w:lineRule="auto"/>
        <w:ind w:firstLine="422" w:firstLineChars="200"/>
        <w:jc w:val="left"/>
        <w:rPr>
          <w:rFonts w:ascii="宋体" w:hAnsi="宋体" w:cs="宋体"/>
          <w:color w:val="auto"/>
          <w:sz w:val="21"/>
          <w:szCs w:val="21"/>
          <w:highlight w:val="none"/>
        </w:rPr>
      </w:pPr>
      <w:r>
        <w:rPr>
          <w:rFonts w:hint="eastAsia" w:ascii="宋体" w:hAnsi="宋体" w:cs="宋体"/>
          <w:b/>
          <w:bCs/>
          <w:color w:val="auto"/>
          <w:sz w:val="21"/>
          <w:szCs w:val="21"/>
          <w:highlight w:val="none"/>
        </w:rPr>
        <w:t>核查组织形式：</w:t>
      </w:r>
      <w:r>
        <w:rPr>
          <w:rFonts w:hint="eastAsia" w:ascii="宋体" w:hAnsi="宋体" w:cs="宋体"/>
          <w:color w:val="auto"/>
          <w:sz w:val="21"/>
          <w:szCs w:val="21"/>
          <w:highlight w:val="none"/>
        </w:rPr>
        <w:t>在定标会议前，由招标人组织成立定标委员会对中标候选人进行核查。核查小组成员由招标人确定，</w:t>
      </w:r>
      <w:r>
        <w:rPr>
          <w:rFonts w:hint="eastAsia" w:ascii="宋体" w:hAnsi="宋体" w:cs="宋体"/>
          <w:color w:val="auto"/>
          <w:kern w:val="0"/>
          <w:sz w:val="21"/>
          <w:szCs w:val="21"/>
          <w:highlight w:val="none"/>
        </w:rPr>
        <w:t>形成核查报告，核查报告在定标会议召开前应当保密。</w:t>
      </w:r>
    </w:p>
    <w:p w14:paraId="2555C5B9">
      <w:pPr>
        <w:spacing w:line="360" w:lineRule="auto"/>
        <w:ind w:firstLine="422" w:firstLineChars="200"/>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核查内容包括：</w:t>
      </w:r>
    </w:p>
    <w:p w14:paraId="0689CF87">
      <w:pPr>
        <w:spacing w:line="5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1、投标人须为中华人民共和国境内合法注册设立并有效存续的独立企业法人，具有有效的营业执照；</w:t>
      </w:r>
    </w:p>
    <w:p w14:paraId="5F14858A">
      <w:pPr>
        <w:spacing w:line="500" w:lineRule="exact"/>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2、投标人须具备有效的市政公用工程施工总承包二级及以上资质，且具备有效的安全生产许可证；并在人员、设备、资金等方面具备相应的施工能力（提供承诺函）；</w:t>
      </w:r>
    </w:p>
    <w:p w14:paraId="0436F666">
      <w:pPr>
        <w:spacing w:line="500" w:lineRule="exact"/>
        <w:ind w:firstLine="422" w:firstLineChars="200"/>
        <w:rPr>
          <w:rFonts w:hint="eastAsia" w:asciiTheme="minorEastAsia" w:hAnsiTheme="minorEastAsia" w:eastAsiaTheme="minorEastAsia" w:cstheme="minorEastAsia"/>
          <w:color w:val="auto"/>
          <w:szCs w:val="21"/>
          <w:highlight w:val="none"/>
          <w:lang w:val="en-US" w:eastAsia="zh-CN"/>
        </w:rPr>
      </w:pPr>
      <w:r>
        <w:rPr>
          <w:rFonts w:hint="eastAsia" w:ascii="宋体" w:hAnsi="宋体" w:eastAsia="宋体" w:cs="宋体"/>
          <w:b/>
          <w:bCs/>
          <w:i w:val="0"/>
          <w:iCs w:val="0"/>
          <w:caps w:val="0"/>
          <w:color w:val="333333"/>
          <w:spacing w:val="0"/>
          <w:sz w:val="21"/>
          <w:szCs w:val="21"/>
        </w:rPr>
        <w:t>注：根据《河南省住房和城乡建设厅关于进一步规范建设工程企业资质管理的通知》豫建行规〔2024〕7号文件规定，被全国或河南省建筑市场监管公共服务平台标注为资质异常的，投标人不能使用标注异常的资质承揽本工程，具体要求详见豫建行规〔2024〕7号文件【投标人提供全国建筑市场监管公共服务平台（四库一平台）和河南省建筑市场监管公共服务平台查询截图，如在河南省建筑市场监管公共服务平台无本企业信息，投标人需提供显示“暂无数据的查询结果”，同时提供投标人企业注册所在地省级建筑市场监管平台或同等级官方网站的资质查询截图。】，查询时间为招标公告发布之日后，查询结果需显示网页查询时间。</w:t>
      </w:r>
    </w:p>
    <w:p w14:paraId="2F4E99AE">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、拟派项目经理须</w:t>
      </w:r>
      <w:r>
        <w:rPr>
          <w:rFonts w:hint="eastAsia" w:asciiTheme="minorEastAsia" w:hAnsiTheme="minorEastAsia" w:eastAsiaTheme="minorEastAsia" w:cstheme="minorEastAsia"/>
          <w:color w:val="auto"/>
          <w:szCs w:val="21"/>
          <w:highlight w:val="none"/>
          <w:lang w:val="en-US" w:eastAsia="zh-CN"/>
        </w:rPr>
        <w:t>具备</w:t>
      </w:r>
      <w:r>
        <w:rPr>
          <w:rFonts w:hint="eastAsia" w:asciiTheme="minorEastAsia" w:hAnsiTheme="minorEastAsia" w:eastAsiaTheme="minorEastAsia" w:cstheme="minorEastAsia"/>
          <w:color w:val="auto"/>
          <w:szCs w:val="21"/>
          <w:highlight w:val="none"/>
        </w:rPr>
        <w:t>市政公用工程专业</w:t>
      </w:r>
      <w:r>
        <w:rPr>
          <w:rFonts w:hint="eastAsia" w:asciiTheme="minorEastAsia" w:hAnsiTheme="minorEastAsia" w:eastAsiaTheme="minorEastAsia" w:cstheme="minorEastAsia"/>
          <w:color w:val="auto"/>
          <w:szCs w:val="21"/>
          <w:highlight w:val="none"/>
          <w:lang w:val="en-US" w:eastAsia="zh-CN"/>
        </w:rPr>
        <w:t>一级</w:t>
      </w:r>
      <w:r>
        <w:rPr>
          <w:rFonts w:hint="eastAsia" w:asciiTheme="minorEastAsia" w:hAnsiTheme="minorEastAsia" w:eastAsiaTheme="minorEastAsia" w:cstheme="minorEastAsia"/>
          <w:color w:val="auto"/>
          <w:szCs w:val="21"/>
          <w:highlight w:val="none"/>
        </w:rPr>
        <w:t>注册建造师资格，具有有效安全生产考核合格证，须提供在本单位缴纳养老保险证明，并出具无在建工程承诺书</w:t>
      </w:r>
      <w:r>
        <w:rPr>
          <w:rFonts w:hint="eastAsia" w:asciiTheme="minorEastAsia" w:hAnsiTheme="minorEastAsia" w:eastAsiaTheme="minorEastAsia" w:cstheme="minorEastAsia"/>
          <w:color w:val="auto"/>
          <w:szCs w:val="21"/>
        </w:rPr>
        <w:t>；</w:t>
      </w:r>
    </w:p>
    <w:p w14:paraId="198EB173">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4</w:t>
      </w:r>
      <w:r>
        <w:rPr>
          <w:rFonts w:hint="eastAsia" w:asciiTheme="minorEastAsia" w:hAnsiTheme="minorEastAsia" w:eastAsiaTheme="minorEastAsia" w:cstheme="minorEastAsia"/>
          <w:color w:val="auto"/>
          <w:szCs w:val="21"/>
        </w:rPr>
        <w:t>、</w:t>
      </w:r>
      <w:r>
        <w:rPr>
          <w:rFonts w:hint="eastAsia" w:ascii="宋体" w:hAnsi="宋体" w:eastAsia="宋体" w:cs="宋体"/>
          <w:highlight w:val="none"/>
        </w:rPr>
        <w:t>财务运行状况良好，没有财务被接管、冻结、破产状态，投标时提供202</w:t>
      </w:r>
      <w:r>
        <w:rPr>
          <w:rFonts w:hint="eastAsia" w:ascii="宋体" w:hAnsi="宋体" w:eastAsia="宋体" w:cs="宋体"/>
          <w:highlight w:val="none"/>
          <w:lang w:val="en-US" w:eastAsia="zh-CN"/>
        </w:rPr>
        <w:t>3</w:t>
      </w:r>
      <w:r>
        <w:rPr>
          <w:rFonts w:hint="eastAsia" w:ascii="宋体" w:hAnsi="宋体" w:eastAsia="宋体" w:cs="宋体"/>
          <w:highlight w:val="none"/>
        </w:rPr>
        <w:t>年度、202</w:t>
      </w:r>
      <w:r>
        <w:rPr>
          <w:rFonts w:hint="eastAsia" w:ascii="宋体" w:hAnsi="宋体" w:eastAsia="宋体" w:cs="宋体"/>
          <w:highlight w:val="none"/>
          <w:lang w:val="en-US" w:eastAsia="zh-CN"/>
        </w:rPr>
        <w:t>4</w:t>
      </w:r>
      <w:r>
        <w:rPr>
          <w:rFonts w:hint="eastAsia" w:ascii="宋体" w:hAnsi="宋体" w:eastAsia="宋体" w:cs="宋体"/>
          <w:highlight w:val="none"/>
        </w:rPr>
        <w:t>年度、202</w:t>
      </w:r>
      <w:r>
        <w:rPr>
          <w:rFonts w:hint="eastAsia" w:ascii="宋体" w:hAnsi="宋体" w:eastAsia="宋体" w:cs="宋体"/>
          <w:highlight w:val="none"/>
          <w:lang w:val="en-US" w:eastAsia="zh-CN"/>
        </w:rPr>
        <w:t>5</w:t>
      </w:r>
      <w:r>
        <w:rPr>
          <w:rFonts w:hint="eastAsia" w:ascii="宋体" w:hAnsi="宋体" w:eastAsia="宋体" w:cs="宋体"/>
          <w:highlight w:val="none"/>
        </w:rPr>
        <w:t>年度财务审计报告（公司成立不足三年的，从成立年份开始提供，新成立的企业无法提供财务审计报告的按实际情况提供银行资信证明即可）</w:t>
      </w:r>
      <w:r>
        <w:rPr>
          <w:rFonts w:hint="eastAsia" w:asciiTheme="minorEastAsia" w:hAnsiTheme="minorEastAsia" w:eastAsiaTheme="minorEastAsia" w:cstheme="minorEastAsia"/>
          <w:color w:val="auto"/>
          <w:szCs w:val="21"/>
        </w:rPr>
        <w:t>；</w:t>
      </w:r>
    </w:p>
    <w:p w14:paraId="6B16BBFF">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、投标人自行出具本单位无商业贿赂及无不正当竞争行为承诺书；</w:t>
      </w:r>
    </w:p>
    <w:p w14:paraId="03749C9A">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6</w:t>
      </w:r>
      <w:r>
        <w:rPr>
          <w:rFonts w:hint="eastAsia" w:asciiTheme="minorEastAsia" w:hAnsiTheme="minorEastAsia" w:eastAsiaTheme="minorEastAsia" w:cstheme="minorEastAsia"/>
          <w:color w:val="auto"/>
          <w:szCs w:val="21"/>
        </w:rPr>
        <w:t>、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中国执行信息公开网”网站（http://zxgk.court.gov.cn/shixin）“信用中国”网站（www.creditchina.gov.cn）、中国政府采购网（www.ccgp.gov.cn）；（提供“中国执行信息公开网”、“信用中国”和“中国政府采购网”网站的查询信息截图，同时网页查询需包含查询日期，查询日期自公告发布之日至投标截止之日）；</w:t>
      </w:r>
    </w:p>
    <w:p w14:paraId="1CB76EC8">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7</w:t>
      </w:r>
      <w:r>
        <w:rPr>
          <w:rFonts w:hint="eastAsia" w:asciiTheme="minorEastAsia" w:hAnsiTheme="minorEastAsia" w:eastAsiaTheme="minorEastAsia" w:cstheme="minorEastAsia"/>
          <w:color w:val="auto"/>
          <w:szCs w:val="21"/>
        </w:rPr>
        <w:t>、单位负责人为同一人或者存在控股、管理关系的不同单位，不得参加同一标段投标或者未划分标段的同一招标项目投标（</w:t>
      </w:r>
      <w:r>
        <w:rPr>
          <w:rFonts w:hint="eastAsia" w:asciiTheme="minorEastAsia" w:hAnsiTheme="minorEastAsia" w:eastAsiaTheme="minorEastAsia" w:cstheme="minorEastAsia"/>
          <w:color w:val="auto"/>
          <w:szCs w:val="21"/>
          <w:lang w:eastAsia="zh-CN"/>
        </w:rPr>
        <w:t>提供“国家企业信用信息公示系统”中加盖投标人企业电子印章查询网页截图，截图需包括公司信息、股东或投资人相关信息、查询日期，查询日期为公告发布之后至投标截止时间前。</w:t>
      </w:r>
      <w:r>
        <w:rPr>
          <w:rFonts w:hint="eastAsia" w:asciiTheme="minorEastAsia" w:hAnsiTheme="minorEastAsia" w:eastAsiaTheme="minorEastAsia" w:cstheme="minorEastAsia"/>
          <w:color w:val="auto"/>
          <w:szCs w:val="21"/>
        </w:rPr>
        <w:t>）；</w:t>
      </w:r>
    </w:p>
    <w:p w14:paraId="1238FE76">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8</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lang w:val="en-US" w:eastAsia="zh-CN"/>
        </w:rPr>
        <w:t>本次招标不接受联合体投标（提供非联合体声明）</w:t>
      </w:r>
      <w:r>
        <w:rPr>
          <w:rFonts w:hint="eastAsia" w:asciiTheme="minorEastAsia" w:hAnsiTheme="minorEastAsia" w:eastAsiaTheme="minorEastAsia" w:cstheme="minorEastAsia"/>
          <w:color w:val="auto"/>
          <w:szCs w:val="21"/>
        </w:rPr>
        <w:t>；</w:t>
      </w:r>
    </w:p>
    <w:p w14:paraId="76836B31">
      <w:pPr>
        <w:spacing w:line="5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9</w:t>
      </w:r>
      <w:r>
        <w:rPr>
          <w:rFonts w:hint="eastAsia" w:asciiTheme="minorEastAsia" w:hAnsiTheme="minorEastAsia" w:eastAsiaTheme="minorEastAsia" w:cstheme="minorEastAsia"/>
          <w:color w:val="auto"/>
          <w:szCs w:val="21"/>
        </w:rPr>
        <w:t>、本次招标实行资格后审，资格审查的具体要求见招标文件。</w:t>
      </w:r>
    </w:p>
    <w:p w14:paraId="790193B5">
      <w:pPr>
        <w:spacing w:line="500" w:lineRule="exact"/>
        <w:ind w:firstLine="420" w:firstLineChars="200"/>
        <w:rPr>
          <w:rFonts w:hint="default"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注：本项目的勘察设计单位、监管单位及其利害关系单位，不得参与本项目投标。</w:t>
      </w:r>
    </w:p>
    <w:p w14:paraId="758529F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定标委员会在核查过程中对存在问题的中标候选人发出质询，由中标候选人在规定的时间内进行回复，超出规定时间回复或回复内容不符合法律、法规及招标文件相关规定的视为资料造假、欺骗中标，并主动向行政监督部门报告，并依规否决相应中标候选人资格。定标委员会查实有中标候选人存在虚假投标、资质造假、企业业绩和企业荣誉弄虚作假等影响中标结果的，以及违反法律、法规及招标文件相关规定的中标候选人核查结果为不合格，不得进入定标程序，并在核查报告中载明。</w:t>
      </w:r>
    </w:p>
    <w:p w14:paraId="622290A6">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经核查合格的中标候选人即可进入定标会议程序，如经核查合格的中标候选人数量为两家，招标人继续定标会议程序；如经核查合格的中标候选人数量为一家或全部不合格，招标人应重新招标。</w:t>
      </w:r>
    </w:p>
    <w:p w14:paraId="51A6F856">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定标委员会应当严格履行定标环节核查责任,经核查发现定标候选人确有问题的，应当主动书面向监督部门报告，并依规否决相应中标候选人资格。</w:t>
      </w:r>
    </w:p>
    <w:p w14:paraId="29FDF58E">
      <w:pPr>
        <w:spacing w:line="360" w:lineRule="auto"/>
        <w:jc w:val="left"/>
        <w:rPr>
          <w:rFonts w:ascii="宋体" w:hAnsi="宋体" w:cs="黑体"/>
          <w:b/>
          <w:color w:val="auto"/>
          <w:sz w:val="21"/>
          <w:szCs w:val="21"/>
          <w:highlight w:val="none"/>
        </w:rPr>
      </w:pPr>
      <w:r>
        <w:rPr>
          <w:rFonts w:hint="eastAsia" w:ascii="宋体" w:hAnsi="宋体" w:cs="黑体"/>
          <w:b/>
          <w:color w:val="auto"/>
          <w:sz w:val="21"/>
          <w:szCs w:val="21"/>
          <w:highlight w:val="none"/>
        </w:rPr>
        <w:t>6、定标因素</w:t>
      </w:r>
    </w:p>
    <w:p w14:paraId="26E4114C">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定标因素还应包括：</w:t>
      </w:r>
    </w:p>
    <w:p w14:paraId="1D6578B0">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投标人综合实力、履约能力、投标方案、</w:t>
      </w:r>
      <w:r>
        <w:rPr>
          <w:rFonts w:hint="eastAsia" w:ascii="宋体" w:hAnsi="宋体" w:cs="宋体"/>
          <w:color w:val="auto"/>
          <w:kern w:val="0"/>
          <w:sz w:val="21"/>
          <w:szCs w:val="21"/>
          <w:highlight w:val="none"/>
        </w:rPr>
        <w:t>企业信誉、</w:t>
      </w:r>
      <w:r>
        <w:rPr>
          <w:rFonts w:hint="eastAsia" w:ascii="宋体" w:hAnsi="宋体" w:cs="宋体"/>
          <w:color w:val="auto"/>
          <w:sz w:val="21"/>
          <w:szCs w:val="21"/>
          <w:highlight w:val="none"/>
        </w:rPr>
        <w:t>工期计划、投标</w:t>
      </w:r>
      <w:r>
        <w:rPr>
          <w:rFonts w:hint="eastAsia" w:ascii="宋体" w:hAnsi="宋体" w:cs="宋体"/>
          <w:color w:val="auto"/>
          <w:sz w:val="21"/>
          <w:szCs w:val="21"/>
          <w:highlight w:val="none"/>
          <w:lang w:val="en-US" w:eastAsia="zh-CN"/>
        </w:rPr>
        <w:t>总</w:t>
      </w:r>
      <w:r>
        <w:rPr>
          <w:rFonts w:hint="eastAsia" w:ascii="宋体" w:hAnsi="宋体" w:cs="宋体"/>
          <w:color w:val="auto"/>
          <w:sz w:val="21"/>
          <w:szCs w:val="21"/>
          <w:highlight w:val="none"/>
        </w:rPr>
        <w:t>报价。投标人的以下资信情况将作为本项目定标委员会的参考因素：</w:t>
      </w:r>
    </w:p>
    <w:p w14:paraId="2FDD383B">
      <w:pPr>
        <w:adjustRightInd w:val="0"/>
        <w:snapToGrid w:val="0"/>
        <w:spacing w:before="156" w:beforeLines="50" w:line="360" w:lineRule="auto"/>
        <w:jc w:val="center"/>
        <w:rPr>
          <w:rFonts w:ascii="宋体" w:hAnsi="宋体" w:cs="宋体"/>
          <w:color w:val="auto"/>
          <w:kern w:val="0"/>
          <w:sz w:val="21"/>
          <w:szCs w:val="21"/>
          <w:highlight w:val="none"/>
        </w:rPr>
      </w:pPr>
      <w:r>
        <w:rPr>
          <w:rFonts w:hint="eastAsia" w:ascii="宋体" w:hAnsi="宋体" w:cs="宋体"/>
          <w:b/>
          <w:bCs/>
          <w:color w:val="auto"/>
          <w:sz w:val="21"/>
          <w:szCs w:val="21"/>
          <w:highlight w:val="none"/>
        </w:rPr>
        <w:t>定标因素一览表</w:t>
      </w:r>
    </w:p>
    <w:tbl>
      <w:tblPr>
        <w:tblStyle w:val="22"/>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178"/>
        <w:gridCol w:w="6352"/>
      </w:tblGrid>
      <w:tr w14:paraId="2933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1137BEDE">
            <w:pPr>
              <w:adjustRightInd w:val="0"/>
              <w:snapToGrid w:val="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bidi="ar"/>
              </w:rPr>
              <w:t>序号</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245A910B">
            <w:pPr>
              <w:adjustRightInd w:val="0"/>
              <w:snapToGrid w:val="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bidi="ar"/>
              </w:rPr>
              <w:t>名称</w:t>
            </w:r>
          </w:p>
        </w:tc>
        <w:tc>
          <w:tcPr>
            <w:tcW w:w="6352" w:type="dxa"/>
            <w:tcBorders>
              <w:top w:val="single" w:color="auto" w:sz="4" w:space="0"/>
              <w:left w:val="single" w:color="auto" w:sz="4" w:space="0"/>
              <w:bottom w:val="single" w:color="auto" w:sz="4" w:space="0"/>
              <w:right w:val="single" w:color="auto" w:sz="4" w:space="0"/>
            </w:tcBorders>
            <w:noWrap w:val="0"/>
            <w:vAlign w:val="center"/>
          </w:tcPr>
          <w:p w14:paraId="1857E3EA">
            <w:pPr>
              <w:adjustRightInd w:val="0"/>
              <w:snapToGrid w:val="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bidi="ar"/>
              </w:rPr>
              <w:t>有关要求或说明</w:t>
            </w:r>
          </w:p>
        </w:tc>
      </w:tr>
      <w:tr w14:paraId="7683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56EAE91A">
            <w:pPr>
              <w:adjustRightInd w:val="0"/>
              <w:snapToGrid w:val="0"/>
              <w:spacing w:line="360" w:lineRule="auto"/>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624B1C63">
            <w:pPr>
              <w:spacing w:line="440" w:lineRule="exact"/>
              <w:jc w:val="center"/>
              <w:rPr>
                <w:rFonts w:ascii="宋体" w:hAnsi="宋体" w:cs="宋体"/>
                <w:b/>
                <w:bCs/>
                <w:color w:val="auto"/>
                <w:kern w:val="0"/>
                <w:sz w:val="21"/>
                <w:szCs w:val="21"/>
                <w:highlight w:val="none"/>
                <w:lang w:bidi="ar"/>
              </w:rPr>
            </w:pPr>
            <w:r>
              <w:rPr>
                <w:rFonts w:hint="eastAsia" w:ascii="宋体" w:hAnsi="宋体" w:cs="宋体"/>
                <w:color w:val="auto"/>
                <w:sz w:val="21"/>
                <w:szCs w:val="21"/>
                <w:highlight w:val="none"/>
              </w:rPr>
              <w:t>综合实力</w:t>
            </w:r>
          </w:p>
        </w:tc>
        <w:tc>
          <w:tcPr>
            <w:tcW w:w="6352" w:type="dxa"/>
            <w:tcBorders>
              <w:top w:val="single" w:color="auto" w:sz="4" w:space="0"/>
              <w:left w:val="single" w:color="auto" w:sz="4" w:space="0"/>
              <w:bottom w:val="single" w:color="auto" w:sz="4" w:space="0"/>
              <w:right w:val="single" w:color="auto" w:sz="4" w:space="0"/>
            </w:tcBorders>
            <w:noWrap w:val="0"/>
            <w:vAlign w:val="center"/>
          </w:tcPr>
          <w:p w14:paraId="138AF0F8">
            <w:pPr>
              <w:spacing w:line="400" w:lineRule="exact"/>
              <w:rPr>
                <w:rFonts w:ascii="宋体" w:hAnsi="宋体" w:cs="宋体"/>
                <w:color w:val="auto"/>
                <w:sz w:val="21"/>
                <w:szCs w:val="21"/>
                <w:highlight w:val="none"/>
              </w:rPr>
            </w:pPr>
            <w:r>
              <w:rPr>
                <w:rFonts w:hint="eastAsia" w:ascii="宋体" w:hAnsi="宋体" w:cs="宋体"/>
                <w:color w:val="auto"/>
                <w:kern w:val="0"/>
                <w:sz w:val="21"/>
                <w:szCs w:val="21"/>
                <w:highlight w:val="none"/>
              </w:rPr>
              <w:t>（1）</w:t>
            </w:r>
            <w:r>
              <w:rPr>
                <w:rFonts w:hint="eastAsia" w:ascii="宋体" w:hAnsi="宋体" w:cs="宋体"/>
                <w:color w:val="auto"/>
                <w:sz w:val="21"/>
                <w:szCs w:val="21"/>
                <w:highlight w:val="none"/>
              </w:rPr>
              <w:t>营业执照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资质证书</w:t>
            </w:r>
            <w:r>
              <w:rPr>
                <w:rFonts w:hint="eastAsia" w:ascii="宋体" w:hAnsi="宋体" w:cs="宋体"/>
                <w:color w:val="auto"/>
                <w:sz w:val="21"/>
                <w:szCs w:val="21"/>
                <w:highlight w:val="none"/>
              </w:rPr>
              <w:t>；</w:t>
            </w:r>
          </w:p>
          <w:p w14:paraId="0B299AC2">
            <w:pPr>
              <w:spacing w:line="400" w:lineRule="exact"/>
              <w:rPr>
                <w:rFonts w:ascii="宋体" w:hAnsi="宋体" w:cs="宋体"/>
                <w:color w:val="auto"/>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sz w:val="21"/>
                <w:szCs w:val="21"/>
                <w:highlight w:val="none"/>
              </w:rPr>
              <w:t>2）项目经理证书及安全生产考核合格证及其他拟配备项目组人员相关证书，且人员均无不良信用记录；</w:t>
            </w:r>
          </w:p>
          <w:p w14:paraId="02487976">
            <w:pPr>
              <w:spacing w:line="400" w:lineRule="exact"/>
              <w:rPr>
                <w:rFonts w:ascii="宋体" w:hAnsi="宋体" w:cs="宋体"/>
                <w:color w:val="auto"/>
                <w:sz w:val="21"/>
                <w:szCs w:val="21"/>
                <w:highlight w:val="none"/>
              </w:rPr>
            </w:pPr>
            <w:r>
              <w:rPr>
                <w:rFonts w:hint="eastAsia" w:ascii="宋体" w:hAnsi="宋体" w:cs="宋体"/>
                <w:color w:val="auto"/>
                <w:sz w:val="21"/>
                <w:szCs w:val="21"/>
                <w:highlight w:val="none"/>
              </w:rPr>
              <w:t>（3）项目管理机构人员组成；</w:t>
            </w:r>
          </w:p>
          <w:p w14:paraId="220F7A36">
            <w:pPr>
              <w:spacing w:line="400" w:lineRule="exact"/>
              <w:rPr>
                <w:color w:val="auto"/>
                <w:sz w:val="21"/>
                <w:szCs w:val="21"/>
                <w:highlight w:val="none"/>
              </w:rPr>
            </w:pPr>
            <w:r>
              <w:rPr>
                <w:rFonts w:hint="eastAsia" w:ascii="宋体" w:hAnsi="宋体" w:cs="宋体"/>
                <w:color w:val="auto"/>
                <w:sz w:val="21"/>
                <w:szCs w:val="21"/>
                <w:highlight w:val="none"/>
              </w:rPr>
              <w:t>（4）</w:t>
            </w:r>
            <w:r>
              <w:rPr>
                <w:rFonts w:hint="eastAsia" w:ascii="宋体" w:hAnsi="宋体" w:eastAsia="宋体" w:cs="宋体"/>
                <w:highlight w:val="none"/>
              </w:rPr>
              <w:t>财务运行状况良好，没有财务被接管、冻结、破产状态，投标时提供202</w:t>
            </w:r>
            <w:r>
              <w:rPr>
                <w:rFonts w:hint="eastAsia" w:ascii="宋体" w:hAnsi="宋体" w:eastAsia="宋体" w:cs="宋体"/>
                <w:highlight w:val="none"/>
                <w:lang w:val="en-US" w:eastAsia="zh-CN"/>
              </w:rPr>
              <w:t>3</w:t>
            </w:r>
            <w:r>
              <w:rPr>
                <w:rFonts w:hint="eastAsia" w:ascii="宋体" w:hAnsi="宋体" w:eastAsia="宋体" w:cs="宋体"/>
                <w:highlight w:val="none"/>
              </w:rPr>
              <w:t>年度、202</w:t>
            </w:r>
            <w:r>
              <w:rPr>
                <w:rFonts w:hint="eastAsia" w:ascii="宋体" w:hAnsi="宋体" w:eastAsia="宋体" w:cs="宋体"/>
                <w:highlight w:val="none"/>
                <w:lang w:val="en-US" w:eastAsia="zh-CN"/>
              </w:rPr>
              <w:t>4</w:t>
            </w:r>
            <w:r>
              <w:rPr>
                <w:rFonts w:hint="eastAsia" w:ascii="宋体" w:hAnsi="宋体" w:eastAsia="宋体" w:cs="宋体"/>
                <w:highlight w:val="none"/>
              </w:rPr>
              <w:t>年度、202</w:t>
            </w:r>
            <w:r>
              <w:rPr>
                <w:rFonts w:hint="eastAsia" w:ascii="宋体" w:hAnsi="宋体" w:eastAsia="宋体" w:cs="宋体"/>
                <w:highlight w:val="none"/>
                <w:lang w:val="en-US" w:eastAsia="zh-CN"/>
              </w:rPr>
              <w:t>5</w:t>
            </w:r>
            <w:r>
              <w:rPr>
                <w:rFonts w:hint="eastAsia" w:ascii="宋体" w:hAnsi="宋体" w:eastAsia="宋体" w:cs="宋体"/>
                <w:highlight w:val="none"/>
              </w:rPr>
              <w:t>年度财务审计报告（公司成立不足三年的，从成立年份开始提供，新成立的企业无法提供财务审计报告的按实际情况提供银行资信证明即可）</w:t>
            </w:r>
          </w:p>
        </w:tc>
      </w:tr>
      <w:tr w14:paraId="45B7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63A5BC38">
            <w:pPr>
              <w:adjustRightInd w:val="0"/>
              <w:snapToGrid w:val="0"/>
              <w:spacing w:line="360" w:lineRule="auto"/>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2</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05F5BF6E">
            <w:pPr>
              <w:spacing w:line="44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履约能力</w:t>
            </w:r>
          </w:p>
        </w:tc>
        <w:tc>
          <w:tcPr>
            <w:tcW w:w="6352" w:type="dxa"/>
            <w:tcBorders>
              <w:top w:val="single" w:color="auto" w:sz="4" w:space="0"/>
              <w:left w:val="single" w:color="auto" w:sz="4" w:space="0"/>
              <w:bottom w:val="single" w:color="auto" w:sz="4" w:space="0"/>
              <w:right w:val="single" w:color="auto" w:sz="4" w:space="0"/>
            </w:tcBorders>
            <w:noWrap w:val="0"/>
            <w:vAlign w:val="center"/>
          </w:tcPr>
          <w:p w14:paraId="26F3957E">
            <w:pPr>
              <w:spacing w:line="40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拟投入本项目管理机构人员配置上岗履约情况（需提供相关承诺或证明材料）</w:t>
            </w:r>
            <w:r>
              <w:rPr>
                <w:rFonts w:hint="eastAsia" w:ascii="宋体" w:hAnsi="宋体" w:cs="宋体"/>
                <w:color w:val="auto"/>
                <w:sz w:val="21"/>
                <w:szCs w:val="21"/>
                <w:highlight w:val="none"/>
              </w:rPr>
              <w:t>、</w:t>
            </w:r>
            <w:r>
              <w:rPr>
                <w:rFonts w:hint="eastAsia" w:ascii="宋体" w:hAnsi="宋体" w:cs="宋体"/>
                <w:color w:val="auto"/>
                <w:kern w:val="0"/>
                <w:sz w:val="21"/>
                <w:szCs w:val="21"/>
                <w:highlight w:val="none"/>
              </w:rPr>
              <w:t>农民工工资按时足额发放履约情况（需提供相关承诺）</w:t>
            </w:r>
          </w:p>
        </w:tc>
      </w:tr>
      <w:tr w14:paraId="7C1E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29DD54B3">
            <w:pPr>
              <w:adjustRightInd w:val="0"/>
              <w:snapToGrid w:val="0"/>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3</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28D0076D">
            <w:pPr>
              <w:spacing w:line="44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投标方案</w:t>
            </w:r>
          </w:p>
        </w:tc>
        <w:tc>
          <w:tcPr>
            <w:tcW w:w="6352" w:type="dxa"/>
            <w:tcBorders>
              <w:top w:val="single" w:color="auto" w:sz="4" w:space="0"/>
              <w:left w:val="single" w:color="auto" w:sz="4" w:space="0"/>
              <w:bottom w:val="single" w:color="auto" w:sz="4" w:space="0"/>
              <w:right w:val="single" w:color="auto" w:sz="4" w:space="0"/>
            </w:tcBorders>
            <w:noWrap w:val="0"/>
            <w:vAlign w:val="center"/>
          </w:tcPr>
          <w:p w14:paraId="2224D75C">
            <w:pPr>
              <w:spacing w:line="40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施工组织设计的完整性、合理性、针对性</w:t>
            </w:r>
            <w:r>
              <w:rPr>
                <w:rFonts w:hint="eastAsia" w:ascii="宋体" w:hAnsi="宋体" w:cs="宋体"/>
                <w:color w:val="auto"/>
                <w:kern w:val="0"/>
                <w:sz w:val="21"/>
                <w:szCs w:val="21"/>
                <w:highlight w:val="none"/>
                <w:lang w:val="zh-CN"/>
              </w:rPr>
              <w:t>等</w:t>
            </w:r>
          </w:p>
        </w:tc>
      </w:tr>
      <w:tr w14:paraId="6E25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450BE407">
            <w:pPr>
              <w:adjustRightInd w:val="0"/>
              <w:snapToGrid w:val="0"/>
              <w:spacing w:line="360" w:lineRule="auto"/>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4</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7284CCC6">
            <w:pPr>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企业信誉</w:t>
            </w:r>
          </w:p>
        </w:tc>
        <w:tc>
          <w:tcPr>
            <w:tcW w:w="6352" w:type="dxa"/>
            <w:tcBorders>
              <w:top w:val="single" w:color="auto" w:sz="4" w:space="0"/>
              <w:left w:val="single" w:color="auto" w:sz="4" w:space="0"/>
              <w:bottom w:val="single" w:color="auto" w:sz="4" w:space="0"/>
              <w:right w:val="single" w:color="auto" w:sz="4" w:space="0"/>
            </w:tcBorders>
            <w:noWrap w:val="0"/>
            <w:vAlign w:val="center"/>
          </w:tcPr>
          <w:p w14:paraId="05CCBAF3">
            <w:pPr>
              <w:spacing w:line="400" w:lineRule="exact"/>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后）</w:t>
            </w:r>
          </w:p>
        </w:tc>
      </w:tr>
      <w:tr w14:paraId="5002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6DE2E9BE">
            <w:pPr>
              <w:adjustRightInd w:val="0"/>
              <w:snapToGrid w:val="0"/>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5</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72F091B6">
            <w:pPr>
              <w:spacing w:line="440" w:lineRule="exact"/>
              <w:jc w:val="center"/>
              <w:rPr>
                <w:rFonts w:ascii="宋体" w:hAnsi="宋体" w:cs="宋体"/>
                <w:b/>
                <w:bCs/>
                <w:color w:val="auto"/>
                <w:kern w:val="0"/>
                <w:sz w:val="21"/>
                <w:szCs w:val="21"/>
                <w:highlight w:val="none"/>
                <w:lang w:bidi="ar"/>
              </w:rPr>
            </w:pPr>
            <w:r>
              <w:rPr>
                <w:rFonts w:hint="eastAsia" w:ascii="宋体" w:hAnsi="宋体" w:cs="宋体"/>
                <w:color w:val="auto"/>
                <w:kern w:val="0"/>
                <w:sz w:val="21"/>
                <w:szCs w:val="21"/>
                <w:highlight w:val="none"/>
              </w:rPr>
              <w:t>工期计划</w:t>
            </w:r>
          </w:p>
        </w:tc>
        <w:tc>
          <w:tcPr>
            <w:tcW w:w="6352" w:type="dxa"/>
            <w:tcBorders>
              <w:top w:val="single" w:color="auto" w:sz="4" w:space="0"/>
              <w:left w:val="single" w:color="auto" w:sz="4" w:space="0"/>
              <w:bottom w:val="single" w:color="auto" w:sz="4" w:space="0"/>
              <w:right w:val="single" w:color="auto" w:sz="4" w:space="0"/>
            </w:tcBorders>
            <w:noWrap w:val="0"/>
            <w:vAlign w:val="center"/>
          </w:tcPr>
          <w:p w14:paraId="7F9A0A5F">
            <w:pPr>
              <w:spacing w:line="400" w:lineRule="exact"/>
              <w:rPr>
                <w:rFonts w:ascii="宋体" w:hAnsi="宋体" w:cs="宋体"/>
                <w:b/>
                <w:bCs/>
                <w:color w:val="auto"/>
                <w:kern w:val="0"/>
                <w:sz w:val="21"/>
                <w:szCs w:val="21"/>
                <w:highlight w:val="none"/>
                <w:lang w:bidi="ar"/>
              </w:rPr>
            </w:pPr>
            <w:r>
              <w:rPr>
                <w:rFonts w:hint="eastAsia" w:ascii="宋体" w:hAnsi="宋体" w:cs="宋体"/>
                <w:color w:val="auto"/>
                <w:kern w:val="0"/>
                <w:sz w:val="21"/>
                <w:szCs w:val="21"/>
                <w:highlight w:val="none"/>
                <w:lang w:bidi="ar"/>
              </w:rPr>
              <w:t>投标人的投标函中响应的</w:t>
            </w:r>
            <w:r>
              <w:rPr>
                <w:rFonts w:hint="eastAsia" w:ascii="宋体" w:hAnsi="宋体" w:cs="宋体"/>
                <w:color w:val="auto"/>
                <w:sz w:val="21"/>
                <w:szCs w:val="21"/>
                <w:highlight w:val="none"/>
              </w:rPr>
              <w:t>工期情况。</w:t>
            </w:r>
          </w:p>
        </w:tc>
      </w:tr>
      <w:tr w14:paraId="37D9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58993362">
            <w:pPr>
              <w:adjustRightInd w:val="0"/>
              <w:snapToGrid w:val="0"/>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6</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3A7B13C8">
            <w:pPr>
              <w:spacing w:line="440" w:lineRule="exact"/>
              <w:jc w:val="center"/>
              <w:rPr>
                <w:rFonts w:ascii="宋体" w:hAnsi="宋体" w:cs="宋体"/>
                <w:b/>
                <w:bCs/>
                <w:color w:val="auto"/>
                <w:kern w:val="0"/>
                <w:sz w:val="21"/>
                <w:szCs w:val="21"/>
                <w:highlight w:val="none"/>
                <w:lang w:bidi="ar"/>
              </w:rPr>
            </w:pPr>
            <w:r>
              <w:rPr>
                <w:rFonts w:hint="eastAsia" w:ascii="宋体" w:hAnsi="宋体" w:cs="宋体"/>
                <w:color w:val="auto"/>
                <w:sz w:val="21"/>
                <w:szCs w:val="21"/>
                <w:highlight w:val="none"/>
              </w:rPr>
              <w:t>投标</w:t>
            </w:r>
            <w:r>
              <w:rPr>
                <w:rFonts w:hint="eastAsia" w:ascii="宋体" w:hAnsi="宋体" w:cs="宋体"/>
                <w:color w:val="auto"/>
                <w:sz w:val="21"/>
                <w:szCs w:val="21"/>
                <w:highlight w:val="none"/>
                <w:lang w:val="en-US" w:eastAsia="zh-CN"/>
              </w:rPr>
              <w:t>总</w:t>
            </w:r>
            <w:r>
              <w:rPr>
                <w:rFonts w:hint="eastAsia" w:ascii="宋体" w:hAnsi="宋体" w:cs="宋体"/>
                <w:color w:val="auto"/>
                <w:sz w:val="21"/>
                <w:szCs w:val="21"/>
                <w:highlight w:val="none"/>
              </w:rPr>
              <w:t>报价</w:t>
            </w:r>
          </w:p>
        </w:tc>
        <w:tc>
          <w:tcPr>
            <w:tcW w:w="6352" w:type="dxa"/>
            <w:tcBorders>
              <w:top w:val="single" w:color="auto" w:sz="4" w:space="0"/>
              <w:left w:val="single" w:color="auto" w:sz="4" w:space="0"/>
              <w:bottom w:val="single" w:color="auto" w:sz="4" w:space="0"/>
              <w:right w:val="single" w:color="auto" w:sz="4" w:space="0"/>
            </w:tcBorders>
            <w:noWrap w:val="0"/>
            <w:vAlign w:val="center"/>
          </w:tcPr>
          <w:p w14:paraId="5F1665A4">
            <w:pPr>
              <w:spacing w:line="400" w:lineRule="exact"/>
              <w:rPr>
                <w:rFonts w:ascii="宋体" w:hAnsi="宋体" w:cs="宋体"/>
                <w:b/>
                <w:bCs/>
                <w:color w:val="auto"/>
                <w:kern w:val="0"/>
                <w:sz w:val="21"/>
                <w:szCs w:val="21"/>
                <w:highlight w:val="none"/>
                <w:lang w:bidi="ar"/>
              </w:rPr>
            </w:pPr>
            <w:r>
              <w:rPr>
                <w:rFonts w:hint="eastAsia" w:ascii="宋体" w:hAnsi="宋体" w:cs="宋体"/>
                <w:color w:val="auto"/>
                <w:sz w:val="21"/>
                <w:szCs w:val="21"/>
                <w:highlight w:val="none"/>
              </w:rPr>
              <w:t>投标人的投标</w:t>
            </w:r>
            <w:r>
              <w:rPr>
                <w:rFonts w:hint="eastAsia" w:ascii="宋体" w:hAnsi="宋体" w:cs="宋体"/>
                <w:color w:val="auto"/>
                <w:sz w:val="21"/>
                <w:szCs w:val="21"/>
                <w:highlight w:val="none"/>
                <w:lang w:val="en-US" w:eastAsia="zh-CN"/>
              </w:rPr>
              <w:t>总</w:t>
            </w:r>
            <w:r>
              <w:rPr>
                <w:rFonts w:hint="eastAsia" w:ascii="宋体" w:hAnsi="宋体" w:cs="宋体"/>
                <w:color w:val="auto"/>
                <w:sz w:val="21"/>
                <w:szCs w:val="21"/>
                <w:highlight w:val="none"/>
              </w:rPr>
              <w:t>报价情况（核查中如发现报价明显过低、可能影响质量或履约时，核查委员会可要求投标人书面说明并提供证明；不能证明合理性的，可否决投标）。</w:t>
            </w:r>
          </w:p>
        </w:tc>
      </w:tr>
    </w:tbl>
    <w:p w14:paraId="0D9DE5D3">
      <w:pPr>
        <w:spacing w:line="360" w:lineRule="auto"/>
        <w:jc w:val="left"/>
        <w:rPr>
          <w:rFonts w:ascii="宋体" w:hAnsi="宋体" w:cs="黑体"/>
          <w:b/>
          <w:color w:val="auto"/>
          <w:sz w:val="21"/>
          <w:szCs w:val="21"/>
          <w:highlight w:val="none"/>
        </w:rPr>
      </w:pPr>
      <w:r>
        <w:rPr>
          <w:rFonts w:hint="eastAsia" w:ascii="宋体" w:hAnsi="宋体" w:cs="黑体"/>
          <w:b/>
          <w:color w:val="auto"/>
          <w:sz w:val="21"/>
          <w:szCs w:val="21"/>
          <w:highlight w:val="none"/>
        </w:rPr>
        <w:t>7、定标程序</w:t>
      </w:r>
    </w:p>
    <w:p w14:paraId="1FF056AE">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rPr>
        <w:t>定标会议在三门峡市公共资源交易中心按流程进行，由招标代理机构主持人介绍参会人员及定标委员会成员，具体程序分为以下几方面：</w:t>
      </w:r>
    </w:p>
    <w:p w14:paraId="53B0831B">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宣读定标会议纪律；</w:t>
      </w:r>
    </w:p>
    <w:p w14:paraId="6BE48640">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介绍项目关联单位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定标委员会成员、行政监督部门人员、公证处人员</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14:paraId="75ECD778">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定标委员会全体人员签署定标承诺书；</w:t>
      </w:r>
    </w:p>
    <w:p w14:paraId="0EDE719F">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介绍开评标过程及评标委员会推荐定标候选人情况；</w:t>
      </w:r>
    </w:p>
    <w:p w14:paraId="7E9F0335">
      <w:pPr>
        <w:spacing w:line="360" w:lineRule="auto"/>
        <w:ind w:firstLine="630" w:firstLineChars="3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定标委员会组长宣读核查内容及结果；</w:t>
      </w:r>
    </w:p>
    <w:p w14:paraId="2E1AEF68">
      <w:pPr>
        <w:spacing w:line="360" w:lineRule="auto"/>
        <w:ind w:firstLine="630" w:firstLineChars="300"/>
        <w:jc w:val="lef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进入定标程序。</w:t>
      </w:r>
    </w:p>
    <w:p w14:paraId="37C83046">
      <w:pPr>
        <w:spacing w:line="360" w:lineRule="auto"/>
        <w:ind w:firstLine="440" w:firstLineChars="200"/>
        <w:jc w:val="left"/>
        <w:rPr>
          <w:rFonts w:ascii="宋体" w:hAnsi="宋体" w:eastAsia="宋体" w:cs="宋体"/>
          <w:spacing w:val="7"/>
          <w:sz w:val="20"/>
          <w:szCs w:val="20"/>
        </w:rPr>
      </w:pPr>
      <w:r>
        <w:rPr>
          <w:rFonts w:hint="eastAsia" w:ascii="宋体" w:hAnsi="宋体" w:eastAsia="宋体" w:cs="宋体"/>
          <w:spacing w:val="10"/>
          <w:sz w:val="20"/>
          <w:szCs w:val="20"/>
          <w:lang w:eastAsia="zh-CN"/>
        </w:rPr>
        <w:t>（</w:t>
      </w:r>
      <w:r>
        <w:rPr>
          <w:rFonts w:hint="eastAsia" w:ascii="宋体" w:hAnsi="宋体" w:eastAsia="宋体" w:cs="宋体"/>
          <w:spacing w:val="10"/>
          <w:sz w:val="20"/>
          <w:szCs w:val="20"/>
          <w:lang w:val="en-US" w:eastAsia="zh-CN"/>
        </w:rPr>
        <w:t>1）</w:t>
      </w:r>
      <w:r>
        <w:rPr>
          <w:rFonts w:ascii="宋体" w:hAnsi="宋体" w:eastAsia="宋体" w:cs="宋体"/>
          <w:spacing w:val="9"/>
          <w:sz w:val="20"/>
          <w:szCs w:val="20"/>
        </w:rPr>
        <w:t>定标委员会在通过核查的中标候选人中，</w:t>
      </w:r>
      <w:r>
        <w:rPr>
          <w:rFonts w:ascii="宋体" w:hAnsi="宋体" w:eastAsia="宋体" w:cs="宋体"/>
          <w:spacing w:val="-59"/>
          <w:sz w:val="20"/>
          <w:szCs w:val="20"/>
        </w:rPr>
        <w:t xml:space="preserve"> </w:t>
      </w:r>
      <w:r>
        <w:rPr>
          <w:rFonts w:ascii="宋体" w:hAnsi="宋体" w:eastAsia="宋体" w:cs="宋体"/>
          <w:spacing w:val="9"/>
          <w:sz w:val="20"/>
          <w:szCs w:val="20"/>
        </w:rPr>
        <w:t>以投票方式确定中标人。定标委员会成员独立行使投票</w:t>
      </w:r>
      <w:r>
        <w:rPr>
          <w:rFonts w:ascii="宋体" w:hAnsi="宋体" w:eastAsia="宋体" w:cs="宋体"/>
          <w:spacing w:val="8"/>
          <w:sz w:val="20"/>
          <w:szCs w:val="20"/>
        </w:rPr>
        <w:t>权，每人投票支持一个中标</w:t>
      </w:r>
      <w:r>
        <w:rPr>
          <w:rFonts w:ascii="宋体" w:hAnsi="宋体" w:eastAsia="宋体" w:cs="宋体"/>
          <w:spacing w:val="10"/>
          <w:sz w:val="20"/>
          <w:szCs w:val="20"/>
        </w:rPr>
        <w:t>候选人，票数最多且超过半数的确定为中标人。若中标候选人票数</w:t>
      </w:r>
      <w:r>
        <w:rPr>
          <w:rFonts w:ascii="宋体" w:hAnsi="宋体" w:eastAsia="宋体" w:cs="宋体"/>
          <w:spacing w:val="9"/>
          <w:sz w:val="20"/>
          <w:szCs w:val="20"/>
        </w:rPr>
        <w:t>均未超过半数的，取票数前两</w:t>
      </w:r>
      <w:r>
        <w:rPr>
          <w:rFonts w:ascii="宋体" w:hAnsi="宋体" w:eastAsia="宋体" w:cs="宋体"/>
          <w:spacing w:val="10"/>
          <w:sz w:val="20"/>
          <w:szCs w:val="20"/>
        </w:rPr>
        <w:t>名再次票决确定中标人。因并列无法确定前两名时，由定标委员会</w:t>
      </w:r>
      <w:r>
        <w:rPr>
          <w:rFonts w:ascii="宋体" w:hAnsi="宋体" w:eastAsia="宋体" w:cs="宋体"/>
          <w:spacing w:val="9"/>
          <w:sz w:val="20"/>
          <w:szCs w:val="20"/>
        </w:rPr>
        <w:t>按照随机选取方式确定出前两</w:t>
      </w:r>
      <w:r>
        <w:rPr>
          <w:rFonts w:ascii="宋体" w:hAnsi="宋体" w:eastAsia="宋体" w:cs="宋体"/>
          <w:spacing w:val="7"/>
          <w:sz w:val="20"/>
          <w:szCs w:val="20"/>
        </w:rPr>
        <w:t>名。</w:t>
      </w:r>
    </w:p>
    <w:p w14:paraId="345BFC42">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)宣读中标人。定标委员会组长宣布中标人，招标代理机构人员现场填写中标人信息和出具《定标报告》。</w:t>
      </w:r>
    </w:p>
    <w:p w14:paraId="57FA4BF8">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)签字确认。定标委员会成员、行政监督部门人员在《定标报告》《抽取结果表》《定标见证记录表》上签字。</w:t>
      </w:r>
    </w:p>
    <w:p w14:paraId="2BF2A4B5">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)公证处人员宣读公证词。</w:t>
      </w:r>
    </w:p>
    <w:p w14:paraId="01A07AD6">
      <w:pPr>
        <w:spacing w:line="360" w:lineRule="auto"/>
        <w:ind w:firstLine="420" w:firstLineChars="200"/>
        <w:jc w:val="left"/>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)招标代理机构主持人宣布定标会议结束。</w:t>
      </w:r>
    </w:p>
    <w:p w14:paraId="6629C36D">
      <w:pPr>
        <w:spacing w:line="360" w:lineRule="auto"/>
        <w:ind w:firstLine="422" w:firstLineChars="200"/>
        <w:jc w:val="left"/>
        <w:rPr>
          <w:rFonts w:ascii="宋体" w:hAnsi="宋体" w:cs="黑体"/>
          <w:b/>
          <w:color w:val="auto"/>
          <w:sz w:val="21"/>
          <w:szCs w:val="21"/>
          <w:highlight w:val="none"/>
        </w:rPr>
      </w:pPr>
      <w:r>
        <w:rPr>
          <w:rFonts w:hint="eastAsia" w:ascii="宋体" w:hAnsi="宋体" w:cs="黑体"/>
          <w:b/>
          <w:color w:val="auto"/>
          <w:sz w:val="21"/>
          <w:szCs w:val="21"/>
          <w:highlight w:val="none"/>
        </w:rPr>
        <w:t>8、定标报告</w:t>
      </w:r>
    </w:p>
    <w:p w14:paraId="3B2E4B66">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定标委员会应当按照招标文件中明确的定标原则、方法和程序，在中标候选人中确定中标人，并形成书面定标报告。</w:t>
      </w:r>
    </w:p>
    <w:p w14:paraId="18FA4335">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定标报告应当包括定标时间、定标地点、定标委员会成员名单、定标原则、定标方法、择优因素、定标程序及定标结果等内容。</w:t>
      </w:r>
    </w:p>
    <w:p w14:paraId="7752125A">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招标人应当在完成定标工作3日内发布中标结果公告，公示期不少于3日。中标结果公告应当载明定标时间、定标地点、定标方法、中标人名称、中标价格、质量、工期、资格条件、项目负责人信息；中标人的核查、考察、比较优势；核查未通过的中标候选人名单和原因，以及异议和投诉渠道等内容。</w:t>
      </w:r>
    </w:p>
    <w:p w14:paraId="5D7B60DC">
      <w:pPr>
        <w:spacing w:line="360" w:lineRule="auto"/>
        <w:jc w:val="left"/>
        <w:rPr>
          <w:rFonts w:ascii="宋体" w:hAnsi="宋体" w:cs="黑体"/>
          <w:b/>
          <w:color w:val="auto"/>
          <w:sz w:val="21"/>
          <w:szCs w:val="21"/>
          <w:highlight w:val="none"/>
        </w:rPr>
      </w:pPr>
      <w:r>
        <w:rPr>
          <w:rFonts w:hint="eastAsia" w:ascii="宋体" w:hAnsi="宋体" w:cs="黑体"/>
          <w:b/>
          <w:color w:val="auto"/>
          <w:sz w:val="21"/>
          <w:szCs w:val="21"/>
          <w:highlight w:val="none"/>
        </w:rPr>
        <w:t>9、定标后结果处置</w:t>
      </w:r>
    </w:p>
    <w:p w14:paraId="1CAD3B4D">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（1）确定的中标人经公示后无其他问题，可以发放《中标通知书》。</w:t>
      </w:r>
    </w:p>
    <w:p w14:paraId="752FB701">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2）对因中标人放弃中标、不可抗力不能履行合同、不按照招标文件要求缴纳履约保证金、不符合投标或中标条件或被查实存在影响中标结果的违法行为等情形，招标人可以在中标候选人中重新选取确定中标人，也可以重新招标。</w:t>
      </w:r>
    </w:p>
    <w:p w14:paraId="13370B8E">
      <w:pPr>
        <w:spacing w:line="440" w:lineRule="exact"/>
        <w:ind w:firstLine="420" w:firstLineChars="200"/>
        <w:jc w:val="left"/>
        <w:rPr>
          <w:rFonts w:ascii="宋体" w:hAnsi="宋体" w:cs="宋体"/>
          <w:color w:val="auto"/>
          <w:szCs w:val="21"/>
        </w:rPr>
      </w:pPr>
      <w:r>
        <w:rPr>
          <w:rFonts w:hint="eastAsia" w:ascii="宋体" w:hAnsi="宋体" w:cs="宋体"/>
          <w:color w:val="auto"/>
          <w:sz w:val="21"/>
          <w:szCs w:val="21"/>
          <w:highlight w:val="none"/>
        </w:rPr>
        <w:t>（3）对中标人以资金、技术等非正当理由放弃中标或被依法依规取消中标的，招标人应当移交</w:t>
      </w:r>
      <w:r>
        <w:rPr>
          <w:rFonts w:hint="eastAsia" w:ascii="宋体" w:hAnsi="宋体" w:cs="宋体"/>
          <w:color w:val="auto"/>
          <w:szCs w:val="21"/>
        </w:rPr>
        <w:t>有关行政监督部门依法规进行处理。</w:t>
      </w:r>
    </w:p>
    <w:p w14:paraId="3DB111E9">
      <w:pPr>
        <w:widowControl/>
        <w:jc w:val="left"/>
        <w:rPr>
          <w:rFonts w:ascii="宋体" w:hAnsi="宋体" w:cs="宋体"/>
          <w:b/>
          <w:bCs/>
          <w:color w:val="auto"/>
          <w:sz w:val="32"/>
          <w:szCs w:val="32"/>
        </w:rPr>
      </w:pPr>
      <w:r>
        <w:rPr>
          <w:rFonts w:ascii="宋体" w:hAnsi="宋体" w:cs="宋体"/>
          <w:b/>
          <w:bCs/>
          <w:color w:val="auto"/>
          <w:sz w:val="32"/>
          <w:szCs w:val="32"/>
        </w:rPr>
        <w:br w:type="page"/>
      </w:r>
    </w:p>
    <w:p w14:paraId="11DE4701">
      <w:pPr>
        <w:spacing w:line="360" w:lineRule="auto"/>
        <w:ind w:firstLine="435"/>
        <w:jc w:val="center"/>
        <w:outlineLvl w:val="0"/>
        <w:rPr>
          <w:rFonts w:ascii="宋体" w:hAnsi="宋体" w:cs="宋体"/>
          <w:color w:val="auto"/>
          <w:sz w:val="32"/>
          <w:szCs w:val="32"/>
        </w:rPr>
      </w:pPr>
      <w:r>
        <w:rPr>
          <w:rFonts w:hint="eastAsia" w:ascii="宋体" w:hAnsi="宋体" w:cs="宋体"/>
          <w:b/>
          <w:bCs/>
          <w:color w:val="auto"/>
          <w:sz w:val="36"/>
          <w:szCs w:val="36"/>
        </w:rPr>
        <w:t>第五章</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合同条款及格式</w:t>
      </w:r>
      <w:bookmarkEnd w:id="203"/>
      <w:bookmarkEnd w:id="204"/>
      <w:bookmarkEnd w:id="205"/>
      <w:bookmarkEnd w:id="206"/>
    </w:p>
    <w:p w14:paraId="5518B6D9">
      <w:pPr>
        <w:spacing w:line="360" w:lineRule="auto"/>
        <w:ind w:firstLine="480" w:firstLineChars="200"/>
        <w:jc w:val="center"/>
        <w:rPr>
          <w:rFonts w:ascii="宋体" w:hAnsi="宋体" w:cs="宋体"/>
          <w:color w:val="auto"/>
          <w:sz w:val="24"/>
        </w:rPr>
      </w:pPr>
      <w:bookmarkStart w:id="207" w:name="_Toc235244219"/>
      <w:bookmarkStart w:id="208" w:name="_Toc32059"/>
      <w:bookmarkStart w:id="209" w:name="_Toc256519780"/>
      <w:bookmarkStart w:id="210" w:name="_Toc95770065"/>
      <w:bookmarkStart w:id="211" w:name="_Toc494963862"/>
      <w:bookmarkStart w:id="212" w:name="_Toc3897"/>
      <w:bookmarkStart w:id="213" w:name="_Toc32182"/>
      <w:bookmarkStart w:id="214" w:name="_Toc28501"/>
      <w:bookmarkStart w:id="215" w:name="_Toc9914"/>
      <w:r>
        <w:rPr>
          <w:rFonts w:hint="eastAsia" w:ascii="宋体" w:hAnsi="宋体" w:cs="宋体"/>
          <w:color w:val="auto"/>
          <w:sz w:val="24"/>
        </w:rPr>
        <w:t>（本合同仅供参考，最终以双方签订为准）</w:t>
      </w:r>
    </w:p>
    <w:p w14:paraId="566A0E7F">
      <w:pPr>
        <w:spacing w:line="360" w:lineRule="auto"/>
        <w:ind w:left="1393" w:hanging="1392" w:hangingChars="633"/>
        <w:rPr>
          <w:rFonts w:ascii="宋体" w:hAnsi="宋体" w:cs="宋体"/>
          <w:color w:val="auto"/>
          <w:sz w:val="22"/>
          <w:szCs w:val="22"/>
        </w:rPr>
      </w:pPr>
    </w:p>
    <w:p w14:paraId="01FEF53E">
      <w:pPr>
        <w:jc w:val="center"/>
        <w:rPr>
          <w:rFonts w:asciiTheme="minorEastAsia" w:hAnsiTheme="minorEastAsia"/>
          <w:bCs/>
          <w:color w:val="auto"/>
          <w:sz w:val="32"/>
          <w:szCs w:val="32"/>
        </w:rPr>
      </w:pPr>
      <w:r>
        <w:rPr>
          <w:rFonts w:hint="eastAsia" w:asciiTheme="minorEastAsia" w:hAnsiTheme="minorEastAsia"/>
          <w:bCs/>
          <w:color w:val="auto"/>
          <w:sz w:val="32"/>
          <w:szCs w:val="32"/>
        </w:rPr>
        <w:t>（GF—2017—0201）</w:t>
      </w:r>
    </w:p>
    <w:p w14:paraId="07A30BD6">
      <w:pPr>
        <w:spacing w:line="360" w:lineRule="auto"/>
        <w:jc w:val="center"/>
        <w:rPr>
          <w:rFonts w:asciiTheme="minorEastAsia" w:hAnsiTheme="minorEastAsia"/>
          <w:color w:val="auto"/>
          <w:sz w:val="56"/>
          <w:szCs w:val="48"/>
        </w:rPr>
      </w:pPr>
    </w:p>
    <w:p w14:paraId="0CBB07E9">
      <w:pPr>
        <w:spacing w:line="360" w:lineRule="auto"/>
        <w:jc w:val="center"/>
        <w:rPr>
          <w:rFonts w:asciiTheme="minorEastAsia" w:hAnsiTheme="minorEastAsia"/>
          <w:color w:val="auto"/>
          <w:sz w:val="48"/>
          <w:szCs w:val="48"/>
        </w:rPr>
      </w:pPr>
      <w:r>
        <w:rPr>
          <w:rFonts w:hint="eastAsia" w:asciiTheme="minorEastAsia" w:hAnsiTheme="minorEastAsia"/>
          <w:color w:val="auto"/>
          <w:sz w:val="56"/>
          <w:szCs w:val="48"/>
        </w:rPr>
        <w:t>建设工程施工合同</w:t>
      </w:r>
      <w:r>
        <w:rPr>
          <w:rFonts w:hint="eastAsia" w:asciiTheme="minorEastAsia" w:hAnsiTheme="minorEastAsia"/>
          <w:color w:val="auto"/>
          <w:sz w:val="48"/>
          <w:szCs w:val="48"/>
        </w:rPr>
        <w:br w:type="textWrapping"/>
      </w:r>
      <w:r>
        <w:rPr>
          <w:rFonts w:hint="eastAsia" w:asciiTheme="minorEastAsia" w:hAnsiTheme="minorEastAsia"/>
          <w:color w:val="auto"/>
          <w:sz w:val="48"/>
          <w:szCs w:val="48"/>
        </w:rPr>
        <w:t>（示范文本）</w:t>
      </w:r>
    </w:p>
    <w:p w14:paraId="138A62DF">
      <w:pPr>
        <w:spacing w:line="360" w:lineRule="auto"/>
        <w:jc w:val="center"/>
        <w:rPr>
          <w:rFonts w:asciiTheme="minorEastAsia" w:hAnsiTheme="minorEastAsia"/>
          <w:color w:val="auto"/>
          <w:sz w:val="52"/>
          <w:szCs w:val="52"/>
        </w:rPr>
      </w:pPr>
    </w:p>
    <w:p w14:paraId="5D06B37D">
      <w:pPr>
        <w:spacing w:line="360" w:lineRule="auto"/>
        <w:jc w:val="center"/>
        <w:rPr>
          <w:rFonts w:asciiTheme="minorEastAsia" w:hAnsiTheme="minorEastAsia"/>
          <w:color w:val="auto"/>
          <w:sz w:val="72"/>
          <w:szCs w:val="72"/>
        </w:rPr>
      </w:pPr>
    </w:p>
    <w:p w14:paraId="0B19A798">
      <w:pPr>
        <w:spacing w:line="360" w:lineRule="auto"/>
        <w:jc w:val="center"/>
        <w:rPr>
          <w:rFonts w:asciiTheme="minorEastAsia" w:hAnsiTheme="minorEastAsia"/>
          <w:color w:val="auto"/>
          <w:sz w:val="52"/>
          <w:szCs w:val="52"/>
        </w:rPr>
      </w:pPr>
    </w:p>
    <w:p w14:paraId="37E7E2A6">
      <w:pPr>
        <w:spacing w:line="360" w:lineRule="auto"/>
        <w:rPr>
          <w:rFonts w:asciiTheme="minorEastAsia" w:hAnsiTheme="minorEastAsia"/>
          <w:color w:val="auto"/>
          <w:sz w:val="28"/>
          <w:szCs w:val="28"/>
        </w:rPr>
      </w:pPr>
    </w:p>
    <w:p w14:paraId="41ADBB79">
      <w:pPr>
        <w:spacing w:line="360" w:lineRule="auto"/>
        <w:rPr>
          <w:rFonts w:asciiTheme="minorEastAsia" w:hAnsiTheme="minorEastAsia"/>
          <w:color w:val="auto"/>
          <w:sz w:val="28"/>
          <w:szCs w:val="28"/>
        </w:rPr>
      </w:pPr>
    </w:p>
    <w:p w14:paraId="3E21B233">
      <w:pPr>
        <w:spacing w:line="360" w:lineRule="auto"/>
        <w:rPr>
          <w:rFonts w:asciiTheme="minorEastAsia" w:hAnsiTheme="minorEastAsia"/>
          <w:color w:val="auto"/>
          <w:sz w:val="28"/>
          <w:szCs w:val="28"/>
        </w:rPr>
      </w:pPr>
    </w:p>
    <w:p w14:paraId="77F3CC27">
      <w:pPr>
        <w:spacing w:line="360" w:lineRule="auto"/>
        <w:rPr>
          <w:rFonts w:asciiTheme="minorEastAsia" w:hAnsiTheme="minorEastAsia"/>
          <w:color w:val="auto"/>
          <w:sz w:val="28"/>
          <w:szCs w:val="28"/>
        </w:rPr>
      </w:pPr>
    </w:p>
    <w:p w14:paraId="7530970C">
      <w:pPr>
        <w:spacing w:line="360" w:lineRule="auto"/>
        <w:rPr>
          <w:rFonts w:asciiTheme="minorEastAsia" w:hAnsiTheme="minorEastAsia"/>
          <w:color w:val="auto"/>
          <w:sz w:val="28"/>
          <w:szCs w:val="28"/>
        </w:rPr>
      </w:pPr>
    </w:p>
    <w:p w14:paraId="38CD8A9C">
      <w:pPr>
        <w:spacing w:line="360" w:lineRule="auto"/>
        <w:ind w:right="3112" w:rightChars="1482"/>
        <w:jc w:val="center"/>
        <w:rPr>
          <w:rFonts w:asciiTheme="minorEastAsia" w:hAnsiTheme="minorEastAsia"/>
          <w:color w:val="auto"/>
          <w:sz w:val="32"/>
          <w:szCs w:val="28"/>
        </w:rPr>
      </w:pPr>
      <w:r>
        <w:rPr>
          <w:color w:val="auto"/>
        </w:rPr>
        <mc:AlternateContent>
          <mc:Choice Requires="wps">
            <w:drawing>
              <wp:anchor distT="0" distB="0" distL="114300" distR="114300" simplePos="0" relativeHeight="251659264" behindDoc="0" locked="0" layoutInCell="1" allowOverlap="1">
                <wp:simplePos x="0" y="0"/>
                <wp:positionH relativeFrom="column">
                  <wp:posOffset>4023360</wp:posOffset>
                </wp:positionH>
                <wp:positionV relativeFrom="paragraph">
                  <wp:posOffset>168910</wp:posOffset>
                </wp:positionV>
                <wp:extent cx="781050" cy="457200"/>
                <wp:effectExtent l="4445" t="4445" r="14605" b="14605"/>
                <wp:wrapNone/>
                <wp:docPr id="8" name="文本框 8"/>
                <wp:cNvGraphicFramePr/>
                <a:graphic xmlns:a="http://schemas.openxmlformats.org/drawingml/2006/main">
                  <a:graphicData uri="http://schemas.microsoft.com/office/word/2010/wordprocessingShape">
                    <wps:wsp>
                      <wps:cNvSpPr txBox="1"/>
                      <wps:spPr>
                        <a:xfrm>
                          <a:off x="0" y="0"/>
                          <a:ext cx="781050" cy="457200"/>
                        </a:xfrm>
                        <a:prstGeom prst="rect">
                          <a:avLst/>
                        </a:prstGeom>
                        <a:noFill/>
                        <a:ln w="9525" cap="flat" cmpd="sng">
                          <a:solidFill>
                            <a:srgbClr val="FFFFFF"/>
                          </a:solidFill>
                          <a:prstDash val="solid"/>
                          <a:miter/>
                          <a:headEnd type="none" w="med" len="med"/>
                          <a:tailEnd type="none" w="med" len="med"/>
                        </a:ln>
                        <a:effectLst/>
                      </wps:spPr>
                      <wps:txbx>
                        <w:txbxContent>
                          <w:p w14:paraId="1D0A9724">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6.8pt;margin-top:13.3pt;height:36pt;width:61.5pt;z-index:251659264;mso-width-relative:page;mso-height-relative:page;" filled="f" stroked="t" coordsize="21600,21600" o:gfxdata="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164z32AAAAAkBAAAPAAAAAAAAAAEAIAAAACIA&#10;AABkcnMvZG93bnJldi54bWxQSwECFAAUAAAACACHTuJAI1OzIAkCAAAaBAAADgAAAAAAAAABACAA&#10;AAAnAQAAZHJzL2Uyb0RvYy54bWxQSwUGAAAAAAYABgBZAQAAogUAAAAA&#10;">
                <v:fill on="f" focussize="0,0"/>
                <v:stroke color="#FFFFFF" joinstyle="miter"/>
                <v:imagedata o:title=""/>
                <o:lock v:ext="edit" aspectratio="f"/>
                <v:textbox>
                  <w:txbxContent>
                    <w:p w14:paraId="1D0A9724">
                      <w:pPr>
                        <w:rPr>
                          <w:b/>
                          <w:bCs/>
                          <w:sz w:val="32"/>
                        </w:rPr>
                      </w:pPr>
                      <w:r>
                        <w:rPr>
                          <w:rFonts w:hint="eastAsia"/>
                          <w:b/>
                          <w:bCs/>
                          <w:sz w:val="32"/>
                        </w:rPr>
                        <w:t>制定</w:t>
                      </w:r>
                    </w:p>
                  </w:txbxContent>
                </v:textbox>
              </v:shape>
            </w:pict>
          </mc:Fallback>
        </mc:AlternateContent>
      </w:r>
      <w:r>
        <w:rPr>
          <w:rFonts w:hint="eastAsia" w:asciiTheme="minorEastAsia" w:hAnsiTheme="minorEastAsia"/>
          <w:color w:val="auto"/>
          <w:sz w:val="32"/>
          <w:szCs w:val="28"/>
        </w:rPr>
        <w:t>住房和城乡建设部</w:t>
      </w:r>
    </w:p>
    <w:p w14:paraId="1645046C">
      <w:pPr>
        <w:spacing w:line="360" w:lineRule="auto"/>
        <w:ind w:right="3112" w:rightChars="1482"/>
        <w:jc w:val="center"/>
        <w:rPr>
          <w:rFonts w:asciiTheme="minorEastAsia" w:hAnsiTheme="minorEastAsia"/>
          <w:color w:val="auto"/>
          <w:spacing w:val="24"/>
          <w:sz w:val="32"/>
          <w:szCs w:val="28"/>
        </w:rPr>
      </w:pPr>
      <w:r>
        <w:rPr>
          <w:rFonts w:hint="eastAsia" w:asciiTheme="minorEastAsia" w:hAnsiTheme="minorEastAsia"/>
          <w:color w:val="auto"/>
          <w:spacing w:val="24"/>
          <w:sz w:val="32"/>
          <w:szCs w:val="28"/>
        </w:rPr>
        <w:t>国家工商行政管理总局</w:t>
      </w:r>
    </w:p>
    <w:p w14:paraId="09BAE6B0">
      <w:pPr>
        <w:spacing w:line="360" w:lineRule="auto"/>
        <w:rPr>
          <w:rFonts w:asciiTheme="minorEastAsia" w:hAnsiTheme="minorEastAsia"/>
          <w:color w:val="auto"/>
        </w:rPr>
      </w:pPr>
    </w:p>
    <w:p w14:paraId="6D48C0AB">
      <w:pPr>
        <w:adjustRightInd w:val="0"/>
        <w:snapToGrid w:val="0"/>
        <w:spacing w:line="420" w:lineRule="atLeast"/>
        <w:ind w:right="-1025" w:rightChars="-488"/>
        <w:outlineLvl w:val="0"/>
        <w:rPr>
          <w:rFonts w:asciiTheme="minorEastAsia" w:hAnsiTheme="minorEastAsia"/>
          <w:color w:val="auto"/>
          <w:sz w:val="32"/>
          <w:szCs w:val="32"/>
        </w:rPr>
      </w:pPr>
    </w:p>
    <w:p w14:paraId="4CB6768B">
      <w:pPr>
        <w:spacing w:line="360" w:lineRule="auto"/>
        <w:jc w:val="center"/>
        <w:outlineLvl w:val="1"/>
        <w:rPr>
          <w:rFonts w:asciiTheme="minorEastAsia" w:hAnsiTheme="minorEastAsia"/>
          <w:color w:val="auto"/>
          <w:sz w:val="32"/>
          <w:szCs w:val="32"/>
        </w:rPr>
      </w:pPr>
      <w:bookmarkStart w:id="216" w:name="_Toc529438828"/>
      <w:bookmarkStart w:id="217" w:name="_Toc500423701"/>
      <w:bookmarkStart w:id="218" w:name="_Toc14975637"/>
    </w:p>
    <w:p w14:paraId="5A416DEF">
      <w:pPr>
        <w:spacing w:line="360" w:lineRule="auto"/>
        <w:jc w:val="center"/>
        <w:outlineLvl w:val="1"/>
        <w:rPr>
          <w:rFonts w:asciiTheme="minorEastAsia" w:hAnsiTheme="minorEastAsia"/>
          <w:color w:val="auto"/>
          <w:sz w:val="32"/>
          <w:szCs w:val="32"/>
        </w:rPr>
      </w:pPr>
    </w:p>
    <w:bookmarkEnd w:id="216"/>
    <w:bookmarkEnd w:id="217"/>
    <w:bookmarkEnd w:id="218"/>
    <w:p w14:paraId="114F4EDB">
      <w:pPr>
        <w:spacing w:line="360" w:lineRule="auto"/>
        <w:jc w:val="center"/>
        <w:outlineLvl w:val="1"/>
        <w:rPr>
          <w:rFonts w:asciiTheme="minorEastAsia" w:hAnsiTheme="minorEastAsia"/>
          <w:bCs/>
          <w:sz w:val="32"/>
          <w:szCs w:val="32"/>
        </w:rPr>
      </w:pPr>
      <w:bookmarkStart w:id="219" w:name="_Toc58684691"/>
      <w:r>
        <w:rPr>
          <w:rFonts w:hint="eastAsia" w:asciiTheme="minorEastAsia" w:hAnsiTheme="minorEastAsia"/>
          <w:bCs/>
          <w:sz w:val="32"/>
          <w:szCs w:val="32"/>
        </w:rPr>
        <w:t>一、合同协议书</w:t>
      </w:r>
      <w:bookmarkEnd w:id="219"/>
    </w:p>
    <w:p w14:paraId="5E7B1DB7">
      <w:pPr>
        <w:tabs>
          <w:tab w:val="left" w:pos="5835"/>
        </w:tabs>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发包人（全称）：</w:t>
      </w:r>
    </w:p>
    <w:p w14:paraId="15E45360">
      <w:pPr>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承包人（全称）：</w:t>
      </w:r>
      <w:r>
        <w:rPr>
          <w:rFonts w:hint="eastAsia" w:cs="宋体" w:asciiTheme="minorEastAsia" w:hAnsiTheme="minorEastAsia"/>
          <w:szCs w:val="21"/>
          <w:u w:val="single"/>
          <w:lang w:val="en-US" w:eastAsia="zh-CN"/>
        </w:rPr>
        <w:t xml:space="preserve">       </w:t>
      </w:r>
      <w:r>
        <w:rPr>
          <w:rFonts w:hint="eastAsia" w:cs="宋体" w:asciiTheme="minorEastAsia" w:hAnsiTheme="minorEastAsia"/>
          <w:szCs w:val="21"/>
          <w:u w:val="single"/>
        </w:rPr>
        <w:t xml:space="preserve">                        </w:t>
      </w:r>
    </w:p>
    <w:p w14:paraId="5831FF6C">
      <w:pPr>
        <w:spacing w:line="360" w:lineRule="auto"/>
        <w:ind w:firstLine="420" w:firstLineChars="200"/>
        <w:rPr>
          <w:rFonts w:cs="宋体" w:asciiTheme="minorEastAsia" w:hAnsiTheme="minorEastAsia"/>
          <w:szCs w:val="21"/>
        </w:rPr>
      </w:pPr>
      <w:r>
        <w:rPr>
          <w:rFonts w:hint="eastAsia" w:cs="宋体" w:asciiTheme="minorEastAsia" w:hAnsiTheme="minorEastAsia"/>
          <w:szCs w:val="21"/>
        </w:rPr>
        <w:t>根据《中华人民共和国民法典》、《中华人民共和国建筑法》及有关法律规定，遵循平等、自愿、公平和诚实信用的原则，双方就施工及有关事项协商一致，共同达成如下协议：</w:t>
      </w:r>
    </w:p>
    <w:p w14:paraId="7D4D8720">
      <w:pPr>
        <w:spacing w:line="360" w:lineRule="auto"/>
        <w:ind w:firstLine="525" w:firstLineChars="250"/>
        <w:rPr>
          <w:rFonts w:asciiTheme="minorEastAsia" w:hAnsiTheme="minorEastAsia"/>
          <w:szCs w:val="21"/>
        </w:rPr>
      </w:pPr>
      <w:r>
        <w:rPr>
          <w:rFonts w:hint="eastAsia" w:asciiTheme="minorEastAsia" w:hAnsiTheme="minorEastAsia"/>
          <w:szCs w:val="21"/>
        </w:rPr>
        <w:t>一、工程概况</w:t>
      </w:r>
    </w:p>
    <w:p w14:paraId="4A43FE9D">
      <w:pPr>
        <w:widowControl/>
        <w:spacing w:line="360" w:lineRule="auto"/>
        <w:ind w:firstLine="420" w:firstLineChars="200"/>
        <w:jc w:val="left"/>
        <w:rPr>
          <w:rFonts w:cs="宋体" w:asciiTheme="minorEastAsia" w:hAnsiTheme="minorEastAsia"/>
          <w:szCs w:val="21"/>
        </w:rPr>
      </w:pPr>
      <w:r>
        <w:rPr>
          <w:rFonts w:hint="eastAsia" w:cs="宋体" w:asciiTheme="minorEastAsia" w:hAnsiTheme="minorEastAsia"/>
          <w:szCs w:val="21"/>
        </w:rPr>
        <w:t xml:space="preserve"> 1.工程名称：</w:t>
      </w:r>
    </w:p>
    <w:p w14:paraId="426241E7">
      <w:pPr>
        <w:widowControl/>
        <w:spacing w:line="360" w:lineRule="auto"/>
        <w:ind w:firstLine="420" w:firstLineChars="200"/>
        <w:jc w:val="left"/>
        <w:rPr>
          <w:rFonts w:cs="宋体" w:asciiTheme="minorEastAsia" w:hAnsiTheme="minorEastAsia"/>
          <w:szCs w:val="21"/>
          <w:u w:val="single"/>
        </w:rPr>
      </w:pPr>
      <w:r>
        <w:rPr>
          <w:rFonts w:hint="eastAsia" w:cs="宋体" w:asciiTheme="minorEastAsia" w:hAnsiTheme="minorEastAsia"/>
          <w:szCs w:val="21"/>
        </w:rPr>
        <w:t xml:space="preserve"> 2.工程地点：</w:t>
      </w:r>
    </w:p>
    <w:p w14:paraId="637BD620">
      <w:pPr>
        <w:widowControl/>
        <w:spacing w:line="360" w:lineRule="auto"/>
        <w:ind w:firstLine="420" w:firstLineChars="200"/>
        <w:jc w:val="left"/>
        <w:rPr>
          <w:rFonts w:cs="宋体" w:asciiTheme="minorEastAsia" w:hAnsiTheme="minorEastAsia"/>
          <w:szCs w:val="21"/>
        </w:rPr>
      </w:pPr>
      <w:r>
        <w:rPr>
          <w:rFonts w:hint="eastAsia" w:cs="宋体" w:asciiTheme="minorEastAsia" w:hAnsiTheme="minorEastAsia"/>
          <w:szCs w:val="21"/>
        </w:rPr>
        <w:t xml:space="preserve"> 3.工程立项批准文号：</w:t>
      </w:r>
      <w:r>
        <w:rPr>
          <w:rFonts w:hint="eastAsia" w:cs="宋体" w:asciiTheme="minorEastAsia" w:hAnsiTheme="minorEastAsia"/>
          <w:szCs w:val="21"/>
          <w:u w:val="single"/>
        </w:rPr>
        <w:t xml:space="preserve">　      /            </w:t>
      </w:r>
    </w:p>
    <w:p w14:paraId="1FF782C1">
      <w:pPr>
        <w:widowControl/>
        <w:spacing w:line="360" w:lineRule="auto"/>
        <w:ind w:firstLine="525" w:firstLineChars="250"/>
        <w:jc w:val="left"/>
        <w:rPr>
          <w:rFonts w:asciiTheme="minorEastAsia" w:hAnsiTheme="minorEastAsia"/>
          <w:u w:val="single"/>
        </w:rPr>
      </w:pPr>
      <w:r>
        <w:rPr>
          <w:rFonts w:hint="eastAsia" w:cs="宋体" w:asciiTheme="minorEastAsia" w:hAnsiTheme="minorEastAsia"/>
          <w:szCs w:val="21"/>
        </w:rPr>
        <w:t>4.资金来源：</w:t>
      </w:r>
    </w:p>
    <w:p w14:paraId="451D5289">
      <w:pPr>
        <w:widowControl/>
        <w:spacing w:line="360" w:lineRule="auto"/>
        <w:ind w:firstLine="315" w:firstLineChars="150"/>
        <w:jc w:val="left"/>
        <w:rPr>
          <w:rFonts w:cs="宋体" w:asciiTheme="minorEastAsia" w:hAnsiTheme="minorEastAsia"/>
          <w:szCs w:val="21"/>
        </w:rPr>
      </w:pPr>
      <w:r>
        <w:rPr>
          <w:rFonts w:hint="eastAsia" w:cs="宋体" w:asciiTheme="minorEastAsia" w:hAnsiTheme="minorEastAsia"/>
          <w:szCs w:val="21"/>
        </w:rPr>
        <w:t xml:space="preserve">  5.工程内容：。</w:t>
      </w:r>
    </w:p>
    <w:p w14:paraId="691AEC50">
      <w:pPr>
        <w:widowControl/>
        <w:spacing w:line="360" w:lineRule="auto"/>
        <w:ind w:firstLine="315" w:firstLineChars="150"/>
        <w:jc w:val="left"/>
        <w:rPr>
          <w:rFonts w:cs="宋体" w:asciiTheme="minorEastAsia" w:hAnsiTheme="minorEastAsia"/>
          <w:szCs w:val="21"/>
        </w:rPr>
      </w:pPr>
      <w:r>
        <w:rPr>
          <w:rFonts w:hint="eastAsia" w:cs="宋体" w:asciiTheme="minorEastAsia" w:hAnsiTheme="minorEastAsia"/>
          <w:szCs w:val="21"/>
        </w:rPr>
        <w:t xml:space="preserve">  群体工程应附《承包人承揽工程项目一览表》（附件1）。</w:t>
      </w:r>
    </w:p>
    <w:p w14:paraId="6AB222C4">
      <w:pPr>
        <w:widowControl/>
        <w:spacing w:line="360" w:lineRule="auto"/>
        <w:ind w:firstLine="525" w:firstLineChars="250"/>
        <w:jc w:val="left"/>
        <w:rPr>
          <w:rFonts w:cs="宋体" w:asciiTheme="minorEastAsia" w:hAnsiTheme="minorEastAsia"/>
          <w:szCs w:val="21"/>
          <w:u w:val="single"/>
        </w:rPr>
      </w:pPr>
      <w:r>
        <w:rPr>
          <w:rFonts w:hint="eastAsia" w:cs="宋体" w:asciiTheme="minorEastAsia" w:hAnsiTheme="minorEastAsia"/>
          <w:szCs w:val="21"/>
        </w:rPr>
        <w:t>6.工程承包范围：</w:t>
      </w:r>
    </w:p>
    <w:p w14:paraId="4A6C1AE5">
      <w:pPr>
        <w:widowControl/>
        <w:spacing w:line="360" w:lineRule="auto"/>
        <w:jc w:val="left"/>
        <w:rPr>
          <w:rFonts w:asciiTheme="minorEastAsia" w:hAnsiTheme="minorEastAsia"/>
          <w:szCs w:val="21"/>
        </w:rPr>
      </w:pPr>
      <w:r>
        <w:rPr>
          <w:rFonts w:hint="eastAsia" w:asciiTheme="minorEastAsia" w:hAnsiTheme="minorEastAsia"/>
          <w:szCs w:val="21"/>
        </w:rPr>
        <w:t>二、合同工期</w:t>
      </w:r>
    </w:p>
    <w:p w14:paraId="6DDCCC29">
      <w:pPr>
        <w:spacing w:line="360" w:lineRule="auto"/>
        <w:ind w:firstLine="420" w:firstLineChars="200"/>
        <w:rPr>
          <w:rFonts w:cs="宋体" w:asciiTheme="minorEastAsia" w:hAnsiTheme="minorEastAsia"/>
          <w:szCs w:val="21"/>
        </w:rPr>
      </w:pPr>
      <w:r>
        <w:rPr>
          <w:rFonts w:hint="eastAsia" w:cs="宋体" w:asciiTheme="minorEastAsia" w:hAnsiTheme="minorEastAsia"/>
          <w:szCs w:val="21"/>
        </w:rPr>
        <w:t>计划开工日期：年月日。</w:t>
      </w:r>
      <w:r>
        <w:rPr>
          <w:rFonts w:hint="eastAsia" w:cs="宋体" w:asciiTheme="minorEastAsia" w:hAnsiTheme="minorEastAsia"/>
          <w:szCs w:val="21"/>
        </w:rPr>
        <w:br w:type="textWrapping"/>
      </w:r>
      <w:r>
        <w:rPr>
          <w:rFonts w:hint="eastAsia" w:cs="宋体" w:asciiTheme="minorEastAsia" w:hAnsiTheme="minorEastAsia"/>
          <w:szCs w:val="21"/>
        </w:rPr>
        <w:t xml:space="preserve">    计划竣工日期：年月日。</w:t>
      </w:r>
      <w:r>
        <w:rPr>
          <w:rFonts w:hint="eastAsia" w:cs="宋体" w:asciiTheme="minorEastAsia" w:hAnsiTheme="minorEastAsia"/>
          <w:szCs w:val="21"/>
        </w:rPr>
        <w:br w:type="textWrapping"/>
      </w:r>
      <w:r>
        <w:rPr>
          <w:rFonts w:hint="eastAsia" w:cs="宋体" w:asciiTheme="minorEastAsia" w:hAnsiTheme="minorEastAsia"/>
          <w:szCs w:val="21"/>
        </w:rPr>
        <w:t xml:space="preserve">    工期总日历天数：日历天。工期总日历天数与根据前述计划开竣工日期计算的工期天数不一致的，以工期总日历天数为准。</w:t>
      </w:r>
    </w:p>
    <w:p w14:paraId="4511697F">
      <w:pPr>
        <w:spacing w:line="360" w:lineRule="auto"/>
        <w:ind w:firstLine="525" w:firstLineChars="250"/>
        <w:rPr>
          <w:rFonts w:asciiTheme="minorEastAsia" w:hAnsiTheme="minorEastAsia"/>
          <w:szCs w:val="21"/>
        </w:rPr>
      </w:pPr>
      <w:r>
        <w:rPr>
          <w:rFonts w:hint="eastAsia" w:asciiTheme="minorEastAsia" w:hAnsiTheme="minorEastAsia"/>
          <w:szCs w:val="21"/>
        </w:rPr>
        <w:t>三、质量标准</w:t>
      </w:r>
    </w:p>
    <w:p w14:paraId="2EF00FA6">
      <w:pPr>
        <w:spacing w:line="360" w:lineRule="auto"/>
        <w:ind w:firstLine="459"/>
        <w:rPr>
          <w:rFonts w:asciiTheme="minorEastAsia" w:hAnsiTheme="minorEastAsia"/>
          <w:szCs w:val="21"/>
        </w:rPr>
      </w:pPr>
      <w:r>
        <w:rPr>
          <w:rFonts w:hint="eastAsia" w:asciiTheme="minorEastAsia" w:hAnsiTheme="minorEastAsia"/>
          <w:szCs w:val="21"/>
        </w:rPr>
        <w:t>工程质量符合标准。</w:t>
      </w:r>
    </w:p>
    <w:p w14:paraId="3E47DB7A">
      <w:pPr>
        <w:spacing w:line="360" w:lineRule="auto"/>
        <w:ind w:firstLine="525" w:firstLineChars="250"/>
        <w:rPr>
          <w:rFonts w:asciiTheme="minorEastAsia" w:hAnsiTheme="minorEastAsia"/>
          <w:szCs w:val="21"/>
        </w:rPr>
      </w:pPr>
      <w:r>
        <w:rPr>
          <w:rFonts w:hint="eastAsia" w:asciiTheme="minorEastAsia" w:hAnsiTheme="minorEastAsia"/>
          <w:szCs w:val="21"/>
        </w:rPr>
        <w:t xml:space="preserve">四、签约合同价与合同价格形式    </w:t>
      </w:r>
    </w:p>
    <w:p w14:paraId="59276FE0">
      <w:pPr>
        <w:spacing w:line="360" w:lineRule="auto"/>
        <w:ind w:firstLine="560"/>
        <w:rPr>
          <w:rFonts w:cs="宋体" w:asciiTheme="minorEastAsia" w:hAnsiTheme="minorEastAsia"/>
          <w:szCs w:val="21"/>
        </w:rPr>
      </w:pPr>
      <w:r>
        <w:rPr>
          <w:rFonts w:hint="eastAsia" w:cs="宋体" w:asciiTheme="minorEastAsia" w:hAnsiTheme="minorEastAsia"/>
          <w:szCs w:val="21"/>
        </w:rPr>
        <w:t>1.签约合同价为：人民币（大写）(¥：元)；</w:t>
      </w:r>
    </w:p>
    <w:p w14:paraId="5514F9E3">
      <w:pPr>
        <w:spacing w:line="360" w:lineRule="auto"/>
        <w:rPr>
          <w:rFonts w:cs="宋体" w:asciiTheme="minorEastAsia" w:hAnsiTheme="minorEastAsia"/>
          <w:szCs w:val="21"/>
        </w:rPr>
      </w:pPr>
      <w:r>
        <w:rPr>
          <w:rFonts w:hint="eastAsia" w:cs="宋体" w:asciiTheme="minorEastAsia" w:hAnsiTheme="minorEastAsia"/>
          <w:szCs w:val="21"/>
        </w:rPr>
        <w:t>其中：</w:t>
      </w:r>
    </w:p>
    <w:p w14:paraId="1BA6BA9C">
      <w:pPr>
        <w:spacing w:line="360" w:lineRule="auto"/>
        <w:ind w:firstLine="420" w:firstLineChars="200"/>
        <w:rPr>
          <w:rFonts w:cs="宋体" w:asciiTheme="minorEastAsia" w:hAnsiTheme="minorEastAsia"/>
          <w:szCs w:val="21"/>
        </w:rPr>
      </w:pPr>
      <w:r>
        <w:rPr>
          <w:rFonts w:hint="eastAsia" w:cs="宋体" w:asciiTheme="minorEastAsia" w:hAnsiTheme="minorEastAsia"/>
          <w:szCs w:val="21"/>
        </w:rPr>
        <w:t>（1）安全文明施工费：人民币（大写）(¥：元)；</w:t>
      </w:r>
    </w:p>
    <w:p w14:paraId="202BC32D">
      <w:pPr>
        <w:spacing w:line="360" w:lineRule="auto"/>
        <w:ind w:firstLine="420" w:firstLineChars="200"/>
        <w:rPr>
          <w:rFonts w:cs="宋体" w:asciiTheme="minorEastAsia" w:hAnsiTheme="minorEastAsia"/>
          <w:szCs w:val="21"/>
        </w:rPr>
      </w:pPr>
      <w:r>
        <w:rPr>
          <w:rFonts w:hint="eastAsia" w:cs="宋体" w:asciiTheme="minorEastAsia" w:hAnsiTheme="minorEastAsia"/>
          <w:szCs w:val="21"/>
        </w:rPr>
        <w:t>（2）材料和工程设备暂估价金额：人民币（大写）(¥： 元)；</w:t>
      </w:r>
    </w:p>
    <w:p w14:paraId="07C536D6">
      <w:pPr>
        <w:spacing w:line="360" w:lineRule="auto"/>
        <w:ind w:firstLine="420" w:firstLineChars="200"/>
        <w:rPr>
          <w:rFonts w:cs="宋体" w:asciiTheme="minorEastAsia" w:hAnsiTheme="minorEastAsia"/>
          <w:szCs w:val="21"/>
        </w:rPr>
      </w:pPr>
      <w:r>
        <w:rPr>
          <w:rFonts w:hint="eastAsia" w:cs="宋体" w:asciiTheme="minorEastAsia" w:hAnsiTheme="minorEastAsia"/>
          <w:szCs w:val="21"/>
        </w:rPr>
        <w:t>（3）专业工程暂估价金额：人民币（大写）(¥</w:t>
      </w:r>
      <w:r>
        <w:rPr>
          <w:rFonts w:hint="eastAsia" w:cs="宋体" w:asciiTheme="minorEastAsia" w:hAnsiTheme="minorEastAsia"/>
          <w:szCs w:val="21"/>
          <w:u w:val="single"/>
        </w:rPr>
        <w:t xml:space="preserve">：         </w:t>
      </w:r>
      <w:r>
        <w:rPr>
          <w:rFonts w:hint="eastAsia" w:cs="宋体" w:asciiTheme="minorEastAsia" w:hAnsiTheme="minorEastAsia"/>
          <w:szCs w:val="21"/>
        </w:rPr>
        <w:t>元)；</w:t>
      </w:r>
    </w:p>
    <w:p w14:paraId="2A12C647">
      <w:pPr>
        <w:spacing w:line="360" w:lineRule="auto"/>
        <w:ind w:firstLine="420" w:firstLineChars="200"/>
        <w:rPr>
          <w:rFonts w:cs="宋体" w:asciiTheme="minorEastAsia" w:hAnsiTheme="minorEastAsia"/>
          <w:szCs w:val="21"/>
        </w:rPr>
      </w:pPr>
      <w:r>
        <w:rPr>
          <w:rFonts w:hint="eastAsia" w:cs="宋体" w:asciiTheme="minorEastAsia" w:hAnsiTheme="minorEastAsia"/>
          <w:szCs w:val="21"/>
        </w:rPr>
        <w:t>（4）暂列金额：人民币（大写）(¥： 元)。</w:t>
      </w:r>
    </w:p>
    <w:p w14:paraId="5F0D6A23">
      <w:pPr>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 xml:space="preserve"> 2.合同价格形式：</w:t>
      </w:r>
      <w:r>
        <w:rPr>
          <w:rFonts w:hint="eastAsia" w:cs="宋体" w:asciiTheme="minorEastAsia" w:hAnsiTheme="minorEastAsia"/>
          <w:szCs w:val="21"/>
          <w:u w:val="single"/>
        </w:rPr>
        <w:t>固定单价合同</w:t>
      </w:r>
      <w:r>
        <w:rPr>
          <w:rFonts w:hint="eastAsia" w:cs="宋体" w:asciiTheme="minorEastAsia" w:hAnsiTheme="minorEastAsia"/>
          <w:szCs w:val="21"/>
          <w:u w:val="none"/>
        </w:rPr>
        <w:t>。</w:t>
      </w:r>
    </w:p>
    <w:p w14:paraId="1972D1FB">
      <w:pPr>
        <w:spacing w:line="360" w:lineRule="auto"/>
        <w:ind w:firstLine="525" w:firstLineChars="250"/>
        <w:rPr>
          <w:rFonts w:asciiTheme="minorEastAsia" w:hAnsiTheme="minorEastAsia"/>
          <w:szCs w:val="21"/>
        </w:rPr>
      </w:pPr>
      <w:r>
        <w:rPr>
          <w:rFonts w:hint="eastAsia" w:asciiTheme="minorEastAsia" w:hAnsiTheme="minorEastAsia"/>
          <w:szCs w:val="21"/>
        </w:rPr>
        <w:t>五、项目经理</w:t>
      </w:r>
    </w:p>
    <w:p w14:paraId="37ABE3FD">
      <w:pPr>
        <w:spacing w:line="360" w:lineRule="auto"/>
        <w:ind w:firstLine="560"/>
        <w:rPr>
          <w:rFonts w:cs="宋体" w:asciiTheme="minorEastAsia" w:hAnsiTheme="minorEastAsia"/>
          <w:szCs w:val="21"/>
        </w:rPr>
      </w:pPr>
      <w:r>
        <w:rPr>
          <w:rFonts w:hint="eastAsia" w:cs="宋体" w:asciiTheme="minorEastAsia" w:hAnsiTheme="minorEastAsia"/>
          <w:szCs w:val="21"/>
        </w:rPr>
        <w:t>承包人项目经理：</w:t>
      </w:r>
      <w:r>
        <w:rPr>
          <w:rFonts w:hint="eastAsia" w:cs="宋体" w:asciiTheme="minorEastAsia" w:hAnsiTheme="minorEastAsia"/>
          <w:szCs w:val="21"/>
          <w:u w:val="single"/>
        </w:rPr>
        <w:t>　　　                 　    　</w:t>
      </w:r>
      <w:r>
        <w:rPr>
          <w:rFonts w:hint="eastAsia" w:cs="宋体" w:asciiTheme="minorEastAsia" w:hAnsiTheme="minorEastAsia"/>
          <w:szCs w:val="21"/>
        </w:rPr>
        <w:t>。</w:t>
      </w:r>
    </w:p>
    <w:p w14:paraId="58D4978D">
      <w:pPr>
        <w:spacing w:line="360" w:lineRule="auto"/>
        <w:ind w:firstLine="525" w:firstLineChars="250"/>
        <w:rPr>
          <w:rFonts w:asciiTheme="minorEastAsia" w:hAnsiTheme="minorEastAsia"/>
          <w:szCs w:val="21"/>
        </w:rPr>
      </w:pPr>
      <w:r>
        <w:rPr>
          <w:rFonts w:hint="eastAsia" w:asciiTheme="minorEastAsia" w:hAnsiTheme="minorEastAsia"/>
          <w:szCs w:val="21"/>
        </w:rPr>
        <w:t>六、合同文件构成</w:t>
      </w:r>
    </w:p>
    <w:p w14:paraId="5F74A542">
      <w:pPr>
        <w:spacing w:line="360" w:lineRule="auto"/>
        <w:ind w:firstLine="560"/>
        <w:rPr>
          <w:rFonts w:cs="宋体" w:asciiTheme="minorEastAsia" w:hAnsiTheme="minorEastAsia"/>
          <w:szCs w:val="21"/>
        </w:rPr>
      </w:pPr>
      <w:r>
        <w:rPr>
          <w:rFonts w:hint="eastAsia" w:cs="宋体" w:asciiTheme="minorEastAsia" w:hAnsiTheme="minorEastAsia"/>
          <w:szCs w:val="21"/>
        </w:rPr>
        <w:t>本协议书与下列文件一起构成合同文件：</w:t>
      </w:r>
    </w:p>
    <w:p w14:paraId="7D07DF97">
      <w:pPr>
        <w:spacing w:line="360" w:lineRule="auto"/>
        <w:ind w:firstLine="560"/>
        <w:rPr>
          <w:rFonts w:cs="宋体" w:asciiTheme="minorEastAsia" w:hAnsiTheme="minorEastAsia"/>
          <w:szCs w:val="21"/>
        </w:rPr>
      </w:pPr>
      <w:r>
        <w:rPr>
          <w:rFonts w:hint="eastAsia" w:cs="宋体" w:asciiTheme="minorEastAsia" w:hAnsiTheme="minorEastAsia"/>
          <w:szCs w:val="21"/>
        </w:rPr>
        <w:t>（1）中标通知书（如果有）；</w:t>
      </w:r>
    </w:p>
    <w:p w14:paraId="6295C4DB">
      <w:pPr>
        <w:spacing w:line="360" w:lineRule="auto"/>
        <w:ind w:firstLine="560"/>
        <w:rPr>
          <w:rFonts w:cs="宋体" w:asciiTheme="minorEastAsia" w:hAnsiTheme="minorEastAsia"/>
          <w:szCs w:val="21"/>
        </w:rPr>
      </w:pPr>
      <w:r>
        <w:rPr>
          <w:rFonts w:hint="eastAsia" w:cs="宋体" w:asciiTheme="minorEastAsia" w:hAnsiTheme="minorEastAsia"/>
          <w:szCs w:val="21"/>
        </w:rPr>
        <w:t>（2）投标函及其附录（如果有）；</w:t>
      </w:r>
    </w:p>
    <w:p w14:paraId="148D9FF7">
      <w:pPr>
        <w:spacing w:line="360" w:lineRule="auto"/>
        <w:ind w:firstLine="560"/>
        <w:rPr>
          <w:rFonts w:cs="宋体" w:asciiTheme="minorEastAsia" w:hAnsiTheme="minorEastAsia"/>
          <w:szCs w:val="21"/>
        </w:rPr>
      </w:pPr>
      <w:r>
        <w:rPr>
          <w:rFonts w:hint="eastAsia" w:cs="宋体" w:asciiTheme="minorEastAsia" w:hAnsiTheme="minorEastAsia"/>
          <w:szCs w:val="21"/>
        </w:rPr>
        <w:t>（3）专用合同条款及其附件；</w:t>
      </w:r>
    </w:p>
    <w:p w14:paraId="55F76842">
      <w:pPr>
        <w:spacing w:line="360" w:lineRule="auto"/>
        <w:ind w:firstLine="560"/>
        <w:rPr>
          <w:rFonts w:cs="宋体" w:asciiTheme="minorEastAsia" w:hAnsiTheme="minorEastAsia"/>
          <w:szCs w:val="21"/>
        </w:rPr>
      </w:pPr>
      <w:r>
        <w:rPr>
          <w:rFonts w:hint="eastAsia" w:cs="宋体" w:asciiTheme="minorEastAsia" w:hAnsiTheme="minorEastAsia"/>
          <w:szCs w:val="21"/>
        </w:rPr>
        <w:t>（4）通用合同条款；</w:t>
      </w:r>
    </w:p>
    <w:p w14:paraId="0C9DF5D0">
      <w:pPr>
        <w:spacing w:line="360" w:lineRule="auto"/>
        <w:ind w:firstLine="560"/>
        <w:rPr>
          <w:rFonts w:cs="宋体" w:asciiTheme="minorEastAsia" w:hAnsiTheme="minorEastAsia"/>
          <w:szCs w:val="21"/>
        </w:rPr>
      </w:pPr>
      <w:r>
        <w:rPr>
          <w:rFonts w:hint="eastAsia" w:cs="宋体" w:asciiTheme="minorEastAsia" w:hAnsiTheme="minorEastAsia"/>
          <w:szCs w:val="21"/>
        </w:rPr>
        <w:t>（5）技术标准和要求；</w:t>
      </w:r>
    </w:p>
    <w:p w14:paraId="2D769631">
      <w:pPr>
        <w:spacing w:line="360" w:lineRule="auto"/>
        <w:ind w:firstLine="560"/>
        <w:rPr>
          <w:rFonts w:cs="宋体" w:asciiTheme="minorEastAsia" w:hAnsiTheme="minorEastAsia"/>
          <w:szCs w:val="21"/>
        </w:rPr>
      </w:pPr>
      <w:r>
        <w:rPr>
          <w:rFonts w:hint="eastAsia" w:cs="宋体" w:asciiTheme="minorEastAsia" w:hAnsiTheme="minorEastAsia"/>
          <w:szCs w:val="21"/>
        </w:rPr>
        <w:t>（6）图纸；</w:t>
      </w:r>
    </w:p>
    <w:p w14:paraId="7883C1C0">
      <w:pPr>
        <w:spacing w:line="360" w:lineRule="auto"/>
        <w:ind w:firstLine="560"/>
        <w:rPr>
          <w:rFonts w:cs="宋体" w:asciiTheme="minorEastAsia" w:hAnsiTheme="minorEastAsia"/>
          <w:szCs w:val="21"/>
        </w:rPr>
      </w:pPr>
      <w:r>
        <w:rPr>
          <w:rFonts w:hint="eastAsia" w:cs="宋体" w:asciiTheme="minorEastAsia" w:hAnsiTheme="minorEastAsia"/>
          <w:szCs w:val="21"/>
        </w:rPr>
        <w:t>（7）已标价工程量清单或预算书；</w:t>
      </w:r>
    </w:p>
    <w:p w14:paraId="3DC5DECD">
      <w:pPr>
        <w:spacing w:line="360" w:lineRule="auto"/>
        <w:ind w:firstLine="560"/>
        <w:rPr>
          <w:rFonts w:cs="宋体" w:asciiTheme="minorEastAsia" w:hAnsiTheme="minorEastAsia"/>
          <w:szCs w:val="21"/>
        </w:rPr>
      </w:pPr>
      <w:r>
        <w:rPr>
          <w:rFonts w:hint="eastAsia" w:cs="宋体" w:asciiTheme="minorEastAsia" w:hAnsiTheme="minorEastAsia"/>
          <w:szCs w:val="21"/>
        </w:rPr>
        <w:t>（8）其他合同文件。</w:t>
      </w:r>
    </w:p>
    <w:p w14:paraId="342725C7">
      <w:pPr>
        <w:spacing w:line="360" w:lineRule="auto"/>
        <w:ind w:firstLine="539" w:firstLineChars="257"/>
        <w:rPr>
          <w:rFonts w:cs="宋体" w:asciiTheme="minorEastAsia" w:hAnsiTheme="minorEastAsia"/>
          <w:szCs w:val="21"/>
        </w:rPr>
      </w:pPr>
      <w:r>
        <w:rPr>
          <w:rFonts w:hint="eastAsia" w:cs="宋体" w:asciiTheme="minorEastAsia" w:hAnsiTheme="minorEastAsia"/>
          <w:szCs w:val="21"/>
        </w:rPr>
        <w:t>在合同订立及履行过程中形成的与合同有关的文件均构成合同文件组成部分。</w:t>
      </w:r>
    </w:p>
    <w:p w14:paraId="252DA03B">
      <w:pPr>
        <w:spacing w:line="360" w:lineRule="auto"/>
        <w:ind w:firstLine="539" w:firstLineChars="257"/>
        <w:rPr>
          <w:rFonts w:cs="宋体" w:asciiTheme="minorEastAsia" w:hAnsiTheme="minorEastAsia"/>
          <w:szCs w:val="21"/>
        </w:rPr>
      </w:pPr>
      <w:r>
        <w:rPr>
          <w:rFonts w:hint="eastAsia" w:cs="宋体" w:asciiTheme="minorEastAsia" w:hAnsiTheme="minorEastAsia"/>
          <w:szCs w:val="21"/>
        </w:rPr>
        <w:t>上述各项合同文件包括合同当事人就该项合同文件所作出的补充和修改，属于同一类内容的文件，应以最新签署的为准。专用合同条款及其附件须经合同当事人签字或盖章。</w:t>
      </w:r>
    </w:p>
    <w:p w14:paraId="2C032F3E">
      <w:pPr>
        <w:spacing w:line="360" w:lineRule="auto"/>
        <w:ind w:firstLine="525" w:firstLineChars="250"/>
        <w:rPr>
          <w:rFonts w:asciiTheme="minorEastAsia" w:hAnsiTheme="minorEastAsia"/>
          <w:szCs w:val="21"/>
        </w:rPr>
      </w:pPr>
      <w:r>
        <w:rPr>
          <w:rFonts w:hint="eastAsia" w:asciiTheme="minorEastAsia" w:hAnsiTheme="minorEastAsia"/>
          <w:szCs w:val="21"/>
        </w:rPr>
        <w:t>七、承诺</w:t>
      </w:r>
    </w:p>
    <w:p w14:paraId="15036293">
      <w:pPr>
        <w:spacing w:line="360" w:lineRule="auto"/>
        <w:ind w:firstLine="539" w:firstLineChars="257"/>
        <w:rPr>
          <w:rFonts w:cs="宋体" w:asciiTheme="minorEastAsia" w:hAnsiTheme="minorEastAsia"/>
          <w:szCs w:val="21"/>
        </w:rPr>
      </w:pPr>
      <w:r>
        <w:rPr>
          <w:rFonts w:hint="eastAsia" w:cs="宋体" w:asciiTheme="minorEastAsia" w:hAnsiTheme="minorEastAsia"/>
          <w:szCs w:val="21"/>
        </w:rPr>
        <w:t>1.发包人承诺按照法律规定履行项目审批手续、筹集工程建设资金并按照合同约定的期限和方式支付合同价款。</w:t>
      </w:r>
    </w:p>
    <w:p w14:paraId="1B4A1A37">
      <w:pPr>
        <w:spacing w:line="360" w:lineRule="auto"/>
        <w:ind w:firstLine="539" w:firstLineChars="257"/>
        <w:rPr>
          <w:rFonts w:cs="宋体" w:asciiTheme="minorEastAsia" w:hAnsiTheme="minorEastAsia"/>
          <w:szCs w:val="21"/>
        </w:rPr>
      </w:pPr>
      <w:r>
        <w:rPr>
          <w:rFonts w:hint="eastAsia" w:cs="宋体" w:asciiTheme="minorEastAsia" w:hAnsiTheme="minorEastAsia"/>
          <w:szCs w:val="21"/>
        </w:rPr>
        <w:t>2.承包人承诺按照法律规定及合同约定组织完成工程施工，确保工程质量和安全，不进行转包及违法分包，并在缺陷责任期及保修期内承担相应的工程维修责任。</w:t>
      </w:r>
    </w:p>
    <w:p w14:paraId="4B533DB7">
      <w:pPr>
        <w:spacing w:line="360" w:lineRule="auto"/>
        <w:ind w:firstLine="539" w:firstLineChars="257"/>
        <w:rPr>
          <w:rFonts w:cs="宋体" w:asciiTheme="minorEastAsia" w:hAnsiTheme="minorEastAsia"/>
          <w:szCs w:val="21"/>
        </w:rPr>
      </w:pPr>
      <w:r>
        <w:rPr>
          <w:rFonts w:hint="eastAsia" w:cs="宋体" w:asciiTheme="minorEastAsia" w:hAnsiTheme="minorEastAsia"/>
          <w:szCs w:val="21"/>
        </w:rPr>
        <w:t>3.发包人和承包人通过招投标形式签订合同的，双方理解并承诺不再就同一工程另行签订与合同实质性内容相背离的协议。</w:t>
      </w:r>
    </w:p>
    <w:p w14:paraId="6EFA14DA">
      <w:pPr>
        <w:spacing w:line="360" w:lineRule="auto"/>
        <w:ind w:firstLine="525" w:firstLineChars="250"/>
        <w:rPr>
          <w:rFonts w:asciiTheme="minorEastAsia" w:hAnsiTheme="minorEastAsia"/>
          <w:szCs w:val="21"/>
        </w:rPr>
      </w:pPr>
      <w:r>
        <w:rPr>
          <w:rFonts w:hint="eastAsia" w:asciiTheme="minorEastAsia" w:hAnsiTheme="minorEastAsia"/>
          <w:szCs w:val="21"/>
        </w:rPr>
        <w:t>八、词语含义</w:t>
      </w:r>
    </w:p>
    <w:p w14:paraId="51BC2121">
      <w:pPr>
        <w:spacing w:line="360" w:lineRule="auto"/>
        <w:ind w:firstLine="560"/>
        <w:rPr>
          <w:rFonts w:cs="宋体" w:asciiTheme="minorEastAsia" w:hAnsiTheme="minorEastAsia"/>
          <w:szCs w:val="21"/>
        </w:rPr>
      </w:pPr>
      <w:r>
        <w:rPr>
          <w:rFonts w:hint="eastAsia" w:cs="宋体" w:asciiTheme="minorEastAsia" w:hAnsiTheme="minorEastAsia"/>
          <w:szCs w:val="21"/>
        </w:rPr>
        <w:t>本协议书中词语含义与第二部分通用合同条款中赋予的含义相同。</w:t>
      </w:r>
    </w:p>
    <w:p w14:paraId="04FCD407">
      <w:pPr>
        <w:spacing w:line="360" w:lineRule="auto"/>
        <w:ind w:firstLine="525" w:firstLineChars="250"/>
        <w:rPr>
          <w:rFonts w:asciiTheme="minorEastAsia" w:hAnsiTheme="minorEastAsia"/>
          <w:szCs w:val="21"/>
        </w:rPr>
      </w:pPr>
      <w:r>
        <w:rPr>
          <w:rFonts w:hint="eastAsia" w:asciiTheme="minorEastAsia" w:hAnsiTheme="minorEastAsia"/>
          <w:szCs w:val="21"/>
        </w:rPr>
        <w:t>九、签订时间</w:t>
      </w:r>
    </w:p>
    <w:p w14:paraId="6905B657">
      <w:pPr>
        <w:spacing w:line="360" w:lineRule="auto"/>
        <w:ind w:firstLine="560"/>
        <w:rPr>
          <w:rFonts w:cs="宋体" w:asciiTheme="minorEastAsia" w:hAnsiTheme="minorEastAsia"/>
          <w:szCs w:val="21"/>
        </w:rPr>
      </w:pPr>
      <w:r>
        <w:rPr>
          <w:rFonts w:hint="eastAsia" w:cs="宋体" w:asciiTheme="minorEastAsia" w:hAnsiTheme="minorEastAsia"/>
          <w:szCs w:val="21"/>
        </w:rPr>
        <w:t>本合同于年月日签订。</w:t>
      </w:r>
    </w:p>
    <w:p w14:paraId="43EF016D">
      <w:pPr>
        <w:spacing w:line="360" w:lineRule="auto"/>
        <w:ind w:firstLine="525" w:firstLineChars="250"/>
        <w:rPr>
          <w:rFonts w:asciiTheme="minorEastAsia" w:hAnsiTheme="minorEastAsia"/>
          <w:szCs w:val="21"/>
        </w:rPr>
      </w:pPr>
      <w:r>
        <w:rPr>
          <w:rFonts w:hint="eastAsia" w:asciiTheme="minorEastAsia" w:hAnsiTheme="minorEastAsia"/>
          <w:szCs w:val="21"/>
        </w:rPr>
        <w:t>十、签订地点</w:t>
      </w:r>
    </w:p>
    <w:p w14:paraId="6066808D">
      <w:pPr>
        <w:spacing w:line="360" w:lineRule="auto"/>
        <w:ind w:firstLine="560"/>
        <w:rPr>
          <w:rFonts w:cs="宋体" w:asciiTheme="minorEastAsia" w:hAnsiTheme="minorEastAsia"/>
          <w:szCs w:val="21"/>
        </w:rPr>
      </w:pPr>
      <w:r>
        <w:rPr>
          <w:rFonts w:hint="eastAsia" w:cs="宋体" w:asciiTheme="minorEastAsia" w:hAnsiTheme="minorEastAsia"/>
          <w:szCs w:val="21"/>
        </w:rPr>
        <w:t>本合同在签订。</w:t>
      </w:r>
    </w:p>
    <w:p w14:paraId="5A2E4220">
      <w:pPr>
        <w:spacing w:line="360" w:lineRule="auto"/>
        <w:ind w:firstLine="525" w:firstLineChars="250"/>
        <w:rPr>
          <w:rFonts w:asciiTheme="minorEastAsia" w:hAnsiTheme="minorEastAsia"/>
          <w:szCs w:val="21"/>
        </w:rPr>
      </w:pPr>
      <w:r>
        <w:rPr>
          <w:rFonts w:hint="eastAsia" w:asciiTheme="minorEastAsia" w:hAnsiTheme="minorEastAsia"/>
          <w:szCs w:val="21"/>
        </w:rPr>
        <w:t>十一、补充协议</w:t>
      </w:r>
    </w:p>
    <w:p w14:paraId="5592BD59">
      <w:pPr>
        <w:spacing w:line="360" w:lineRule="auto"/>
        <w:ind w:firstLine="560"/>
        <w:rPr>
          <w:rFonts w:cs="宋体" w:asciiTheme="minorEastAsia" w:hAnsiTheme="minorEastAsia"/>
          <w:szCs w:val="21"/>
        </w:rPr>
      </w:pPr>
      <w:r>
        <w:rPr>
          <w:rFonts w:hint="eastAsia" w:cs="宋体" w:asciiTheme="minorEastAsia" w:hAnsiTheme="minorEastAsia"/>
          <w:szCs w:val="21"/>
        </w:rPr>
        <w:t>合同未尽事宜，合同当事人另行签订补充协议，补充协议是合同的组成部分。</w:t>
      </w:r>
    </w:p>
    <w:p w14:paraId="49F46C59">
      <w:pPr>
        <w:spacing w:line="360" w:lineRule="auto"/>
        <w:ind w:firstLine="525" w:firstLineChars="250"/>
        <w:rPr>
          <w:rFonts w:asciiTheme="minorEastAsia" w:hAnsiTheme="minorEastAsia"/>
          <w:szCs w:val="21"/>
        </w:rPr>
      </w:pPr>
      <w:r>
        <w:rPr>
          <w:rFonts w:hint="eastAsia" w:asciiTheme="minorEastAsia" w:hAnsiTheme="minorEastAsia"/>
          <w:szCs w:val="21"/>
        </w:rPr>
        <w:t>十二、合同生效</w:t>
      </w:r>
    </w:p>
    <w:p w14:paraId="014C6629">
      <w:pPr>
        <w:spacing w:line="360" w:lineRule="auto"/>
        <w:ind w:firstLine="560"/>
        <w:rPr>
          <w:rFonts w:cs="宋体" w:asciiTheme="minorEastAsia" w:hAnsiTheme="minorEastAsia"/>
          <w:szCs w:val="21"/>
        </w:rPr>
      </w:pPr>
      <w:r>
        <w:rPr>
          <w:rFonts w:hint="eastAsia" w:cs="宋体" w:asciiTheme="minorEastAsia" w:hAnsiTheme="minorEastAsia"/>
          <w:szCs w:val="21"/>
        </w:rPr>
        <w:t>本合同自 生效。</w:t>
      </w:r>
    </w:p>
    <w:p w14:paraId="4230109A">
      <w:pPr>
        <w:spacing w:line="360" w:lineRule="auto"/>
        <w:ind w:firstLine="525" w:firstLineChars="250"/>
        <w:rPr>
          <w:rFonts w:asciiTheme="minorEastAsia" w:hAnsiTheme="minorEastAsia"/>
          <w:szCs w:val="21"/>
        </w:rPr>
      </w:pPr>
      <w:r>
        <w:rPr>
          <w:rFonts w:hint="eastAsia" w:asciiTheme="minorEastAsia" w:hAnsiTheme="minorEastAsia"/>
          <w:szCs w:val="21"/>
        </w:rPr>
        <w:t>十三、合同份数</w:t>
      </w:r>
    </w:p>
    <w:p w14:paraId="4F0B0030">
      <w:pPr>
        <w:spacing w:line="360" w:lineRule="auto"/>
        <w:ind w:firstLine="525" w:firstLineChars="250"/>
        <w:rPr>
          <w:rFonts w:asciiTheme="minorEastAsia" w:hAnsiTheme="minorEastAsia"/>
          <w:bCs/>
          <w:szCs w:val="21"/>
        </w:rPr>
      </w:pPr>
      <w:bookmarkStart w:id="220" w:name="OLE_LINK5"/>
      <w:bookmarkStart w:id="221" w:name="OLE_LINK4"/>
      <w:r>
        <w:rPr>
          <w:rFonts w:hint="eastAsia" w:asciiTheme="minorEastAsia" w:hAnsiTheme="minorEastAsia"/>
          <w:bCs/>
          <w:szCs w:val="21"/>
        </w:rPr>
        <w:t>本合同一式份（</w:t>
      </w:r>
      <w:r>
        <w:rPr>
          <w:rFonts w:hint="eastAsia" w:cs="宋体" w:asciiTheme="minorEastAsia" w:hAnsiTheme="minorEastAsia"/>
          <w:szCs w:val="21"/>
          <w:u w:val="single"/>
        </w:rPr>
        <w:t>其中正本   份，副本  份</w:t>
      </w:r>
      <w:r>
        <w:rPr>
          <w:rFonts w:hint="eastAsia" w:asciiTheme="minorEastAsia" w:hAnsiTheme="minorEastAsia"/>
          <w:bCs/>
          <w:szCs w:val="21"/>
        </w:rPr>
        <w:t>），均具有同等法律效力，发包人执份，承包人执份。</w:t>
      </w:r>
    </w:p>
    <w:bookmarkEnd w:id="220"/>
    <w:bookmarkEnd w:id="221"/>
    <w:p w14:paraId="5E2CCBB8">
      <w:pPr>
        <w:spacing w:line="360" w:lineRule="auto"/>
        <w:ind w:firstLine="560"/>
        <w:rPr>
          <w:rFonts w:cs="宋体" w:asciiTheme="minorEastAsia" w:hAnsiTheme="minorEastAsia"/>
          <w:szCs w:val="21"/>
        </w:rPr>
      </w:pPr>
      <w:r>
        <w:rPr>
          <w:rFonts w:hint="eastAsia" w:cs="宋体" w:asciiTheme="minorEastAsia" w:hAnsiTheme="minorEastAsia"/>
          <w:szCs w:val="21"/>
        </w:rPr>
        <w:t>发包人：  (公章)                  承包人：  (公章)</w:t>
      </w:r>
    </w:p>
    <w:p w14:paraId="15EA3A7D">
      <w:pPr>
        <w:spacing w:line="360" w:lineRule="auto"/>
        <w:ind w:firstLine="560"/>
        <w:rPr>
          <w:rFonts w:cs="宋体" w:asciiTheme="minorEastAsia" w:hAnsiTheme="minorEastAsia"/>
          <w:szCs w:val="21"/>
        </w:rPr>
      </w:pPr>
      <w:r>
        <w:rPr>
          <w:rFonts w:hint="eastAsia" w:cs="宋体" w:asciiTheme="minorEastAsia" w:hAnsiTheme="minorEastAsia"/>
          <w:szCs w:val="21"/>
        </w:rPr>
        <w:t>法定代表人或其委托代理人：        法定代表人或其委托代理人：</w:t>
      </w:r>
    </w:p>
    <w:p w14:paraId="44B7801E">
      <w:pPr>
        <w:spacing w:line="360" w:lineRule="auto"/>
        <w:rPr>
          <w:rFonts w:cs="宋体" w:asciiTheme="minorEastAsia" w:hAnsiTheme="minorEastAsia"/>
          <w:szCs w:val="21"/>
        </w:rPr>
      </w:pPr>
      <w:r>
        <w:rPr>
          <w:rFonts w:hint="eastAsia" w:cs="宋体" w:asciiTheme="minorEastAsia" w:hAnsiTheme="minorEastAsia"/>
          <w:szCs w:val="21"/>
        </w:rPr>
        <w:t xml:space="preserve">          （签字）                          （签字）</w:t>
      </w:r>
    </w:p>
    <w:p w14:paraId="5D755B0B">
      <w:pPr>
        <w:spacing w:line="360" w:lineRule="auto"/>
        <w:ind w:firstLine="560"/>
        <w:rPr>
          <w:rFonts w:cs="宋体" w:asciiTheme="minorEastAsia" w:hAnsiTheme="minorEastAsia"/>
          <w:szCs w:val="21"/>
          <w:u w:val="single"/>
        </w:rPr>
      </w:pPr>
      <w:r>
        <w:rPr>
          <w:rFonts w:hint="eastAsia" w:cs="宋体" w:asciiTheme="minorEastAsia" w:hAnsiTheme="minorEastAsia"/>
          <w:szCs w:val="21"/>
        </w:rPr>
        <w:t xml:space="preserve">地  址： </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地  址：</w:t>
      </w:r>
      <w:r>
        <w:rPr>
          <w:rFonts w:hint="eastAsia" w:cs="宋体" w:asciiTheme="minorEastAsia" w:hAnsiTheme="minorEastAsia"/>
          <w:szCs w:val="21"/>
          <w:u w:val="single"/>
        </w:rPr>
        <w:t xml:space="preserve">　　　　 　　 　  </w:t>
      </w:r>
    </w:p>
    <w:p w14:paraId="252013DB">
      <w:pPr>
        <w:spacing w:line="360" w:lineRule="auto"/>
        <w:ind w:firstLine="560"/>
        <w:rPr>
          <w:rFonts w:cs="宋体" w:asciiTheme="minorEastAsia" w:hAnsiTheme="minorEastAsia"/>
          <w:szCs w:val="21"/>
        </w:rPr>
      </w:pPr>
      <w:r>
        <w:rPr>
          <w:rFonts w:hint="eastAsia" w:cs="宋体" w:asciiTheme="minorEastAsia" w:hAnsiTheme="minorEastAsia"/>
          <w:szCs w:val="21"/>
        </w:rPr>
        <w:t xml:space="preserve">邮政编码： </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邮政编码：</w:t>
      </w:r>
      <w:r>
        <w:rPr>
          <w:rFonts w:hint="eastAsia" w:cs="宋体" w:asciiTheme="minorEastAsia" w:hAnsiTheme="minorEastAsia"/>
          <w:szCs w:val="21"/>
          <w:u w:val="single"/>
        </w:rPr>
        <w:t xml:space="preserve">　　　　　　　　  </w:t>
      </w:r>
    </w:p>
    <w:p w14:paraId="3ADAE456">
      <w:pPr>
        <w:spacing w:line="360" w:lineRule="auto"/>
        <w:ind w:firstLine="560"/>
        <w:rPr>
          <w:rFonts w:cs="宋体" w:asciiTheme="minorEastAsia" w:hAnsiTheme="minorEastAsia"/>
          <w:szCs w:val="21"/>
        </w:rPr>
      </w:pPr>
      <w:r>
        <w:rPr>
          <w:rFonts w:hint="eastAsia" w:cs="宋体" w:asciiTheme="minorEastAsia" w:hAnsiTheme="minorEastAsia"/>
          <w:szCs w:val="21"/>
        </w:rPr>
        <w:t>法定代表人：</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法定代表人：</w:t>
      </w:r>
      <w:r>
        <w:rPr>
          <w:rFonts w:hint="eastAsia" w:cs="宋体" w:asciiTheme="minorEastAsia" w:hAnsiTheme="minorEastAsia"/>
          <w:szCs w:val="21"/>
          <w:u w:val="single"/>
        </w:rPr>
        <w:t xml:space="preserve">　      　       </w:t>
      </w:r>
    </w:p>
    <w:p w14:paraId="048CC1BE">
      <w:pPr>
        <w:spacing w:line="360" w:lineRule="auto"/>
        <w:ind w:firstLine="560"/>
        <w:rPr>
          <w:rFonts w:cs="宋体" w:asciiTheme="minorEastAsia" w:hAnsiTheme="minorEastAsia"/>
          <w:szCs w:val="21"/>
        </w:rPr>
      </w:pPr>
      <w:r>
        <w:rPr>
          <w:rFonts w:hint="eastAsia" w:cs="宋体" w:asciiTheme="minorEastAsia" w:hAnsiTheme="minorEastAsia"/>
          <w:szCs w:val="21"/>
        </w:rPr>
        <w:t>或委托代理人：</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或委托代理人：</w:t>
      </w:r>
      <w:r>
        <w:rPr>
          <w:rFonts w:hint="eastAsia" w:cs="宋体" w:asciiTheme="minorEastAsia" w:hAnsiTheme="minorEastAsia"/>
          <w:szCs w:val="21"/>
          <w:u w:val="single"/>
        </w:rPr>
        <w:t xml:space="preserve">　　             </w:t>
      </w:r>
    </w:p>
    <w:p w14:paraId="3B2D61A0">
      <w:pPr>
        <w:spacing w:line="360" w:lineRule="auto"/>
        <w:ind w:firstLine="560"/>
        <w:rPr>
          <w:rFonts w:cs="宋体" w:asciiTheme="minorEastAsia" w:hAnsiTheme="minorEastAsia"/>
          <w:szCs w:val="21"/>
        </w:rPr>
      </w:pPr>
      <w:r>
        <w:rPr>
          <w:rFonts w:hint="eastAsia" w:cs="宋体" w:asciiTheme="minorEastAsia" w:hAnsiTheme="minorEastAsia"/>
          <w:szCs w:val="21"/>
        </w:rPr>
        <w:t>电  话：</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电  话：</w:t>
      </w:r>
      <w:r>
        <w:rPr>
          <w:rFonts w:hint="eastAsia" w:cs="宋体" w:asciiTheme="minorEastAsia" w:hAnsiTheme="minorEastAsia"/>
          <w:szCs w:val="21"/>
          <w:u w:val="single"/>
        </w:rPr>
        <w:t xml:space="preserve">　　　　　　　　     </w:t>
      </w:r>
    </w:p>
    <w:p w14:paraId="0FB251BF">
      <w:pPr>
        <w:spacing w:line="360" w:lineRule="auto"/>
        <w:ind w:firstLine="560"/>
        <w:rPr>
          <w:rFonts w:cs="宋体" w:asciiTheme="minorEastAsia" w:hAnsiTheme="minorEastAsia"/>
          <w:szCs w:val="21"/>
        </w:rPr>
      </w:pPr>
      <w:r>
        <w:rPr>
          <w:rFonts w:hint="eastAsia" w:cs="宋体" w:asciiTheme="minorEastAsia" w:hAnsiTheme="minorEastAsia"/>
          <w:szCs w:val="21"/>
        </w:rPr>
        <w:t>传  真：</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传  真：</w:t>
      </w:r>
      <w:r>
        <w:rPr>
          <w:rFonts w:hint="eastAsia" w:cs="宋体" w:asciiTheme="minorEastAsia" w:hAnsiTheme="minorEastAsia"/>
          <w:szCs w:val="21"/>
          <w:u w:val="single"/>
        </w:rPr>
        <w:t xml:space="preserve">　　　　　　　  　  </w:t>
      </w:r>
    </w:p>
    <w:p w14:paraId="6BF5680A">
      <w:pPr>
        <w:spacing w:line="360" w:lineRule="auto"/>
        <w:ind w:firstLine="560"/>
        <w:rPr>
          <w:rFonts w:cs="宋体" w:asciiTheme="minorEastAsia" w:hAnsiTheme="minorEastAsia"/>
          <w:szCs w:val="21"/>
        </w:rPr>
      </w:pPr>
      <w:r>
        <w:rPr>
          <w:rFonts w:hint="eastAsia" w:cs="宋体" w:asciiTheme="minorEastAsia" w:hAnsiTheme="minorEastAsia"/>
          <w:szCs w:val="21"/>
        </w:rPr>
        <w:t>电子信箱：</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电子信箱：</w:t>
      </w:r>
      <w:r>
        <w:rPr>
          <w:rFonts w:hint="eastAsia" w:cs="宋体" w:asciiTheme="minorEastAsia" w:hAnsiTheme="minorEastAsia"/>
          <w:szCs w:val="21"/>
          <w:u w:val="single"/>
        </w:rPr>
        <w:t xml:space="preserve">　　　　　　　　  </w:t>
      </w:r>
    </w:p>
    <w:p w14:paraId="5DD18E5E">
      <w:pPr>
        <w:spacing w:line="360" w:lineRule="auto"/>
        <w:ind w:firstLine="560"/>
        <w:rPr>
          <w:rFonts w:cs="宋体" w:asciiTheme="minorEastAsia" w:hAnsiTheme="minorEastAsia"/>
          <w:szCs w:val="21"/>
        </w:rPr>
      </w:pPr>
      <w:r>
        <w:rPr>
          <w:rFonts w:hint="eastAsia" w:cs="宋体" w:asciiTheme="minorEastAsia" w:hAnsiTheme="minorEastAsia"/>
          <w:szCs w:val="21"/>
        </w:rPr>
        <w:t>开户银行：</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开户银行：</w:t>
      </w:r>
      <w:r>
        <w:rPr>
          <w:rFonts w:hint="eastAsia" w:cs="宋体" w:asciiTheme="minorEastAsia" w:hAnsiTheme="minorEastAsia"/>
          <w:szCs w:val="21"/>
          <w:u w:val="single"/>
        </w:rPr>
        <w:t xml:space="preserve">　　　　　　　　  </w:t>
      </w:r>
    </w:p>
    <w:p w14:paraId="393F0F42">
      <w:pPr>
        <w:spacing w:line="360" w:lineRule="auto"/>
        <w:ind w:firstLine="560"/>
        <w:rPr>
          <w:rFonts w:cs="宋体" w:asciiTheme="minorEastAsia" w:hAnsiTheme="minorEastAsia"/>
          <w:szCs w:val="21"/>
        </w:rPr>
      </w:pPr>
      <w:r>
        <w:rPr>
          <w:rFonts w:hint="eastAsia" w:cs="宋体" w:asciiTheme="minorEastAsia" w:hAnsiTheme="minorEastAsia"/>
          <w:szCs w:val="21"/>
        </w:rPr>
        <w:t>账  号：</w:t>
      </w:r>
      <w:r>
        <w:rPr>
          <w:rFonts w:hint="eastAsia" w:cs="宋体" w:asciiTheme="minorEastAsia" w:hAnsiTheme="minorEastAsia"/>
          <w:szCs w:val="21"/>
          <w:u w:val="single"/>
        </w:rPr>
        <w:t xml:space="preserve">　　　　　 　      </w:t>
      </w:r>
      <w:r>
        <w:rPr>
          <w:rFonts w:hint="eastAsia" w:cs="宋体" w:asciiTheme="minorEastAsia" w:hAnsiTheme="minorEastAsia"/>
          <w:szCs w:val="21"/>
        </w:rPr>
        <w:t xml:space="preserve">        账  号：</w:t>
      </w:r>
      <w:r>
        <w:rPr>
          <w:rFonts w:hint="eastAsia" w:cs="宋体" w:asciiTheme="minorEastAsia" w:hAnsiTheme="minorEastAsia"/>
          <w:szCs w:val="21"/>
          <w:u w:val="single"/>
        </w:rPr>
        <w:t xml:space="preserve">　　　　　　　　     </w:t>
      </w:r>
    </w:p>
    <w:p w14:paraId="6A3313C7">
      <w:pPr>
        <w:keepNext/>
        <w:keepLines/>
        <w:spacing w:before="260" w:after="260" w:line="412" w:lineRule="auto"/>
        <w:ind w:left="1260"/>
        <w:outlineLvl w:val="2"/>
        <w:rPr>
          <w:rFonts w:cs="宋体" w:asciiTheme="minorEastAsia" w:hAnsiTheme="minorEastAsia"/>
          <w:bCs/>
          <w:kern w:val="0"/>
          <w:szCs w:val="21"/>
        </w:rPr>
      </w:pPr>
      <w:bookmarkStart w:id="222" w:name="_Toc351203494"/>
      <w:bookmarkStart w:id="223" w:name="_Toc389632252"/>
      <w:bookmarkStart w:id="224" w:name="_Toc369702838"/>
      <w:bookmarkStart w:id="225" w:name="_Toc14997"/>
      <w:bookmarkStart w:id="226" w:name="_Toc374731479"/>
      <w:bookmarkStart w:id="227" w:name="_Toc402950277"/>
      <w:bookmarkStart w:id="228" w:name="_Toc363126442"/>
    </w:p>
    <w:p w14:paraId="2C1A4CCD">
      <w:pPr>
        <w:ind w:firstLine="420"/>
        <w:rPr>
          <w:rFonts w:asciiTheme="minorEastAsia" w:hAnsiTheme="minorEastAsia"/>
          <w:kern w:val="0"/>
          <w:sz w:val="20"/>
          <w:szCs w:val="20"/>
        </w:rPr>
      </w:pPr>
    </w:p>
    <w:p w14:paraId="72BD9540">
      <w:pPr>
        <w:ind w:firstLine="420"/>
        <w:rPr>
          <w:rFonts w:asciiTheme="minorEastAsia" w:hAnsiTheme="minorEastAsia"/>
          <w:kern w:val="0"/>
          <w:sz w:val="20"/>
          <w:szCs w:val="20"/>
        </w:rPr>
      </w:pPr>
    </w:p>
    <w:p w14:paraId="530E0B7C">
      <w:pPr>
        <w:rPr>
          <w:rFonts w:asciiTheme="minorEastAsia" w:hAnsiTheme="minorEastAsia"/>
        </w:rPr>
      </w:pPr>
    </w:p>
    <w:p w14:paraId="2705CE78">
      <w:pPr>
        <w:rPr>
          <w:rFonts w:asciiTheme="minorEastAsia" w:hAnsiTheme="minorEastAsia"/>
        </w:rPr>
      </w:pPr>
    </w:p>
    <w:p w14:paraId="4F18F436">
      <w:pPr>
        <w:rPr>
          <w:rFonts w:asciiTheme="minorEastAsia" w:hAnsiTheme="minorEastAsia"/>
        </w:rPr>
      </w:pPr>
    </w:p>
    <w:p w14:paraId="1D77CF81">
      <w:pPr>
        <w:rPr>
          <w:rFonts w:asciiTheme="minorEastAsia" w:hAnsiTheme="minorEastAsia"/>
        </w:rPr>
      </w:pPr>
    </w:p>
    <w:p w14:paraId="6AC3DB45">
      <w:pPr>
        <w:spacing w:after="120"/>
        <w:rPr>
          <w:rFonts w:asciiTheme="minorEastAsia" w:hAnsiTheme="minorEastAsia"/>
          <w:kern w:val="0"/>
          <w:sz w:val="20"/>
        </w:rPr>
      </w:pPr>
    </w:p>
    <w:p w14:paraId="30E2CFDC">
      <w:pPr>
        <w:spacing w:after="120" w:line="480" w:lineRule="auto"/>
        <w:rPr>
          <w:rFonts w:asciiTheme="minorEastAsia" w:hAnsiTheme="minorEastAsia"/>
        </w:rPr>
      </w:pPr>
    </w:p>
    <w:p w14:paraId="23D9F65C">
      <w:pPr>
        <w:rPr>
          <w:rFonts w:asciiTheme="minorEastAsia" w:hAnsiTheme="minorEastAsia"/>
        </w:rPr>
      </w:pPr>
    </w:p>
    <w:p w14:paraId="11997E8B">
      <w:pPr>
        <w:rPr>
          <w:rFonts w:asciiTheme="minorEastAsia" w:hAnsiTheme="minorEastAsia"/>
        </w:rPr>
      </w:pPr>
    </w:p>
    <w:p w14:paraId="6CFA3915">
      <w:pPr>
        <w:rPr>
          <w:rFonts w:asciiTheme="minorEastAsia" w:hAnsiTheme="minorEastAsia"/>
        </w:rPr>
      </w:pPr>
    </w:p>
    <w:p w14:paraId="612D4A2D">
      <w:pPr>
        <w:rPr>
          <w:rFonts w:asciiTheme="minorEastAsia" w:hAnsiTheme="minorEastAsia"/>
        </w:rPr>
      </w:pPr>
    </w:p>
    <w:p w14:paraId="69DA6030">
      <w:pPr>
        <w:rPr>
          <w:rFonts w:asciiTheme="minorEastAsia" w:hAnsiTheme="minorEastAsia"/>
        </w:rPr>
      </w:pPr>
    </w:p>
    <w:p w14:paraId="509FBEE2">
      <w:pPr>
        <w:rPr>
          <w:rFonts w:asciiTheme="minorEastAsia" w:hAnsiTheme="minorEastAsia"/>
        </w:rPr>
      </w:pPr>
    </w:p>
    <w:p w14:paraId="090479F9">
      <w:pPr>
        <w:keepNext/>
        <w:keepLines/>
        <w:spacing w:before="260" w:after="260" w:line="412" w:lineRule="auto"/>
        <w:jc w:val="center"/>
        <w:outlineLvl w:val="2"/>
        <w:rPr>
          <w:rFonts w:asciiTheme="minorEastAsia" w:hAnsiTheme="minorEastAsia"/>
          <w:bCs/>
          <w:kern w:val="0"/>
          <w:sz w:val="44"/>
          <w:szCs w:val="44"/>
        </w:rPr>
      </w:pPr>
      <w:bookmarkStart w:id="229" w:name="_Toc14975638"/>
      <w:bookmarkStart w:id="230" w:name="_Toc58684692"/>
      <w:r>
        <w:rPr>
          <w:rFonts w:hint="eastAsia" w:asciiTheme="minorEastAsia" w:hAnsiTheme="minorEastAsia"/>
          <w:bCs/>
          <w:kern w:val="0"/>
          <w:sz w:val="36"/>
          <w:szCs w:val="36"/>
        </w:rPr>
        <w:t>第二部分 通用合同条款</w:t>
      </w:r>
      <w:bookmarkEnd w:id="222"/>
      <w:bookmarkEnd w:id="229"/>
      <w:bookmarkEnd w:id="230"/>
      <w:bookmarkStart w:id="231" w:name="_Toc337558727"/>
    </w:p>
    <w:bookmarkEnd w:id="223"/>
    <w:bookmarkEnd w:id="224"/>
    <w:bookmarkEnd w:id="225"/>
    <w:bookmarkEnd w:id="226"/>
    <w:bookmarkEnd w:id="227"/>
    <w:bookmarkEnd w:id="228"/>
    <w:bookmarkEnd w:id="231"/>
    <w:p w14:paraId="145D96B7">
      <w:pPr>
        <w:spacing w:line="360" w:lineRule="auto"/>
        <w:jc w:val="center"/>
        <w:rPr>
          <w:rFonts w:asciiTheme="minorEastAsia" w:hAnsiTheme="minorEastAsia"/>
          <w:sz w:val="28"/>
          <w:szCs w:val="28"/>
        </w:rPr>
      </w:pPr>
      <w:bookmarkStart w:id="232" w:name="_Toc529438830"/>
      <w:bookmarkStart w:id="233" w:name="_Toc395798699"/>
      <w:bookmarkStart w:id="234" w:name="_Toc500423703"/>
      <w:bookmarkStart w:id="235" w:name="_Toc366231650"/>
      <w:r>
        <w:rPr>
          <w:rFonts w:hint="eastAsia" w:asciiTheme="minorEastAsia" w:hAnsiTheme="minorEastAsia"/>
          <w:sz w:val="28"/>
          <w:szCs w:val="28"/>
        </w:rPr>
        <w:t>本通用条款执行《建设工程施工合同（示范文本）》</w:t>
      </w:r>
      <w:r>
        <w:rPr>
          <w:rFonts w:hint="eastAsia" w:asciiTheme="minorEastAsia" w:hAnsiTheme="minorEastAsia"/>
          <w:bCs/>
          <w:sz w:val="28"/>
          <w:szCs w:val="28"/>
        </w:rPr>
        <w:t>（</w:t>
      </w:r>
      <w:r>
        <w:rPr>
          <w:rFonts w:hint="eastAsia" w:asciiTheme="minorEastAsia" w:hAnsiTheme="minorEastAsia"/>
          <w:bCs/>
          <w:sz w:val="28"/>
          <w:szCs w:val="28"/>
          <w:lang w:eastAsia="zh-CN"/>
        </w:rPr>
        <w:t>GF—2017—0201</w:t>
      </w:r>
      <w:r>
        <w:rPr>
          <w:rFonts w:hint="eastAsia" w:asciiTheme="minorEastAsia" w:hAnsiTheme="minorEastAsia"/>
          <w:bCs/>
          <w:sz w:val="28"/>
          <w:szCs w:val="28"/>
        </w:rPr>
        <w:t>）</w:t>
      </w:r>
      <w:r>
        <w:rPr>
          <w:rFonts w:hint="eastAsia" w:asciiTheme="minorEastAsia" w:hAnsiTheme="minorEastAsia"/>
          <w:sz w:val="28"/>
          <w:szCs w:val="28"/>
        </w:rPr>
        <w:t>的“通用合同条款”。</w:t>
      </w:r>
    </w:p>
    <w:p w14:paraId="6AE454A9">
      <w:pPr>
        <w:spacing w:line="360" w:lineRule="auto"/>
        <w:jc w:val="center"/>
        <w:outlineLvl w:val="1"/>
        <w:rPr>
          <w:rFonts w:asciiTheme="minorEastAsia" w:hAnsiTheme="minorEastAsia"/>
          <w:bCs/>
          <w:sz w:val="32"/>
          <w:szCs w:val="32"/>
        </w:rPr>
      </w:pPr>
    </w:p>
    <w:p w14:paraId="2EC2EB6C">
      <w:pPr>
        <w:spacing w:line="360" w:lineRule="auto"/>
        <w:jc w:val="center"/>
        <w:outlineLvl w:val="1"/>
        <w:rPr>
          <w:rFonts w:asciiTheme="minorEastAsia" w:hAnsiTheme="minorEastAsia"/>
          <w:bCs/>
          <w:sz w:val="32"/>
          <w:szCs w:val="32"/>
        </w:rPr>
      </w:pPr>
      <w:bookmarkStart w:id="236" w:name="_Toc58684693"/>
      <w:bookmarkStart w:id="237" w:name="_Toc14975639"/>
    </w:p>
    <w:p w14:paraId="426F9292">
      <w:pPr>
        <w:spacing w:line="360" w:lineRule="auto"/>
        <w:jc w:val="center"/>
        <w:outlineLvl w:val="1"/>
        <w:rPr>
          <w:rFonts w:asciiTheme="minorEastAsia" w:hAnsiTheme="minorEastAsia"/>
          <w:bCs/>
          <w:sz w:val="32"/>
          <w:szCs w:val="32"/>
        </w:rPr>
      </w:pPr>
    </w:p>
    <w:p w14:paraId="6095D9D2">
      <w:pPr>
        <w:spacing w:line="360" w:lineRule="auto"/>
        <w:jc w:val="center"/>
        <w:outlineLvl w:val="1"/>
        <w:rPr>
          <w:rFonts w:asciiTheme="minorEastAsia" w:hAnsiTheme="minorEastAsia"/>
          <w:bCs/>
          <w:sz w:val="32"/>
          <w:szCs w:val="32"/>
        </w:rPr>
      </w:pPr>
    </w:p>
    <w:p w14:paraId="767A0979">
      <w:pPr>
        <w:spacing w:line="360" w:lineRule="auto"/>
        <w:jc w:val="center"/>
        <w:outlineLvl w:val="1"/>
        <w:rPr>
          <w:rFonts w:asciiTheme="minorEastAsia" w:hAnsiTheme="minorEastAsia"/>
          <w:bCs/>
          <w:sz w:val="32"/>
          <w:szCs w:val="32"/>
        </w:rPr>
      </w:pPr>
    </w:p>
    <w:p w14:paraId="3D2F86B0">
      <w:pPr>
        <w:spacing w:line="360" w:lineRule="auto"/>
        <w:jc w:val="center"/>
        <w:outlineLvl w:val="1"/>
        <w:rPr>
          <w:rFonts w:asciiTheme="minorEastAsia" w:hAnsiTheme="minorEastAsia"/>
          <w:bCs/>
          <w:sz w:val="32"/>
          <w:szCs w:val="32"/>
        </w:rPr>
      </w:pPr>
    </w:p>
    <w:p w14:paraId="6566B827">
      <w:pPr>
        <w:spacing w:line="360" w:lineRule="auto"/>
        <w:jc w:val="center"/>
        <w:outlineLvl w:val="1"/>
        <w:rPr>
          <w:rFonts w:asciiTheme="minorEastAsia" w:hAnsiTheme="minorEastAsia"/>
          <w:bCs/>
          <w:sz w:val="32"/>
          <w:szCs w:val="32"/>
        </w:rPr>
      </w:pPr>
    </w:p>
    <w:p w14:paraId="240276C7">
      <w:pPr>
        <w:spacing w:line="360" w:lineRule="auto"/>
        <w:jc w:val="center"/>
        <w:outlineLvl w:val="1"/>
        <w:rPr>
          <w:rFonts w:asciiTheme="minorEastAsia" w:hAnsiTheme="minorEastAsia"/>
          <w:bCs/>
          <w:sz w:val="32"/>
          <w:szCs w:val="32"/>
        </w:rPr>
      </w:pPr>
    </w:p>
    <w:p w14:paraId="189AB9E2">
      <w:pPr>
        <w:spacing w:line="360" w:lineRule="auto"/>
        <w:jc w:val="center"/>
        <w:outlineLvl w:val="1"/>
        <w:rPr>
          <w:rFonts w:asciiTheme="minorEastAsia" w:hAnsiTheme="minorEastAsia"/>
          <w:bCs/>
          <w:sz w:val="32"/>
          <w:szCs w:val="32"/>
        </w:rPr>
      </w:pPr>
    </w:p>
    <w:p w14:paraId="2754607A">
      <w:pPr>
        <w:spacing w:line="360" w:lineRule="auto"/>
        <w:jc w:val="center"/>
        <w:outlineLvl w:val="1"/>
        <w:rPr>
          <w:rFonts w:asciiTheme="minorEastAsia" w:hAnsiTheme="minorEastAsia"/>
          <w:bCs/>
          <w:sz w:val="32"/>
          <w:szCs w:val="32"/>
        </w:rPr>
      </w:pPr>
    </w:p>
    <w:p w14:paraId="6B5EECB3">
      <w:pPr>
        <w:spacing w:line="360" w:lineRule="auto"/>
        <w:jc w:val="center"/>
        <w:outlineLvl w:val="1"/>
        <w:rPr>
          <w:rFonts w:asciiTheme="minorEastAsia" w:hAnsiTheme="minorEastAsia"/>
          <w:bCs/>
          <w:sz w:val="32"/>
          <w:szCs w:val="32"/>
        </w:rPr>
      </w:pPr>
    </w:p>
    <w:p w14:paraId="7ABC3881">
      <w:pPr>
        <w:spacing w:line="360" w:lineRule="auto"/>
        <w:jc w:val="center"/>
        <w:outlineLvl w:val="1"/>
        <w:rPr>
          <w:rFonts w:asciiTheme="minorEastAsia" w:hAnsiTheme="minorEastAsia"/>
          <w:bCs/>
          <w:sz w:val="32"/>
          <w:szCs w:val="32"/>
        </w:rPr>
      </w:pPr>
    </w:p>
    <w:p w14:paraId="64AB0FBC">
      <w:pPr>
        <w:spacing w:line="360" w:lineRule="auto"/>
        <w:jc w:val="center"/>
        <w:outlineLvl w:val="1"/>
        <w:rPr>
          <w:rFonts w:asciiTheme="minorEastAsia" w:hAnsiTheme="minorEastAsia"/>
          <w:bCs/>
          <w:sz w:val="32"/>
          <w:szCs w:val="32"/>
        </w:rPr>
      </w:pPr>
    </w:p>
    <w:p w14:paraId="09380BEC">
      <w:pPr>
        <w:spacing w:line="360" w:lineRule="auto"/>
        <w:jc w:val="center"/>
        <w:outlineLvl w:val="1"/>
        <w:rPr>
          <w:rFonts w:asciiTheme="minorEastAsia" w:hAnsiTheme="minorEastAsia"/>
          <w:bCs/>
          <w:sz w:val="32"/>
          <w:szCs w:val="32"/>
        </w:rPr>
      </w:pPr>
    </w:p>
    <w:p w14:paraId="0410F0ED">
      <w:pPr>
        <w:spacing w:line="360" w:lineRule="auto"/>
        <w:jc w:val="center"/>
        <w:outlineLvl w:val="1"/>
        <w:rPr>
          <w:rFonts w:asciiTheme="minorEastAsia" w:hAnsiTheme="minorEastAsia"/>
          <w:bCs/>
          <w:sz w:val="32"/>
          <w:szCs w:val="32"/>
        </w:rPr>
      </w:pPr>
    </w:p>
    <w:p w14:paraId="40227C3A">
      <w:pPr>
        <w:spacing w:line="360" w:lineRule="auto"/>
        <w:jc w:val="center"/>
        <w:outlineLvl w:val="1"/>
        <w:rPr>
          <w:rFonts w:asciiTheme="minorEastAsia" w:hAnsiTheme="minorEastAsia"/>
          <w:bCs/>
          <w:sz w:val="32"/>
          <w:szCs w:val="32"/>
        </w:rPr>
      </w:pPr>
    </w:p>
    <w:p w14:paraId="195D3758">
      <w:pPr>
        <w:spacing w:line="360" w:lineRule="auto"/>
        <w:jc w:val="center"/>
        <w:outlineLvl w:val="1"/>
        <w:rPr>
          <w:rFonts w:asciiTheme="minorEastAsia" w:hAnsiTheme="minorEastAsia"/>
          <w:bCs/>
          <w:sz w:val="32"/>
          <w:szCs w:val="32"/>
        </w:rPr>
      </w:pPr>
    </w:p>
    <w:p w14:paraId="622F275B">
      <w:pPr>
        <w:spacing w:line="360" w:lineRule="auto"/>
        <w:jc w:val="center"/>
        <w:outlineLvl w:val="1"/>
        <w:rPr>
          <w:rFonts w:asciiTheme="minorEastAsia" w:hAnsiTheme="minorEastAsia"/>
          <w:bCs/>
          <w:sz w:val="32"/>
          <w:szCs w:val="32"/>
        </w:rPr>
      </w:pPr>
    </w:p>
    <w:p w14:paraId="31D6FD8E">
      <w:pPr>
        <w:spacing w:line="360" w:lineRule="auto"/>
        <w:jc w:val="center"/>
        <w:outlineLvl w:val="1"/>
        <w:rPr>
          <w:rFonts w:asciiTheme="minorEastAsia" w:hAnsiTheme="minorEastAsia"/>
          <w:bCs/>
          <w:sz w:val="32"/>
          <w:szCs w:val="32"/>
        </w:rPr>
      </w:pPr>
    </w:p>
    <w:p w14:paraId="11BA3DFB">
      <w:pPr>
        <w:spacing w:line="360" w:lineRule="auto"/>
        <w:jc w:val="center"/>
        <w:outlineLvl w:val="1"/>
        <w:rPr>
          <w:rFonts w:asciiTheme="minorEastAsia" w:hAnsiTheme="minorEastAsia"/>
          <w:bCs/>
          <w:sz w:val="32"/>
          <w:szCs w:val="32"/>
        </w:rPr>
      </w:pPr>
      <w:r>
        <w:rPr>
          <w:rFonts w:hint="eastAsia" w:asciiTheme="minorEastAsia" w:hAnsiTheme="minorEastAsia"/>
          <w:bCs/>
          <w:sz w:val="32"/>
          <w:szCs w:val="32"/>
        </w:rPr>
        <w:t>三、专用合同条款</w:t>
      </w:r>
      <w:bookmarkEnd w:id="232"/>
      <w:bookmarkEnd w:id="233"/>
      <w:bookmarkEnd w:id="234"/>
      <w:bookmarkEnd w:id="235"/>
      <w:bookmarkEnd w:id="236"/>
      <w:bookmarkEnd w:id="237"/>
    </w:p>
    <w:p w14:paraId="380F5288">
      <w:pPr>
        <w:keepNext/>
        <w:keepLines/>
        <w:spacing w:line="360" w:lineRule="auto"/>
        <w:jc w:val="center"/>
        <w:outlineLvl w:val="3"/>
        <w:rPr>
          <w:rFonts w:cs="宋体" w:asciiTheme="minorEastAsia" w:hAnsiTheme="minorEastAsia"/>
          <w:kern w:val="0"/>
          <w:sz w:val="24"/>
        </w:rPr>
      </w:pPr>
      <w:bookmarkStart w:id="238" w:name="_Toc529438831"/>
      <w:bookmarkStart w:id="239" w:name="_Toc500423704"/>
      <w:bookmarkStart w:id="240" w:name="_Toc58684694"/>
      <w:bookmarkStart w:id="241" w:name="_Toc417659703"/>
      <w:bookmarkStart w:id="242" w:name="_Toc14975640"/>
      <w:r>
        <w:rPr>
          <w:rFonts w:hint="eastAsia" w:cs="宋体" w:asciiTheme="minorEastAsia" w:hAnsiTheme="minorEastAsia"/>
          <w:kern w:val="0"/>
          <w:sz w:val="24"/>
        </w:rPr>
        <w:t>1. 一般约定</w:t>
      </w:r>
      <w:bookmarkEnd w:id="238"/>
      <w:bookmarkEnd w:id="239"/>
      <w:bookmarkEnd w:id="240"/>
      <w:bookmarkEnd w:id="241"/>
      <w:bookmarkEnd w:id="242"/>
    </w:p>
    <w:p w14:paraId="7213C83C">
      <w:pPr>
        <w:keepNext/>
        <w:keepLines/>
        <w:spacing w:line="360" w:lineRule="auto"/>
        <w:ind w:firstLine="420" w:firstLineChars="200"/>
        <w:outlineLvl w:val="4"/>
        <w:rPr>
          <w:rFonts w:asciiTheme="minorEastAsia" w:hAnsiTheme="minorEastAsia"/>
          <w:bCs/>
          <w:kern w:val="0"/>
          <w:szCs w:val="21"/>
        </w:rPr>
      </w:pPr>
      <w:bookmarkStart w:id="243" w:name="_Toc417659704"/>
      <w:r>
        <w:rPr>
          <w:rFonts w:hint="eastAsia" w:asciiTheme="minorEastAsia" w:hAnsiTheme="minorEastAsia"/>
          <w:bCs/>
          <w:kern w:val="0"/>
          <w:szCs w:val="21"/>
        </w:rPr>
        <w:t>1.1 词语定义</w:t>
      </w:r>
      <w:bookmarkEnd w:id="243"/>
    </w:p>
    <w:p w14:paraId="145FD3B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1.1.1合同</w:t>
      </w:r>
    </w:p>
    <w:p w14:paraId="1BE4CEE4">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1.1.1.10其他合同文件包括：</w:t>
      </w:r>
      <w:bookmarkStart w:id="244" w:name="_Hlk17448451"/>
      <w:r>
        <w:rPr>
          <w:rFonts w:hint="eastAsia" w:cs="宋体" w:asciiTheme="minorEastAsia" w:hAnsiTheme="minorEastAsia"/>
          <w:szCs w:val="21"/>
          <w:u w:val="single"/>
        </w:rPr>
        <w:t>招标文件、投标文件、中标通知书、工程量清单、合同补充协议、履行合同过程中双方书面确认的对合同内容有实质性影响的的会议纪要、签证、设计变更等。</w:t>
      </w:r>
      <w:bookmarkEnd w:id="244"/>
    </w:p>
    <w:p w14:paraId="27E1A81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1.1.2 合同当事人及其他相关方</w:t>
      </w:r>
    </w:p>
    <w:p w14:paraId="025748C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1.1.2.4监理人：</w:t>
      </w:r>
      <w:r>
        <w:rPr>
          <w:rFonts w:hint="eastAsia" w:ascii="仿宋_GB2312" w:hAnsi="仿宋_GB2312" w:eastAsia="仿宋_GB2312" w:cs="仿宋_GB2312"/>
          <w:sz w:val="24"/>
          <w:szCs w:val="24"/>
          <w:lang w:val="en-US" w:eastAsia="zh-CN"/>
        </w:rPr>
        <w:t>由招标人委托确定</w:t>
      </w:r>
    </w:p>
    <w:p w14:paraId="2D8F714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1.1.2.5 设计人：</w:t>
      </w:r>
    </w:p>
    <w:p w14:paraId="40F1AD9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名称：</w:t>
      </w:r>
      <w:r>
        <w:rPr>
          <w:rFonts w:hint="eastAsia" w:cs="宋体" w:asciiTheme="minorEastAsia" w:hAnsiTheme="minorEastAsia"/>
          <w:szCs w:val="21"/>
          <w:u w:val="single"/>
        </w:rPr>
        <w:t>/</w:t>
      </w:r>
      <w:r>
        <w:rPr>
          <w:rFonts w:hint="eastAsia" w:cs="宋体" w:asciiTheme="minorEastAsia" w:hAnsiTheme="minorEastAsia"/>
          <w:szCs w:val="21"/>
        </w:rPr>
        <w:t>；</w:t>
      </w:r>
    </w:p>
    <w:p w14:paraId="2891A4F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资质类别和等级：</w:t>
      </w:r>
      <w:r>
        <w:rPr>
          <w:rFonts w:hint="eastAsia" w:cs="宋体" w:asciiTheme="minorEastAsia" w:hAnsiTheme="minorEastAsia"/>
          <w:szCs w:val="21"/>
          <w:u w:val="single"/>
        </w:rPr>
        <w:t xml:space="preserve">/            </w:t>
      </w:r>
      <w:r>
        <w:rPr>
          <w:rFonts w:hint="eastAsia" w:cs="宋体" w:asciiTheme="minorEastAsia" w:hAnsiTheme="minorEastAsia"/>
          <w:szCs w:val="21"/>
        </w:rPr>
        <w:t>；</w:t>
      </w:r>
    </w:p>
    <w:p w14:paraId="4730A6D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联系电话：</w:t>
      </w:r>
      <w:r>
        <w:rPr>
          <w:rFonts w:hint="eastAsia" w:cs="宋体" w:asciiTheme="minorEastAsia" w:hAnsiTheme="minorEastAsia"/>
          <w:szCs w:val="21"/>
          <w:u w:val="single"/>
        </w:rPr>
        <w:t xml:space="preserve">/              </w:t>
      </w:r>
      <w:r>
        <w:rPr>
          <w:rFonts w:hint="eastAsia" w:cs="宋体" w:asciiTheme="minorEastAsia" w:hAnsiTheme="minorEastAsia"/>
          <w:szCs w:val="21"/>
        </w:rPr>
        <w:t>；</w:t>
      </w:r>
    </w:p>
    <w:p w14:paraId="774E08F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电子信箱：</w:t>
      </w:r>
      <w:r>
        <w:rPr>
          <w:rFonts w:hint="eastAsia" w:cs="宋体" w:asciiTheme="minorEastAsia" w:hAnsiTheme="minorEastAsia"/>
          <w:szCs w:val="21"/>
          <w:u w:val="single"/>
        </w:rPr>
        <w:t xml:space="preserve">/ </w:t>
      </w:r>
      <w:r>
        <w:rPr>
          <w:rFonts w:hint="eastAsia" w:cs="宋体" w:asciiTheme="minorEastAsia" w:hAnsiTheme="minorEastAsia"/>
          <w:szCs w:val="21"/>
        </w:rPr>
        <w:t>；</w:t>
      </w:r>
    </w:p>
    <w:p w14:paraId="73DCFAE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通信地址：</w:t>
      </w:r>
      <w:r>
        <w:rPr>
          <w:rFonts w:hint="eastAsia" w:cs="宋体" w:asciiTheme="minorEastAsia" w:hAnsiTheme="minorEastAsia"/>
          <w:szCs w:val="21"/>
          <w:u w:val="single"/>
        </w:rPr>
        <w:t xml:space="preserve">/           </w:t>
      </w:r>
      <w:r>
        <w:rPr>
          <w:rFonts w:hint="eastAsia" w:cs="宋体" w:asciiTheme="minorEastAsia" w:hAnsiTheme="minorEastAsia"/>
          <w:szCs w:val="21"/>
        </w:rPr>
        <w:t>。</w:t>
      </w:r>
    </w:p>
    <w:p w14:paraId="60461E1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1.1.3 工程和设备</w:t>
      </w:r>
    </w:p>
    <w:p w14:paraId="38F94B1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1.1.3.7 作为施工现场组成部分的其他场所包括：</w:t>
      </w:r>
      <w:bookmarkStart w:id="245" w:name="_Hlk17448469"/>
      <w:r>
        <w:rPr>
          <w:rFonts w:hint="eastAsia" w:cs="宋体" w:asciiTheme="minorEastAsia" w:hAnsiTheme="minorEastAsia"/>
          <w:szCs w:val="21"/>
          <w:u w:val="single"/>
        </w:rPr>
        <w:t>无</w:t>
      </w:r>
      <w:bookmarkEnd w:id="245"/>
      <w:r>
        <w:rPr>
          <w:rFonts w:hint="eastAsia" w:cs="宋体" w:asciiTheme="minorEastAsia" w:hAnsiTheme="minorEastAsia"/>
          <w:szCs w:val="21"/>
        </w:rPr>
        <w:t>。</w:t>
      </w:r>
    </w:p>
    <w:p w14:paraId="18B91A9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1.1.3.9 永久占地包括：</w:t>
      </w:r>
      <w:bookmarkStart w:id="246" w:name="_Hlk17448498"/>
      <w:r>
        <w:rPr>
          <w:rFonts w:hint="eastAsia" w:cs="宋体" w:asciiTheme="minorEastAsia" w:hAnsiTheme="minorEastAsia"/>
          <w:szCs w:val="21"/>
          <w:u w:val="single"/>
        </w:rPr>
        <w:t>依据设计图纸确定</w:t>
      </w:r>
      <w:bookmarkEnd w:id="246"/>
      <w:r>
        <w:rPr>
          <w:rFonts w:hint="eastAsia" w:cs="宋体" w:asciiTheme="minorEastAsia" w:hAnsiTheme="minorEastAsia"/>
          <w:szCs w:val="21"/>
        </w:rPr>
        <w:t>。</w:t>
      </w:r>
    </w:p>
    <w:p w14:paraId="0A1FA20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1.1.3.10 临时占地包括：</w:t>
      </w:r>
      <w:r>
        <w:rPr>
          <w:rFonts w:hint="eastAsia" w:cs="宋体" w:asciiTheme="minorEastAsia" w:hAnsiTheme="minorEastAsia"/>
          <w:szCs w:val="21"/>
          <w:u w:val="single"/>
        </w:rPr>
        <w:t>应结合现场实际情况及施工组织方案经发包方同意后确定</w:t>
      </w:r>
      <w:r>
        <w:rPr>
          <w:rFonts w:hint="eastAsia" w:cs="宋体" w:asciiTheme="minorEastAsia" w:hAnsiTheme="minorEastAsia"/>
          <w:szCs w:val="21"/>
        </w:rPr>
        <w:t>。</w:t>
      </w:r>
    </w:p>
    <w:p w14:paraId="4AD79D2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1.3法律</w:t>
      </w:r>
    </w:p>
    <w:p w14:paraId="708CA39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适用于合同的其他规范性文件：</w:t>
      </w:r>
      <w:bookmarkStart w:id="247" w:name="_Hlk17448516"/>
      <w:r>
        <w:rPr>
          <w:rFonts w:hint="eastAsia" w:cs="宋体" w:asciiTheme="minorEastAsia" w:hAnsiTheme="minorEastAsia"/>
          <w:szCs w:val="21"/>
          <w:u w:val="single"/>
        </w:rPr>
        <w:t>执行通用条款</w:t>
      </w:r>
      <w:bookmarkEnd w:id="247"/>
      <w:r>
        <w:rPr>
          <w:rFonts w:hint="eastAsia" w:cs="宋体" w:asciiTheme="minorEastAsia" w:hAnsiTheme="minorEastAsia"/>
          <w:szCs w:val="21"/>
        </w:rPr>
        <w:t>。</w:t>
      </w:r>
    </w:p>
    <w:p w14:paraId="299DD99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1.4 标准和规范</w:t>
      </w:r>
    </w:p>
    <w:p w14:paraId="1F458606">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1.4.1适用于工程的标准规范包括：</w:t>
      </w:r>
      <w:bookmarkStart w:id="248" w:name="_Hlk17448528"/>
      <w:r>
        <w:rPr>
          <w:rFonts w:hint="eastAsia" w:cs="宋体" w:asciiTheme="minorEastAsia" w:hAnsiTheme="minorEastAsia"/>
          <w:szCs w:val="21"/>
          <w:u w:val="single"/>
        </w:rPr>
        <w:t>适用于工程的现行强制性国家标准、现行强制性行业标准、工程所在地的现行地方性标准以及工程设计施工图中明确说明的规范规程（包含推荐性标准）。除此之外，特别分项施工质量标准不低于工程设计中有明确质量技术参数要求的分项质量标准</w:t>
      </w:r>
      <w:bookmarkEnd w:id="248"/>
      <w:r>
        <w:rPr>
          <w:rFonts w:hint="eastAsia" w:cs="宋体" w:asciiTheme="minorEastAsia" w:hAnsiTheme="minorEastAsia"/>
          <w:szCs w:val="21"/>
        </w:rPr>
        <w:t>。</w:t>
      </w:r>
    </w:p>
    <w:p w14:paraId="3DF78BB5">
      <w:pPr>
        <w:autoSpaceDN w:val="0"/>
        <w:spacing w:line="360" w:lineRule="auto"/>
        <w:ind w:firstLine="420" w:firstLineChars="200"/>
        <w:rPr>
          <w:rFonts w:cs="宋体" w:asciiTheme="minorEastAsia" w:hAnsiTheme="minorEastAsia"/>
          <w:szCs w:val="21"/>
        </w:rPr>
      </w:pPr>
      <w:bookmarkStart w:id="249" w:name="_Toc54777938"/>
      <w:r>
        <w:rPr>
          <w:rFonts w:hint="eastAsia" w:cs="宋体" w:asciiTheme="minorEastAsia" w:hAnsiTheme="minorEastAsia"/>
          <w:szCs w:val="21"/>
        </w:rPr>
        <w:t>1.4.2 发包人提供国外标准、规范的名称：</w:t>
      </w:r>
      <w:r>
        <w:rPr>
          <w:rFonts w:hint="eastAsia" w:cs="宋体" w:asciiTheme="minorEastAsia" w:hAnsiTheme="minorEastAsia"/>
          <w:szCs w:val="21"/>
          <w:u w:val="single"/>
        </w:rPr>
        <w:t xml:space="preserve">      /         </w:t>
      </w:r>
      <w:r>
        <w:rPr>
          <w:rFonts w:hint="eastAsia" w:cs="宋体" w:asciiTheme="minorEastAsia" w:hAnsiTheme="minorEastAsia"/>
          <w:szCs w:val="21"/>
        </w:rPr>
        <w:t>；</w:t>
      </w:r>
      <w:bookmarkEnd w:id="249"/>
    </w:p>
    <w:p w14:paraId="46D4129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发包人提供国外标准、规范的份数：</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30C0779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发包人提供国外标准、规范的名称：</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6F0B1FD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1.4.3发包人对工程的技术标准和功能要求的特殊要求：</w:t>
      </w:r>
      <w:bookmarkStart w:id="250" w:name="_Hlk17448572"/>
      <w:r>
        <w:rPr>
          <w:rFonts w:hint="eastAsia" w:cs="宋体" w:asciiTheme="minorEastAsia" w:hAnsiTheme="minorEastAsia"/>
          <w:szCs w:val="21"/>
          <w:u w:val="single"/>
        </w:rPr>
        <w:t>按工程设计中的专项设计技术要求执行</w:t>
      </w:r>
      <w:bookmarkEnd w:id="250"/>
      <w:r>
        <w:rPr>
          <w:rFonts w:hint="eastAsia" w:cs="宋体" w:asciiTheme="minorEastAsia" w:hAnsiTheme="minorEastAsia"/>
          <w:szCs w:val="21"/>
          <w:u w:val="single"/>
        </w:rPr>
        <w:t>。</w:t>
      </w:r>
    </w:p>
    <w:p w14:paraId="31756630">
      <w:pPr>
        <w:autoSpaceDN w:val="0"/>
        <w:spacing w:line="360" w:lineRule="auto"/>
        <w:ind w:firstLine="420" w:firstLineChars="200"/>
        <w:rPr>
          <w:rFonts w:cs="宋体" w:asciiTheme="minorEastAsia" w:hAnsiTheme="minorEastAsia"/>
          <w:szCs w:val="21"/>
        </w:rPr>
      </w:pPr>
      <w:bookmarkStart w:id="251" w:name="_Toc54777939"/>
      <w:r>
        <w:rPr>
          <w:rFonts w:hint="eastAsia" w:cs="宋体" w:asciiTheme="minorEastAsia" w:hAnsiTheme="minorEastAsia"/>
          <w:szCs w:val="21"/>
        </w:rPr>
        <w:t>1.5 合同文件的优先顺序</w:t>
      </w:r>
      <w:bookmarkEnd w:id="251"/>
    </w:p>
    <w:p w14:paraId="63BC85B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合同文件组成及优先顺序为：</w:t>
      </w:r>
      <w:bookmarkStart w:id="252" w:name="_Hlk17448581"/>
      <w:r>
        <w:rPr>
          <w:rFonts w:hint="eastAsia" w:cs="宋体" w:asciiTheme="minorEastAsia" w:hAnsiTheme="minorEastAsia"/>
          <w:szCs w:val="21"/>
          <w:u w:val="single"/>
        </w:rPr>
        <w:t>执行通用条款</w:t>
      </w:r>
      <w:bookmarkEnd w:id="252"/>
      <w:r>
        <w:rPr>
          <w:rFonts w:hint="eastAsia" w:cs="宋体" w:asciiTheme="minorEastAsia" w:hAnsiTheme="minorEastAsia"/>
          <w:szCs w:val="21"/>
        </w:rPr>
        <w:t>。</w:t>
      </w:r>
    </w:p>
    <w:p w14:paraId="65BA9AD0">
      <w:pPr>
        <w:autoSpaceDN w:val="0"/>
        <w:spacing w:line="360" w:lineRule="auto"/>
        <w:ind w:firstLine="420" w:firstLineChars="200"/>
        <w:rPr>
          <w:rFonts w:cs="宋体" w:asciiTheme="minorEastAsia" w:hAnsiTheme="minorEastAsia"/>
          <w:szCs w:val="21"/>
        </w:rPr>
      </w:pPr>
      <w:bookmarkStart w:id="253" w:name="_Toc54777940"/>
      <w:r>
        <w:rPr>
          <w:rFonts w:hint="eastAsia" w:cs="宋体" w:asciiTheme="minorEastAsia" w:hAnsiTheme="minorEastAsia"/>
          <w:szCs w:val="21"/>
        </w:rPr>
        <w:t>1.6 图纸和承包人文件</w:t>
      </w:r>
      <w:bookmarkEnd w:id="253"/>
      <w:r>
        <w:rPr>
          <w:rFonts w:hint="eastAsia" w:cs="宋体" w:asciiTheme="minorEastAsia" w:hAnsiTheme="minorEastAsia"/>
          <w:szCs w:val="21"/>
        </w:rPr>
        <w:tab/>
      </w:r>
    </w:p>
    <w:p w14:paraId="163BBAF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1.6.1 图纸的提供</w:t>
      </w:r>
    </w:p>
    <w:p w14:paraId="008FAF5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发包人向承包人提供图纸的期限：</w:t>
      </w:r>
      <w:bookmarkStart w:id="254" w:name="_Hlk17448594"/>
      <w:r>
        <w:rPr>
          <w:rFonts w:hint="eastAsia" w:cs="宋体" w:asciiTheme="minorEastAsia" w:hAnsiTheme="minorEastAsia"/>
          <w:szCs w:val="21"/>
          <w:u w:val="single"/>
        </w:rPr>
        <w:t>施工图审查合格后3天内</w:t>
      </w:r>
      <w:bookmarkEnd w:id="254"/>
      <w:r>
        <w:rPr>
          <w:rFonts w:hint="eastAsia" w:cs="宋体" w:asciiTheme="minorEastAsia" w:hAnsiTheme="minorEastAsia"/>
          <w:szCs w:val="21"/>
        </w:rPr>
        <w:t>；</w:t>
      </w:r>
    </w:p>
    <w:p w14:paraId="1D19C08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发包人向承包人提供图纸的数量：</w:t>
      </w:r>
      <w:r>
        <w:rPr>
          <w:rFonts w:hint="eastAsia" w:cs="宋体" w:asciiTheme="minorEastAsia" w:hAnsiTheme="minorEastAsia"/>
          <w:bCs/>
          <w:szCs w:val="21"/>
          <w:u w:val="single"/>
        </w:rPr>
        <w:t>2套</w:t>
      </w:r>
      <w:r>
        <w:rPr>
          <w:rFonts w:hint="eastAsia" w:cs="宋体" w:asciiTheme="minorEastAsia" w:hAnsiTheme="minorEastAsia"/>
          <w:szCs w:val="21"/>
        </w:rPr>
        <w:t>；</w:t>
      </w:r>
    </w:p>
    <w:p w14:paraId="722FAFDD">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发包人向承包人提供图纸的内容：</w:t>
      </w:r>
      <w:bookmarkStart w:id="255" w:name="_Hlk17448608"/>
      <w:r>
        <w:rPr>
          <w:rFonts w:hint="eastAsia" w:cs="宋体" w:asciiTheme="minorEastAsia" w:hAnsiTheme="minorEastAsia"/>
          <w:szCs w:val="21"/>
          <w:u w:val="single"/>
        </w:rPr>
        <w:t>包括承包人施工范围全部内容的施工图。</w:t>
      </w:r>
      <w:bookmarkEnd w:id="255"/>
    </w:p>
    <w:p w14:paraId="3FA2FA3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1.6.4 承包人文件</w:t>
      </w:r>
    </w:p>
    <w:p w14:paraId="52FA7A0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需要由承包人提供的文件，包括：</w:t>
      </w:r>
      <w:bookmarkStart w:id="256" w:name="_Hlk17448621"/>
      <w:r>
        <w:rPr>
          <w:rFonts w:hint="eastAsia" w:cs="宋体" w:asciiTheme="minorEastAsia" w:hAnsiTheme="minorEastAsia"/>
          <w:szCs w:val="21"/>
          <w:u w:val="single"/>
        </w:rPr>
        <w:t>主管部门规定的文件、本项目需要的施工文件、所必需的专项施工文件以及行业上各类检查应提交的施工文件资料等。包括但不限于施工组织设计、施工总进度计划、专项施工方案、专项安全防护方案等</w:t>
      </w:r>
      <w:bookmarkEnd w:id="256"/>
      <w:r>
        <w:rPr>
          <w:rFonts w:hint="eastAsia" w:cs="宋体" w:asciiTheme="minorEastAsia" w:hAnsiTheme="minorEastAsia"/>
          <w:szCs w:val="21"/>
          <w:u w:val="single"/>
        </w:rPr>
        <w:t>；</w:t>
      </w:r>
    </w:p>
    <w:p w14:paraId="65B78A3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承包人提供的文件的期限为：</w:t>
      </w:r>
      <w:bookmarkStart w:id="257" w:name="_Hlk17448633"/>
      <w:r>
        <w:rPr>
          <w:rFonts w:hint="eastAsia" w:cs="宋体" w:asciiTheme="minorEastAsia" w:hAnsiTheme="minorEastAsia"/>
          <w:szCs w:val="21"/>
          <w:u w:val="single"/>
        </w:rPr>
        <w:t>开工前7天</w:t>
      </w:r>
      <w:bookmarkEnd w:id="257"/>
      <w:r>
        <w:rPr>
          <w:rFonts w:hint="eastAsia" w:cs="宋体" w:asciiTheme="minorEastAsia" w:hAnsiTheme="minorEastAsia"/>
          <w:szCs w:val="21"/>
        </w:rPr>
        <w:t>；</w:t>
      </w:r>
    </w:p>
    <w:p w14:paraId="31DBF94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承包人提供的文件的数量为：</w:t>
      </w:r>
      <w:r>
        <w:rPr>
          <w:rFonts w:hint="eastAsia" w:cs="宋体" w:asciiTheme="minorEastAsia" w:hAnsiTheme="minorEastAsia"/>
          <w:szCs w:val="21"/>
          <w:u w:val="single"/>
        </w:rPr>
        <w:t>3套</w:t>
      </w:r>
      <w:r>
        <w:rPr>
          <w:rFonts w:hint="eastAsia" w:cs="宋体" w:asciiTheme="minorEastAsia" w:hAnsiTheme="minorEastAsia"/>
          <w:szCs w:val="21"/>
        </w:rPr>
        <w:t>；</w:t>
      </w:r>
    </w:p>
    <w:p w14:paraId="4A30511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承包人提供的文件的形式为：</w:t>
      </w:r>
      <w:bookmarkStart w:id="258" w:name="_Hlk17448653"/>
      <w:r>
        <w:rPr>
          <w:rFonts w:hint="eastAsia" w:cs="宋体" w:asciiTheme="minorEastAsia" w:hAnsiTheme="minorEastAsia"/>
          <w:szCs w:val="21"/>
          <w:u w:val="single"/>
        </w:rPr>
        <w:t>书面纸质及电子文档</w:t>
      </w:r>
      <w:bookmarkEnd w:id="258"/>
      <w:r>
        <w:rPr>
          <w:rFonts w:hint="eastAsia" w:cs="宋体" w:asciiTheme="minorEastAsia" w:hAnsiTheme="minorEastAsia"/>
          <w:szCs w:val="21"/>
        </w:rPr>
        <w:t>；</w:t>
      </w:r>
    </w:p>
    <w:p w14:paraId="2E40948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发包人审批承包人文件的期限：</w:t>
      </w:r>
      <w:bookmarkStart w:id="259" w:name="_Hlk17448662"/>
      <w:r>
        <w:rPr>
          <w:rFonts w:hint="eastAsia" w:cs="宋体" w:asciiTheme="minorEastAsia" w:hAnsiTheme="minorEastAsia"/>
          <w:szCs w:val="21"/>
          <w:u w:val="single"/>
        </w:rPr>
        <w:t>执行通用条款</w:t>
      </w:r>
      <w:bookmarkEnd w:id="259"/>
      <w:r>
        <w:rPr>
          <w:rFonts w:hint="eastAsia" w:cs="宋体" w:asciiTheme="minorEastAsia" w:hAnsiTheme="minorEastAsia"/>
          <w:szCs w:val="21"/>
        </w:rPr>
        <w:t>。</w:t>
      </w:r>
    </w:p>
    <w:p w14:paraId="34759CA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1.6.5 现场图纸准备</w:t>
      </w:r>
    </w:p>
    <w:p w14:paraId="13024E2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关于现场图纸准备的约定：</w:t>
      </w:r>
      <w:bookmarkStart w:id="260" w:name="_Hlk17448672"/>
      <w:r>
        <w:rPr>
          <w:rFonts w:hint="eastAsia" w:cs="宋体" w:asciiTheme="minorEastAsia" w:hAnsiTheme="minorEastAsia"/>
          <w:szCs w:val="21"/>
          <w:u w:val="single"/>
        </w:rPr>
        <w:t>执行通用条款</w:t>
      </w:r>
      <w:bookmarkEnd w:id="260"/>
      <w:r>
        <w:rPr>
          <w:rFonts w:hint="eastAsia" w:cs="宋体" w:asciiTheme="minorEastAsia" w:hAnsiTheme="minorEastAsia"/>
          <w:szCs w:val="21"/>
        </w:rPr>
        <w:t>。</w:t>
      </w:r>
    </w:p>
    <w:p w14:paraId="6B04A971">
      <w:pPr>
        <w:autoSpaceDN w:val="0"/>
        <w:spacing w:line="360" w:lineRule="auto"/>
        <w:ind w:firstLine="420" w:firstLineChars="200"/>
        <w:rPr>
          <w:rFonts w:cs="宋体" w:asciiTheme="minorEastAsia" w:hAnsiTheme="minorEastAsia"/>
          <w:szCs w:val="21"/>
        </w:rPr>
      </w:pPr>
      <w:bookmarkStart w:id="261" w:name="_Toc54777941"/>
      <w:r>
        <w:rPr>
          <w:rFonts w:hint="eastAsia" w:cs="宋体" w:asciiTheme="minorEastAsia" w:hAnsiTheme="minorEastAsia"/>
          <w:szCs w:val="21"/>
        </w:rPr>
        <w:t>1.7 联络</w:t>
      </w:r>
      <w:bookmarkEnd w:id="261"/>
    </w:p>
    <w:p w14:paraId="03E158B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1.7.1发包人和承包人应当在</w:t>
      </w:r>
      <w:r>
        <w:rPr>
          <w:rFonts w:hint="eastAsia" w:cs="宋体" w:asciiTheme="minorEastAsia" w:hAnsiTheme="minorEastAsia"/>
          <w:szCs w:val="21"/>
          <w:u w:val="single"/>
        </w:rPr>
        <w:t xml:space="preserve">7  </w:t>
      </w:r>
      <w:r>
        <w:rPr>
          <w:rFonts w:hint="eastAsia" w:cs="宋体" w:asciiTheme="minorEastAsia" w:hAnsiTheme="minorEastAsia"/>
          <w:szCs w:val="21"/>
        </w:rPr>
        <w:t>天内将与合同有关的通知、批准、证明、证书、指示、指令、要求、请求、同意、意见、确定和决定等书面函件送达对方当事人。</w:t>
      </w:r>
    </w:p>
    <w:p w14:paraId="4E26599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1.7.2 发包人接收文件的地点：</w:t>
      </w:r>
      <w:bookmarkStart w:id="262" w:name="_Hlk17448691"/>
      <w:r>
        <w:rPr>
          <w:rFonts w:hint="eastAsia" w:cs="宋体" w:asciiTheme="minorEastAsia" w:hAnsiTheme="minorEastAsia"/>
          <w:szCs w:val="21"/>
          <w:u w:val="single"/>
        </w:rPr>
        <w:t>发包人施工现场办公室</w:t>
      </w:r>
      <w:bookmarkEnd w:id="262"/>
      <w:r>
        <w:rPr>
          <w:rFonts w:hint="eastAsia" w:cs="宋体" w:asciiTheme="minorEastAsia" w:hAnsiTheme="minorEastAsia"/>
          <w:szCs w:val="21"/>
        </w:rPr>
        <w:t>；</w:t>
      </w:r>
    </w:p>
    <w:p w14:paraId="5A1B2CF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发包人指定的接收人为：</w:t>
      </w:r>
      <w:bookmarkStart w:id="263" w:name="_Hlk17448698"/>
      <w:r>
        <w:rPr>
          <w:rFonts w:hint="eastAsia" w:cs="宋体" w:asciiTheme="minorEastAsia" w:hAnsiTheme="minorEastAsia"/>
          <w:szCs w:val="21"/>
          <w:u w:val="single"/>
        </w:rPr>
        <w:t>发包人现场负责人</w:t>
      </w:r>
      <w:bookmarkEnd w:id="263"/>
      <w:r>
        <w:rPr>
          <w:rFonts w:hint="eastAsia" w:cs="宋体" w:asciiTheme="minorEastAsia" w:hAnsiTheme="minorEastAsia"/>
          <w:szCs w:val="21"/>
        </w:rPr>
        <w:t>。</w:t>
      </w:r>
    </w:p>
    <w:p w14:paraId="0CA5E71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承包人接收文件的地点：</w:t>
      </w:r>
      <w:bookmarkStart w:id="264" w:name="_Hlk17448743"/>
      <w:r>
        <w:rPr>
          <w:rFonts w:hint="eastAsia" w:cs="宋体" w:asciiTheme="minorEastAsia" w:hAnsiTheme="minorEastAsia"/>
          <w:szCs w:val="21"/>
          <w:u w:val="single"/>
        </w:rPr>
        <w:t>承包人施工现场办公室</w:t>
      </w:r>
      <w:bookmarkEnd w:id="264"/>
      <w:r>
        <w:rPr>
          <w:rFonts w:hint="eastAsia" w:cs="宋体" w:asciiTheme="minorEastAsia" w:hAnsiTheme="minorEastAsia"/>
          <w:szCs w:val="21"/>
        </w:rPr>
        <w:t>；</w:t>
      </w:r>
    </w:p>
    <w:p w14:paraId="576DE76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承包人指定的接收人为：</w:t>
      </w:r>
      <w:bookmarkStart w:id="265" w:name="_Hlk17448711"/>
      <w:r>
        <w:rPr>
          <w:rFonts w:hint="eastAsia" w:cs="宋体" w:asciiTheme="minorEastAsia" w:hAnsiTheme="minorEastAsia"/>
          <w:szCs w:val="21"/>
          <w:u w:val="single"/>
        </w:rPr>
        <w:t>承包方项目经理</w:t>
      </w:r>
      <w:bookmarkEnd w:id="265"/>
      <w:r>
        <w:rPr>
          <w:rFonts w:hint="eastAsia" w:cs="宋体" w:asciiTheme="minorEastAsia" w:hAnsiTheme="minorEastAsia"/>
          <w:szCs w:val="21"/>
        </w:rPr>
        <w:t>。</w:t>
      </w:r>
    </w:p>
    <w:p w14:paraId="02C8BD6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监理人接收文件的地点：</w:t>
      </w:r>
      <w:bookmarkStart w:id="266" w:name="_Hlk17448723"/>
      <w:r>
        <w:rPr>
          <w:rFonts w:hint="eastAsia" w:cs="宋体" w:asciiTheme="minorEastAsia" w:hAnsiTheme="minorEastAsia"/>
          <w:szCs w:val="21"/>
          <w:u w:val="single"/>
        </w:rPr>
        <w:t>监理人施工现场办公室</w:t>
      </w:r>
      <w:bookmarkEnd w:id="266"/>
      <w:r>
        <w:rPr>
          <w:rFonts w:hint="eastAsia" w:cs="宋体" w:asciiTheme="minorEastAsia" w:hAnsiTheme="minorEastAsia"/>
          <w:szCs w:val="21"/>
        </w:rPr>
        <w:t>；</w:t>
      </w:r>
    </w:p>
    <w:p w14:paraId="7089354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监理人指定的接收人为：</w:t>
      </w:r>
      <w:bookmarkStart w:id="267" w:name="_Hlk17448754"/>
      <w:r>
        <w:rPr>
          <w:rFonts w:hint="eastAsia" w:cs="宋体" w:asciiTheme="minorEastAsia" w:hAnsiTheme="minorEastAsia"/>
          <w:szCs w:val="21"/>
          <w:u w:val="single"/>
        </w:rPr>
        <w:t>总监理工程师</w:t>
      </w:r>
      <w:bookmarkEnd w:id="267"/>
      <w:r>
        <w:rPr>
          <w:rFonts w:hint="eastAsia" w:cs="宋体" w:asciiTheme="minorEastAsia" w:hAnsiTheme="minorEastAsia"/>
          <w:szCs w:val="21"/>
        </w:rPr>
        <w:t>。</w:t>
      </w:r>
    </w:p>
    <w:p w14:paraId="5ACE6BF8">
      <w:pPr>
        <w:autoSpaceDN w:val="0"/>
        <w:spacing w:line="360" w:lineRule="auto"/>
        <w:ind w:firstLine="420" w:firstLineChars="200"/>
        <w:rPr>
          <w:rFonts w:cs="宋体" w:asciiTheme="minorEastAsia" w:hAnsiTheme="minorEastAsia"/>
          <w:szCs w:val="21"/>
        </w:rPr>
      </w:pPr>
      <w:bookmarkStart w:id="268" w:name="_Toc54777942"/>
      <w:r>
        <w:rPr>
          <w:rFonts w:hint="eastAsia" w:cs="宋体" w:asciiTheme="minorEastAsia" w:hAnsiTheme="minorEastAsia"/>
          <w:szCs w:val="21"/>
        </w:rPr>
        <w:t>1.10 交通运输</w:t>
      </w:r>
      <w:bookmarkEnd w:id="268"/>
    </w:p>
    <w:p w14:paraId="407C761A">
      <w:pPr>
        <w:autoSpaceDN w:val="0"/>
        <w:spacing w:line="360" w:lineRule="auto"/>
        <w:ind w:firstLine="420" w:firstLineChars="200"/>
        <w:rPr>
          <w:rFonts w:cs="宋体" w:asciiTheme="minorEastAsia" w:hAnsiTheme="minorEastAsia"/>
          <w:szCs w:val="21"/>
        </w:rPr>
      </w:pPr>
      <w:bookmarkStart w:id="269" w:name="_Toc54777943"/>
      <w:r>
        <w:rPr>
          <w:rFonts w:hint="eastAsia" w:cs="宋体" w:asciiTheme="minorEastAsia" w:hAnsiTheme="minorEastAsia"/>
          <w:szCs w:val="21"/>
        </w:rPr>
        <w:t>1</w:t>
      </w:r>
      <w:bookmarkStart w:id="270" w:name="_Toc318581155"/>
      <w:bookmarkStart w:id="271" w:name="_Toc303539100"/>
      <w:bookmarkStart w:id="272" w:name="_Toc312677986"/>
      <w:bookmarkStart w:id="273" w:name="_Toc304295521"/>
      <w:bookmarkStart w:id="274" w:name="_Toc300934943"/>
      <w:r>
        <w:rPr>
          <w:rFonts w:hint="eastAsia" w:cs="宋体" w:asciiTheme="minorEastAsia" w:hAnsiTheme="minorEastAsia"/>
          <w:szCs w:val="21"/>
        </w:rPr>
        <w:t>.10.1 出入现场的权利</w:t>
      </w:r>
      <w:bookmarkEnd w:id="269"/>
    </w:p>
    <w:p w14:paraId="431ACF9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关于出入现场的权利的约定：</w:t>
      </w:r>
      <w:bookmarkStart w:id="275" w:name="_Hlk17448903"/>
      <w:r>
        <w:rPr>
          <w:rFonts w:hint="eastAsia" w:cs="宋体" w:asciiTheme="minorEastAsia" w:hAnsiTheme="minorEastAsia"/>
          <w:bCs/>
          <w:szCs w:val="21"/>
          <w:u w:val="single"/>
        </w:rPr>
        <w:t>由承包人负责办理出入施工现场的相关许可并承担全部费用</w:t>
      </w:r>
      <w:bookmarkEnd w:id="275"/>
      <w:r>
        <w:rPr>
          <w:rFonts w:hint="eastAsia" w:cs="宋体" w:asciiTheme="minorEastAsia" w:hAnsiTheme="minorEastAsia"/>
          <w:bCs/>
          <w:szCs w:val="21"/>
          <w:u w:val="single"/>
        </w:rPr>
        <w:t>。</w:t>
      </w:r>
    </w:p>
    <w:bookmarkEnd w:id="270"/>
    <w:bookmarkEnd w:id="271"/>
    <w:bookmarkEnd w:id="272"/>
    <w:bookmarkEnd w:id="273"/>
    <w:bookmarkEnd w:id="274"/>
    <w:p w14:paraId="0F327F67">
      <w:pPr>
        <w:autoSpaceDN w:val="0"/>
        <w:spacing w:line="360" w:lineRule="auto"/>
        <w:ind w:firstLine="420" w:firstLineChars="200"/>
        <w:rPr>
          <w:rFonts w:cs="宋体" w:asciiTheme="minorEastAsia" w:hAnsiTheme="minorEastAsia"/>
          <w:szCs w:val="21"/>
        </w:rPr>
      </w:pPr>
      <w:bookmarkStart w:id="276" w:name="_Toc54777944"/>
      <w:r>
        <w:rPr>
          <w:rFonts w:hint="eastAsia" w:cs="宋体" w:asciiTheme="minorEastAsia" w:hAnsiTheme="minorEastAsia"/>
          <w:szCs w:val="21"/>
        </w:rPr>
        <w:t>1</w:t>
      </w:r>
      <w:bookmarkStart w:id="277" w:name="_Toc303539101"/>
      <w:bookmarkStart w:id="278" w:name="_Toc304295522"/>
      <w:bookmarkStart w:id="279" w:name="_Toc312677987"/>
      <w:bookmarkStart w:id="280" w:name="_Toc300934944"/>
      <w:bookmarkStart w:id="281" w:name="_Toc318581156"/>
      <w:r>
        <w:rPr>
          <w:rFonts w:hint="eastAsia" w:cs="宋体" w:asciiTheme="minorEastAsia" w:hAnsiTheme="minorEastAsia"/>
          <w:szCs w:val="21"/>
        </w:rPr>
        <w:t>.10.3 场内交通</w:t>
      </w:r>
      <w:bookmarkEnd w:id="276"/>
    </w:p>
    <w:p w14:paraId="0E1F4DC7">
      <w:pPr>
        <w:autoSpaceDN w:val="0"/>
        <w:spacing w:line="360" w:lineRule="auto"/>
        <w:ind w:firstLine="420" w:firstLineChars="200"/>
        <w:rPr>
          <w:rFonts w:cs="宋体" w:asciiTheme="minorEastAsia" w:hAnsiTheme="minorEastAsia"/>
          <w:bCs/>
          <w:szCs w:val="21"/>
          <w:u w:val="single"/>
        </w:rPr>
      </w:pPr>
      <w:r>
        <w:rPr>
          <w:rFonts w:hint="eastAsia" w:cs="宋体" w:asciiTheme="minorEastAsia" w:hAnsiTheme="minorEastAsia"/>
          <w:szCs w:val="21"/>
        </w:rPr>
        <w:t>关于场外交通和场内交通的边界的约定：</w:t>
      </w:r>
      <w:bookmarkStart w:id="282" w:name="_Hlk17448920"/>
      <w:r>
        <w:rPr>
          <w:rFonts w:hint="eastAsia" w:cs="宋体" w:asciiTheme="minorEastAsia" w:hAnsiTheme="minorEastAsia"/>
          <w:bCs/>
          <w:szCs w:val="21"/>
          <w:u w:val="single"/>
        </w:rPr>
        <w:t>承包人负责场外、场内道路和交通设施并承担全部费用</w:t>
      </w:r>
      <w:bookmarkEnd w:id="282"/>
      <w:r>
        <w:rPr>
          <w:rFonts w:hint="eastAsia" w:cs="宋体" w:asciiTheme="minorEastAsia" w:hAnsiTheme="minorEastAsia"/>
          <w:bCs/>
          <w:szCs w:val="21"/>
          <w:u w:val="single"/>
        </w:rPr>
        <w:t>。</w:t>
      </w:r>
    </w:p>
    <w:p w14:paraId="2C81B15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关于发包人向承包人免费提供满足工程施工需要的场内道路和交通设施的约定：</w:t>
      </w:r>
      <w:bookmarkStart w:id="283" w:name="_Hlk17448930"/>
      <w:r>
        <w:rPr>
          <w:rFonts w:hint="eastAsia" w:cs="宋体" w:asciiTheme="minorEastAsia" w:hAnsiTheme="minorEastAsia"/>
          <w:bCs/>
          <w:szCs w:val="21"/>
          <w:u w:val="single"/>
        </w:rPr>
        <w:t>承包人负责并承担全部费用</w:t>
      </w:r>
      <w:bookmarkEnd w:id="283"/>
      <w:r>
        <w:rPr>
          <w:rFonts w:hint="eastAsia" w:cs="宋体" w:asciiTheme="minorEastAsia" w:hAnsiTheme="minorEastAsia"/>
          <w:bCs/>
          <w:szCs w:val="21"/>
          <w:u w:val="single"/>
        </w:rPr>
        <w:t>。</w:t>
      </w:r>
      <w:bookmarkEnd w:id="277"/>
      <w:bookmarkEnd w:id="278"/>
      <w:bookmarkEnd w:id="279"/>
      <w:bookmarkEnd w:id="280"/>
      <w:bookmarkEnd w:id="281"/>
      <w:bookmarkStart w:id="284" w:name="_Toc318581157"/>
    </w:p>
    <w:p w14:paraId="4C7D973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1.10.4超大件和超重件的运输</w:t>
      </w:r>
    </w:p>
    <w:p w14:paraId="332CCD1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运输超大件或超重件所需的道路和桥梁临时加固改造费用和其他有关费用由</w:t>
      </w:r>
      <w:bookmarkStart w:id="285" w:name="_Hlk17449339"/>
      <w:r>
        <w:rPr>
          <w:rFonts w:hint="eastAsia" w:cs="宋体" w:asciiTheme="minorEastAsia" w:hAnsiTheme="minorEastAsia"/>
          <w:szCs w:val="21"/>
          <w:u w:val="single"/>
        </w:rPr>
        <w:t>承包人</w:t>
      </w:r>
      <w:bookmarkEnd w:id="285"/>
      <w:r>
        <w:rPr>
          <w:rFonts w:hint="eastAsia" w:cs="宋体" w:asciiTheme="minorEastAsia" w:hAnsiTheme="minorEastAsia"/>
          <w:szCs w:val="21"/>
        </w:rPr>
        <w:t>承担。</w:t>
      </w:r>
    </w:p>
    <w:bookmarkEnd w:id="284"/>
    <w:p w14:paraId="378F3D32">
      <w:pPr>
        <w:autoSpaceDN w:val="0"/>
        <w:spacing w:line="360" w:lineRule="auto"/>
        <w:ind w:firstLine="420" w:firstLineChars="200"/>
        <w:rPr>
          <w:rFonts w:cs="宋体" w:asciiTheme="minorEastAsia" w:hAnsiTheme="minorEastAsia"/>
          <w:szCs w:val="21"/>
        </w:rPr>
      </w:pPr>
      <w:bookmarkStart w:id="286" w:name="_Toc54777945"/>
      <w:r>
        <w:rPr>
          <w:rFonts w:hint="eastAsia" w:cs="宋体" w:asciiTheme="minorEastAsia" w:hAnsiTheme="minorEastAsia"/>
          <w:szCs w:val="21"/>
        </w:rPr>
        <w:t>1.11 知识产权</w:t>
      </w:r>
      <w:bookmarkEnd w:id="286"/>
    </w:p>
    <w:p w14:paraId="1CF6FB9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1.11.1关于发包人提供给承包人的图纸、发包人为实施工程自行编制或委托编制的技术规范以及反映发包人关于合同要求或其他类似性质的文件的著作权的归属：</w:t>
      </w:r>
      <w:bookmarkStart w:id="287" w:name="_Hlk17449348"/>
      <w:r>
        <w:rPr>
          <w:rFonts w:hint="eastAsia" w:cs="宋体" w:asciiTheme="minorEastAsia" w:hAnsiTheme="minorEastAsia"/>
          <w:szCs w:val="21"/>
          <w:u w:val="single"/>
        </w:rPr>
        <w:t>执行通用条款</w:t>
      </w:r>
      <w:bookmarkEnd w:id="287"/>
      <w:r>
        <w:rPr>
          <w:rFonts w:hint="eastAsia" w:cs="宋体" w:asciiTheme="minorEastAsia" w:hAnsiTheme="minorEastAsia"/>
          <w:szCs w:val="21"/>
        </w:rPr>
        <w:t>。</w:t>
      </w:r>
    </w:p>
    <w:p w14:paraId="2EF164E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关于发包人提供的上述文件的使用限制的要求：</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742DF953">
      <w:pPr>
        <w:autoSpaceDN w:val="0"/>
        <w:spacing w:line="360" w:lineRule="auto"/>
        <w:ind w:firstLine="420" w:firstLineChars="200"/>
        <w:rPr>
          <w:rFonts w:cs="宋体" w:asciiTheme="minorEastAsia" w:hAnsiTheme="minorEastAsia"/>
          <w:szCs w:val="21"/>
          <w:u w:val="single"/>
        </w:rPr>
      </w:pPr>
      <w:bookmarkStart w:id="288" w:name="_Toc54777946"/>
      <w:r>
        <w:rPr>
          <w:rFonts w:hint="eastAsia" w:cs="宋体" w:asciiTheme="minorEastAsia" w:hAnsiTheme="minorEastAsia"/>
          <w:szCs w:val="21"/>
        </w:rPr>
        <w:t>1.11.2 关于承包人为实施工程所编制文件的著作权的归属：</w:t>
      </w:r>
      <w:r>
        <w:rPr>
          <w:rFonts w:hint="eastAsia" w:cs="宋体" w:asciiTheme="minorEastAsia" w:hAnsiTheme="minorEastAsia"/>
          <w:szCs w:val="21"/>
          <w:u w:val="single"/>
        </w:rPr>
        <w:t>执行通用条款。</w:t>
      </w:r>
      <w:bookmarkEnd w:id="288"/>
    </w:p>
    <w:p w14:paraId="0CAF237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关于承包人提供的上述文件的使用限制的要求：</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5E11C912">
      <w:pPr>
        <w:autoSpaceDN w:val="0"/>
        <w:spacing w:line="360" w:lineRule="auto"/>
        <w:ind w:firstLine="420" w:firstLineChars="200"/>
        <w:rPr>
          <w:rFonts w:cs="宋体" w:asciiTheme="minorEastAsia" w:hAnsiTheme="minorEastAsia"/>
          <w:szCs w:val="21"/>
        </w:rPr>
      </w:pPr>
      <w:bookmarkStart w:id="289" w:name="_Toc54777947"/>
      <w:r>
        <w:rPr>
          <w:rFonts w:hint="eastAsia" w:cs="宋体" w:asciiTheme="minorEastAsia" w:hAnsiTheme="minorEastAsia"/>
          <w:szCs w:val="21"/>
        </w:rPr>
        <w:t>1.11.4 承包人在施工过程中所采用的专利、专有技术、技术秘密的使用费的承担方式：</w:t>
      </w:r>
      <w:r>
        <w:rPr>
          <w:rFonts w:hint="eastAsia" w:cs="宋体" w:asciiTheme="minorEastAsia" w:hAnsiTheme="minorEastAsia"/>
          <w:szCs w:val="21"/>
          <w:u w:val="single"/>
        </w:rPr>
        <w:t>执行通用条款</w:t>
      </w:r>
      <w:r>
        <w:rPr>
          <w:rFonts w:hint="eastAsia" w:cs="宋体" w:asciiTheme="minorEastAsia" w:hAnsiTheme="minorEastAsia"/>
          <w:szCs w:val="21"/>
        </w:rPr>
        <w:t>。</w:t>
      </w:r>
      <w:bookmarkEnd w:id="289"/>
    </w:p>
    <w:p w14:paraId="7507DFE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1.13工程量清单错误的修正</w:t>
      </w:r>
    </w:p>
    <w:p w14:paraId="35A8346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出现工程量清单错误时，是否调整合同价格：否。</w:t>
      </w:r>
    </w:p>
    <w:p w14:paraId="7752302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允许调整合同价格的工程量偏差范围：</w:t>
      </w:r>
      <w:r>
        <w:rPr>
          <w:rFonts w:hint="eastAsia" w:cs="宋体" w:asciiTheme="minorEastAsia" w:hAnsiTheme="minorEastAsia"/>
          <w:szCs w:val="21"/>
          <w:u w:val="single"/>
        </w:rPr>
        <w:t>/</w:t>
      </w:r>
      <w:r>
        <w:rPr>
          <w:rFonts w:hint="eastAsia" w:cs="宋体" w:asciiTheme="minorEastAsia" w:hAnsiTheme="minorEastAsia"/>
          <w:szCs w:val="21"/>
        </w:rPr>
        <w:t>%。</w:t>
      </w:r>
    </w:p>
    <w:p w14:paraId="7B4B4CEE">
      <w:pPr>
        <w:autoSpaceDN w:val="0"/>
        <w:spacing w:line="360" w:lineRule="auto"/>
        <w:ind w:firstLine="420" w:firstLineChars="200"/>
        <w:rPr>
          <w:rFonts w:cs="宋体" w:asciiTheme="minorEastAsia" w:hAnsiTheme="minorEastAsia"/>
          <w:bCs/>
          <w:szCs w:val="21"/>
        </w:rPr>
      </w:pPr>
      <w:bookmarkStart w:id="290" w:name="_Toc351203634"/>
      <w:r>
        <w:rPr>
          <w:rFonts w:hint="eastAsia" w:cs="宋体" w:asciiTheme="minorEastAsia" w:hAnsiTheme="minorEastAsia"/>
          <w:bCs/>
          <w:szCs w:val="21"/>
        </w:rPr>
        <w:t>2</w:t>
      </w:r>
      <w:bookmarkStart w:id="291" w:name="_Toc296346658"/>
      <w:bookmarkStart w:id="292" w:name="_Toc292559362"/>
      <w:bookmarkStart w:id="293" w:name="_Toc296944496"/>
      <w:bookmarkStart w:id="294" w:name="_Toc296503157"/>
      <w:bookmarkStart w:id="295" w:name="_Toc296891197"/>
      <w:bookmarkStart w:id="296" w:name="_Toc297120457"/>
      <w:bookmarkStart w:id="297" w:name="_Toc296890985"/>
      <w:bookmarkStart w:id="298" w:name="_Toc296347156"/>
      <w:bookmarkStart w:id="299" w:name="_Toc292559867"/>
      <w:bookmarkStart w:id="300" w:name="_Toc297048343"/>
      <w:r>
        <w:rPr>
          <w:rFonts w:hint="eastAsia" w:cs="宋体" w:asciiTheme="minorEastAsia" w:hAnsiTheme="minorEastAsia"/>
          <w:bCs/>
          <w:szCs w:val="21"/>
        </w:rPr>
        <w:t>. 发包人</w:t>
      </w:r>
      <w:bookmarkEnd w:id="290"/>
    </w:p>
    <w:bookmarkEnd w:id="291"/>
    <w:bookmarkEnd w:id="292"/>
    <w:bookmarkEnd w:id="293"/>
    <w:bookmarkEnd w:id="294"/>
    <w:bookmarkEnd w:id="295"/>
    <w:bookmarkEnd w:id="296"/>
    <w:bookmarkEnd w:id="297"/>
    <w:bookmarkEnd w:id="298"/>
    <w:bookmarkEnd w:id="299"/>
    <w:bookmarkEnd w:id="300"/>
    <w:p w14:paraId="518C4E34">
      <w:pPr>
        <w:autoSpaceDN w:val="0"/>
        <w:spacing w:line="360" w:lineRule="auto"/>
        <w:ind w:firstLine="420" w:firstLineChars="200"/>
        <w:rPr>
          <w:rFonts w:cs="宋体" w:asciiTheme="minorEastAsia" w:hAnsiTheme="minorEastAsia"/>
          <w:szCs w:val="21"/>
        </w:rPr>
      </w:pPr>
      <w:bookmarkStart w:id="301" w:name="_Toc54777948"/>
      <w:r>
        <w:rPr>
          <w:rFonts w:hint="eastAsia" w:cs="宋体" w:asciiTheme="minorEastAsia" w:hAnsiTheme="minorEastAsia"/>
          <w:szCs w:val="21"/>
        </w:rPr>
        <w:t>2.2 发包人代表</w:t>
      </w:r>
      <w:bookmarkEnd w:id="301"/>
    </w:p>
    <w:p w14:paraId="689C48F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发包人代表：</w:t>
      </w:r>
    </w:p>
    <w:p w14:paraId="7CD02A7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姓名：；</w:t>
      </w:r>
    </w:p>
    <w:p w14:paraId="7ADE8D9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身份证号：</w:t>
      </w:r>
      <w:r>
        <w:rPr>
          <w:rFonts w:hint="eastAsia" w:cs="宋体" w:asciiTheme="minorEastAsia" w:hAnsiTheme="minorEastAsia"/>
          <w:szCs w:val="21"/>
          <w:u w:val="single"/>
        </w:rPr>
        <w:t>/</w:t>
      </w:r>
      <w:r>
        <w:rPr>
          <w:rFonts w:hint="eastAsia" w:cs="宋体" w:asciiTheme="minorEastAsia" w:hAnsiTheme="minorEastAsia"/>
          <w:szCs w:val="21"/>
        </w:rPr>
        <w:t>；</w:t>
      </w:r>
    </w:p>
    <w:p w14:paraId="039818E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职务：</w:t>
      </w:r>
      <w:r>
        <w:rPr>
          <w:rFonts w:hint="eastAsia" w:cs="宋体" w:asciiTheme="minorEastAsia" w:hAnsiTheme="minorEastAsia"/>
          <w:szCs w:val="21"/>
          <w:u w:val="single"/>
        </w:rPr>
        <w:t>/</w:t>
      </w:r>
      <w:r>
        <w:rPr>
          <w:rFonts w:hint="eastAsia" w:cs="宋体" w:asciiTheme="minorEastAsia" w:hAnsiTheme="minorEastAsia"/>
          <w:szCs w:val="21"/>
        </w:rPr>
        <w:t>；</w:t>
      </w:r>
    </w:p>
    <w:p w14:paraId="08C194C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联系电话：电子信箱：</w:t>
      </w:r>
      <w:r>
        <w:rPr>
          <w:rFonts w:hint="eastAsia" w:cs="宋体" w:asciiTheme="minorEastAsia" w:hAnsiTheme="minorEastAsia"/>
          <w:szCs w:val="21"/>
          <w:u w:val="single"/>
        </w:rPr>
        <w:t>/</w:t>
      </w:r>
      <w:r>
        <w:rPr>
          <w:rFonts w:hint="eastAsia" w:cs="宋体" w:asciiTheme="minorEastAsia" w:hAnsiTheme="minorEastAsia"/>
          <w:szCs w:val="21"/>
        </w:rPr>
        <w:t>；</w:t>
      </w:r>
    </w:p>
    <w:p w14:paraId="0E28ACD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通信地址：</w:t>
      </w:r>
      <w:r>
        <w:rPr>
          <w:rFonts w:hint="eastAsia" w:cs="宋体" w:asciiTheme="minorEastAsia" w:hAnsiTheme="minorEastAsia"/>
          <w:szCs w:val="21"/>
          <w:u w:val="single"/>
        </w:rPr>
        <w:t>/</w:t>
      </w:r>
      <w:r>
        <w:rPr>
          <w:rFonts w:hint="eastAsia" w:cs="宋体" w:asciiTheme="minorEastAsia" w:hAnsiTheme="minorEastAsia"/>
          <w:szCs w:val="21"/>
        </w:rPr>
        <w:t>。</w:t>
      </w:r>
    </w:p>
    <w:p w14:paraId="4ECCB88A">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发包人对发包人代表的授权范围如下：</w:t>
      </w:r>
      <w:bookmarkStart w:id="302" w:name="_Hlk17449421"/>
      <w:r>
        <w:rPr>
          <w:rFonts w:hint="eastAsia" w:cs="宋体" w:asciiTheme="minorEastAsia" w:hAnsiTheme="minorEastAsia"/>
          <w:szCs w:val="21"/>
          <w:u w:val="single"/>
        </w:rPr>
        <w:t>检查工程质量、进度和安全文明施工中存在的问题，督促监理工程师行使职权，协调施工现场各方面的关系，审核工程进度报表等。凡涉及合同变更、工期延长、工程量签证、结算等事项的，必须经发包人书面确认并盖章后方能生效。</w:t>
      </w:r>
      <w:bookmarkEnd w:id="302"/>
    </w:p>
    <w:p w14:paraId="2C9DC12C">
      <w:pPr>
        <w:autoSpaceDN w:val="0"/>
        <w:spacing w:line="360" w:lineRule="auto"/>
        <w:ind w:firstLine="420" w:firstLineChars="200"/>
        <w:rPr>
          <w:rFonts w:cs="宋体" w:asciiTheme="minorEastAsia" w:hAnsiTheme="minorEastAsia"/>
          <w:szCs w:val="21"/>
        </w:rPr>
      </w:pPr>
      <w:bookmarkStart w:id="303" w:name="_Toc54777949"/>
      <w:r>
        <w:rPr>
          <w:rFonts w:hint="eastAsia" w:cs="宋体" w:asciiTheme="minorEastAsia" w:hAnsiTheme="minorEastAsia"/>
          <w:szCs w:val="21"/>
        </w:rPr>
        <w:t>2.4 施工现场、施工条件和基础资料的提供</w:t>
      </w:r>
      <w:bookmarkEnd w:id="303"/>
    </w:p>
    <w:p w14:paraId="1CBAEE5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2.4.1 提供施工现场</w:t>
      </w:r>
    </w:p>
    <w:p w14:paraId="7065521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关于发包人移交施工现场的期限要求：</w:t>
      </w:r>
      <w:bookmarkStart w:id="304" w:name="_Hlk17449433"/>
      <w:r>
        <w:rPr>
          <w:rFonts w:hint="eastAsia" w:cs="宋体" w:asciiTheme="minorEastAsia" w:hAnsiTheme="minorEastAsia"/>
          <w:szCs w:val="21"/>
          <w:u w:val="single"/>
        </w:rPr>
        <w:t>开工日期2天前</w:t>
      </w:r>
      <w:bookmarkEnd w:id="304"/>
      <w:r>
        <w:rPr>
          <w:rFonts w:hint="eastAsia" w:cs="宋体" w:asciiTheme="minorEastAsia" w:hAnsiTheme="minorEastAsia"/>
          <w:szCs w:val="21"/>
        </w:rPr>
        <w:t>。</w:t>
      </w:r>
    </w:p>
    <w:p w14:paraId="31836B9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2.4.2 提供施工条件</w:t>
      </w:r>
    </w:p>
    <w:p w14:paraId="7BDC259F">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关于发包人应负责提供施工所需要的条件，包括：</w:t>
      </w:r>
      <w:bookmarkStart w:id="305" w:name="_Hlk17449446"/>
      <w:r>
        <w:rPr>
          <w:rFonts w:hint="eastAsia" w:cs="宋体" w:asciiTheme="minorEastAsia" w:hAnsiTheme="minorEastAsia"/>
          <w:szCs w:val="21"/>
          <w:u w:val="single"/>
        </w:rPr>
        <w:t>施工道路、施工用水源、电源由承包人自行解决，施工水电费及水电的线路损耗由承包人支付，费用已包括在合同价格中。</w:t>
      </w:r>
      <w:bookmarkEnd w:id="305"/>
    </w:p>
    <w:p w14:paraId="27848ACD">
      <w:pPr>
        <w:autoSpaceDN w:val="0"/>
        <w:spacing w:line="360" w:lineRule="auto"/>
        <w:ind w:firstLine="420" w:firstLineChars="200"/>
        <w:rPr>
          <w:rFonts w:cs="宋体" w:asciiTheme="minorEastAsia" w:hAnsiTheme="minorEastAsia"/>
          <w:szCs w:val="21"/>
        </w:rPr>
      </w:pPr>
      <w:bookmarkStart w:id="306" w:name="_Toc54777950"/>
      <w:r>
        <w:rPr>
          <w:rFonts w:hint="eastAsia" w:cs="宋体" w:asciiTheme="minorEastAsia" w:hAnsiTheme="minorEastAsia"/>
          <w:szCs w:val="21"/>
        </w:rPr>
        <w:t>2.5 资金来源证明及支付担保</w:t>
      </w:r>
      <w:bookmarkEnd w:id="306"/>
    </w:p>
    <w:p w14:paraId="10F9F8E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发包人提供资金来源证明的期限要求：</w:t>
      </w:r>
      <w:bookmarkStart w:id="307" w:name="_Hlk17449475"/>
      <w:r>
        <w:rPr>
          <w:rFonts w:hint="eastAsia" w:cs="宋体" w:asciiTheme="minorEastAsia" w:hAnsiTheme="minorEastAsia"/>
          <w:szCs w:val="21"/>
          <w:u w:val="single"/>
        </w:rPr>
        <w:t>无</w:t>
      </w:r>
      <w:bookmarkEnd w:id="307"/>
      <w:r>
        <w:rPr>
          <w:rFonts w:hint="eastAsia" w:cs="宋体" w:asciiTheme="minorEastAsia" w:hAnsiTheme="minorEastAsia"/>
          <w:szCs w:val="21"/>
        </w:rPr>
        <w:t>。</w:t>
      </w:r>
    </w:p>
    <w:p w14:paraId="4791E7C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发包人是否提供支付担保：</w:t>
      </w:r>
      <w:bookmarkStart w:id="308" w:name="_Hlk17449482"/>
      <w:r>
        <w:rPr>
          <w:rFonts w:hint="eastAsia" w:cs="宋体" w:asciiTheme="minorEastAsia" w:hAnsiTheme="minorEastAsia"/>
          <w:szCs w:val="21"/>
          <w:u w:val="single"/>
        </w:rPr>
        <w:t>否</w:t>
      </w:r>
      <w:bookmarkEnd w:id="308"/>
      <w:r>
        <w:rPr>
          <w:rFonts w:hint="eastAsia" w:cs="宋体" w:asciiTheme="minorEastAsia" w:hAnsiTheme="minorEastAsia"/>
          <w:szCs w:val="21"/>
        </w:rPr>
        <w:t>。</w:t>
      </w:r>
    </w:p>
    <w:p w14:paraId="55EA7C8E">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发包人提供支付担保的形式：</w:t>
      </w:r>
      <w:bookmarkStart w:id="309" w:name="_Hlk17449490"/>
      <w:r>
        <w:rPr>
          <w:rFonts w:hint="eastAsia" w:cs="宋体" w:asciiTheme="minorEastAsia" w:hAnsiTheme="minorEastAsia"/>
          <w:szCs w:val="21"/>
          <w:u w:val="single"/>
        </w:rPr>
        <w:t>不提供</w:t>
      </w:r>
      <w:bookmarkEnd w:id="309"/>
      <w:r>
        <w:rPr>
          <w:rFonts w:hint="eastAsia" w:cs="宋体" w:asciiTheme="minorEastAsia" w:hAnsiTheme="minorEastAsia"/>
          <w:szCs w:val="21"/>
        </w:rPr>
        <w:t>。</w:t>
      </w:r>
    </w:p>
    <w:p w14:paraId="268055E7">
      <w:pPr>
        <w:autoSpaceDN w:val="0"/>
        <w:spacing w:line="360" w:lineRule="auto"/>
        <w:ind w:firstLine="420" w:firstLineChars="200"/>
        <w:rPr>
          <w:rFonts w:cs="宋体" w:asciiTheme="minorEastAsia" w:hAnsiTheme="minorEastAsia"/>
          <w:bCs/>
          <w:szCs w:val="21"/>
        </w:rPr>
      </w:pPr>
      <w:bookmarkStart w:id="310" w:name="_Toc351203635"/>
      <w:r>
        <w:rPr>
          <w:rFonts w:hint="eastAsia" w:cs="宋体" w:asciiTheme="minorEastAsia" w:hAnsiTheme="minorEastAsia"/>
          <w:bCs/>
          <w:szCs w:val="21"/>
        </w:rPr>
        <w:t>3</w:t>
      </w:r>
      <w:bookmarkStart w:id="311" w:name="_Toc292559363"/>
      <w:bookmarkStart w:id="312" w:name="_Toc296944497"/>
      <w:bookmarkStart w:id="313" w:name="_Toc296891198"/>
      <w:bookmarkStart w:id="314" w:name="_Toc297048344"/>
      <w:bookmarkStart w:id="315" w:name="_Toc296890986"/>
      <w:bookmarkStart w:id="316" w:name="_Toc292559868"/>
      <w:bookmarkStart w:id="317" w:name="_Toc296503158"/>
      <w:bookmarkStart w:id="318" w:name="_Toc296347157"/>
      <w:bookmarkStart w:id="319" w:name="_Toc297120458"/>
      <w:bookmarkStart w:id="320" w:name="_Toc296346659"/>
      <w:r>
        <w:rPr>
          <w:rFonts w:hint="eastAsia" w:cs="宋体" w:asciiTheme="minorEastAsia" w:hAnsiTheme="minorEastAsia"/>
          <w:bCs/>
          <w:szCs w:val="21"/>
        </w:rPr>
        <w:t>. 承包人</w:t>
      </w:r>
      <w:bookmarkEnd w:id="310"/>
    </w:p>
    <w:bookmarkEnd w:id="311"/>
    <w:bookmarkEnd w:id="312"/>
    <w:bookmarkEnd w:id="313"/>
    <w:bookmarkEnd w:id="314"/>
    <w:bookmarkEnd w:id="315"/>
    <w:bookmarkEnd w:id="316"/>
    <w:bookmarkEnd w:id="317"/>
    <w:bookmarkEnd w:id="318"/>
    <w:bookmarkEnd w:id="319"/>
    <w:bookmarkEnd w:id="320"/>
    <w:p w14:paraId="6CFECA5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3.1 承包人的一般义务</w:t>
      </w:r>
    </w:p>
    <w:p w14:paraId="4B8B404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（9）承包人提交的竣工资料的内容：</w:t>
      </w:r>
      <w:bookmarkStart w:id="321" w:name="_Hlk17449519"/>
      <w:r>
        <w:rPr>
          <w:rFonts w:hint="eastAsia" w:cs="宋体" w:asciiTheme="minorEastAsia" w:hAnsiTheme="minorEastAsia"/>
          <w:szCs w:val="21"/>
          <w:u w:val="single"/>
        </w:rPr>
        <w:t>提供符合档案馆和行政管理及质量监督部门要求的竣工图及竣工资料、竣工结算资料等</w:t>
      </w:r>
      <w:bookmarkEnd w:id="321"/>
      <w:r>
        <w:rPr>
          <w:rFonts w:hint="eastAsia" w:cs="宋体" w:asciiTheme="minorEastAsia" w:hAnsiTheme="minorEastAsia"/>
          <w:szCs w:val="21"/>
        </w:rPr>
        <w:t>。</w:t>
      </w:r>
    </w:p>
    <w:p w14:paraId="6D1B2C6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承包人需要提交的竣工资料套数：</w:t>
      </w:r>
      <w:bookmarkStart w:id="322" w:name="_Hlk17449528"/>
      <w:r>
        <w:rPr>
          <w:rFonts w:hint="eastAsia" w:cs="宋体" w:asciiTheme="minorEastAsia" w:hAnsiTheme="minorEastAsia"/>
          <w:szCs w:val="21"/>
          <w:u w:val="single"/>
        </w:rPr>
        <w:t>4套</w:t>
      </w:r>
      <w:bookmarkEnd w:id="322"/>
      <w:r>
        <w:rPr>
          <w:rFonts w:hint="eastAsia" w:cs="宋体" w:asciiTheme="minorEastAsia" w:hAnsiTheme="minorEastAsia"/>
          <w:szCs w:val="21"/>
        </w:rPr>
        <w:t>。</w:t>
      </w:r>
    </w:p>
    <w:p w14:paraId="12FA5A1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承包人提交的竣工资料的费用承担：</w:t>
      </w:r>
      <w:r>
        <w:rPr>
          <w:rFonts w:hint="eastAsia" w:cs="宋体" w:asciiTheme="minorEastAsia" w:hAnsiTheme="minorEastAsia"/>
          <w:szCs w:val="21"/>
          <w:u w:val="single"/>
        </w:rPr>
        <w:t>承包人承担</w:t>
      </w:r>
      <w:r>
        <w:rPr>
          <w:rFonts w:hint="eastAsia" w:cs="宋体" w:asciiTheme="minorEastAsia" w:hAnsiTheme="minorEastAsia"/>
          <w:szCs w:val="21"/>
        </w:rPr>
        <w:t>。</w:t>
      </w:r>
    </w:p>
    <w:p w14:paraId="6816848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承包人提交的竣工资料移交时间：</w:t>
      </w:r>
      <w:bookmarkStart w:id="323" w:name="_Hlk17449537"/>
      <w:r>
        <w:rPr>
          <w:rFonts w:hint="eastAsia" w:cs="宋体" w:asciiTheme="minorEastAsia" w:hAnsiTheme="minorEastAsia"/>
          <w:szCs w:val="21"/>
          <w:u w:val="single"/>
        </w:rPr>
        <w:t>工程竣工验收合格后7天内</w:t>
      </w:r>
      <w:bookmarkEnd w:id="323"/>
      <w:r>
        <w:rPr>
          <w:rFonts w:hint="eastAsia" w:cs="宋体" w:asciiTheme="minorEastAsia" w:hAnsiTheme="minorEastAsia"/>
          <w:szCs w:val="21"/>
        </w:rPr>
        <w:t>。</w:t>
      </w:r>
    </w:p>
    <w:p w14:paraId="3C134F5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承包人提交的竣工资料形式要求：</w:t>
      </w:r>
      <w:bookmarkStart w:id="324" w:name="_Hlk17449549"/>
      <w:r>
        <w:rPr>
          <w:rFonts w:hint="eastAsia" w:cs="宋体" w:asciiTheme="minorEastAsia" w:hAnsiTheme="minorEastAsia"/>
          <w:szCs w:val="21"/>
          <w:u w:val="single"/>
        </w:rPr>
        <w:t>书面纸质及电子文档</w:t>
      </w:r>
      <w:bookmarkEnd w:id="324"/>
      <w:r>
        <w:rPr>
          <w:rFonts w:hint="eastAsia" w:cs="宋体" w:asciiTheme="minorEastAsia" w:hAnsiTheme="minorEastAsia"/>
          <w:szCs w:val="21"/>
        </w:rPr>
        <w:t>。</w:t>
      </w:r>
    </w:p>
    <w:p w14:paraId="39DD030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（10）承包人应履行的其他义务：</w:t>
      </w:r>
    </w:p>
    <w:p w14:paraId="487DEE62">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1）承包人不得以任何理由拖欠农民工工资，必须确保农民工工资足额发放，如造成农民工到有关部门上访，每发生一次处合同总价0.1-1%违约金。</w:t>
      </w:r>
    </w:p>
    <w:p w14:paraId="439C6390">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2）在施工中必须严格按照规范操作，并针对邻近建筑物实际情况，采取相应防护措施，对不按规范要求施工或未采取防护措施的，造成的损失由承包人承担。</w:t>
      </w:r>
    </w:p>
    <w:p w14:paraId="07C396D6">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3）本工程施工安全由承包人负总责。承包人应按照规范要求做好各项安全措施，本工程施工安全的措施费用已经包括在合同价格中。如发生施工安全事故，由承包人负责并承担全部事故赔偿费用</w:t>
      </w:r>
    </w:p>
    <w:p w14:paraId="1C343C48">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4）由承包人负责按照三门峡市有关行政管理部门要求，办理有关施工场地交通、环卫和施工噪音管理等手续。</w:t>
      </w:r>
    </w:p>
    <w:p w14:paraId="61A05F8A">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5）协调周边及地方关系。</w:t>
      </w:r>
    </w:p>
    <w:p w14:paraId="189D994F">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6）施工现场发包人、监理人办公室及必要的办公家具由承包人免费提供。</w:t>
      </w:r>
    </w:p>
    <w:p w14:paraId="092413C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3.2 项目经理</w:t>
      </w:r>
    </w:p>
    <w:p w14:paraId="40241C3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3.2.1 项目经理：</w:t>
      </w:r>
    </w:p>
    <w:p w14:paraId="4D1AF09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姓名：；</w:t>
      </w:r>
    </w:p>
    <w:p w14:paraId="3D5C6FE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身份证号：；</w:t>
      </w:r>
    </w:p>
    <w:p w14:paraId="16271D8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建造师执业资格等级：；</w:t>
      </w:r>
    </w:p>
    <w:p w14:paraId="07388E0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建造师注册证书号：；</w:t>
      </w:r>
    </w:p>
    <w:p w14:paraId="41E4406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建造师执业印章号：；</w:t>
      </w:r>
    </w:p>
    <w:p w14:paraId="5F437B6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安全生产考核合格证书号：；</w:t>
      </w:r>
    </w:p>
    <w:p w14:paraId="73DCCDC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联系电话：；</w:t>
      </w:r>
    </w:p>
    <w:p w14:paraId="39230D5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电子信箱：；</w:t>
      </w:r>
    </w:p>
    <w:p w14:paraId="3B50A62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通信地址：；</w:t>
      </w:r>
    </w:p>
    <w:p w14:paraId="097E28A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承包人对项目经理的授权范围如下：</w:t>
      </w:r>
    </w:p>
    <w:p w14:paraId="3B28374D">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关于项目经理每月在施工现场的时间要求：</w:t>
      </w:r>
      <w:r>
        <w:rPr>
          <w:rFonts w:hint="eastAsia" w:cs="宋体" w:asciiTheme="minorEastAsia" w:hAnsiTheme="minorEastAsia"/>
          <w:szCs w:val="21"/>
          <w:u w:val="single"/>
        </w:rPr>
        <w:t>每周在场6天，每少一天支付违约金1000元。</w:t>
      </w:r>
    </w:p>
    <w:p w14:paraId="1260CD1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承包人未提交劳动合同，以及没有为项目经理缴纳社会保险证明的违约责任：</w:t>
      </w:r>
      <w:r>
        <w:rPr>
          <w:rFonts w:hint="eastAsia" w:cs="宋体" w:asciiTheme="minorEastAsia" w:hAnsiTheme="minorEastAsia"/>
          <w:szCs w:val="21"/>
          <w:u w:val="single"/>
        </w:rPr>
        <w:t>承包人应支付给发包人10万元违约金，责令限期提交劳动合同并补缴社会保险，且发包人有权要求更换项目经理，由此增加的费用和延误的工期由承包人承担。</w:t>
      </w:r>
    </w:p>
    <w:p w14:paraId="3FCAAE70">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项目经理未经批准，擅自离开施工现场的违约责任：</w:t>
      </w:r>
      <w:r>
        <w:rPr>
          <w:rFonts w:hint="eastAsia" w:cs="宋体" w:asciiTheme="minorEastAsia" w:hAnsiTheme="minorEastAsia"/>
          <w:szCs w:val="21"/>
          <w:u w:val="single"/>
        </w:rPr>
        <w:t>处以1000元/天违约金，擅自离开施工现场累计达到20天的，发包人有权要求承包人更换不低于原项目经理资质的人员并处以5万元违约金 。同时，承包人承担上述违约给发包人造成的一切损失 。</w:t>
      </w:r>
    </w:p>
    <w:p w14:paraId="5E04FA3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3.2.3 承包人擅自更换项目经理的违约责任：</w:t>
      </w:r>
      <w:r>
        <w:rPr>
          <w:rFonts w:hint="eastAsia" w:cs="宋体" w:asciiTheme="minorEastAsia" w:hAnsiTheme="minorEastAsia"/>
          <w:szCs w:val="21"/>
          <w:u w:val="single"/>
        </w:rPr>
        <w:t>处以5万元违约金，同时承包人承担上述违约给发包人造成的一切损失</w:t>
      </w:r>
      <w:r>
        <w:rPr>
          <w:rFonts w:hint="eastAsia" w:ascii="宋体" w:hAnsi="宋体" w:cs="宋体"/>
          <w:szCs w:val="21"/>
          <w:u w:val="single"/>
        </w:rPr>
        <w:t></w:t>
      </w:r>
      <w:r>
        <w:rPr>
          <w:rFonts w:hint="eastAsia" w:cs="宋体" w:asciiTheme="minorEastAsia" w:hAnsiTheme="minorEastAsia"/>
          <w:szCs w:val="21"/>
          <w:u w:val="single"/>
        </w:rPr>
        <w:t>。</w:t>
      </w:r>
    </w:p>
    <w:p w14:paraId="359CFBB8">
      <w:pPr>
        <w:autoSpaceDN w:val="0"/>
        <w:spacing w:line="360" w:lineRule="auto"/>
        <w:ind w:firstLine="420" w:firstLineChars="200"/>
        <w:rPr>
          <w:rFonts w:cs="宋体" w:asciiTheme="minorEastAsia" w:hAnsiTheme="minorEastAsia"/>
          <w:szCs w:val="21"/>
          <w:u w:val="single"/>
        </w:rPr>
      </w:pPr>
      <w:bookmarkStart w:id="325" w:name="_Toc54777951"/>
      <w:r>
        <w:rPr>
          <w:rFonts w:hint="eastAsia" w:cs="宋体" w:asciiTheme="minorEastAsia" w:hAnsiTheme="minorEastAsia"/>
          <w:szCs w:val="21"/>
        </w:rPr>
        <w:t>3.2.4 承包人无正当理由拒绝更换项目经理的违约责任：</w:t>
      </w:r>
      <w:r>
        <w:rPr>
          <w:rFonts w:hint="eastAsia" w:cs="宋体" w:asciiTheme="minorEastAsia" w:hAnsiTheme="minorEastAsia"/>
          <w:szCs w:val="21"/>
          <w:u w:val="single"/>
        </w:rPr>
        <w:t>处以5万元违约金，同时承包人承担上述违约给发包人造成的一切损失   。</w:t>
      </w:r>
      <w:bookmarkEnd w:id="325"/>
    </w:p>
    <w:p w14:paraId="5422E46F">
      <w:pPr>
        <w:autoSpaceDN w:val="0"/>
        <w:spacing w:line="360" w:lineRule="auto"/>
        <w:ind w:firstLine="420" w:firstLineChars="200"/>
        <w:rPr>
          <w:rFonts w:cs="宋体" w:asciiTheme="minorEastAsia" w:hAnsiTheme="minorEastAsia"/>
          <w:szCs w:val="21"/>
        </w:rPr>
      </w:pPr>
      <w:bookmarkStart w:id="326" w:name="_Toc54777952"/>
      <w:r>
        <w:rPr>
          <w:rFonts w:hint="eastAsia" w:cs="宋体" w:asciiTheme="minorEastAsia" w:hAnsiTheme="minorEastAsia"/>
          <w:szCs w:val="21"/>
        </w:rPr>
        <w:t>3.3 承包人人员</w:t>
      </w:r>
      <w:bookmarkEnd w:id="326"/>
    </w:p>
    <w:p w14:paraId="4E83031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3.3.1 承包人提交项目管理机构及施工现场管理人员安排报告的期限：</w:t>
      </w:r>
      <w:r>
        <w:rPr>
          <w:rFonts w:hint="eastAsia" w:cs="宋体" w:asciiTheme="minorEastAsia" w:hAnsiTheme="minorEastAsia"/>
          <w:szCs w:val="21"/>
          <w:u w:val="single"/>
        </w:rPr>
        <w:t>工程开工前2天</w:t>
      </w:r>
      <w:r>
        <w:rPr>
          <w:rFonts w:hint="eastAsia" w:cs="宋体" w:asciiTheme="minorEastAsia" w:hAnsiTheme="minorEastAsia"/>
          <w:szCs w:val="21"/>
        </w:rPr>
        <w:t>。。</w:t>
      </w:r>
    </w:p>
    <w:p w14:paraId="77D168A8">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3.3.3 承包人无正当理由拒绝撤换主要施工管理人员的违约责任：</w:t>
      </w:r>
      <w:r>
        <w:rPr>
          <w:rFonts w:hint="eastAsia" w:cs="宋体" w:asciiTheme="minorEastAsia" w:hAnsiTheme="minorEastAsia"/>
          <w:szCs w:val="21"/>
          <w:u w:val="single"/>
        </w:rPr>
        <w:t>处以每人1万元违约金，同时承包人承担上述违约给发包人造成的一切损失  。</w:t>
      </w:r>
    </w:p>
    <w:p w14:paraId="588B6CA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3.3.4 承包人主要施工管理人员离开施工现场的批准要求：</w:t>
      </w:r>
      <w:bookmarkStart w:id="327" w:name="_Hlk17213454"/>
      <w:r>
        <w:rPr>
          <w:rFonts w:hint="eastAsia" w:cs="宋体" w:asciiTheme="minorEastAsia" w:hAnsiTheme="minorEastAsia"/>
          <w:szCs w:val="21"/>
          <w:u w:val="single"/>
        </w:rPr>
        <w:t>由发包人代表、总监理工程师共同书面批准后方可离开 。</w:t>
      </w:r>
    </w:p>
    <w:bookmarkEnd w:id="327"/>
    <w:p w14:paraId="36C22BDA">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3.3.5承包人擅自更换主要施工管理人员的违约责任：</w:t>
      </w:r>
      <w:bookmarkStart w:id="328" w:name="_Hlk17213475"/>
      <w:r>
        <w:rPr>
          <w:rFonts w:hint="eastAsia" w:cs="宋体" w:asciiTheme="minorEastAsia" w:hAnsiTheme="minorEastAsia"/>
          <w:szCs w:val="21"/>
          <w:u w:val="single"/>
        </w:rPr>
        <w:t>处以每人1万元违约金，同时承包人承担上述违约给发包人造成的一切损失。</w:t>
      </w:r>
    </w:p>
    <w:p w14:paraId="04A2F855">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承包人主要施工管理人员擅自离开施工现场的违约责任</w:t>
      </w:r>
      <w:r>
        <w:rPr>
          <w:rFonts w:hint="eastAsia" w:cs="宋体" w:asciiTheme="minorEastAsia" w:hAnsiTheme="minorEastAsia"/>
          <w:szCs w:val="21"/>
          <w:u w:val="single"/>
        </w:rPr>
        <w:t>：处以每人500元/天违约金，同时承包人承担上述违约给发包人造成的一切损失 。</w:t>
      </w:r>
    </w:p>
    <w:bookmarkEnd w:id="328"/>
    <w:p w14:paraId="14DF57C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w:t>
      </w:r>
      <w:bookmarkStart w:id="329" w:name="_Toc296347158"/>
      <w:bookmarkStart w:id="330" w:name="_Toc292559869"/>
      <w:bookmarkStart w:id="331" w:name="_Toc296944498"/>
      <w:bookmarkStart w:id="332" w:name="_Toc300934945"/>
      <w:bookmarkStart w:id="333" w:name="_Toc297123492"/>
      <w:bookmarkStart w:id="334" w:name="_Toc297216151"/>
      <w:bookmarkStart w:id="335" w:name="_Toc297048345"/>
      <w:bookmarkStart w:id="336" w:name="_Toc312677988"/>
      <w:bookmarkStart w:id="337" w:name="_Toc304295523"/>
      <w:bookmarkStart w:id="338" w:name="_Toc303539102"/>
      <w:bookmarkStart w:id="339" w:name="_Toc297120459"/>
      <w:bookmarkStart w:id="340" w:name="_Toc296503159"/>
      <w:bookmarkStart w:id="341" w:name="_Toc296346660"/>
      <w:bookmarkStart w:id="342" w:name="_Toc296890987"/>
      <w:bookmarkStart w:id="343" w:name="_Toc292559364"/>
      <w:bookmarkStart w:id="344" w:name="_Toc296891199"/>
      <w:r>
        <w:rPr>
          <w:rFonts w:hint="eastAsia" w:cs="宋体" w:asciiTheme="minorEastAsia" w:hAnsiTheme="minorEastAsia"/>
          <w:szCs w:val="21"/>
        </w:rPr>
        <w:t>.5 分包</w:t>
      </w:r>
    </w:p>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14:paraId="6D3373B1">
      <w:pPr>
        <w:autoSpaceDN w:val="0"/>
        <w:spacing w:line="360" w:lineRule="auto"/>
        <w:ind w:firstLine="420" w:firstLineChars="200"/>
        <w:rPr>
          <w:rFonts w:cs="宋体" w:asciiTheme="minorEastAsia" w:hAnsiTheme="minorEastAsia"/>
          <w:szCs w:val="21"/>
          <w:highlight w:val="none"/>
        </w:rPr>
      </w:pPr>
      <w:r>
        <w:rPr>
          <w:rFonts w:hint="eastAsia" w:cs="宋体" w:asciiTheme="minorEastAsia" w:hAnsiTheme="minorEastAsia"/>
          <w:szCs w:val="21"/>
        </w:rPr>
        <w:t>3</w:t>
      </w:r>
      <w:bookmarkStart w:id="345" w:name="_Toc297120460"/>
      <w:bookmarkStart w:id="346" w:name="_Toc296891200"/>
      <w:bookmarkStart w:id="347" w:name="_Toc296890988"/>
      <w:bookmarkStart w:id="348" w:name="_Toc297123493"/>
      <w:bookmarkStart w:id="349" w:name="_Toc296347159"/>
      <w:bookmarkStart w:id="350" w:name="_Toc296503160"/>
      <w:bookmarkStart w:id="351" w:name="_Toc296944499"/>
      <w:bookmarkStart w:id="352" w:name="_Toc297216152"/>
      <w:bookmarkStart w:id="353" w:name="_Toc300934946"/>
      <w:bookmarkStart w:id="354" w:name="_Toc292559870"/>
      <w:bookmarkStart w:id="355" w:name="_Toc296346661"/>
      <w:bookmarkStart w:id="356" w:name="_Toc297048346"/>
      <w:bookmarkStart w:id="357" w:name="_Toc304295524"/>
      <w:bookmarkStart w:id="358" w:name="_Toc312677989"/>
      <w:bookmarkStart w:id="359" w:name="_Toc303539103"/>
      <w:bookmarkStart w:id="360" w:name="_Toc292559365"/>
      <w:bookmarkStart w:id="361" w:name="_Toc318581158"/>
      <w:r>
        <w:rPr>
          <w:rFonts w:hint="eastAsia" w:cs="宋体" w:asciiTheme="minorEastAsia" w:hAnsiTheme="minorEastAsia"/>
          <w:szCs w:val="21"/>
        </w:rPr>
        <w:t>.5.1 分包的一般约定</w:t>
      </w:r>
    </w:p>
    <w:p w14:paraId="40F7B17A">
      <w:pPr>
        <w:autoSpaceDN w:val="0"/>
        <w:spacing w:line="360" w:lineRule="auto"/>
        <w:ind w:firstLine="420" w:firstLineChars="200"/>
        <w:rPr>
          <w:rFonts w:cs="宋体" w:asciiTheme="minorEastAsia" w:hAnsiTheme="minorEastAsia"/>
          <w:szCs w:val="21"/>
          <w:highlight w:val="none"/>
        </w:rPr>
      </w:pPr>
      <w:r>
        <w:rPr>
          <w:rFonts w:hint="eastAsia" w:cs="宋体" w:asciiTheme="minorEastAsia" w:hAnsiTheme="minorEastAsia"/>
          <w:szCs w:val="21"/>
          <w:highlight w:val="none"/>
        </w:rPr>
        <w:t>禁止分包的工程包括：</w:t>
      </w:r>
      <w:r>
        <w:rPr>
          <w:rFonts w:hint="eastAsia" w:cs="宋体" w:asciiTheme="minorEastAsia" w:hAnsiTheme="minorEastAsia"/>
          <w:szCs w:val="21"/>
          <w:highlight w:val="none"/>
          <w:u w:val="single"/>
        </w:rPr>
        <w:t>主体结构、关键性工作禁止分包。</w:t>
      </w:r>
    </w:p>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14:paraId="04DFDEAD">
      <w:pPr>
        <w:autoSpaceDN w:val="0"/>
        <w:spacing w:line="360" w:lineRule="auto"/>
        <w:ind w:firstLine="420" w:firstLineChars="200"/>
        <w:rPr>
          <w:rFonts w:cs="宋体" w:asciiTheme="minorEastAsia" w:hAnsiTheme="minorEastAsia"/>
          <w:szCs w:val="21"/>
          <w:highlight w:val="none"/>
        </w:rPr>
      </w:pPr>
      <w:r>
        <w:rPr>
          <w:rFonts w:hint="eastAsia" w:cs="宋体" w:asciiTheme="minorEastAsia" w:hAnsiTheme="minorEastAsia"/>
          <w:szCs w:val="21"/>
          <w:highlight w:val="none"/>
        </w:rPr>
        <w:t>3</w:t>
      </w:r>
      <w:bookmarkStart w:id="362" w:name="_Toc312677990"/>
      <w:bookmarkStart w:id="363" w:name="_Toc318581159"/>
      <w:r>
        <w:rPr>
          <w:rFonts w:hint="eastAsia" w:cs="宋体" w:asciiTheme="minorEastAsia" w:hAnsiTheme="minorEastAsia"/>
          <w:szCs w:val="21"/>
          <w:highlight w:val="none"/>
        </w:rPr>
        <w:t>.5.2分包的确定</w:t>
      </w:r>
    </w:p>
    <w:p w14:paraId="689CC35F">
      <w:pPr>
        <w:autoSpaceDN w:val="0"/>
        <w:spacing w:line="360" w:lineRule="auto"/>
        <w:ind w:firstLine="420" w:firstLineChars="200"/>
        <w:rPr>
          <w:rFonts w:cs="宋体" w:asciiTheme="minorEastAsia" w:hAnsiTheme="minorEastAsia"/>
          <w:szCs w:val="21"/>
          <w:highlight w:val="none"/>
          <w:u w:val="single"/>
        </w:rPr>
      </w:pPr>
      <w:r>
        <w:rPr>
          <w:rFonts w:hint="eastAsia" w:cs="宋体" w:asciiTheme="minorEastAsia" w:hAnsiTheme="minorEastAsia"/>
          <w:szCs w:val="21"/>
          <w:highlight w:val="none"/>
        </w:rPr>
        <w:t>允许分包的专业工程包括：</w:t>
      </w:r>
      <w:r>
        <w:rPr>
          <w:rFonts w:hint="eastAsia" w:cs="宋体" w:asciiTheme="minorEastAsia" w:hAnsiTheme="minorEastAsia"/>
          <w:szCs w:val="21"/>
          <w:highlight w:val="none"/>
          <w:u w:val="single"/>
          <w:lang w:val="en-US" w:eastAsia="zh-CN"/>
        </w:rPr>
        <w:t xml:space="preserve">  不允许    </w:t>
      </w:r>
      <w:r>
        <w:rPr>
          <w:rFonts w:hint="eastAsia" w:cs="宋体" w:asciiTheme="minorEastAsia" w:hAnsiTheme="minorEastAsia"/>
          <w:szCs w:val="21"/>
          <w:highlight w:val="none"/>
        </w:rPr>
        <w:t>。</w:t>
      </w:r>
    </w:p>
    <w:p w14:paraId="7ED1619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3.5.4 分包合同价款</w:t>
      </w:r>
    </w:p>
    <w:p w14:paraId="056F259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关于分包合同价款支付的约定：</w:t>
      </w:r>
      <w:r>
        <w:rPr>
          <w:rFonts w:hint="eastAsia" w:cs="宋体" w:asciiTheme="minorEastAsia" w:hAnsiTheme="minorEastAsia"/>
          <w:szCs w:val="21"/>
          <w:u w:val="single"/>
          <w:lang w:val="en-US" w:eastAsia="zh-CN"/>
        </w:rPr>
        <w:t>/</w:t>
      </w:r>
      <w:r>
        <w:rPr>
          <w:rFonts w:hint="eastAsia" w:cs="宋体" w:asciiTheme="minorEastAsia" w:hAnsiTheme="minorEastAsia"/>
          <w:szCs w:val="21"/>
        </w:rPr>
        <w:t>。</w:t>
      </w:r>
    </w:p>
    <w:bookmarkEnd w:id="362"/>
    <w:bookmarkEnd w:id="363"/>
    <w:p w14:paraId="3A02CFF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3.6 工程照管与成品、半成品保护</w:t>
      </w:r>
    </w:p>
    <w:p w14:paraId="4BAC1383">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承包人负责照管工程及工程相关的材料、工程设备的起始时间：</w:t>
      </w:r>
      <w:r>
        <w:rPr>
          <w:rFonts w:hint="eastAsia" w:cs="宋体" w:asciiTheme="minorEastAsia" w:hAnsiTheme="minorEastAsia"/>
          <w:szCs w:val="21"/>
          <w:u w:val="single"/>
        </w:rPr>
        <w:t>承包人施工人员进场开始至验收合格并移交给使用单位期间由承包人负责，费用由承包人承担   。</w:t>
      </w:r>
    </w:p>
    <w:p w14:paraId="247AA0A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3.7 履约担保</w:t>
      </w:r>
    </w:p>
    <w:p w14:paraId="054B283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承包人是否提供履约担保：</w:t>
      </w:r>
      <w:r>
        <w:rPr>
          <w:rFonts w:hint="eastAsia" w:cs="宋体" w:asciiTheme="minorEastAsia" w:hAnsiTheme="minorEastAsia"/>
          <w:szCs w:val="21"/>
          <w:u w:val="single"/>
        </w:rPr>
        <w:t>是</w:t>
      </w:r>
      <w:r>
        <w:rPr>
          <w:rFonts w:hint="eastAsia" w:cs="宋体" w:asciiTheme="minorEastAsia" w:hAnsiTheme="minorEastAsia"/>
          <w:szCs w:val="21"/>
        </w:rPr>
        <w:t>。</w:t>
      </w:r>
    </w:p>
    <w:p w14:paraId="13556179">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承包人提供履约担保的形式、金额及期限的：</w:t>
      </w:r>
    </w:p>
    <w:p w14:paraId="30AB3834">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履约保证金的金额：中标金额的5%（百分之五）。</w:t>
      </w:r>
    </w:p>
    <w:p w14:paraId="1876FD16">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履约保证金的形式：现金转账或银行保函等；</w:t>
      </w:r>
    </w:p>
    <w:p w14:paraId="6615557B">
      <w:pPr>
        <w:autoSpaceDN w:val="0"/>
        <w:spacing w:line="360" w:lineRule="auto"/>
        <w:ind w:firstLine="420" w:firstLineChars="200"/>
        <w:rPr>
          <w:rFonts w:cs="宋体" w:asciiTheme="minorEastAsia" w:hAnsiTheme="minorEastAsia"/>
          <w:bCs/>
          <w:szCs w:val="21"/>
        </w:rPr>
      </w:pPr>
      <w:bookmarkStart w:id="364" w:name="_Toc351203636"/>
      <w:r>
        <w:rPr>
          <w:rFonts w:hint="eastAsia" w:cs="宋体" w:asciiTheme="minorEastAsia" w:hAnsiTheme="minorEastAsia"/>
          <w:bCs/>
          <w:szCs w:val="21"/>
        </w:rPr>
        <w:t>4</w:t>
      </w:r>
      <w:bookmarkStart w:id="365" w:name="_Toc296347161"/>
      <w:bookmarkStart w:id="366" w:name="_Toc292559366"/>
      <w:bookmarkStart w:id="367" w:name="_Toc292559871"/>
      <w:bookmarkStart w:id="368" w:name="_Toc296944501"/>
      <w:bookmarkStart w:id="369" w:name="_Toc296890990"/>
      <w:bookmarkStart w:id="370" w:name="_Toc297048348"/>
      <w:bookmarkStart w:id="371" w:name="_Toc296891202"/>
      <w:bookmarkStart w:id="372" w:name="_Toc267251413"/>
      <w:bookmarkStart w:id="373" w:name="_Toc297120462"/>
      <w:bookmarkStart w:id="374" w:name="_Toc296346663"/>
      <w:bookmarkStart w:id="375" w:name="_Toc296503162"/>
      <w:r>
        <w:rPr>
          <w:rFonts w:hint="eastAsia" w:cs="宋体" w:asciiTheme="minorEastAsia" w:hAnsiTheme="minorEastAsia"/>
          <w:bCs/>
          <w:szCs w:val="21"/>
        </w:rPr>
        <w:t>. 监</w:t>
      </w:r>
      <w:bookmarkEnd w:id="365"/>
      <w:bookmarkEnd w:id="366"/>
      <w:bookmarkEnd w:id="367"/>
      <w:bookmarkEnd w:id="368"/>
      <w:bookmarkEnd w:id="369"/>
      <w:bookmarkEnd w:id="370"/>
      <w:bookmarkEnd w:id="371"/>
      <w:bookmarkEnd w:id="372"/>
      <w:bookmarkEnd w:id="373"/>
      <w:bookmarkEnd w:id="374"/>
      <w:bookmarkEnd w:id="375"/>
      <w:r>
        <w:rPr>
          <w:rFonts w:hint="eastAsia" w:cs="宋体" w:asciiTheme="minorEastAsia" w:hAnsiTheme="minorEastAsia"/>
          <w:bCs/>
          <w:szCs w:val="21"/>
        </w:rPr>
        <w:t>理人</w:t>
      </w:r>
      <w:bookmarkEnd w:id="364"/>
    </w:p>
    <w:p w14:paraId="0EB2C42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4.1监理人的一般规定</w:t>
      </w:r>
    </w:p>
    <w:p w14:paraId="68DFDFB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关于监理人的监理内容：</w:t>
      </w:r>
      <w:r>
        <w:rPr>
          <w:rFonts w:hint="eastAsia" w:cs="宋体" w:asciiTheme="minorEastAsia" w:hAnsiTheme="minorEastAsia"/>
          <w:szCs w:val="21"/>
          <w:u w:val="single"/>
        </w:rPr>
        <w:t>以发包人与监理人签署的《监理合同》为准。</w:t>
      </w:r>
    </w:p>
    <w:p w14:paraId="60B36346">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关于监理人的监理权限：</w:t>
      </w:r>
      <w:r>
        <w:rPr>
          <w:rFonts w:hint="eastAsia" w:cs="宋体" w:asciiTheme="minorEastAsia" w:hAnsiTheme="minorEastAsia"/>
          <w:szCs w:val="21"/>
          <w:u w:val="single"/>
        </w:rPr>
        <w:t>按照《建设工程监理规范》和《建设工程委托监理合同》的有关规定对工程施工行使监理职权。主要包括工程质量、安全文明施工、工程进度及工程投资等方面控制 。</w:t>
      </w:r>
    </w:p>
    <w:p w14:paraId="605166D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u w:val="single"/>
        </w:rPr>
        <w:t xml:space="preserve">工程开工、停工及工期变更、设计变更、工程量签证、工程量审核等需要取得发包人批准 ，经发包人书面确认并盖章后生效 。 </w:t>
      </w:r>
    </w:p>
    <w:p w14:paraId="7A6746A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关于监理人在施工现场的办公场所、生活场所的提供和费用承担的约定：</w:t>
      </w:r>
      <w:r>
        <w:rPr>
          <w:rFonts w:hint="eastAsia" w:cs="宋体" w:asciiTheme="minorEastAsia" w:hAnsiTheme="minorEastAsia"/>
          <w:szCs w:val="21"/>
          <w:u w:val="single"/>
        </w:rPr>
        <w:t>承包人负责免费提供办公场所</w:t>
      </w:r>
      <w:r>
        <w:rPr>
          <w:rFonts w:hint="eastAsia" w:cs="宋体" w:asciiTheme="minorEastAsia" w:hAnsiTheme="minorEastAsia"/>
          <w:szCs w:val="21"/>
        </w:rPr>
        <w:t>。</w:t>
      </w:r>
    </w:p>
    <w:p w14:paraId="74B07E8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4.2 监理人员</w:t>
      </w:r>
    </w:p>
    <w:p w14:paraId="7F34448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总监理工程师：</w:t>
      </w:r>
    </w:p>
    <w:p w14:paraId="6554E6E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姓名：；</w:t>
      </w:r>
    </w:p>
    <w:p w14:paraId="2B2B9A7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职务：；</w:t>
      </w:r>
    </w:p>
    <w:p w14:paraId="6EB9E1E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监理工程师执业资格证书号：；</w:t>
      </w:r>
    </w:p>
    <w:p w14:paraId="13DEE1A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联系电话：；</w:t>
      </w:r>
    </w:p>
    <w:p w14:paraId="3AC5730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电子信箱：；</w:t>
      </w:r>
    </w:p>
    <w:p w14:paraId="5B8BFAC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通信地址：；</w:t>
      </w:r>
    </w:p>
    <w:p w14:paraId="597EE56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关于监理人的其他约定：。</w:t>
      </w:r>
    </w:p>
    <w:p w14:paraId="5ACC4E7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4.4 商定或确定</w:t>
      </w:r>
    </w:p>
    <w:p w14:paraId="65F0AD2D">
      <w:pPr>
        <w:autoSpaceDN w:val="0"/>
        <w:spacing w:line="360" w:lineRule="auto"/>
        <w:ind w:firstLine="420" w:firstLineChars="200"/>
        <w:rPr>
          <w:rFonts w:cs="宋体" w:asciiTheme="minorEastAsia" w:hAnsiTheme="minorEastAsia"/>
          <w:szCs w:val="21"/>
        </w:rPr>
      </w:pPr>
      <w:bookmarkStart w:id="376" w:name="_Toc267251418"/>
      <w:r>
        <w:rPr>
          <w:rFonts w:hint="eastAsia" w:cs="宋体" w:asciiTheme="minorEastAsia" w:hAnsiTheme="minorEastAsia"/>
          <w:szCs w:val="21"/>
        </w:rPr>
        <w:t>在发包人和承包人不能通过协商达成一致意见时，发包人授权监理人对以下事项进行确定：</w:t>
      </w:r>
    </w:p>
    <w:p w14:paraId="408B2E5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w:t>
      </w:r>
      <w:r>
        <w:rPr>
          <w:rFonts w:hint="eastAsia" w:cs="宋体" w:asciiTheme="minorEastAsia" w:hAnsiTheme="minorEastAsia"/>
          <w:szCs w:val="21"/>
          <w:u w:val="single"/>
        </w:rPr>
        <w:t>无</w:t>
      </w:r>
      <w:r>
        <w:rPr>
          <w:rFonts w:hint="eastAsia" w:cs="宋体" w:asciiTheme="minorEastAsia" w:hAnsiTheme="minorEastAsia"/>
          <w:szCs w:val="21"/>
        </w:rPr>
        <w:t>；</w:t>
      </w:r>
    </w:p>
    <w:p w14:paraId="7AAD17A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65EB4E6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4DAC938A">
      <w:pPr>
        <w:autoSpaceDN w:val="0"/>
        <w:spacing w:line="360" w:lineRule="auto"/>
        <w:ind w:firstLine="420" w:firstLineChars="200"/>
        <w:rPr>
          <w:rFonts w:cs="宋体" w:asciiTheme="minorEastAsia" w:hAnsiTheme="minorEastAsia"/>
          <w:bCs/>
          <w:szCs w:val="21"/>
        </w:rPr>
      </w:pPr>
      <w:bookmarkStart w:id="377" w:name="_Toc351203637"/>
      <w:r>
        <w:rPr>
          <w:rFonts w:hint="eastAsia" w:cs="宋体" w:asciiTheme="minorEastAsia" w:hAnsiTheme="minorEastAsia"/>
          <w:bCs/>
          <w:szCs w:val="21"/>
        </w:rPr>
        <w:t>5</w:t>
      </w:r>
      <w:bookmarkEnd w:id="376"/>
      <w:bookmarkStart w:id="378" w:name="_Toc297120463"/>
      <w:bookmarkStart w:id="379" w:name="_Toc292559367"/>
      <w:bookmarkStart w:id="380" w:name="_Toc297048349"/>
      <w:bookmarkStart w:id="381" w:name="_Toc296503163"/>
      <w:bookmarkStart w:id="382" w:name="_Toc292559872"/>
      <w:bookmarkStart w:id="383" w:name="_Toc296890991"/>
      <w:bookmarkStart w:id="384" w:name="_Toc296346664"/>
      <w:bookmarkStart w:id="385" w:name="_Toc296891203"/>
      <w:bookmarkStart w:id="386" w:name="_Toc296944502"/>
      <w:bookmarkStart w:id="387" w:name="_Toc296347162"/>
      <w:r>
        <w:rPr>
          <w:rFonts w:hint="eastAsia" w:cs="宋体" w:asciiTheme="minorEastAsia" w:hAnsiTheme="minorEastAsia"/>
          <w:bCs/>
          <w:szCs w:val="21"/>
        </w:rPr>
        <w:t>. 工程质量</w:t>
      </w:r>
      <w:bookmarkEnd w:id="377"/>
    </w:p>
    <w:p w14:paraId="37CE25E2">
      <w:pPr>
        <w:autoSpaceDN w:val="0"/>
        <w:spacing w:line="360" w:lineRule="auto"/>
        <w:ind w:firstLine="420" w:firstLineChars="200"/>
        <w:rPr>
          <w:rFonts w:cs="宋体" w:asciiTheme="minorEastAsia" w:hAnsiTheme="minorEastAsia"/>
          <w:szCs w:val="21"/>
        </w:rPr>
      </w:pPr>
      <w:bookmarkStart w:id="388" w:name="_Toc54777953"/>
      <w:r>
        <w:rPr>
          <w:rFonts w:hint="eastAsia" w:cs="宋体" w:asciiTheme="minorEastAsia" w:hAnsiTheme="minorEastAsia"/>
          <w:szCs w:val="21"/>
        </w:rPr>
        <w:t>5.1 质量要求</w:t>
      </w:r>
      <w:bookmarkEnd w:id="388"/>
    </w:p>
    <w:p w14:paraId="6FBABE6A">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5</w:t>
      </w:r>
      <w:bookmarkStart w:id="389" w:name="_Toc304295527"/>
      <w:bookmarkStart w:id="390" w:name="_Toc297123496"/>
      <w:bookmarkStart w:id="391" w:name="_Toc318581164"/>
      <w:bookmarkStart w:id="392" w:name="_Toc297216155"/>
      <w:bookmarkStart w:id="393" w:name="_Toc312677997"/>
      <w:bookmarkStart w:id="394" w:name="_Toc303539106"/>
      <w:bookmarkStart w:id="395" w:name="_Toc300934949"/>
      <w:r>
        <w:rPr>
          <w:rFonts w:hint="eastAsia" w:cs="宋体" w:asciiTheme="minorEastAsia" w:hAnsiTheme="minorEastAsia"/>
          <w:szCs w:val="21"/>
        </w:rPr>
        <w:t>.1.1 特殊质量标准和要求：</w:t>
      </w:r>
      <w:r>
        <w:rPr>
          <w:rFonts w:hint="eastAsia" w:asciiTheme="minorEastAsia" w:hAnsiTheme="minorEastAsia" w:eastAsiaTheme="minorEastAsia" w:cstheme="minorEastAsia"/>
          <w:color w:val="auto"/>
          <w:szCs w:val="21"/>
          <w:highlight w:val="none"/>
          <w:u w:val="single"/>
        </w:rPr>
        <w:t>质量达到国家现行有关施工质量验收规范要求，并达到合格标准</w:t>
      </w:r>
      <w:r>
        <w:rPr>
          <w:rFonts w:hint="eastAsia" w:cs="宋体" w:asciiTheme="minorEastAsia" w:hAnsiTheme="minorEastAsia"/>
          <w:szCs w:val="21"/>
          <w:u w:val="single"/>
        </w:rPr>
        <w:t>。</w:t>
      </w:r>
    </w:p>
    <w:p w14:paraId="08F013C6">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关于工程奖项的约定：</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5FEA6B98">
      <w:pPr>
        <w:autoSpaceDN w:val="0"/>
        <w:spacing w:line="360" w:lineRule="auto"/>
        <w:ind w:firstLine="420" w:firstLineChars="200"/>
        <w:rPr>
          <w:rFonts w:cs="宋体" w:asciiTheme="minorEastAsia" w:hAnsiTheme="minorEastAsia"/>
          <w:szCs w:val="21"/>
        </w:rPr>
      </w:pPr>
      <w:bookmarkStart w:id="396" w:name="_Toc54777954"/>
      <w:r>
        <w:rPr>
          <w:rFonts w:hint="eastAsia" w:cs="宋体" w:asciiTheme="minorEastAsia" w:hAnsiTheme="minorEastAsia"/>
          <w:szCs w:val="21"/>
        </w:rPr>
        <w:t>5.3 隐蔽工程检查</w:t>
      </w:r>
      <w:bookmarkEnd w:id="396"/>
    </w:p>
    <w:p w14:paraId="4DE12C0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5.3.2承包人提前通知监理人隐蔽工程检查的期限的约定：</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445ED9C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监理人不能按时进行检查时，应提前</w:t>
      </w:r>
      <w:r>
        <w:rPr>
          <w:rFonts w:hint="eastAsia" w:cs="宋体" w:asciiTheme="minorEastAsia" w:hAnsiTheme="minorEastAsia"/>
          <w:szCs w:val="21"/>
          <w:u w:val="single"/>
        </w:rPr>
        <w:t>24</w:t>
      </w:r>
      <w:r>
        <w:rPr>
          <w:rFonts w:hint="eastAsia" w:cs="宋体" w:asciiTheme="minorEastAsia" w:hAnsiTheme="minorEastAsia"/>
          <w:szCs w:val="21"/>
        </w:rPr>
        <w:t>小时提交书面延期要求。</w:t>
      </w:r>
    </w:p>
    <w:p w14:paraId="354D83E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关于延期最长不得超过：</w:t>
      </w:r>
      <w:r>
        <w:rPr>
          <w:rFonts w:hint="eastAsia" w:cs="宋体" w:asciiTheme="minorEastAsia" w:hAnsiTheme="minorEastAsia"/>
          <w:szCs w:val="21"/>
          <w:u w:val="single"/>
        </w:rPr>
        <w:t>48</w:t>
      </w:r>
      <w:r>
        <w:rPr>
          <w:rFonts w:hint="eastAsia" w:cs="宋体" w:asciiTheme="minorEastAsia" w:hAnsiTheme="minorEastAsia"/>
          <w:szCs w:val="21"/>
        </w:rPr>
        <w:t>小时。</w:t>
      </w:r>
    </w:p>
    <w:p w14:paraId="78605653">
      <w:pPr>
        <w:autoSpaceDN w:val="0"/>
        <w:spacing w:line="360" w:lineRule="auto"/>
        <w:ind w:firstLine="420" w:firstLineChars="200"/>
        <w:rPr>
          <w:rFonts w:cs="宋体" w:asciiTheme="minorEastAsia" w:hAnsiTheme="minorEastAsia"/>
          <w:bCs/>
          <w:szCs w:val="21"/>
        </w:rPr>
      </w:pPr>
      <w:bookmarkStart w:id="397" w:name="_Toc351203638"/>
      <w:r>
        <w:rPr>
          <w:rFonts w:hint="eastAsia" w:cs="宋体" w:asciiTheme="minorEastAsia" w:hAnsiTheme="minorEastAsia"/>
          <w:bCs/>
          <w:szCs w:val="21"/>
        </w:rPr>
        <w:t>6. 安全文明施工与环境保护</w:t>
      </w:r>
      <w:bookmarkEnd w:id="397"/>
    </w:p>
    <w:p w14:paraId="0F71268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6.1安全文明施工</w:t>
      </w:r>
    </w:p>
    <w:p w14:paraId="2AA56B85">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6.1.1项目安全生产的达标目标及相应事项的约定：</w:t>
      </w:r>
      <w:r>
        <w:rPr>
          <w:rFonts w:hint="eastAsia" w:cs="宋体" w:asciiTheme="minorEastAsia" w:hAnsiTheme="minorEastAsia"/>
          <w:szCs w:val="21"/>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本工程在整个施工期间杜绝一切人身伤亡和重大安全事故，如发生上述事故，则视为承包人违约；在施工期间每发生一起人身损害（不包括死亡）事故，承包人除了接受政府相关部门处罚外，承包人须向发包人支付违约金1-5万元；每发生一起人身死亡事故承包人除接受相关部门处罚外，承包人须向发包支付违约金30万元。</w:t>
      </w:r>
    </w:p>
    <w:p w14:paraId="1A3C68C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6.1.4 关于治安保卫的特别约定：</w:t>
      </w:r>
      <w:r>
        <w:rPr>
          <w:rFonts w:hint="eastAsia" w:cs="宋体" w:asciiTheme="minorEastAsia" w:hAnsiTheme="minorEastAsia"/>
          <w:szCs w:val="21"/>
          <w:u w:val="single"/>
        </w:rPr>
        <w:t>由承包人负责治安保卫工作，承担全部费用</w:t>
      </w:r>
      <w:r>
        <w:rPr>
          <w:rFonts w:hint="eastAsia" w:cs="宋体" w:asciiTheme="minorEastAsia" w:hAnsiTheme="minorEastAsia"/>
          <w:szCs w:val="21"/>
        </w:rPr>
        <w:t>。</w:t>
      </w:r>
    </w:p>
    <w:p w14:paraId="036BD34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关于编制施工场地治安管理计划的约定：</w:t>
      </w:r>
      <w:r>
        <w:rPr>
          <w:rFonts w:hint="eastAsia" w:cs="宋体" w:asciiTheme="minorEastAsia" w:hAnsiTheme="minorEastAsia"/>
          <w:szCs w:val="21"/>
          <w:u w:val="single"/>
        </w:rPr>
        <w:t>由承包人开工前编制，并报监理人、发包人监督执行</w:t>
      </w:r>
      <w:r>
        <w:rPr>
          <w:rFonts w:hint="eastAsia" w:cs="宋体" w:asciiTheme="minorEastAsia" w:hAnsiTheme="minorEastAsia"/>
          <w:szCs w:val="21"/>
        </w:rPr>
        <w:t>。</w:t>
      </w:r>
    </w:p>
    <w:p w14:paraId="58CAEE8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6.1.5 文明施工</w:t>
      </w:r>
    </w:p>
    <w:p w14:paraId="4758DD5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合同当事人对文明施工的要求：</w:t>
      </w:r>
      <w:r>
        <w:rPr>
          <w:rFonts w:hint="eastAsia" w:cs="宋体" w:asciiTheme="minorEastAsia" w:hAnsiTheme="minorEastAsia"/>
          <w:szCs w:val="21"/>
          <w:u w:val="single"/>
        </w:rPr>
        <w:t>达到三门峡市安全文明施工工地的标准要求</w:t>
      </w:r>
      <w:r>
        <w:rPr>
          <w:rFonts w:hint="eastAsia" w:cs="宋体" w:asciiTheme="minorEastAsia" w:hAnsiTheme="minorEastAsia"/>
          <w:szCs w:val="21"/>
        </w:rPr>
        <w:t>。</w:t>
      </w:r>
    </w:p>
    <w:p w14:paraId="3D1A240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6.1.6 关于安全文明施工费支付比例和支付期限的约定：</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5668758A">
      <w:pPr>
        <w:autoSpaceDN w:val="0"/>
        <w:spacing w:line="360" w:lineRule="auto"/>
        <w:ind w:firstLine="422" w:firstLineChars="200"/>
        <w:rPr>
          <w:rFonts w:cs="宋体" w:asciiTheme="minorEastAsia" w:hAnsiTheme="minorEastAsia"/>
          <w:b/>
          <w:szCs w:val="21"/>
        </w:rPr>
      </w:pPr>
      <w:r>
        <w:rPr>
          <w:rFonts w:hint="eastAsia" w:cs="宋体" w:asciiTheme="minorEastAsia" w:hAnsiTheme="minorEastAsia"/>
          <w:b/>
          <w:szCs w:val="21"/>
        </w:rPr>
        <w:t>6.3环境保护</w:t>
      </w:r>
    </w:p>
    <w:p w14:paraId="422197EF">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承包人应严格遵守环境保护及“6个百分之百”的相关规定，落实各项环境保护措施，费用已包含在合同价款中，由承包人自行承担。</w:t>
      </w:r>
    </w:p>
    <w:bookmarkEnd w:id="389"/>
    <w:bookmarkEnd w:id="390"/>
    <w:bookmarkEnd w:id="391"/>
    <w:bookmarkEnd w:id="392"/>
    <w:bookmarkEnd w:id="393"/>
    <w:bookmarkEnd w:id="394"/>
    <w:bookmarkEnd w:id="395"/>
    <w:p w14:paraId="6F4DFD63">
      <w:pPr>
        <w:autoSpaceDN w:val="0"/>
        <w:spacing w:line="360" w:lineRule="auto"/>
        <w:ind w:firstLine="420" w:firstLineChars="200"/>
        <w:rPr>
          <w:rFonts w:cs="宋体" w:asciiTheme="minorEastAsia" w:hAnsiTheme="minorEastAsia"/>
          <w:bCs/>
          <w:szCs w:val="21"/>
        </w:rPr>
      </w:pPr>
      <w:bookmarkStart w:id="398" w:name="_Toc351203639"/>
      <w:r>
        <w:rPr>
          <w:rFonts w:hint="eastAsia" w:cs="宋体" w:asciiTheme="minorEastAsia" w:hAnsiTheme="minorEastAsia"/>
          <w:bCs/>
          <w:szCs w:val="21"/>
        </w:rPr>
        <w:t>7. 工期和进度</w:t>
      </w:r>
      <w:bookmarkEnd w:id="398"/>
    </w:p>
    <w:p w14:paraId="72689FB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7.1 施工组织设计</w:t>
      </w:r>
    </w:p>
    <w:p w14:paraId="4D0BF9ED">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7.1.1 合同当事人约定的施工组织设计应包括的其他内容：</w:t>
      </w:r>
      <w:r>
        <w:rPr>
          <w:rFonts w:hint="eastAsia" w:cs="宋体" w:asciiTheme="minorEastAsia" w:hAnsiTheme="minorEastAsia"/>
          <w:szCs w:val="21"/>
          <w:u w:val="single"/>
        </w:rPr>
        <w:t>无</w:t>
      </w:r>
      <w:r>
        <w:rPr>
          <w:rFonts w:hint="eastAsia" w:cs="宋体" w:asciiTheme="minorEastAsia" w:hAnsiTheme="minorEastAsia"/>
          <w:szCs w:val="21"/>
        </w:rPr>
        <w:t>。</w:t>
      </w:r>
    </w:p>
    <w:p w14:paraId="38CF8D7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7.1.2施工组织设计的提交和修改</w:t>
      </w:r>
    </w:p>
    <w:p w14:paraId="2B6686E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承包人提交详细施工组织设计的期限的约定：</w:t>
      </w:r>
      <w:r>
        <w:rPr>
          <w:rFonts w:hint="eastAsia" w:cs="宋体" w:asciiTheme="minorEastAsia" w:hAnsiTheme="minorEastAsia"/>
          <w:szCs w:val="21"/>
          <w:u w:val="single"/>
        </w:rPr>
        <w:t>开工前7天</w:t>
      </w:r>
      <w:r>
        <w:rPr>
          <w:rFonts w:hint="eastAsia" w:cs="宋体" w:asciiTheme="minorEastAsia" w:hAnsiTheme="minorEastAsia"/>
          <w:szCs w:val="21"/>
        </w:rPr>
        <w:t>。</w:t>
      </w:r>
    </w:p>
    <w:p w14:paraId="1453C72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发包人和监理人在收到详细的施工组织设计后确认或提出修改意见的期限：</w:t>
      </w:r>
      <w:r>
        <w:rPr>
          <w:rFonts w:hint="eastAsia" w:cs="宋体" w:asciiTheme="minorEastAsia" w:hAnsiTheme="minorEastAsia"/>
          <w:szCs w:val="21"/>
          <w:u w:val="single"/>
        </w:rPr>
        <w:t>收到后7天内</w:t>
      </w:r>
      <w:r>
        <w:rPr>
          <w:rFonts w:hint="eastAsia" w:cs="宋体" w:asciiTheme="minorEastAsia" w:hAnsiTheme="minorEastAsia"/>
          <w:szCs w:val="21"/>
        </w:rPr>
        <w:t>。</w:t>
      </w:r>
    </w:p>
    <w:p w14:paraId="479466D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w:t>
      </w:r>
      <w:bookmarkStart w:id="399" w:name="_Toc297216173"/>
      <w:bookmarkStart w:id="400" w:name="_Toc312678005"/>
      <w:bookmarkStart w:id="401" w:name="_Toc303539123"/>
      <w:bookmarkStart w:id="402" w:name="_Toc300934966"/>
      <w:bookmarkStart w:id="403" w:name="_Toc304295541"/>
      <w:bookmarkStart w:id="404" w:name="_Toc312677479"/>
      <w:bookmarkStart w:id="405" w:name="_Toc297123514"/>
      <w:r>
        <w:rPr>
          <w:rFonts w:hint="eastAsia" w:cs="宋体" w:asciiTheme="minorEastAsia" w:hAnsiTheme="minorEastAsia"/>
          <w:szCs w:val="21"/>
        </w:rPr>
        <w:t>.2 施工进度计划</w:t>
      </w:r>
    </w:p>
    <w:p w14:paraId="247C2E3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7.2.2 施工进度计划的修订</w:t>
      </w:r>
    </w:p>
    <w:p w14:paraId="25CCD5A5">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发包人和监理人在收到修订的施工进度计划后确认或提出修改意见的期限：</w:t>
      </w:r>
      <w:r>
        <w:rPr>
          <w:rFonts w:hint="eastAsia" w:cs="宋体" w:asciiTheme="minorEastAsia" w:hAnsiTheme="minorEastAsia"/>
          <w:szCs w:val="21"/>
          <w:u w:val="single"/>
        </w:rPr>
        <w:t>收到后7天内</w:t>
      </w:r>
    </w:p>
    <w:p w14:paraId="22D12EA0">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在履行合同过程中，发包人或监理人对承包人上报的施工进度计划的认可及在履行合同过程中形成的会议纪要、补充协议、双方往来函件等文件对完工日期、竣工日期的描述及约定，均不视为发包人放弃合同约定的权利，并有权从合同约定的计划竣工日期或者经过工期顺延后的竣工日期次日起追究承包人逾期竣工的违约责任。发包人出具加盖公章的书面文件明示放弃上述权利的除外。</w:t>
      </w:r>
    </w:p>
    <w:p w14:paraId="71D7713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7.3 开工</w:t>
      </w:r>
    </w:p>
    <w:p w14:paraId="5C48509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7.3.1 开工准备</w:t>
      </w:r>
    </w:p>
    <w:p w14:paraId="537EE63D">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关于承包人提交工程开工报审表的期限：</w:t>
      </w:r>
      <w:r>
        <w:rPr>
          <w:rFonts w:hint="eastAsia" w:cs="宋体" w:asciiTheme="minorEastAsia" w:hAnsiTheme="minorEastAsia"/>
          <w:szCs w:val="21"/>
          <w:u w:val="single"/>
        </w:rPr>
        <w:t>开工前5天</w:t>
      </w:r>
      <w:r>
        <w:rPr>
          <w:rFonts w:hint="eastAsia" w:cs="宋体" w:asciiTheme="minorEastAsia" w:hAnsiTheme="minorEastAsia"/>
          <w:szCs w:val="21"/>
        </w:rPr>
        <w:t>。</w:t>
      </w:r>
    </w:p>
    <w:p w14:paraId="47FECBD9">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关于发包人应完成的其他开工准备工作及期限：</w:t>
      </w:r>
      <w:r>
        <w:rPr>
          <w:rFonts w:hint="eastAsia" w:cs="宋体" w:asciiTheme="minorEastAsia" w:hAnsiTheme="minorEastAsia"/>
          <w:szCs w:val="21"/>
          <w:u w:val="single"/>
        </w:rPr>
        <w:t>无</w:t>
      </w:r>
      <w:r>
        <w:rPr>
          <w:rFonts w:hint="eastAsia" w:cs="宋体" w:asciiTheme="minorEastAsia" w:hAnsiTheme="minorEastAsia"/>
          <w:szCs w:val="21"/>
        </w:rPr>
        <w:t>。</w:t>
      </w:r>
    </w:p>
    <w:p w14:paraId="40325492">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关于承包人应完成的其他开工准备工作及期限：</w:t>
      </w:r>
      <w:r>
        <w:rPr>
          <w:rFonts w:hint="eastAsia" w:cs="宋体" w:asciiTheme="minorEastAsia" w:hAnsiTheme="minorEastAsia"/>
          <w:szCs w:val="21"/>
          <w:u w:val="single"/>
        </w:rPr>
        <w:t>其他准备工作包括（1）编制施工组织设计；（2）进行施工图审查及深化；（3）签订材料采购合同；（4）签订工程设备和（或）租赁合同；（5）拟定劳动力、材料、工程设备的进场计划；（6）修建工程所需的临时设施、施工道路等。准备工作应在开工前2天完成。</w:t>
      </w:r>
    </w:p>
    <w:p w14:paraId="04E36CE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7.3.2开工通知</w:t>
      </w:r>
    </w:p>
    <w:p w14:paraId="1BD6D44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因发包人原因造成监理人未能在计划开工日期之日起</w:t>
      </w:r>
      <w:r>
        <w:rPr>
          <w:rFonts w:hint="eastAsia" w:cs="宋体" w:asciiTheme="minorEastAsia" w:hAnsiTheme="minorEastAsia"/>
          <w:szCs w:val="21"/>
          <w:u w:val="single"/>
        </w:rPr>
        <w:t>180</w:t>
      </w:r>
      <w:r>
        <w:rPr>
          <w:rFonts w:hint="eastAsia" w:cs="宋体" w:asciiTheme="minorEastAsia" w:hAnsiTheme="minorEastAsia"/>
          <w:szCs w:val="21"/>
        </w:rPr>
        <w:t>天内发出开工通知的，承包人有权提出价格调整要求，或者解除合同。</w:t>
      </w:r>
    </w:p>
    <w:bookmarkEnd w:id="399"/>
    <w:bookmarkEnd w:id="400"/>
    <w:bookmarkEnd w:id="401"/>
    <w:bookmarkEnd w:id="402"/>
    <w:bookmarkEnd w:id="403"/>
    <w:bookmarkEnd w:id="404"/>
    <w:bookmarkEnd w:id="405"/>
    <w:p w14:paraId="1AC1C31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7.4 测量放线</w:t>
      </w:r>
    </w:p>
    <w:p w14:paraId="29883B5C">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7.4.1发包人通过监理人向承包人提供测量基准点、基准线和水准点及其书面资料的期限：</w:t>
      </w:r>
      <w:r>
        <w:rPr>
          <w:rFonts w:hint="eastAsia" w:cs="宋体" w:asciiTheme="minorEastAsia" w:hAnsiTheme="minorEastAsia"/>
          <w:szCs w:val="21"/>
          <w:u w:val="single"/>
        </w:rPr>
        <w:t>开工前2天</w:t>
      </w:r>
      <w:r>
        <w:rPr>
          <w:rFonts w:hint="eastAsia" w:cs="宋体" w:asciiTheme="minorEastAsia" w:hAnsiTheme="minorEastAsia"/>
          <w:szCs w:val="21"/>
        </w:rPr>
        <w:t>。</w:t>
      </w:r>
    </w:p>
    <w:p w14:paraId="12269AA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w:t>
      </w:r>
      <w:bookmarkStart w:id="406" w:name="_Toc297123516"/>
      <w:bookmarkStart w:id="407" w:name="_Toc304295546"/>
      <w:bookmarkStart w:id="408" w:name="_Toc312677484"/>
      <w:bookmarkStart w:id="409" w:name="_Toc312678010"/>
      <w:bookmarkStart w:id="410" w:name="_Toc300934968"/>
      <w:bookmarkStart w:id="411" w:name="_Toc303539125"/>
      <w:bookmarkStart w:id="412" w:name="_Toc297216175"/>
      <w:r>
        <w:rPr>
          <w:rFonts w:hint="eastAsia" w:cs="宋体" w:asciiTheme="minorEastAsia" w:hAnsiTheme="minorEastAsia"/>
          <w:szCs w:val="21"/>
        </w:rPr>
        <w:t>.5 工期延误</w:t>
      </w:r>
    </w:p>
    <w:bookmarkEnd w:id="406"/>
    <w:bookmarkEnd w:id="407"/>
    <w:bookmarkEnd w:id="408"/>
    <w:bookmarkEnd w:id="409"/>
    <w:bookmarkEnd w:id="410"/>
    <w:bookmarkEnd w:id="411"/>
    <w:bookmarkEnd w:id="412"/>
    <w:p w14:paraId="5ADBC4C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7.5.1 因发包人原因导致工期延误</w:t>
      </w:r>
    </w:p>
    <w:p w14:paraId="0B3D11F1">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（7）因发包人原因导致工期延误的其他情形：</w:t>
      </w:r>
      <w:r>
        <w:rPr>
          <w:rFonts w:hint="eastAsia" w:cs="宋体" w:asciiTheme="minorEastAsia" w:hAnsiTheme="minorEastAsia"/>
          <w:szCs w:val="21"/>
          <w:u w:val="single"/>
        </w:rPr>
        <w:t>无</w:t>
      </w:r>
      <w:r>
        <w:rPr>
          <w:rFonts w:hint="eastAsia" w:cs="宋体" w:asciiTheme="minorEastAsia" w:hAnsiTheme="minorEastAsia"/>
          <w:szCs w:val="21"/>
        </w:rPr>
        <w:t>。</w:t>
      </w:r>
    </w:p>
    <w:p w14:paraId="0A6F665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w:t>
      </w:r>
      <w:bookmarkStart w:id="413" w:name="_Toc312677486"/>
      <w:bookmarkStart w:id="414" w:name="_Toc318581169"/>
      <w:bookmarkStart w:id="415" w:name="_Toc312678012"/>
      <w:bookmarkStart w:id="416" w:name="_Toc304295548"/>
      <w:bookmarkStart w:id="417" w:name="_Toc303539127"/>
      <w:bookmarkStart w:id="418" w:name="_Toc297123518"/>
      <w:bookmarkStart w:id="419" w:name="_Toc297216177"/>
      <w:bookmarkStart w:id="420" w:name="_Toc300934970"/>
      <w:r>
        <w:rPr>
          <w:rFonts w:hint="eastAsia" w:cs="宋体" w:asciiTheme="minorEastAsia" w:hAnsiTheme="minorEastAsia"/>
          <w:szCs w:val="21"/>
        </w:rPr>
        <w:t>.5.2 因承包人原因导致工期延误</w:t>
      </w:r>
    </w:p>
    <w:bookmarkEnd w:id="413"/>
    <w:bookmarkEnd w:id="414"/>
    <w:bookmarkEnd w:id="415"/>
    <w:p w14:paraId="443A3A76">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因</w:t>
      </w:r>
      <w:bookmarkStart w:id="421" w:name="_Toc312678013"/>
      <w:bookmarkStart w:id="422" w:name="_Toc312677487"/>
      <w:bookmarkStart w:id="423" w:name="_Toc318581170"/>
      <w:r>
        <w:rPr>
          <w:rFonts w:hint="eastAsia" w:cs="宋体" w:asciiTheme="minorEastAsia" w:hAnsiTheme="minorEastAsia"/>
          <w:szCs w:val="21"/>
        </w:rPr>
        <w:t>承包人原因造成工期延误，逾期竣工违约金的计算方法为：</w:t>
      </w:r>
    </w:p>
    <w:p w14:paraId="50DA183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u w:val="single"/>
        </w:rPr>
        <w:t>每延误一天承包人向发包人支付违约金人民币5000元</w:t>
      </w:r>
      <w:r>
        <w:rPr>
          <w:rFonts w:hint="eastAsia" w:cs="宋体" w:asciiTheme="minorEastAsia" w:hAnsiTheme="minorEastAsia"/>
          <w:szCs w:val="21"/>
        </w:rPr>
        <w:t>。</w:t>
      </w:r>
      <w:bookmarkEnd w:id="416"/>
      <w:bookmarkEnd w:id="417"/>
      <w:bookmarkEnd w:id="418"/>
      <w:bookmarkEnd w:id="419"/>
      <w:bookmarkEnd w:id="420"/>
      <w:bookmarkEnd w:id="421"/>
      <w:bookmarkEnd w:id="422"/>
    </w:p>
    <w:bookmarkEnd w:id="423"/>
    <w:p w14:paraId="0185FB9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因承包人原因造成工期延误，逾</w:t>
      </w:r>
      <w:bookmarkStart w:id="424" w:name="_Toc318581171"/>
      <w:bookmarkStart w:id="425" w:name="_Toc312678014"/>
      <w:r>
        <w:rPr>
          <w:rFonts w:hint="eastAsia" w:cs="宋体" w:asciiTheme="minorEastAsia" w:hAnsiTheme="minorEastAsia"/>
          <w:szCs w:val="21"/>
        </w:rPr>
        <w:t>期竣工违约金的上限：</w:t>
      </w:r>
      <w:r>
        <w:rPr>
          <w:rFonts w:hint="eastAsia" w:cs="宋体" w:asciiTheme="minorEastAsia" w:hAnsiTheme="minorEastAsia"/>
          <w:szCs w:val="21"/>
          <w:u w:val="single"/>
        </w:rPr>
        <w:t xml:space="preserve">工程合同价的10%  </w:t>
      </w:r>
      <w:r>
        <w:rPr>
          <w:rFonts w:hint="eastAsia" w:cs="宋体" w:asciiTheme="minorEastAsia" w:hAnsiTheme="minorEastAsia"/>
          <w:szCs w:val="21"/>
        </w:rPr>
        <w:t>。</w:t>
      </w:r>
    </w:p>
    <w:bookmarkEnd w:id="424"/>
    <w:bookmarkEnd w:id="425"/>
    <w:p w14:paraId="1C543C6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w:t>
      </w:r>
      <w:bookmarkStart w:id="426" w:name="_Toc297123519"/>
      <w:bookmarkStart w:id="427" w:name="_Toc303539128"/>
      <w:bookmarkStart w:id="428" w:name="_Toc297216178"/>
      <w:bookmarkStart w:id="429" w:name="_Toc300934971"/>
      <w:bookmarkStart w:id="430" w:name="_Toc304295549"/>
      <w:bookmarkStart w:id="431" w:name="_Toc312678015"/>
      <w:r>
        <w:rPr>
          <w:rFonts w:hint="eastAsia" w:cs="宋体" w:asciiTheme="minorEastAsia" w:hAnsiTheme="minorEastAsia"/>
          <w:szCs w:val="21"/>
        </w:rPr>
        <w:t>.6 不</w:t>
      </w:r>
      <w:bookmarkEnd w:id="426"/>
      <w:bookmarkEnd w:id="427"/>
      <w:bookmarkEnd w:id="428"/>
      <w:bookmarkEnd w:id="429"/>
      <w:bookmarkEnd w:id="430"/>
      <w:bookmarkEnd w:id="431"/>
      <w:r>
        <w:rPr>
          <w:rFonts w:hint="eastAsia" w:cs="宋体" w:asciiTheme="minorEastAsia" w:hAnsiTheme="minorEastAsia"/>
          <w:szCs w:val="21"/>
        </w:rPr>
        <w:t>利物质条件</w:t>
      </w:r>
    </w:p>
    <w:p w14:paraId="301D9A6E">
      <w:pPr>
        <w:autoSpaceDN w:val="0"/>
        <w:spacing w:line="360" w:lineRule="auto"/>
        <w:ind w:firstLine="420" w:firstLineChars="200"/>
        <w:rPr>
          <w:rFonts w:cs="宋体" w:asciiTheme="minorEastAsia" w:hAnsiTheme="minorEastAsia"/>
          <w:szCs w:val="21"/>
          <w:u w:val="single"/>
        </w:rPr>
      </w:pPr>
      <w:bookmarkStart w:id="432" w:name="_Toc303539129"/>
      <w:bookmarkStart w:id="433" w:name="_Toc300934972"/>
      <w:bookmarkStart w:id="434" w:name="_Toc318581172"/>
      <w:bookmarkStart w:id="435" w:name="_Toc297123520"/>
      <w:bookmarkStart w:id="436" w:name="_Toc304295550"/>
      <w:bookmarkStart w:id="437" w:name="_Toc312678016"/>
      <w:bookmarkStart w:id="438" w:name="_Toc297216179"/>
      <w:r>
        <w:rPr>
          <w:rFonts w:hint="eastAsia" w:cs="宋体" w:asciiTheme="minorEastAsia" w:hAnsiTheme="minorEastAsia"/>
          <w:szCs w:val="21"/>
        </w:rPr>
        <w:t>不利物质条件的其他情形和有关约定：</w:t>
      </w:r>
      <w:r>
        <w:rPr>
          <w:rFonts w:hint="eastAsia" w:cs="宋体" w:asciiTheme="minorEastAsia" w:hAnsiTheme="minorEastAsia"/>
          <w:szCs w:val="21"/>
          <w:u w:val="single"/>
        </w:rPr>
        <w:t>施工过程中发现地质情况与施工图设计不符的，由设计人进行设计变更，按照设计变更结算办法进行结算。</w:t>
      </w:r>
    </w:p>
    <w:bookmarkEnd w:id="432"/>
    <w:bookmarkEnd w:id="433"/>
    <w:bookmarkEnd w:id="434"/>
    <w:bookmarkEnd w:id="435"/>
    <w:bookmarkEnd w:id="436"/>
    <w:bookmarkEnd w:id="437"/>
    <w:bookmarkEnd w:id="438"/>
    <w:p w14:paraId="68FA531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w:t>
      </w:r>
      <w:bookmarkStart w:id="439" w:name="_Toc300934973"/>
      <w:bookmarkStart w:id="440" w:name="_Toc297123521"/>
      <w:bookmarkStart w:id="441" w:name="_Toc297216180"/>
      <w:bookmarkStart w:id="442" w:name="_Toc312678017"/>
      <w:bookmarkStart w:id="443" w:name="_Toc304295551"/>
      <w:bookmarkStart w:id="444" w:name="_Toc303539130"/>
      <w:r>
        <w:rPr>
          <w:rFonts w:hint="eastAsia" w:cs="宋体" w:asciiTheme="minorEastAsia" w:hAnsiTheme="minorEastAsia"/>
          <w:szCs w:val="21"/>
        </w:rPr>
        <w:t>.7异常恶劣的气候条件</w:t>
      </w:r>
    </w:p>
    <w:bookmarkEnd w:id="439"/>
    <w:bookmarkEnd w:id="440"/>
    <w:bookmarkEnd w:id="441"/>
    <w:bookmarkEnd w:id="442"/>
    <w:bookmarkEnd w:id="443"/>
    <w:bookmarkEnd w:id="444"/>
    <w:p w14:paraId="7919DD6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发包人和承包人同意以下情形视为异常恶劣的气候条件：</w:t>
      </w:r>
    </w:p>
    <w:p w14:paraId="698BCD6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w:t>
      </w:r>
      <w:r>
        <w:rPr>
          <w:rFonts w:hint="eastAsia" w:cs="宋体" w:asciiTheme="minorEastAsia" w:hAnsiTheme="minorEastAsia"/>
          <w:szCs w:val="21"/>
          <w:u w:val="single"/>
        </w:rPr>
        <w:t>无</w:t>
      </w:r>
      <w:r>
        <w:rPr>
          <w:rFonts w:hint="eastAsia" w:cs="宋体" w:asciiTheme="minorEastAsia" w:hAnsiTheme="minorEastAsia"/>
          <w:szCs w:val="21"/>
        </w:rPr>
        <w:t>；</w:t>
      </w:r>
    </w:p>
    <w:p w14:paraId="2983A40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56706B3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3315EB33">
      <w:pPr>
        <w:autoSpaceDN w:val="0"/>
        <w:spacing w:line="360" w:lineRule="auto"/>
        <w:ind w:firstLine="420" w:firstLineChars="200"/>
        <w:rPr>
          <w:rFonts w:cs="宋体" w:asciiTheme="minorEastAsia" w:hAnsiTheme="minorEastAsia"/>
          <w:szCs w:val="21"/>
        </w:rPr>
      </w:pPr>
      <w:bookmarkStart w:id="445" w:name="_Toc54777955"/>
      <w:r>
        <w:rPr>
          <w:rFonts w:hint="eastAsia" w:cs="宋体" w:asciiTheme="minorEastAsia" w:hAnsiTheme="minorEastAsia"/>
          <w:szCs w:val="21"/>
        </w:rPr>
        <w:t>7.9 提前竣工的奖励</w:t>
      </w:r>
      <w:bookmarkEnd w:id="445"/>
    </w:p>
    <w:p w14:paraId="1184C37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7.9.2提前竣工的奖励：</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3D6E2B05">
      <w:pPr>
        <w:autoSpaceDN w:val="0"/>
        <w:spacing w:line="360" w:lineRule="auto"/>
        <w:ind w:firstLine="420" w:firstLineChars="200"/>
        <w:rPr>
          <w:rFonts w:cs="宋体" w:asciiTheme="minorEastAsia" w:hAnsiTheme="minorEastAsia"/>
          <w:bCs/>
          <w:szCs w:val="21"/>
        </w:rPr>
      </w:pPr>
      <w:bookmarkStart w:id="446" w:name="_Toc351203640"/>
      <w:r>
        <w:rPr>
          <w:rFonts w:hint="eastAsia" w:cs="宋体" w:asciiTheme="minorEastAsia" w:hAnsiTheme="minorEastAsia"/>
          <w:bCs/>
          <w:szCs w:val="21"/>
        </w:rPr>
        <w:t>8. 材料与设备</w:t>
      </w:r>
      <w:bookmarkEnd w:id="446"/>
    </w:p>
    <w:bookmarkEnd w:id="378"/>
    <w:bookmarkEnd w:id="379"/>
    <w:bookmarkEnd w:id="380"/>
    <w:bookmarkEnd w:id="381"/>
    <w:bookmarkEnd w:id="382"/>
    <w:bookmarkEnd w:id="383"/>
    <w:bookmarkEnd w:id="384"/>
    <w:bookmarkEnd w:id="385"/>
    <w:bookmarkEnd w:id="386"/>
    <w:bookmarkEnd w:id="387"/>
    <w:p w14:paraId="6C52939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8</w:t>
      </w:r>
      <w:bookmarkStart w:id="447" w:name="_Toc296890995"/>
      <w:bookmarkStart w:id="448" w:name="_Toc292559877"/>
      <w:bookmarkStart w:id="449" w:name="_Toc312677493"/>
      <w:bookmarkStart w:id="450" w:name="_Toc300934979"/>
      <w:bookmarkStart w:id="451" w:name="_Toc297048353"/>
      <w:bookmarkStart w:id="452" w:name="_Toc292559372"/>
      <w:bookmarkStart w:id="453" w:name="_Toc280868654"/>
      <w:bookmarkStart w:id="454" w:name="_Toc297123527"/>
      <w:bookmarkStart w:id="455" w:name="_Toc297216186"/>
      <w:bookmarkStart w:id="456" w:name="_Toc296891207"/>
      <w:bookmarkStart w:id="457" w:name="_Toc296346668"/>
      <w:bookmarkStart w:id="458" w:name="_Toc296347166"/>
      <w:bookmarkStart w:id="459" w:name="_Toc312678019"/>
      <w:bookmarkStart w:id="460" w:name="_Toc303539136"/>
      <w:bookmarkStart w:id="461" w:name="_Toc296944506"/>
      <w:bookmarkStart w:id="462" w:name="_Toc296503167"/>
      <w:bookmarkStart w:id="463" w:name="_Toc304295556"/>
      <w:bookmarkStart w:id="464" w:name="_Toc297120467"/>
      <w:bookmarkStart w:id="465" w:name="_Toc280868655"/>
      <w:bookmarkStart w:id="466" w:name="_Toc280868656"/>
      <w:bookmarkStart w:id="467" w:name="_Toc267251424"/>
      <w:r>
        <w:rPr>
          <w:rFonts w:hint="eastAsia" w:cs="宋体" w:asciiTheme="minorEastAsia" w:hAnsiTheme="minorEastAsia"/>
          <w:szCs w:val="21"/>
        </w:rPr>
        <w:t>.4材料与工程设备的保管与使用</w:t>
      </w:r>
    </w:p>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14:paraId="19CEA0F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8</w:t>
      </w:r>
      <w:bookmarkStart w:id="468" w:name="_Toc292559878"/>
      <w:bookmarkStart w:id="469" w:name="_Toc292559373"/>
      <w:bookmarkStart w:id="470" w:name="_Toc300934980"/>
      <w:bookmarkStart w:id="471" w:name="_Toc312677494"/>
      <w:bookmarkStart w:id="472" w:name="_Toc296891208"/>
      <w:bookmarkStart w:id="473" w:name="_Toc297048354"/>
      <w:bookmarkStart w:id="474" w:name="_Toc297120468"/>
      <w:bookmarkStart w:id="475" w:name="_Toc303539137"/>
      <w:bookmarkStart w:id="476" w:name="_Toc296347167"/>
      <w:bookmarkStart w:id="477" w:name="_Toc296890996"/>
      <w:bookmarkStart w:id="478" w:name="_Toc297123528"/>
      <w:bookmarkStart w:id="479" w:name="_Toc297216187"/>
      <w:bookmarkStart w:id="480" w:name="_Toc318581173"/>
      <w:bookmarkStart w:id="481" w:name="_Toc304295557"/>
      <w:bookmarkStart w:id="482" w:name="_Toc296346669"/>
      <w:bookmarkStart w:id="483" w:name="_Toc296503168"/>
      <w:bookmarkStart w:id="484" w:name="_Toc296944507"/>
      <w:bookmarkStart w:id="485" w:name="_Toc312678020"/>
      <w:r>
        <w:rPr>
          <w:rFonts w:hint="eastAsia" w:cs="宋体" w:asciiTheme="minorEastAsia" w:hAnsiTheme="minorEastAsia"/>
          <w:szCs w:val="21"/>
        </w:rPr>
        <w:t>.4.1发包人供应的材料设备的保管费用的承担：</w:t>
      </w:r>
      <w:r>
        <w:rPr>
          <w:rFonts w:hint="eastAsia" w:cs="宋体" w:asciiTheme="minorEastAsia" w:hAnsiTheme="minorEastAsia"/>
          <w:szCs w:val="21"/>
          <w:u w:val="single"/>
        </w:rPr>
        <w:t>由承包人承担</w:t>
      </w:r>
      <w:r>
        <w:rPr>
          <w:rFonts w:hint="eastAsia" w:cs="宋体" w:asciiTheme="minorEastAsia" w:hAnsiTheme="minorEastAsia"/>
          <w:szCs w:val="21"/>
        </w:rPr>
        <w:t>。</w:t>
      </w:r>
      <w:bookmarkEnd w:id="468"/>
      <w:bookmarkEnd w:id="469"/>
    </w:p>
    <w:p w14:paraId="3C94F98F">
      <w:pPr>
        <w:autoSpaceDN w:val="0"/>
        <w:spacing w:line="360" w:lineRule="auto"/>
        <w:ind w:firstLine="420" w:firstLineChars="200"/>
        <w:rPr>
          <w:rFonts w:cs="宋体" w:asciiTheme="minorEastAsia" w:hAnsiTheme="minorEastAsia"/>
          <w:szCs w:val="21"/>
        </w:rPr>
      </w:pPr>
      <w:bookmarkStart w:id="486" w:name="_Toc54777956"/>
      <w:r>
        <w:rPr>
          <w:rFonts w:hint="eastAsia" w:cs="宋体" w:asciiTheme="minorEastAsia" w:hAnsiTheme="minorEastAsia"/>
          <w:szCs w:val="21"/>
        </w:rPr>
        <w:t>8.6 样品</w:t>
      </w:r>
      <w:bookmarkEnd w:id="486"/>
    </w:p>
    <w:p w14:paraId="6F7C867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8.6.1</w:t>
      </w:r>
      <w:r>
        <w:rPr>
          <w:rFonts w:hint="eastAsia" w:cs="宋体" w:asciiTheme="minorEastAsia" w:hAnsiTheme="minorEastAsia"/>
          <w:szCs w:val="21"/>
        </w:rPr>
        <w:tab/>
      </w:r>
      <w:r>
        <w:rPr>
          <w:rFonts w:hint="eastAsia" w:cs="宋体" w:asciiTheme="minorEastAsia" w:hAnsiTheme="minorEastAsia"/>
          <w:szCs w:val="21"/>
        </w:rPr>
        <w:t>样品的报送与封存</w:t>
      </w:r>
    </w:p>
    <w:p w14:paraId="4572365D">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需要承包人报送样品的材料或工程设备，样品的种类、名称、规格、数量要求：</w:t>
      </w:r>
      <w:r>
        <w:rPr>
          <w:rFonts w:hint="eastAsia" w:cs="宋体" w:asciiTheme="minorEastAsia" w:hAnsiTheme="minorEastAsia"/>
          <w:szCs w:val="21"/>
          <w:u w:val="single"/>
        </w:rPr>
        <w:t>工程重要材料及设备均须报送样品，具体按发包人、监理人要求执行</w:t>
      </w:r>
      <w:r>
        <w:rPr>
          <w:rFonts w:hint="eastAsia" w:cs="宋体" w:asciiTheme="minorEastAsia" w:hAnsiTheme="minorEastAsia"/>
          <w:szCs w:val="21"/>
        </w:rPr>
        <w:t>。</w:t>
      </w:r>
    </w:p>
    <w:p w14:paraId="266D037B">
      <w:pPr>
        <w:autoSpaceDN w:val="0"/>
        <w:spacing w:line="360" w:lineRule="auto"/>
        <w:ind w:firstLine="420" w:firstLineChars="200"/>
        <w:rPr>
          <w:rFonts w:cs="宋体" w:asciiTheme="minorEastAsia" w:hAnsiTheme="minorEastAsia"/>
          <w:szCs w:val="21"/>
        </w:rPr>
      </w:pPr>
      <w:bookmarkStart w:id="487" w:name="_Toc54777957"/>
      <w:r>
        <w:rPr>
          <w:rFonts w:hint="eastAsia" w:cs="宋体" w:asciiTheme="minorEastAsia" w:hAnsiTheme="minorEastAsia"/>
          <w:szCs w:val="21"/>
        </w:rPr>
        <w:t>8.8 施工设备和临时设施</w:t>
      </w:r>
      <w:bookmarkEnd w:id="487"/>
    </w:p>
    <w:p w14:paraId="1852909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8.8.1 承包人提供的施工设备和临时设施</w:t>
      </w:r>
    </w:p>
    <w:p w14:paraId="7CB9FD8B">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关于修建临时设施费用承担的约定：</w:t>
      </w:r>
      <w:r>
        <w:rPr>
          <w:rFonts w:hint="eastAsia" w:cs="宋体" w:asciiTheme="minorEastAsia" w:hAnsiTheme="minorEastAsia"/>
          <w:szCs w:val="21"/>
          <w:u w:val="single"/>
        </w:rPr>
        <w:t>承包人承担</w:t>
      </w:r>
      <w:r>
        <w:rPr>
          <w:rFonts w:hint="eastAsia" w:cs="宋体" w:asciiTheme="minorEastAsia" w:hAnsiTheme="minorEastAsia"/>
          <w:szCs w:val="21"/>
        </w:rPr>
        <w:t>。</w:t>
      </w:r>
    </w:p>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14:paraId="69D52C59">
      <w:pPr>
        <w:autoSpaceDN w:val="0"/>
        <w:spacing w:line="360" w:lineRule="auto"/>
        <w:ind w:firstLine="420" w:firstLineChars="200"/>
        <w:rPr>
          <w:rFonts w:cs="宋体" w:asciiTheme="minorEastAsia" w:hAnsiTheme="minorEastAsia"/>
          <w:bCs/>
          <w:szCs w:val="21"/>
        </w:rPr>
      </w:pPr>
      <w:bookmarkStart w:id="488" w:name="_Toc351203641"/>
      <w:r>
        <w:rPr>
          <w:rFonts w:hint="eastAsia" w:cs="宋体" w:asciiTheme="minorEastAsia" w:hAnsiTheme="minorEastAsia"/>
          <w:bCs/>
          <w:szCs w:val="21"/>
        </w:rPr>
        <w:t>9</w:t>
      </w:r>
      <w:bookmarkEnd w:id="465"/>
      <w:bookmarkEnd w:id="466"/>
      <w:bookmarkEnd w:id="467"/>
      <w:bookmarkStart w:id="489" w:name="_Toc304295559"/>
      <w:bookmarkStart w:id="490" w:name="_Toc300934982"/>
      <w:bookmarkStart w:id="491" w:name="_Toc312677495"/>
      <w:bookmarkStart w:id="492" w:name="_Toc312678021"/>
      <w:bookmarkStart w:id="493" w:name="_Toc297216192"/>
      <w:bookmarkStart w:id="494" w:name="_Toc303539139"/>
      <w:bookmarkStart w:id="495" w:name="_Toc297123533"/>
      <w:bookmarkStart w:id="496" w:name="_Toc296891213"/>
      <w:bookmarkStart w:id="497" w:name="_Toc292559378"/>
      <w:bookmarkStart w:id="498" w:name="_Toc296503173"/>
      <w:bookmarkStart w:id="499" w:name="_Toc267251428"/>
      <w:bookmarkStart w:id="500" w:name="_Toc297120473"/>
      <w:bookmarkStart w:id="501" w:name="_Toc267251427"/>
      <w:bookmarkStart w:id="502" w:name="_Toc296891001"/>
      <w:bookmarkStart w:id="503" w:name="_Toc297048359"/>
      <w:bookmarkStart w:id="504" w:name="_Toc296346674"/>
      <w:bookmarkStart w:id="505" w:name="_Toc292559883"/>
      <w:bookmarkStart w:id="506" w:name="_Toc296944512"/>
      <w:bookmarkStart w:id="507" w:name="_Toc296347172"/>
      <w:r>
        <w:rPr>
          <w:rFonts w:hint="eastAsia" w:cs="宋体" w:asciiTheme="minorEastAsia" w:hAnsiTheme="minorEastAsia"/>
          <w:bCs/>
          <w:szCs w:val="21"/>
        </w:rPr>
        <w:t>. 试验与检验</w:t>
      </w:r>
      <w:bookmarkEnd w:id="488"/>
    </w:p>
    <w:bookmarkEnd w:id="489"/>
    <w:bookmarkEnd w:id="490"/>
    <w:bookmarkEnd w:id="491"/>
    <w:bookmarkEnd w:id="492"/>
    <w:bookmarkEnd w:id="493"/>
    <w:bookmarkEnd w:id="494"/>
    <w:bookmarkEnd w:id="495"/>
    <w:p w14:paraId="171F322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9</w:t>
      </w:r>
      <w:bookmarkStart w:id="508" w:name="_Toc304295560"/>
      <w:bookmarkStart w:id="509" w:name="_Toc297216193"/>
      <w:bookmarkStart w:id="510" w:name="_Toc312677496"/>
      <w:bookmarkStart w:id="511" w:name="_Toc297123534"/>
      <w:bookmarkStart w:id="512" w:name="_Toc312678022"/>
      <w:bookmarkStart w:id="513" w:name="_Toc300934983"/>
      <w:bookmarkStart w:id="514" w:name="_Toc303539140"/>
      <w:r>
        <w:rPr>
          <w:rFonts w:hint="eastAsia" w:cs="宋体" w:asciiTheme="minorEastAsia" w:hAnsiTheme="minorEastAsia"/>
          <w:szCs w:val="21"/>
        </w:rPr>
        <w:t>.1试验设备与试验人员</w:t>
      </w:r>
    </w:p>
    <w:bookmarkEnd w:id="508"/>
    <w:bookmarkEnd w:id="509"/>
    <w:bookmarkEnd w:id="510"/>
    <w:bookmarkEnd w:id="511"/>
    <w:bookmarkEnd w:id="512"/>
    <w:bookmarkEnd w:id="513"/>
    <w:bookmarkEnd w:id="514"/>
    <w:p w14:paraId="53488AB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9</w:t>
      </w:r>
      <w:bookmarkStart w:id="515" w:name="_Toc303539141"/>
      <w:bookmarkStart w:id="516" w:name="_Toc297216194"/>
      <w:bookmarkStart w:id="517" w:name="_Toc304295561"/>
      <w:bookmarkStart w:id="518" w:name="_Toc300934984"/>
      <w:bookmarkStart w:id="519" w:name="_Toc297123535"/>
      <w:bookmarkStart w:id="520" w:name="_Toc312678023"/>
      <w:bookmarkStart w:id="521" w:name="_Toc312677497"/>
      <w:bookmarkStart w:id="522" w:name="_Toc318581174"/>
      <w:r>
        <w:rPr>
          <w:rFonts w:hint="eastAsia" w:cs="宋体" w:asciiTheme="minorEastAsia" w:hAnsiTheme="minorEastAsia"/>
          <w:szCs w:val="21"/>
        </w:rPr>
        <w:t>.1.2 试验设备</w:t>
      </w:r>
    </w:p>
    <w:p w14:paraId="1EC681AB">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施工现场需要配置的试验场所：</w:t>
      </w:r>
      <w:bookmarkEnd w:id="515"/>
      <w:bookmarkEnd w:id="516"/>
      <w:bookmarkEnd w:id="517"/>
      <w:bookmarkEnd w:id="518"/>
      <w:bookmarkEnd w:id="519"/>
      <w:bookmarkEnd w:id="520"/>
      <w:bookmarkEnd w:id="521"/>
      <w:bookmarkStart w:id="523" w:name="_Toc312677498"/>
      <w:bookmarkStart w:id="524" w:name="_Toc304295562"/>
      <w:bookmarkStart w:id="525" w:name="_Toc297216195"/>
      <w:bookmarkStart w:id="526" w:name="_Toc300934985"/>
      <w:bookmarkStart w:id="527" w:name="_Toc312678024"/>
      <w:bookmarkStart w:id="528" w:name="_Toc303539142"/>
      <w:bookmarkStart w:id="529" w:name="_Toc297123536"/>
      <w:r>
        <w:rPr>
          <w:rFonts w:hint="eastAsia" w:cs="宋体" w:asciiTheme="minorEastAsia" w:hAnsiTheme="minorEastAsia"/>
          <w:szCs w:val="21"/>
          <w:u w:val="single"/>
        </w:rPr>
        <w:t>按照质量监督部门及监理单位要求</w:t>
      </w:r>
      <w:r>
        <w:rPr>
          <w:rFonts w:hint="eastAsia" w:cs="宋体" w:asciiTheme="minorEastAsia" w:hAnsiTheme="minorEastAsia"/>
          <w:szCs w:val="21"/>
        </w:rPr>
        <w:t>。</w:t>
      </w:r>
    </w:p>
    <w:p w14:paraId="1DDC2A4B">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施工现场需要配备的试验设备：</w:t>
      </w:r>
      <w:r>
        <w:rPr>
          <w:rFonts w:hint="eastAsia" w:cs="宋体" w:asciiTheme="minorEastAsia" w:hAnsiTheme="minorEastAsia"/>
          <w:szCs w:val="21"/>
          <w:u w:val="single"/>
        </w:rPr>
        <w:t>按照质量监督部门及监理单位要求</w:t>
      </w:r>
      <w:r>
        <w:rPr>
          <w:rFonts w:hint="eastAsia" w:cs="宋体" w:asciiTheme="minorEastAsia" w:hAnsiTheme="minorEastAsia"/>
          <w:szCs w:val="21"/>
        </w:rPr>
        <w:t>。</w:t>
      </w:r>
    </w:p>
    <w:p w14:paraId="1B235AAA">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施工现场需要具备的其他试验条件：</w:t>
      </w:r>
      <w:r>
        <w:rPr>
          <w:rFonts w:hint="eastAsia" w:cs="宋体" w:asciiTheme="minorEastAsia" w:hAnsiTheme="minorEastAsia"/>
          <w:szCs w:val="21"/>
          <w:u w:val="single"/>
        </w:rPr>
        <w:t>按照质量监督部门及监理单位要求</w:t>
      </w:r>
      <w:r>
        <w:rPr>
          <w:rFonts w:hint="eastAsia" w:cs="宋体" w:asciiTheme="minorEastAsia" w:hAnsiTheme="minorEastAsia"/>
          <w:szCs w:val="21"/>
        </w:rPr>
        <w:t>。</w:t>
      </w:r>
    </w:p>
    <w:p w14:paraId="5F451461">
      <w:pPr>
        <w:autoSpaceDN w:val="0"/>
        <w:spacing w:line="360" w:lineRule="auto"/>
        <w:ind w:firstLine="420" w:firstLineChars="200"/>
        <w:rPr>
          <w:rFonts w:cs="宋体" w:asciiTheme="minorEastAsia" w:hAnsiTheme="minorEastAsia"/>
          <w:szCs w:val="21"/>
        </w:rPr>
      </w:pPr>
      <w:bookmarkStart w:id="530" w:name="_Toc54777958"/>
      <w:r>
        <w:rPr>
          <w:rFonts w:hint="eastAsia" w:cs="宋体" w:asciiTheme="minorEastAsia" w:hAnsiTheme="minorEastAsia"/>
          <w:szCs w:val="21"/>
        </w:rPr>
        <w:t>9.4 现场工艺试验</w:t>
      </w:r>
      <w:bookmarkEnd w:id="530"/>
    </w:p>
    <w:p w14:paraId="2C35039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现场工艺试验的有关约定：</w:t>
      </w:r>
      <w:r>
        <w:rPr>
          <w:rFonts w:hint="eastAsia" w:cs="宋体" w:asciiTheme="minorEastAsia" w:hAnsiTheme="minorEastAsia"/>
          <w:szCs w:val="21"/>
          <w:u w:val="single"/>
        </w:rPr>
        <w:t>按照质量监督部门及监理单位要求</w:t>
      </w:r>
      <w:r>
        <w:rPr>
          <w:rFonts w:hint="eastAsia" w:cs="宋体" w:asciiTheme="minorEastAsia" w:hAnsiTheme="minorEastAsia"/>
          <w:szCs w:val="21"/>
        </w:rPr>
        <w:t>。</w:t>
      </w:r>
    </w:p>
    <w:bookmarkEnd w:id="522"/>
    <w:bookmarkEnd w:id="523"/>
    <w:bookmarkEnd w:id="524"/>
    <w:bookmarkEnd w:id="525"/>
    <w:bookmarkEnd w:id="526"/>
    <w:bookmarkEnd w:id="527"/>
    <w:bookmarkEnd w:id="528"/>
    <w:bookmarkEnd w:id="529"/>
    <w:p w14:paraId="32380D6E">
      <w:pPr>
        <w:autoSpaceDN w:val="0"/>
        <w:spacing w:line="360" w:lineRule="auto"/>
        <w:ind w:firstLine="420" w:firstLineChars="200"/>
        <w:rPr>
          <w:rFonts w:cs="宋体" w:asciiTheme="minorEastAsia" w:hAnsiTheme="minorEastAsia"/>
          <w:bCs/>
          <w:szCs w:val="21"/>
        </w:rPr>
      </w:pPr>
      <w:bookmarkStart w:id="531" w:name="_Toc351203642"/>
      <w:r>
        <w:rPr>
          <w:rFonts w:hint="eastAsia" w:cs="宋体" w:asciiTheme="minorEastAsia" w:hAnsiTheme="minorEastAsia"/>
          <w:bCs/>
          <w:szCs w:val="21"/>
        </w:rPr>
        <w:t>1</w:t>
      </w:r>
      <w:bookmarkEnd w:id="496"/>
      <w:bookmarkEnd w:id="497"/>
      <w:bookmarkEnd w:id="498"/>
      <w:bookmarkEnd w:id="499"/>
      <w:bookmarkEnd w:id="500"/>
      <w:bookmarkEnd w:id="501"/>
      <w:bookmarkEnd w:id="502"/>
      <w:bookmarkEnd w:id="503"/>
      <w:bookmarkEnd w:id="504"/>
      <w:bookmarkEnd w:id="505"/>
      <w:bookmarkEnd w:id="506"/>
      <w:bookmarkEnd w:id="507"/>
      <w:bookmarkStart w:id="532" w:name="_Toc296891021"/>
      <w:bookmarkStart w:id="533" w:name="_Toc304295566"/>
      <w:bookmarkStart w:id="534" w:name="_Toc296891233"/>
      <w:bookmarkStart w:id="535" w:name="_Toc297216199"/>
      <w:bookmarkStart w:id="536" w:name="_Toc297048379"/>
      <w:bookmarkStart w:id="537" w:name="_Toc296944532"/>
      <w:bookmarkStart w:id="538" w:name="_Toc296503193"/>
      <w:bookmarkStart w:id="539" w:name="_Toc297123540"/>
      <w:bookmarkStart w:id="540" w:name="_Toc297120493"/>
      <w:bookmarkStart w:id="541" w:name="_Toc303539146"/>
      <w:bookmarkStart w:id="542" w:name="_Toc300934989"/>
      <w:bookmarkStart w:id="543" w:name="_Toc292559903"/>
      <w:bookmarkStart w:id="544" w:name="_Toc292559398"/>
      <w:bookmarkStart w:id="545" w:name="_Toc296347192"/>
      <w:bookmarkStart w:id="546" w:name="_Toc296346694"/>
      <w:bookmarkStart w:id="547" w:name="_Toc312677499"/>
      <w:bookmarkStart w:id="548" w:name="_Toc312678025"/>
      <w:bookmarkStart w:id="549" w:name="_Toc267251435"/>
      <w:bookmarkStart w:id="550" w:name="_Toc267251441"/>
      <w:bookmarkStart w:id="551" w:name="_Toc267251440"/>
      <w:bookmarkStart w:id="552" w:name="_Toc267251433"/>
      <w:bookmarkStart w:id="553" w:name="_Toc267251439"/>
      <w:bookmarkStart w:id="554" w:name="_Toc267251437"/>
      <w:r>
        <w:rPr>
          <w:rFonts w:hint="eastAsia" w:cs="宋体" w:asciiTheme="minorEastAsia" w:hAnsiTheme="minorEastAsia"/>
          <w:bCs/>
          <w:szCs w:val="21"/>
        </w:rPr>
        <w:t>0. 变更</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bookmarkEnd w:id="547"/>
    <w:bookmarkEnd w:id="548"/>
    <w:p w14:paraId="6604A52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w:t>
      </w:r>
      <w:bookmarkStart w:id="555" w:name="_Toc297123541"/>
      <w:bookmarkStart w:id="556" w:name="_Toc312678026"/>
      <w:bookmarkStart w:id="557" w:name="_Toc300934990"/>
      <w:bookmarkStart w:id="558" w:name="_Toc292559399"/>
      <w:bookmarkStart w:id="559" w:name="_Toc296346695"/>
      <w:bookmarkStart w:id="560" w:name="_Toc296944533"/>
      <w:bookmarkStart w:id="561" w:name="_Toc304295567"/>
      <w:bookmarkStart w:id="562" w:name="_Toc296503194"/>
      <w:bookmarkStart w:id="563" w:name="_Toc303539147"/>
      <w:bookmarkStart w:id="564" w:name="_Toc296891022"/>
      <w:bookmarkStart w:id="565" w:name="_Toc292559904"/>
      <w:bookmarkStart w:id="566" w:name="_Toc297048380"/>
      <w:bookmarkStart w:id="567" w:name="_Toc297120494"/>
      <w:bookmarkStart w:id="568" w:name="_Toc296347193"/>
      <w:bookmarkStart w:id="569" w:name="_Toc297216200"/>
      <w:bookmarkStart w:id="570" w:name="_Toc312677500"/>
      <w:bookmarkStart w:id="571" w:name="_Toc296891234"/>
      <w:r>
        <w:rPr>
          <w:rFonts w:hint="eastAsia" w:cs="宋体" w:asciiTheme="minorEastAsia" w:hAnsiTheme="minorEastAsia"/>
          <w:szCs w:val="21"/>
        </w:rPr>
        <w:t>0.1变更的范围</w:t>
      </w:r>
    </w:p>
    <w:p w14:paraId="43ACABF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关于变更的范围的约定：</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4B13C022">
      <w:pPr>
        <w:autoSpaceDN w:val="0"/>
        <w:spacing w:line="360" w:lineRule="auto"/>
        <w:ind w:firstLine="420" w:firstLineChars="200"/>
        <w:rPr>
          <w:rFonts w:cs="宋体" w:asciiTheme="minorEastAsia" w:hAnsiTheme="minorEastAsia"/>
          <w:szCs w:val="21"/>
        </w:rPr>
      </w:pPr>
      <w:bookmarkStart w:id="572" w:name="_Toc54777959"/>
      <w:r>
        <w:rPr>
          <w:rFonts w:hint="eastAsia" w:cs="宋体" w:asciiTheme="minorEastAsia" w:hAnsiTheme="minorEastAsia"/>
          <w:szCs w:val="21"/>
        </w:rPr>
        <w:t>10.4 变更估价</w:t>
      </w:r>
      <w:bookmarkEnd w:id="572"/>
    </w:p>
    <w:p w14:paraId="6F78CA6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10.4.1 变更估价原则</w:t>
      </w:r>
    </w:p>
    <w:p w14:paraId="67584E64">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 xml:space="preserve">关于变更估价的约定: </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280BED2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Start w:id="573" w:name="_Toc296346698"/>
      <w:bookmarkStart w:id="574" w:name="_Toc296944536"/>
      <w:bookmarkStart w:id="575" w:name="_Toc303539150"/>
      <w:bookmarkStart w:id="576" w:name="_Toc292559907"/>
      <w:bookmarkStart w:id="577" w:name="_Toc296347196"/>
      <w:bookmarkStart w:id="578" w:name="_Toc297120497"/>
      <w:bookmarkStart w:id="579" w:name="_Toc292559402"/>
      <w:bookmarkStart w:id="580" w:name="_Toc296891025"/>
      <w:bookmarkStart w:id="581" w:name="_Toc296891237"/>
      <w:bookmarkStart w:id="582" w:name="_Toc297048383"/>
      <w:bookmarkStart w:id="583" w:name="_Toc296503197"/>
      <w:bookmarkStart w:id="584" w:name="_Toc297123544"/>
      <w:bookmarkStart w:id="585" w:name="_Toc300934993"/>
      <w:bookmarkStart w:id="586" w:name="_Toc297216203"/>
      <w:bookmarkStart w:id="587" w:name="_Toc304295570"/>
      <w:bookmarkStart w:id="588" w:name="_Toc312677503"/>
      <w:bookmarkStart w:id="589" w:name="_Toc312678029"/>
      <w:r>
        <w:rPr>
          <w:rFonts w:hint="eastAsia" w:cs="宋体" w:asciiTheme="minorEastAsia" w:hAnsiTheme="minorEastAsia"/>
          <w:szCs w:val="21"/>
        </w:rPr>
        <w:t>0.5承</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Start w:id="590" w:name="_Toc303539151"/>
      <w:bookmarkStart w:id="591" w:name="_Toc292559913"/>
      <w:bookmarkStart w:id="592" w:name="_Toc296944542"/>
      <w:bookmarkStart w:id="593" w:name="_Toc297216204"/>
      <w:bookmarkStart w:id="594" w:name="_Toc292559408"/>
      <w:bookmarkStart w:id="595" w:name="_Toc300934994"/>
      <w:bookmarkStart w:id="596" w:name="_Toc296503203"/>
      <w:bookmarkStart w:id="597" w:name="_Toc296891031"/>
      <w:bookmarkStart w:id="598" w:name="_Toc296891243"/>
      <w:bookmarkStart w:id="599" w:name="_Toc297123545"/>
      <w:bookmarkStart w:id="600" w:name="_Toc296347202"/>
      <w:bookmarkStart w:id="601" w:name="_Toc296346704"/>
      <w:bookmarkStart w:id="602" w:name="_Toc297120503"/>
      <w:bookmarkStart w:id="603" w:name="_Toc297048389"/>
      <w:r>
        <w:rPr>
          <w:rFonts w:hint="eastAsia" w:cs="宋体" w:asciiTheme="minorEastAsia" w:hAnsiTheme="minorEastAsia"/>
          <w:szCs w:val="21"/>
        </w:rPr>
        <w:t>包人的合理化建议</w:t>
      </w:r>
    </w:p>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14:paraId="2BE8417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监理人审查承包人合理化建议的期限：</w:t>
      </w:r>
      <w:r>
        <w:rPr>
          <w:rFonts w:hint="eastAsia" w:cs="宋体" w:asciiTheme="minorEastAsia" w:hAnsiTheme="minorEastAsia"/>
          <w:szCs w:val="21"/>
          <w:u w:val="single"/>
        </w:rPr>
        <w:t>收到后7天内</w:t>
      </w:r>
      <w:r>
        <w:rPr>
          <w:rFonts w:hint="eastAsia" w:cs="宋体" w:asciiTheme="minorEastAsia" w:hAnsiTheme="minorEastAsia"/>
          <w:szCs w:val="21"/>
        </w:rPr>
        <w:t>。</w:t>
      </w:r>
    </w:p>
    <w:p w14:paraId="3FF3679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发包人审批承包人合理化建议的期限：</w:t>
      </w:r>
      <w:r>
        <w:rPr>
          <w:rFonts w:hint="eastAsia" w:cs="宋体" w:asciiTheme="minorEastAsia" w:hAnsiTheme="minorEastAsia"/>
          <w:szCs w:val="21"/>
          <w:u w:val="single"/>
        </w:rPr>
        <w:t>收到后7天内</w:t>
      </w:r>
      <w:r>
        <w:rPr>
          <w:rFonts w:hint="eastAsia" w:cs="宋体" w:asciiTheme="minorEastAsia" w:hAnsiTheme="minorEastAsia"/>
          <w:szCs w:val="21"/>
        </w:rPr>
        <w:t>。</w:t>
      </w:r>
    </w:p>
    <w:p w14:paraId="6B4D4D5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承</w:t>
      </w:r>
      <w:bookmarkStart w:id="604" w:name="_Toc292559914"/>
      <w:bookmarkStart w:id="605" w:name="_Toc312678030"/>
      <w:bookmarkStart w:id="606" w:name="_Toc296944543"/>
      <w:bookmarkStart w:id="607" w:name="_Toc296346705"/>
      <w:bookmarkStart w:id="608" w:name="_Toc297048390"/>
      <w:bookmarkStart w:id="609" w:name="_Toc304295571"/>
      <w:bookmarkStart w:id="610" w:name="_Toc297123546"/>
      <w:bookmarkStart w:id="611" w:name="_Toc296503204"/>
      <w:bookmarkStart w:id="612" w:name="_Toc297216205"/>
      <w:bookmarkStart w:id="613" w:name="_Toc297120504"/>
      <w:bookmarkStart w:id="614" w:name="_Toc296347203"/>
      <w:bookmarkStart w:id="615" w:name="_Toc312677504"/>
      <w:bookmarkStart w:id="616" w:name="_Toc296891032"/>
      <w:bookmarkStart w:id="617" w:name="_Toc300934995"/>
      <w:bookmarkStart w:id="618" w:name="_Toc303539152"/>
      <w:bookmarkStart w:id="619" w:name="_Toc292559409"/>
      <w:bookmarkStart w:id="620" w:name="_Toc318581175"/>
      <w:bookmarkStart w:id="621" w:name="_Toc296891244"/>
      <w:r>
        <w:rPr>
          <w:rFonts w:hint="eastAsia" w:cs="宋体" w:asciiTheme="minorEastAsia" w:hAnsiTheme="minorEastAsia"/>
          <w:szCs w:val="21"/>
        </w:rPr>
        <w:t>包人提出的合理化建议降低了合同价格或者提高了工程经济效益的奖励的方法和金额为：</w:t>
      </w:r>
      <w:r>
        <w:rPr>
          <w:rFonts w:hint="eastAsia" w:cs="宋体" w:asciiTheme="minorEastAsia" w:hAnsiTheme="minorEastAsia"/>
          <w:szCs w:val="21"/>
          <w:u w:val="single"/>
        </w:rPr>
        <w:t xml:space="preserve">           /                     </w:t>
      </w:r>
      <w:r>
        <w:rPr>
          <w:rFonts w:hint="eastAsia" w:cs="宋体" w:asciiTheme="minorEastAsia" w:hAnsiTheme="minorEastAsia"/>
          <w:szCs w:val="21"/>
        </w:rPr>
        <w:t>。</w:t>
      </w:r>
    </w:p>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14:paraId="3DF02D7A">
      <w:pPr>
        <w:autoSpaceDN w:val="0"/>
        <w:spacing w:line="360" w:lineRule="auto"/>
        <w:ind w:firstLine="420" w:firstLineChars="200"/>
        <w:rPr>
          <w:rFonts w:cs="宋体" w:asciiTheme="minorEastAsia" w:hAnsiTheme="minorEastAsia"/>
          <w:szCs w:val="21"/>
        </w:rPr>
      </w:pPr>
      <w:bookmarkStart w:id="622" w:name="_Toc54777960"/>
      <w:r>
        <w:rPr>
          <w:rFonts w:hint="eastAsia" w:cs="宋体" w:asciiTheme="minorEastAsia" w:hAnsiTheme="minorEastAsia"/>
          <w:szCs w:val="21"/>
        </w:rPr>
        <w:t>1</w:t>
      </w:r>
      <w:bookmarkStart w:id="623" w:name="_Toc292559909"/>
      <w:bookmarkStart w:id="624" w:name="_Toc312677507"/>
      <w:bookmarkStart w:id="625" w:name="_Toc296346700"/>
      <w:bookmarkStart w:id="626" w:name="_Toc296944538"/>
      <w:bookmarkStart w:id="627" w:name="_Toc297120499"/>
      <w:bookmarkStart w:id="628" w:name="_Toc296891239"/>
      <w:bookmarkStart w:id="629" w:name="_Toc297216207"/>
      <w:bookmarkStart w:id="630" w:name="_Toc292559404"/>
      <w:bookmarkStart w:id="631" w:name="_Toc297123548"/>
      <w:bookmarkStart w:id="632" w:name="_Toc296503199"/>
      <w:bookmarkStart w:id="633" w:name="_Toc304295574"/>
      <w:bookmarkStart w:id="634" w:name="_Toc312678033"/>
      <w:bookmarkStart w:id="635" w:name="_Toc297048385"/>
      <w:bookmarkStart w:id="636" w:name="_Toc296891027"/>
      <w:bookmarkStart w:id="637" w:name="_Toc296347198"/>
      <w:bookmarkStart w:id="638" w:name="_Toc303539154"/>
      <w:bookmarkStart w:id="639" w:name="_Toc300934997"/>
      <w:r>
        <w:rPr>
          <w:rFonts w:hint="eastAsia" w:cs="宋体" w:asciiTheme="minorEastAsia" w:hAnsiTheme="minorEastAsia"/>
          <w:szCs w:val="21"/>
        </w:rPr>
        <w:t>0.7 暂估价</w:t>
      </w:r>
      <w:bookmarkEnd w:id="622"/>
    </w:p>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14:paraId="0A6D31C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暂</w:t>
      </w:r>
      <w:bookmarkStart w:id="640" w:name="_Toc312678034"/>
      <w:bookmarkStart w:id="641" w:name="_Toc312677508"/>
      <w:bookmarkStart w:id="642" w:name="_Toc318581176"/>
      <w:r>
        <w:rPr>
          <w:rFonts w:hint="eastAsia" w:cs="宋体" w:asciiTheme="minorEastAsia" w:hAnsiTheme="minorEastAsia"/>
          <w:szCs w:val="21"/>
        </w:rPr>
        <w:t>估价材料和工程设备的明细详见附件11：《暂估价一览表》。</w:t>
      </w:r>
      <w:r>
        <w:rPr>
          <w:rFonts w:hint="eastAsia" w:cs="宋体" w:asciiTheme="minorEastAsia" w:hAnsiTheme="minorEastAsia"/>
          <w:szCs w:val="21"/>
          <w:u w:val="single"/>
        </w:rPr>
        <w:t>。</w:t>
      </w:r>
    </w:p>
    <w:bookmarkEnd w:id="640"/>
    <w:bookmarkEnd w:id="641"/>
    <w:bookmarkEnd w:id="642"/>
    <w:p w14:paraId="05C5C28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w:t>
      </w:r>
      <w:bookmarkStart w:id="643" w:name="_Toc312677509"/>
      <w:bookmarkStart w:id="644" w:name="_Toc312678035"/>
      <w:bookmarkStart w:id="645" w:name="_Toc318581177"/>
      <w:r>
        <w:rPr>
          <w:rFonts w:hint="eastAsia" w:cs="宋体" w:asciiTheme="minorEastAsia" w:hAnsiTheme="minorEastAsia"/>
          <w:szCs w:val="21"/>
        </w:rPr>
        <w:t>0.7.1 依法必须招标的暂估价项目</w:t>
      </w:r>
    </w:p>
    <w:bookmarkEnd w:id="643"/>
    <w:bookmarkEnd w:id="644"/>
    <w:bookmarkEnd w:id="645"/>
    <w:p w14:paraId="5B99634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对于依法必须招标的暂估价项目的确认和批准采取第</w:t>
      </w:r>
      <w:r>
        <w:rPr>
          <w:rFonts w:hint="eastAsia" w:cs="宋体" w:asciiTheme="minorEastAsia" w:hAnsiTheme="minorEastAsia"/>
          <w:szCs w:val="21"/>
          <w:u w:val="single"/>
        </w:rPr>
        <w:t>1</w:t>
      </w:r>
      <w:r>
        <w:rPr>
          <w:rFonts w:hint="eastAsia" w:cs="宋体" w:asciiTheme="minorEastAsia" w:hAnsiTheme="minorEastAsia"/>
          <w:szCs w:val="21"/>
        </w:rPr>
        <w:t>种方式确定。</w:t>
      </w:r>
    </w:p>
    <w:p w14:paraId="66578F5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10.7.2 不属于依法必须招标的暂估价项目</w:t>
      </w:r>
    </w:p>
    <w:p w14:paraId="39B3FAC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对于不属于依法必须招标的暂估价项目的确认和批准采取</w:t>
      </w:r>
      <w:r>
        <w:rPr>
          <w:rFonts w:hint="eastAsia" w:cs="宋体" w:asciiTheme="minorEastAsia" w:hAnsiTheme="minorEastAsia"/>
          <w:szCs w:val="21"/>
          <w:u w:val="single"/>
        </w:rPr>
        <w:t>第1种或第3种</w:t>
      </w:r>
      <w:r>
        <w:rPr>
          <w:rFonts w:hint="eastAsia" w:cs="宋体" w:asciiTheme="minorEastAsia" w:hAnsiTheme="minorEastAsia"/>
          <w:szCs w:val="21"/>
        </w:rPr>
        <w:t>方式确定。</w:t>
      </w:r>
    </w:p>
    <w:p w14:paraId="6A84544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第3种方式：承包人直接实施的暂估价项目</w:t>
      </w:r>
    </w:p>
    <w:p w14:paraId="0CC1B5C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承包人直接实施的暂估价项目的约定：</w:t>
      </w:r>
      <w:r>
        <w:rPr>
          <w:rFonts w:hint="eastAsia" w:cs="宋体" w:asciiTheme="minorEastAsia" w:hAnsiTheme="minorEastAsia"/>
          <w:szCs w:val="21"/>
          <w:u w:val="single"/>
        </w:rPr>
        <w:t>除依法必须招标的暂估价项目外，承包人具备实施暂估价项目的资格和条件的，承包人在取得监理人和发包人同意后可自行实施暂估价项目</w:t>
      </w:r>
      <w:r>
        <w:rPr>
          <w:rFonts w:hint="eastAsia" w:cs="宋体" w:asciiTheme="minorEastAsia" w:hAnsiTheme="minorEastAsia"/>
          <w:szCs w:val="21"/>
        </w:rPr>
        <w:t>。</w:t>
      </w:r>
    </w:p>
    <w:p w14:paraId="2C2DF08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10.8 暂列金额</w:t>
      </w:r>
    </w:p>
    <w:p w14:paraId="57EB63BE">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合同当事人关于暂列金额使用的约定：</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6B70286A">
      <w:pPr>
        <w:autoSpaceDN w:val="0"/>
        <w:spacing w:line="360" w:lineRule="auto"/>
        <w:ind w:firstLine="420" w:firstLineChars="200"/>
        <w:rPr>
          <w:rFonts w:cs="宋体" w:asciiTheme="minorEastAsia" w:hAnsiTheme="minorEastAsia"/>
          <w:bCs/>
          <w:szCs w:val="21"/>
        </w:rPr>
      </w:pPr>
      <w:bookmarkStart w:id="646" w:name="_Toc351203643"/>
      <w:r>
        <w:rPr>
          <w:rFonts w:hint="eastAsia" w:cs="宋体" w:asciiTheme="minorEastAsia" w:hAnsiTheme="minorEastAsia"/>
          <w:bCs/>
          <w:szCs w:val="21"/>
        </w:rPr>
        <w:t>11. 价格调整</w:t>
      </w:r>
      <w:bookmarkEnd w:id="646"/>
    </w:p>
    <w:p w14:paraId="2D1C6A55">
      <w:pPr>
        <w:autoSpaceDN w:val="0"/>
        <w:spacing w:line="360" w:lineRule="auto"/>
        <w:ind w:firstLine="420" w:firstLineChars="200"/>
        <w:rPr>
          <w:rFonts w:cs="宋体" w:asciiTheme="minorEastAsia" w:hAnsiTheme="minorEastAsia"/>
          <w:szCs w:val="21"/>
        </w:rPr>
      </w:pPr>
      <w:bookmarkStart w:id="647" w:name="_Toc304295577"/>
      <w:bookmarkStart w:id="648" w:name="_Toc296503201"/>
      <w:bookmarkStart w:id="649" w:name="_Toc296944540"/>
      <w:bookmarkStart w:id="650" w:name="_Toc296347200"/>
      <w:bookmarkStart w:id="651" w:name="_Toc297048387"/>
      <w:bookmarkStart w:id="652" w:name="_Toc297120501"/>
      <w:bookmarkStart w:id="653" w:name="_Toc296891029"/>
      <w:bookmarkStart w:id="654" w:name="_Toc300935000"/>
      <w:bookmarkStart w:id="655" w:name="_Toc297216209"/>
      <w:bookmarkStart w:id="656" w:name="_Toc296346702"/>
      <w:bookmarkStart w:id="657" w:name="_Toc292559911"/>
      <w:bookmarkStart w:id="658" w:name="_Toc312678039"/>
      <w:bookmarkStart w:id="659" w:name="_Toc292559406"/>
      <w:bookmarkStart w:id="660" w:name="_Toc296891241"/>
      <w:bookmarkStart w:id="661" w:name="_Toc303539157"/>
      <w:bookmarkStart w:id="662" w:name="_Toc297123550"/>
      <w:r>
        <w:rPr>
          <w:rFonts w:hint="eastAsia" w:cs="宋体" w:asciiTheme="minorEastAsia" w:hAnsiTheme="minorEastAsia"/>
          <w:szCs w:val="21"/>
        </w:rPr>
        <w:t>11.1 市场价格波动引起的调整</w:t>
      </w:r>
    </w:p>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14:paraId="638FD3D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市场价格波动是否调整合同价格的约定：</w:t>
      </w:r>
      <w:r>
        <w:rPr>
          <w:rFonts w:hint="eastAsia" w:cs="宋体" w:asciiTheme="minorEastAsia" w:hAnsiTheme="minorEastAsia"/>
          <w:szCs w:val="21"/>
          <w:u w:val="single"/>
        </w:rPr>
        <w:t>不调整</w:t>
      </w:r>
      <w:r>
        <w:rPr>
          <w:rFonts w:hint="eastAsia" w:cs="宋体" w:asciiTheme="minorEastAsia" w:hAnsiTheme="minorEastAsia"/>
          <w:szCs w:val="21"/>
        </w:rPr>
        <w:t>。</w:t>
      </w:r>
    </w:p>
    <w:bookmarkEnd w:id="549"/>
    <w:bookmarkEnd w:id="550"/>
    <w:bookmarkEnd w:id="551"/>
    <w:bookmarkEnd w:id="552"/>
    <w:bookmarkEnd w:id="553"/>
    <w:bookmarkEnd w:id="554"/>
    <w:p w14:paraId="2DF142CC">
      <w:pPr>
        <w:autoSpaceDN w:val="0"/>
        <w:spacing w:line="360" w:lineRule="auto"/>
        <w:ind w:firstLine="420" w:firstLineChars="200"/>
        <w:rPr>
          <w:rFonts w:cs="宋体" w:asciiTheme="minorEastAsia" w:hAnsiTheme="minorEastAsia"/>
          <w:bCs/>
          <w:szCs w:val="21"/>
        </w:rPr>
      </w:pPr>
      <w:bookmarkStart w:id="663" w:name="_Toc296944544"/>
      <w:bookmarkStart w:id="664" w:name="_Toc296347204"/>
      <w:bookmarkStart w:id="665" w:name="_Toc292559410"/>
      <w:bookmarkStart w:id="666" w:name="_Toc297120505"/>
      <w:bookmarkStart w:id="667" w:name="_Toc292559915"/>
      <w:bookmarkStart w:id="668" w:name="_Toc297048391"/>
      <w:bookmarkStart w:id="669" w:name="_Toc296503205"/>
      <w:bookmarkStart w:id="670" w:name="_Toc296891245"/>
      <w:bookmarkStart w:id="671" w:name="_Toc296346706"/>
      <w:bookmarkStart w:id="672" w:name="_Toc296891033"/>
      <w:bookmarkStart w:id="673" w:name="_Toc351203644"/>
      <w:bookmarkStart w:id="674" w:name="_Toc300935002"/>
      <w:bookmarkStart w:id="675" w:name="_Toc297123552"/>
      <w:bookmarkStart w:id="676" w:name="_Toc297216211"/>
      <w:bookmarkStart w:id="677" w:name="_Toc312678040"/>
      <w:bookmarkStart w:id="678" w:name="_Toc303539159"/>
      <w:bookmarkStart w:id="679" w:name="_Toc304295579"/>
      <w:r>
        <w:rPr>
          <w:rFonts w:hint="eastAsia" w:cs="宋体" w:asciiTheme="minorEastAsia" w:hAnsiTheme="minorEastAsia"/>
          <w:bCs/>
          <w:szCs w:val="21"/>
        </w:rPr>
        <w:t xml:space="preserve">12. </w:t>
      </w:r>
      <w:bookmarkEnd w:id="663"/>
      <w:bookmarkEnd w:id="664"/>
      <w:bookmarkEnd w:id="665"/>
      <w:bookmarkEnd w:id="666"/>
      <w:bookmarkEnd w:id="667"/>
      <w:bookmarkEnd w:id="668"/>
      <w:bookmarkEnd w:id="669"/>
      <w:bookmarkEnd w:id="670"/>
      <w:bookmarkEnd w:id="671"/>
      <w:bookmarkEnd w:id="672"/>
      <w:r>
        <w:rPr>
          <w:rFonts w:hint="eastAsia" w:cs="宋体" w:asciiTheme="minorEastAsia" w:hAnsiTheme="minorEastAsia"/>
          <w:bCs/>
          <w:szCs w:val="21"/>
        </w:rPr>
        <w:t>合同价格、计量与支付</w:t>
      </w:r>
      <w:bookmarkEnd w:id="673"/>
    </w:p>
    <w:bookmarkEnd w:id="674"/>
    <w:bookmarkEnd w:id="675"/>
    <w:bookmarkEnd w:id="676"/>
    <w:bookmarkEnd w:id="677"/>
    <w:bookmarkEnd w:id="678"/>
    <w:bookmarkEnd w:id="679"/>
    <w:p w14:paraId="6A03F448">
      <w:pPr>
        <w:autoSpaceDN w:val="0"/>
        <w:spacing w:line="360" w:lineRule="auto"/>
        <w:ind w:firstLine="420" w:firstLineChars="200"/>
        <w:rPr>
          <w:rFonts w:cs="宋体" w:asciiTheme="minorEastAsia" w:hAnsiTheme="minorEastAsia"/>
          <w:szCs w:val="21"/>
        </w:rPr>
      </w:pPr>
      <w:bookmarkStart w:id="680" w:name="_Toc267251461"/>
      <w:bookmarkStart w:id="681" w:name="_Toc292559411"/>
      <w:bookmarkStart w:id="682" w:name="_Toc292559916"/>
      <w:bookmarkStart w:id="683" w:name="_Toc296944545"/>
      <w:bookmarkStart w:id="684" w:name="_Toc297048392"/>
      <w:bookmarkStart w:id="685" w:name="_Toc296503206"/>
      <w:bookmarkStart w:id="686" w:name="_Toc297120506"/>
      <w:bookmarkStart w:id="687" w:name="_Toc296347205"/>
      <w:bookmarkStart w:id="688" w:name="_Toc296891034"/>
      <w:bookmarkStart w:id="689" w:name="_Toc296346707"/>
      <w:bookmarkStart w:id="690" w:name="_Toc296891246"/>
      <w:bookmarkStart w:id="691" w:name="_Toc303539160"/>
      <w:bookmarkStart w:id="692" w:name="_Toc304295580"/>
      <w:bookmarkStart w:id="693" w:name="_Toc312678041"/>
      <w:bookmarkStart w:id="694" w:name="_Toc297216212"/>
      <w:bookmarkStart w:id="695" w:name="_Toc300935003"/>
      <w:bookmarkStart w:id="696" w:name="_Toc297123553"/>
      <w:r>
        <w:rPr>
          <w:rFonts w:hint="eastAsia" w:cs="宋体" w:asciiTheme="minorEastAsia" w:hAnsiTheme="minorEastAsia"/>
          <w:szCs w:val="21"/>
        </w:rPr>
        <w:t>12.1 合</w:t>
      </w:r>
      <w:bookmarkEnd w:id="680"/>
      <w:bookmarkEnd w:id="681"/>
      <w:bookmarkEnd w:id="682"/>
      <w:r>
        <w:rPr>
          <w:rFonts w:hint="eastAsia" w:cs="宋体" w:asciiTheme="minorEastAsia" w:hAnsiTheme="minorEastAsia"/>
          <w:szCs w:val="21"/>
        </w:rPr>
        <w:t>同价</w:t>
      </w:r>
      <w:bookmarkEnd w:id="683"/>
      <w:bookmarkEnd w:id="684"/>
      <w:bookmarkEnd w:id="685"/>
      <w:bookmarkEnd w:id="686"/>
      <w:bookmarkEnd w:id="687"/>
      <w:bookmarkEnd w:id="688"/>
      <w:bookmarkEnd w:id="689"/>
      <w:bookmarkEnd w:id="690"/>
      <w:r>
        <w:rPr>
          <w:rFonts w:hint="eastAsia" w:cs="宋体" w:asciiTheme="minorEastAsia" w:hAnsiTheme="minorEastAsia"/>
          <w:szCs w:val="21"/>
        </w:rPr>
        <w:t>格形式</w:t>
      </w:r>
    </w:p>
    <w:bookmarkEnd w:id="691"/>
    <w:bookmarkEnd w:id="692"/>
    <w:bookmarkEnd w:id="693"/>
    <w:bookmarkEnd w:id="694"/>
    <w:bookmarkEnd w:id="695"/>
    <w:bookmarkEnd w:id="696"/>
    <w:p w14:paraId="295D381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1、单价合同。</w:t>
      </w:r>
    </w:p>
    <w:p w14:paraId="1880ECAB">
      <w:pPr>
        <w:autoSpaceDN w:val="0"/>
        <w:spacing w:line="360" w:lineRule="auto"/>
        <w:ind w:firstLine="420" w:firstLineChars="200"/>
        <w:rPr>
          <w:rFonts w:cs="宋体" w:asciiTheme="minorEastAsia" w:hAnsiTheme="minorEastAsia"/>
          <w:color w:val="auto"/>
          <w:szCs w:val="21"/>
          <w:u w:val="single"/>
        </w:rPr>
      </w:pPr>
      <w:r>
        <w:rPr>
          <w:rFonts w:hint="eastAsia" w:cs="宋体" w:asciiTheme="minorEastAsia" w:hAnsiTheme="minorEastAsia"/>
          <w:szCs w:val="21"/>
        </w:rPr>
        <w:t>综合单价包含的风险范围：</w:t>
      </w:r>
      <w:r>
        <w:rPr>
          <w:rFonts w:hint="eastAsia" w:cs="宋体" w:asciiTheme="minorEastAsia" w:hAnsiTheme="minorEastAsia"/>
          <w:szCs w:val="21"/>
          <w:u w:val="single"/>
        </w:rPr>
        <w:t>本合同约定的可调价范围外的一切可能引起工程费用增加的风险因素。</w:t>
      </w:r>
    </w:p>
    <w:p w14:paraId="63D86E1A">
      <w:pPr>
        <w:autoSpaceDN w:val="0"/>
        <w:spacing w:line="360" w:lineRule="auto"/>
        <w:ind w:firstLine="420" w:firstLineChars="200"/>
        <w:rPr>
          <w:rFonts w:cs="宋体" w:asciiTheme="minorEastAsia" w:hAnsiTheme="minorEastAsia"/>
          <w:color w:val="auto"/>
          <w:szCs w:val="21"/>
          <w:u w:val="single"/>
        </w:rPr>
      </w:pPr>
      <w:r>
        <w:rPr>
          <w:rFonts w:hint="eastAsia" w:cs="宋体" w:asciiTheme="minorEastAsia" w:hAnsiTheme="minorEastAsia"/>
          <w:color w:val="auto"/>
          <w:szCs w:val="21"/>
        </w:rPr>
        <w:t>风险费用的计算方法：</w:t>
      </w:r>
      <w:r>
        <w:rPr>
          <w:rFonts w:hint="eastAsia" w:cs="宋体" w:asciiTheme="minorEastAsia" w:hAnsiTheme="minorEastAsia"/>
          <w:color w:val="auto"/>
          <w:szCs w:val="21"/>
          <w:u w:val="single"/>
        </w:rPr>
        <w:t>不计算</w:t>
      </w:r>
      <w:r>
        <w:rPr>
          <w:rFonts w:hint="eastAsia" w:cs="宋体" w:asciiTheme="minorEastAsia" w:hAnsiTheme="minorEastAsia"/>
          <w:color w:val="auto"/>
          <w:szCs w:val="21"/>
        </w:rPr>
        <w:t>。</w:t>
      </w:r>
    </w:p>
    <w:p w14:paraId="79EBF80E">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风险范围以外合同价格的调整方法：</w:t>
      </w:r>
      <w:r>
        <w:rPr>
          <w:rFonts w:hint="eastAsia" w:cs="宋体" w:asciiTheme="minorEastAsia" w:hAnsiTheme="minorEastAsia"/>
          <w:color w:val="auto"/>
          <w:szCs w:val="21"/>
          <w:u w:val="single"/>
        </w:rPr>
        <w:t>按照合同约定调整</w:t>
      </w:r>
      <w:r>
        <w:rPr>
          <w:rFonts w:hint="eastAsia" w:cs="宋体" w:asciiTheme="minorEastAsia" w:hAnsiTheme="minorEastAsia"/>
          <w:color w:val="auto"/>
          <w:szCs w:val="21"/>
        </w:rPr>
        <w:t>。</w:t>
      </w:r>
    </w:p>
    <w:p w14:paraId="2DD8FFF8">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2、总价合同。</w:t>
      </w:r>
    </w:p>
    <w:p w14:paraId="0BD79950">
      <w:pPr>
        <w:autoSpaceDN w:val="0"/>
        <w:spacing w:line="360" w:lineRule="auto"/>
        <w:ind w:firstLine="420" w:firstLineChars="200"/>
        <w:rPr>
          <w:rFonts w:cs="宋体" w:asciiTheme="minorEastAsia" w:hAnsiTheme="minorEastAsia"/>
          <w:color w:val="auto"/>
          <w:szCs w:val="21"/>
          <w:u w:val="single"/>
        </w:rPr>
      </w:pPr>
      <w:r>
        <w:rPr>
          <w:rFonts w:hint="eastAsia" w:cs="宋体" w:asciiTheme="minorEastAsia" w:hAnsiTheme="minorEastAsia"/>
          <w:color w:val="auto"/>
          <w:szCs w:val="21"/>
        </w:rPr>
        <w:t>总价包含的风险范围：</w:t>
      </w:r>
      <w:r>
        <w:rPr>
          <w:rFonts w:hint="eastAsia" w:cs="宋体" w:asciiTheme="minorEastAsia" w:hAnsiTheme="minorEastAsia"/>
          <w:color w:val="auto"/>
          <w:szCs w:val="21"/>
          <w:u w:val="single"/>
        </w:rPr>
        <w:t>无</w:t>
      </w:r>
      <w:r>
        <w:rPr>
          <w:rFonts w:hint="eastAsia" w:cs="宋体" w:asciiTheme="minorEastAsia" w:hAnsiTheme="minorEastAsia"/>
          <w:color w:val="auto"/>
          <w:szCs w:val="21"/>
        </w:rPr>
        <w:t>。</w:t>
      </w:r>
    </w:p>
    <w:p w14:paraId="1BEA1B3A">
      <w:pPr>
        <w:autoSpaceDN w:val="0"/>
        <w:spacing w:line="360" w:lineRule="auto"/>
        <w:ind w:firstLine="420" w:firstLineChars="200"/>
        <w:rPr>
          <w:rFonts w:cs="宋体" w:asciiTheme="minorEastAsia" w:hAnsiTheme="minorEastAsia"/>
          <w:color w:val="auto"/>
          <w:szCs w:val="21"/>
          <w:u w:val="single"/>
        </w:rPr>
      </w:pPr>
      <w:r>
        <w:rPr>
          <w:rFonts w:hint="eastAsia" w:cs="宋体" w:asciiTheme="minorEastAsia" w:hAnsiTheme="minorEastAsia"/>
          <w:color w:val="auto"/>
          <w:szCs w:val="21"/>
        </w:rPr>
        <w:t>风险费用的计算方法：</w:t>
      </w:r>
      <w:r>
        <w:rPr>
          <w:rFonts w:hint="eastAsia" w:cs="宋体" w:asciiTheme="minorEastAsia" w:hAnsiTheme="minorEastAsia"/>
          <w:color w:val="auto"/>
          <w:szCs w:val="21"/>
          <w:u w:val="single"/>
        </w:rPr>
        <w:t>无</w:t>
      </w:r>
      <w:r>
        <w:rPr>
          <w:rFonts w:hint="eastAsia" w:cs="宋体" w:asciiTheme="minorEastAsia" w:hAnsiTheme="minorEastAsia"/>
          <w:color w:val="auto"/>
          <w:szCs w:val="21"/>
        </w:rPr>
        <w:t>。</w:t>
      </w:r>
    </w:p>
    <w:p w14:paraId="081031DE">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风险范围以外合同价格的调整方法：</w:t>
      </w:r>
      <w:r>
        <w:rPr>
          <w:rFonts w:hint="eastAsia" w:cs="宋体" w:asciiTheme="minorEastAsia" w:hAnsiTheme="minorEastAsia"/>
          <w:color w:val="auto"/>
          <w:szCs w:val="21"/>
          <w:u w:val="single"/>
        </w:rPr>
        <w:t>无</w:t>
      </w:r>
      <w:r>
        <w:rPr>
          <w:rFonts w:hint="eastAsia" w:cs="宋体" w:asciiTheme="minorEastAsia" w:hAnsiTheme="minorEastAsia"/>
          <w:color w:val="auto"/>
          <w:szCs w:val="21"/>
        </w:rPr>
        <w:t>。</w:t>
      </w:r>
    </w:p>
    <w:p w14:paraId="00436F6D">
      <w:pPr>
        <w:autoSpaceDN w:val="0"/>
        <w:spacing w:line="360" w:lineRule="auto"/>
        <w:ind w:firstLine="420" w:firstLineChars="200"/>
        <w:rPr>
          <w:rFonts w:cs="宋体" w:asciiTheme="minorEastAsia" w:hAnsiTheme="minorEastAsia"/>
          <w:color w:val="auto"/>
          <w:szCs w:val="21"/>
          <w:u w:val="single"/>
        </w:rPr>
      </w:pPr>
      <w:r>
        <w:rPr>
          <w:rFonts w:hint="eastAsia" w:cs="宋体" w:asciiTheme="minorEastAsia" w:hAnsiTheme="minorEastAsia"/>
          <w:color w:val="auto"/>
          <w:szCs w:val="21"/>
        </w:rPr>
        <w:t>3、其他价格方式：</w:t>
      </w:r>
      <w:r>
        <w:rPr>
          <w:rFonts w:hint="eastAsia" w:cs="宋体" w:asciiTheme="minorEastAsia" w:hAnsiTheme="minorEastAsia"/>
          <w:color w:val="auto"/>
          <w:szCs w:val="21"/>
          <w:u w:val="single"/>
        </w:rPr>
        <w:t>本合同不采用其他价格方式</w:t>
      </w:r>
      <w:r>
        <w:rPr>
          <w:rFonts w:hint="eastAsia" w:cs="宋体" w:asciiTheme="minorEastAsia" w:hAnsiTheme="minorEastAsia"/>
          <w:color w:val="auto"/>
          <w:szCs w:val="21"/>
        </w:rPr>
        <w:t>。</w:t>
      </w:r>
    </w:p>
    <w:p w14:paraId="5E1862B1">
      <w:pPr>
        <w:autoSpaceDN w:val="0"/>
        <w:spacing w:line="360" w:lineRule="auto"/>
        <w:ind w:firstLine="420" w:firstLineChars="200"/>
        <w:rPr>
          <w:rFonts w:cs="宋体" w:asciiTheme="minorEastAsia" w:hAnsiTheme="minorEastAsia"/>
          <w:color w:val="auto"/>
          <w:szCs w:val="21"/>
        </w:rPr>
      </w:pPr>
      <w:bookmarkStart w:id="697" w:name="_Toc303539161"/>
      <w:bookmarkStart w:id="698" w:name="_Toc300935004"/>
      <w:bookmarkStart w:id="699" w:name="_Toc297216213"/>
      <w:bookmarkStart w:id="700" w:name="_Toc304295581"/>
      <w:bookmarkStart w:id="701" w:name="_Toc312678042"/>
      <w:bookmarkStart w:id="702" w:name="_Toc297123554"/>
      <w:bookmarkStart w:id="703" w:name="_Toc296891035"/>
      <w:bookmarkStart w:id="704" w:name="_Toc292559412"/>
      <w:bookmarkStart w:id="705" w:name="_Toc292559917"/>
      <w:bookmarkStart w:id="706" w:name="_Toc297048393"/>
      <w:bookmarkStart w:id="707" w:name="_Toc296347206"/>
      <w:bookmarkStart w:id="708" w:name="_Toc296503207"/>
      <w:bookmarkStart w:id="709" w:name="_Toc297120507"/>
      <w:bookmarkStart w:id="710" w:name="_Toc296944546"/>
      <w:bookmarkStart w:id="711" w:name="_Toc296346708"/>
      <w:bookmarkStart w:id="712" w:name="_Toc296891247"/>
      <w:r>
        <w:rPr>
          <w:rFonts w:hint="eastAsia" w:cs="宋体" w:asciiTheme="minorEastAsia" w:hAnsiTheme="minorEastAsia"/>
          <w:color w:val="auto"/>
          <w:szCs w:val="21"/>
        </w:rPr>
        <w:t>12.2 预付款</w:t>
      </w:r>
    </w:p>
    <w:bookmarkEnd w:id="697"/>
    <w:bookmarkEnd w:id="698"/>
    <w:bookmarkEnd w:id="699"/>
    <w:bookmarkEnd w:id="700"/>
    <w:bookmarkEnd w:id="701"/>
    <w:bookmarkEnd w:id="702"/>
    <w:p w14:paraId="66A9B82A">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12.2.1 预付款的支付</w:t>
      </w:r>
    </w:p>
    <w:p w14:paraId="2FBF959D">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预付款支付比例或金额：</w:t>
      </w:r>
      <w:r>
        <w:rPr>
          <w:rFonts w:hint="eastAsia" w:cs="宋体" w:asciiTheme="minorEastAsia" w:hAnsiTheme="minorEastAsia"/>
          <w:color w:val="auto"/>
          <w:szCs w:val="21"/>
          <w:u w:val="single"/>
          <w:lang w:val="en-US" w:eastAsia="zh-CN"/>
        </w:rPr>
        <w:t>/</w:t>
      </w:r>
      <w:r>
        <w:rPr>
          <w:rFonts w:hint="eastAsia" w:cs="宋体" w:asciiTheme="minorEastAsia" w:hAnsiTheme="minorEastAsia"/>
          <w:color w:val="auto"/>
          <w:szCs w:val="21"/>
        </w:rPr>
        <w:t>。</w:t>
      </w:r>
    </w:p>
    <w:p w14:paraId="709CA33E">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12.2.2 预付款担保</w:t>
      </w:r>
    </w:p>
    <w:p w14:paraId="011D9904">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承包人提交预付款担保的期限：</w:t>
      </w:r>
      <w:r>
        <w:rPr>
          <w:rFonts w:hint="eastAsia" w:cs="宋体" w:asciiTheme="minorEastAsia" w:hAnsiTheme="minorEastAsia"/>
          <w:color w:val="auto"/>
          <w:szCs w:val="21"/>
          <w:u w:val="single"/>
        </w:rPr>
        <w:t>无</w:t>
      </w:r>
      <w:r>
        <w:rPr>
          <w:rFonts w:hint="eastAsia" w:cs="宋体" w:asciiTheme="minorEastAsia" w:hAnsiTheme="minorEastAsia"/>
          <w:color w:val="auto"/>
          <w:szCs w:val="21"/>
        </w:rPr>
        <w:t>。</w:t>
      </w:r>
    </w:p>
    <w:p w14:paraId="2F725B34">
      <w:pPr>
        <w:autoSpaceDN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预付款担保的形式为：</w:t>
      </w:r>
      <w:r>
        <w:rPr>
          <w:rFonts w:hint="eastAsia" w:cs="宋体" w:asciiTheme="minorEastAsia" w:hAnsiTheme="minorEastAsia"/>
          <w:color w:val="auto"/>
          <w:szCs w:val="21"/>
          <w:u w:val="single"/>
        </w:rPr>
        <w:t>无</w:t>
      </w:r>
      <w:r>
        <w:rPr>
          <w:rFonts w:hint="eastAsia" w:cs="宋体" w:asciiTheme="minorEastAsia" w:hAnsiTheme="minorEastAsia"/>
          <w:color w:val="auto"/>
          <w:szCs w:val="21"/>
        </w:rPr>
        <w:t>。</w:t>
      </w:r>
    </w:p>
    <w:bookmarkEnd w:id="703"/>
    <w:bookmarkEnd w:id="704"/>
    <w:bookmarkEnd w:id="705"/>
    <w:bookmarkEnd w:id="706"/>
    <w:bookmarkEnd w:id="707"/>
    <w:bookmarkEnd w:id="708"/>
    <w:bookmarkEnd w:id="709"/>
    <w:bookmarkEnd w:id="710"/>
    <w:bookmarkEnd w:id="711"/>
    <w:bookmarkEnd w:id="712"/>
    <w:p w14:paraId="5826DEC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12.3 计量</w:t>
      </w:r>
    </w:p>
    <w:p w14:paraId="19A1018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12.3.1 计量原则</w:t>
      </w:r>
    </w:p>
    <w:p w14:paraId="52910E75">
      <w:pPr>
        <w:autoSpaceDN w:val="0"/>
        <w:spacing w:line="360" w:lineRule="auto"/>
        <w:ind w:firstLine="420" w:firstLineChars="200"/>
        <w:rPr>
          <w:rFonts w:cs="宋体" w:asciiTheme="minorEastAsia" w:hAnsiTheme="minorEastAsia"/>
          <w:bCs/>
          <w:szCs w:val="21"/>
          <w:u w:val="single"/>
        </w:rPr>
      </w:pPr>
      <w:r>
        <w:rPr>
          <w:rFonts w:hint="eastAsia" w:cs="宋体" w:asciiTheme="minorEastAsia" w:hAnsiTheme="minorEastAsia"/>
          <w:szCs w:val="21"/>
        </w:rPr>
        <w:t>工程量计算规则：</w:t>
      </w:r>
      <w:r>
        <w:rPr>
          <w:rFonts w:hint="eastAsia" w:cs="宋体" w:asciiTheme="minorEastAsia" w:hAnsiTheme="minorEastAsia"/>
          <w:szCs w:val="21"/>
          <w:u w:val="single"/>
        </w:rPr>
        <w:t>施工过程中由发包人另行制定。</w:t>
      </w:r>
    </w:p>
    <w:p w14:paraId="11A6065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12.3.2 计量周期</w:t>
      </w:r>
    </w:p>
    <w:p w14:paraId="776FC88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关于计量周期的约定：</w:t>
      </w:r>
      <w:r>
        <w:rPr>
          <w:rFonts w:hint="eastAsia" w:cs="宋体" w:asciiTheme="minorEastAsia" w:hAnsiTheme="minorEastAsia"/>
          <w:szCs w:val="21"/>
          <w:u w:val="single"/>
        </w:rPr>
        <w:t>本工程根据形象进度计量，计量的结果仅作为拨付进度款的依据，不作为最终结算的依据。工程量最终以工程完工后，第三方审计机构认定的工程量为准。</w:t>
      </w:r>
    </w:p>
    <w:p w14:paraId="0074F2B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12.3.3 单价合同的计量</w:t>
      </w:r>
    </w:p>
    <w:p w14:paraId="638DC131">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关于单价合同计量的约定：</w:t>
      </w:r>
      <w:r>
        <w:rPr>
          <w:rFonts w:hint="eastAsia" w:cs="宋体" w:asciiTheme="minorEastAsia" w:hAnsiTheme="minorEastAsia"/>
          <w:szCs w:val="21"/>
          <w:u w:val="single"/>
        </w:rPr>
        <w:t>施工过程中由发包人另行制定</w:t>
      </w:r>
    </w:p>
    <w:p w14:paraId="0A868FD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12.3.4 总价合同的计量</w:t>
      </w:r>
    </w:p>
    <w:p w14:paraId="3206C59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关于总价合同计量的约定：</w:t>
      </w:r>
      <w:r>
        <w:rPr>
          <w:rFonts w:hint="eastAsia" w:cs="宋体" w:asciiTheme="minorEastAsia" w:hAnsiTheme="minorEastAsia"/>
          <w:szCs w:val="21"/>
          <w:u w:val="single"/>
        </w:rPr>
        <w:t>无</w:t>
      </w:r>
      <w:r>
        <w:rPr>
          <w:rFonts w:hint="eastAsia" w:cs="宋体" w:asciiTheme="minorEastAsia" w:hAnsiTheme="minorEastAsia"/>
          <w:szCs w:val="21"/>
        </w:rPr>
        <w:t>。</w:t>
      </w:r>
    </w:p>
    <w:p w14:paraId="3D2795C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12.3.5总价合同采用支付分解表计量支付的，是否适用第12.3.4 项〔总价合同的计量〕约定进行计量：</w:t>
      </w:r>
      <w:r>
        <w:rPr>
          <w:rFonts w:hint="eastAsia" w:cs="宋体" w:asciiTheme="minorEastAsia" w:hAnsiTheme="minorEastAsia"/>
          <w:szCs w:val="21"/>
          <w:u w:val="single"/>
        </w:rPr>
        <w:t>无</w:t>
      </w:r>
      <w:r>
        <w:rPr>
          <w:rFonts w:hint="eastAsia" w:cs="宋体" w:asciiTheme="minorEastAsia" w:hAnsiTheme="minorEastAsia"/>
          <w:szCs w:val="21"/>
        </w:rPr>
        <w:t>。</w:t>
      </w:r>
    </w:p>
    <w:p w14:paraId="2947F21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12.3.6 其他价格形式合同的计量</w:t>
      </w:r>
    </w:p>
    <w:p w14:paraId="1942DBD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其他价格形式的计量方式和程序：</w:t>
      </w:r>
      <w:r>
        <w:rPr>
          <w:rFonts w:hint="eastAsia" w:cs="宋体" w:asciiTheme="minorEastAsia" w:hAnsiTheme="minorEastAsia"/>
          <w:szCs w:val="21"/>
          <w:u w:val="single"/>
        </w:rPr>
        <w:t>无</w:t>
      </w:r>
      <w:r>
        <w:rPr>
          <w:rFonts w:hint="eastAsia" w:cs="宋体" w:asciiTheme="minorEastAsia" w:hAnsiTheme="minorEastAsia"/>
          <w:szCs w:val="21"/>
        </w:rPr>
        <w:t>。</w:t>
      </w:r>
    </w:p>
    <w:p w14:paraId="192A840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12.4 工程进度款支付</w:t>
      </w:r>
    </w:p>
    <w:p w14:paraId="5326F606">
      <w:pPr>
        <w:autoSpaceDN w:val="0"/>
        <w:spacing w:line="360" w:lineRule="auto"/>
        <w:ind w:firstLine="420" w:firstLineChars="200"/>
        <w:rPr>
          <w:rFonts w:cs="宋体" w:asciiTheme="minorEastAsia" w:hAnsiTheme="minorEastAsia"/>
          <w:szCs w:val="21"/>
        </w:rPr>
      </w:pPr>
      <w:bookmarkStart w:id="713" w:name="_Toc297048397"/>
      <w:bookmarkStart w:id="714" w:name="_Toc296503211"/>
      <w:bookmarkStart w:id="715" w:name="_Toc292559921"/>
      <w:bookmarkStart w:id="716" w:name="_Toc297120511"/>
      <w:bookmarkStart w:id="717" w:name="_Toc300935006"/>
      <w:bookmarkStart w:id="718" w:name="_Toc296891251"/>
      <w:bookmarkStart w:id="719" w:name="_Toc296346712"/>
      <w:bookmarkStart w:id="720" w:name="_Toc296891039"/>
      <w:bookmarkStart w:id="721" w:name="_Toc297123556"/>
      <w:bookmarkStart w:id="722" w:name="_Toc297216215"/>
      <w:bookmarkStart w:id="723" w:name="_Toc303539163"/>
      <w:bookmarkStart w:id="724" w:name="_Toc296944550"/>
      <w:bookmarkStart w:id="725" w:name="_Toc296347210"/>
      <w:bookmarkStart w:id="726" w:name="_Toc292559416"/>
      <w:r>
        <w:rPr>
          <w:rFonts w:hint="eastAsia" w:cs="宋体" w:asciiTheme="minorEastAsia" w:hAnsiTheme="minorEastAsia"/>
          <w:szCs w:val="21"/>
        </w:rPr>
        <w:t>12.4.1 付款周期</w:t>
      </w:r>
    </w:p>
    <w:p w14:paraId="788FDB5A">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关于付款周期的约定：</w:t>
      </w:r>
      <w:r>
        <w:rPr>
          <w:rFonts w:hint="eastAsia" w:cs="宋体" w:asciiTheme="minorEastAsia" w:hAnsiTheme="minorEastAsia"/>
          <w:szCs w:val="21"/>
          <w:u w:val="single"/>
        </w:rPr>
        <w:t>施工过程中由发包人另行制定 。</w:t>
      </w:r>
    </w:p>
    <w:p w14:paraId="40BA859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12.4.2 进度付款申请单的编制</w:t>
      </w:r>
    </w:p>
    <w:p w14:paraId="6BCF1F64">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关于进度付款申请单编制的约定：</w:t>
      </w:r>
      <w:r>
        <w:rPr>
          <w:rFonts w:hint="eastAsia" w:cs="宋体" w:asciiTheme="minorEastAsia" w:hAnsiTheme="minorEastAsia"/>
          <w:szCs w:val="21"/>
          <w:u w:val="single"/>
        </w:rPr>
        <w:t xml:space="preserve">支付申请的内容除通用条款外包括但不限于： </w:t>
      </w:r>
    </w:p>
    <w:p w14:paraId="56802DF8">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1.支付申请表；</w:t>
      </w:r>
    </w:p>
    <w:p w14:paraId="21F32571">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2.工程进度款预算书;</w:t>
      </w:r>
    </w:p>
    <w:p w14:paraId="60FDF35E">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3.资金申请审批表。</w:t>
      </w:r>
    </w:p>
    <w:p w14:paraId="5F33DCC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Pr>
          <w:rFonts w:hint="eastAsia" w:cs="宋体" w:asciiTheme="minorEastAsia" w:hAnsiTheme="minorEastAsia"/>
          <w:szCs w:val="21"/>
        </w:rPr>
        <w:t>2.4.3 进度付款申请单的提交</w:t>
      </w:r>
    </w:p>
    <w:p w14:paraId="7D3E3E2B">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（1）单价合同进度付款申请单提交的约定：</w:t>
      </w:r>
      <w:r>
        <w:rPr>
          <w:rFonts w:hint="eastAsia" w:cs="宋体" w:asciiTheme="minorEastAsia" w:hAnsiTheme="minorEastAsia"/>
          <w:szCs w:val="21"/>
          <w:u w:val="single"/>
        </w:rPr>
        <w:t>施工过程中由发包人另行制定。</w:t>
      </w:r>
    </w:p>
    <w:p w14:paraId="69C6FF6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（2）总价合同进度付款申请单提交的约定：</w:t>
      </w:r>
      <w:r>
        <w:rPr>
          <w:rFonts w:hint="eastAsia" w:cs="宋体" w:asciiTheme="minorEastAsia" w:hAnsiTheme="minorEastAsia"/>
          <w:szCs w:val="21"/>
          <w:u w:val="single"/>
        </w:rPr>
        <w:t>无</w:t>
      </w:r>
      <w:r>
        <w:rPr>
          <w:rFonts w:hint="eastAsia" w:cs="宋体" w:asciiTheme="minorEastAsia" w:hAnsiTheme="minorEastAsia"/>
          <w:szCs w:val="21"/>
        </w:rPr>
        <w:t>。</w:t>
      </w:r>
    </w:p>
    <w:p w14:paraId="23D35D63">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（3）其他价格形式合同进度付款申请单提交的约定：</w:t>
      </w:r>
      <w:r>
        <w:rPr>
          <w:rFonts w:hint="eastAsia" w:cs="宋体" w:asciiTheme="minorEastAsia" w:hAnsiTheme="minorEastAsia"/>
          <w:szCs w:val="21"/>
          <w:u w:val="single"/>
        </w:rPr>
        <w:t>无</w:t>
      </w:r>
      <w:r>
        <w:rPr>
          <w:rFonts w:hint="eastAsia" w:cs="宋体" w:asciiTheme="minorEastAsia" w:hAnsiTheme="minorEastAsia"/>
          <w:szCs w:val="21"/>
        </w:rPr>
        <w:t>。</w:t>
      </w:r>
    </w:p>
    <w:p w14:paraId="713F0FB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12.4.4 进度款审核和支付</w:t>
      </w:r>
    </w:p>
    <w:p w14:paraId="4B1A8FE2">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（1）监理人审查并报送发包人的期限：</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24E4425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发包人完成审批并签发进度款支付证书的期限：</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03CE274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（2）发包人支付进度款的期限：</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41ECEB4C">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发包人逾期支付进度款的违约金的计算方式：</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5F61827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12.4.6 支付分解表的编制</w:t>
      </w:r>
    </w:p>
    <w:p w14:paraId="4D50440B">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2、总价合同支付分解表的编制与审批：</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5A597C8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3、单价合同的总价项目支付分解表的编制与审批：</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3A46AC88">
      <w:pPr>
        <w:autoSpaceDN w:val="0"/>
        <w:spacing w:line="360" w:lineRule="auto"/>
        <w:ind w:firstLine="420" w:firstLineChars="200"/>
        <w:rPr>
          <w:rFonts w:cs="宋体" w:asciiTheme="minorEastAsia" w:hAnsiTheme="minorEastAsia"/>
          <w:bCs/>
          <w:szCs w:val="21"/>
        </w:rPr>
      </w:pPr>
      <w:bookmarkStart w:id="727" w:name="_Toc351203645"/>
      <w:bookmarkStart w:id="728" w:name="_Toc292559929"/>
      <w:bookmarkStart w:id="729" w:name="_Toc296891047"/>
      <w:bookmarkStart w:id="730" w:name="_Toc297048405"/>
      <w:bookmarkStart w:id="731" w:name="_Toc297123564"/>
      <w:bookmarkStart w:id="732" w:name="_Toc297216223"/>
      <w:bookmarkStart w:id="733" w:name="_Toc296891259"/>
      <w:bookmarkStart w:id="734" w:name="_Toc296503219"/>
      <w:bookmarkStart w:id="735" w:name="_Toc303539172"/>
      <w:bookmarkStart w:id="736" w:name="_Toc304295593"/>
      <w:bookmarkStart w:id="737" w:name="_Toc292559424"/>
      <w:bookmarkStart w:id="738" w:name="_Toc300935015"/>
      <w:bookmarkStart w:id="739" w:name="_Toc297120519"/>
      <w:bookmarkStart w:id="740" w:name="_Toc296944558"/>
      <w:bookmarkStart w:id="741" w:name="_Toc296347218"/>
      <w:bookmarkStart w:id="742" w:name="_Toc312678053"/>
      <w:bookmarkStart w:id="743" w:name="_Toc296346720"/>
      <w:r>
        <w:rPr>
          <w:rFonts w:hint="eastAsia" w:cs="宋体" w:asciiTheme="minorEastAsia" w:hAnsiTheme="minorEastAsia"/>
          <w:bCs/>
          <w:szCs w:val="21"/>
        </w:rPr>
        <w:t>13. 验收和工程试车</w:t>
      </w:r>
      <w:bookmarkEnd w:id="727"/>
    </w:p>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14:paraId="640A28A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13.1 分部分项工程验收</w:t>
      </w:r>
    </w:p>
    <w:p w14:paraId="748B161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13.1.2监理人不能按时进行验收时，应提前</w:t>
      </w:r>
      <w:r>
        <w:rPr>
          <w:rFonts w:hint="eastAsia" w:cs="宋体" w:asciiTheme="minorEastAsia" w:hAnsiTheme="minorEastAsia"/>
          <w:szCs w:val="21"/>
          <w:u w:val="single"/>
        </w:rPr>
        <w:t xml:space="preserve">   24  </w:t>
      </w:r>
      <w:r>
        <w:rPr>
          <w:rFonts w:hint="eastAsia" w:cs="宋体" w:asciiTheme="minorEastAsia" w:hAnsiTheme="minorEastAsia"/>
          <w:szCs w:val="21"/>
        </w:rPr>
        <w:t>小时提交书面延期要求。</w:t>
      </w:r>
    </w:p>
    <w:p w14:paraId="3E22E945">
      <w:pPr>
        <w:autoSpaceDN w:val="0"/>
        <w:spacing w:line="360" w:lineRule="auto"/>
        <w:ind w:firstLine="420" w:firstLineChars="200"/>
        <w:rPr>
          <w:rFonts w:cs="宋体" w:asciiTheme="minorEastAsia" w:hAnsiTheme="minorEastAsia"/>
          <w:b/>
          <w:szCs w:val="21"/>
        </w:rPr>
      </w:pPr>
      <w:r>
        <w:rPr>
          <w:rFonts w:hint="eastAsia" w:cs="宋体" w:asciiTheme="minorEastAsia" w:hAnsiTheme="minorEastAsia"/>
          <w:szCs w:val="21"/>
        </w:rPr>
        <w:t>关于延期最长不得超过：</w:t>
      </w:r>
      <w:r>
        <w:rPr>
          <w:rFonts w:hint="eastAsia" w:cs="宋体" w:asciiTheme="minorEastAsia" w:hAnsiTheme="minorEastAsia"/>
          <w:szCs w:val="21"/>
          <w:u w:val="single"/>
        </w:rPr>
        <w:t xml:space="preserve">    48     </w:t>
      </w:r>
      <w:r>
        <w:rPr>
          <w:rFonts w:hint="eastAsia" w:cs="宋体" w:asciiTheme="minorEastAsia" w:hAnsiTheme="minorEastAsia"/>
          <w:szCs w:val="21"/>
        </w:rPr>
        <w:t>小时。</w:t>
      </w:r>
    </w:p>
    <w:p w14:paraId="68D2AFEE">
      <w:pPr>
        <w:autoSpaceDN w:val="0"/>
        <w:spacing w:line="360" w:lineRule="auto"/>
        <w:ind w:firstLine="420" w:firstLineChars="200"/>
        <w:rPr>
          <w:rFonts w:cs="宋体" w:asciiTheme="minorEastAsia" w:hAnsiTheme="minorEastAsia"/>
          <w:szCs w:val="21"/>
        </w:rPr>
      </w:pPr>
      <w:bookmarkStart w:id="744" w:name="_Toc300935016"/>
      <w:bookmarkStart w:id="745" w:name="_Toc292559933"/>
      <w:bookmarkStart w:id="746" w:name="_Toc292559428"/>
      <w:bookmarkStart w:id="747" w:name="_Toc297123565"/>
      <w:bookmarkStart w:id="748" w:name="_Toc296944562"/>
      <w:bookmarkStart w:id="749" w:name="_Toc297120523"/>
      <w:bookmarkStart w:id="750" w:name="_Toc297048409"/>
      <w:bookmarkStart w:id="751" w:name="_Toc296891263"/>
      <w:bookmarkStart w:id="752" w:name="_Toc296347222"/>
      <w:bookmarkStart w:id="753" w:name="_Toc296346724"/>
      <w:bookmarkStart w:id="754" w:name="_Toc304295596"/>
      <w:bookmarkStart w:id="755" w:name="_Toc296503223"/>
      <w:bookmarkStart w:id="756" w:name="_Toc297216224"/>
      <w:bookmarkStart w:id="757" w:name="_Toc312678056"/>
      <w:bookmarkStart w:id="758" w:name="_Toc303539173"/>
      <w:bookmarkStart w:id="759" w:name="_Toc296891051"/>
      <w:bookmarkStart w:id="760" w:name="_Toc267251475"/>
      <w:bookmarkStart w:id="761" w:name="_Toc267251473"/>
      <w:bookmarkStart w:id="762" w:name="_Toc267251472"/>
      <w:bookmarkStart w:id="763" w:name="_Toc267251474"/>
      <w:bookmarkStart w:id="764" w:name="_Toc267251470"/>
      <w:bookmarkStart w:id="765" w:name="_Toc267251471"/>
      <w:bookmarkStart w:id="766" w:name="_Toc267251476"/>
      <w:r>
        <w:rPr>
          <w:rFonts w:hint="eastAsia" w:cs="宋体" w:asciiTheme="minorEastAsia" w:hAnsiTheme="minorEastAsia"/>
          <w:szCs w:val="21"/>
        </w:rPr>
        <w:t>13.2 竣工验收</w:t>
      </w:r>
    </w:p>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14:paraId="4F23B5E9">
      <w:pPr>
        <w:autoSpaceDN w:val="0"/>
        <w:spacing w:line="360" w:lineRule="auto"/>
        <w:ind w:firstLine="420" w:firstLineChars="200"/>
        <w:rPr>
          <w:rFonts w:cs="宋体" w:asciiTheme="minorEastAsia" w:hAnsiTheme="minorEastAsia"/>
          <w:szCs w:val="21"/>
        </w:rPr>
      </w:pPr>
      <w:bookmarkStart w:id="767" w:name="_Toc280868704"/>
      <w:bookmarkStart w:id="768" w:name="_Toc280868705"/>
      <w:bookmarkStart w:id="769" w:name="_Toc280868706"/>
      <w:bookmarkStart w:id="770" w:name="_Toc280868707"/>
      <w:bookmarkStart w:id="771" w:name="_Toc280868708"/>
      <w:bookmarkStart w:id="772" w:name="_Toc280868709"/>
      <w:r>
        <w:rPr>
          <w:rFonts w:hint="eastAsia" w:cs="宋体" w:asciiTheme="minorEastAsia" w:hAnsiTheme="minorEastAsia"/>
          <w:szCs w:val="21"/>
        </w:rPr>
        <w:t>13.2.2竣工验收程序</w:t>
      </w:r>
    </w:p>
    <w:bookmarkEnd w:id="767"/>
    <w:p w14:paraId="3D9E2C5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关于竣工验收程序的约定：</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6D5A0388">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发包人不按照本项约定组织竣工验收、颁发工程接收证书的违约金的计算方法：</w:t>
      </w:r>
      <w:r>
        <w:rPr>
          <w:rFonts w:hint="eastAsia" w:cs="宋体" w:asciiTheme="minorEastAsia" w:hAnsiTheme="minorEastAsia"/>
          <w:szCs w:val="21"/>
          <w:u w:val="single"/>
        </w:rPr>
        <w:t>无</w:t>
      </w:r>
      <w:r>
        <w:rPr>
          <w:rFonts w:hint="eastAsia" w:cs="宋体" w:asciiTheme="minorEastAsia" w:hAnsiTheme="minorEastAsia"/>
          <w:szCs w:val="21"/>
        </w:rPr>
        <w:t>。</w:t>
      </w:r>
    </w:p>
    <w:bookmarkEnd w:id="768"/>
    <w:p w14:paraId="19B6CE6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13.2.5移交、接收全部与部分工程</w:t>
      </w:r>
    </w:p>
    <w:bookmarkEnd w:id="769"/>
    <w:p w14:paraId="228B67F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承包人向发包人移交工程的期限：</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0FE0685C">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发包人未按本合同约定接收全部或部分工程的，违约金的计算方法为：</w:t>
      </w:r>
      <w:r>
        <w:rPr>
          <w:rFonts w:hint="eastAsia" w:cs="宋体" w:asciiTheme="minorEastAsia" w:hAnsiTheme="minorEastAsia"/>
          <w:szCs w:val="21"/>
          <w:u w:val="single"/>
        </w:rPr>
        <w:t>无</w:t>
      </w:r>
      <w:r>
        <w:rPr>
          <w:rFonts w:hint="eastAsia" w:cs="宋体" w:asciiTheme="minorEastAsia" w:hAnsiTheme="minorEastAsia"/>
          <w:szCs w:val="21"/>
        </w:rPr>
        <w:t>。</w:t>
      </w:r>
    </w:p>
    <w:bookmarkEnd w:id="770"/>
    <w:p w14:paraId="63A0633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承包人未按时移交工程的，违约金的计算方法为：</w:t>
      </w:r>
      <w:r>
        <w:rPr>
          <w:rFonts w:hint="eastAsia" w:cs="宋体" w:asciiTheme="minorEastAsia" w:hAnsiTheme="minorEastAsia"/>
          <w:szCs w:val="21"/>
          <w:u w:val="single"/>
        </w:rPr>
        <w:t>每逾期移交工程1天，处违约金5000元，并赔偿发包人由此造成的全部损失。</w:t>
      </w:r>
    </w:p>
    <w:p w14:paraId="281EEAC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13.3 工程试车</w:t>
      </w:r>
    </w:p>
    <w:bookmarkEnd w:id="771"/>
    <w:p w14:paraId="49831A3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13.3.1 试车程序</w:t>
      </w:r>
    </w:p>
    <w:p w14:paraId="75B3463B">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工程试车内容：</w:t>
      </w:r>
      <w:r>
        <w:rPr>
          <w:rFonts w:hint="eastAsia" w:cs="宋体" w:asciiTheme="minorEastAsia" w:hAnsiTheme="minorEastAsia"/>
          <w:szCs w:val="21"/>
          <w:u w:val="single"/>
        </w:rPr>
        <w:t>合同内全部安装的设备设施。</w:t>
      </w:r>
    </w:p>
    <w:p w14:paraId="1990063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（1）单机无负荷试车费用由</w:t>
      </w:r>
      <w:r>
        <w:rPr>
          <w:rFonts w:hint="eastAsia" w:cs="宋体" w:asciiTheme="minorEastAsia" w:hAnsiTheme="minorEastAsia"/>
          <w:szCs w:val="21"/>
          <w:u w:val="single"/>
        </w:rPr>
        <w:t>承包人</w:t>
      </w:r>
      <w:r>
        <w:rPr>
          <w:rFonts w:hint="eastAsia" w:cs="宋体" w:asciiTheme="minorEastAsia" w:hAnsiTheme="minorEastAsia"/>
          <w:szCs w:val="21"/>
        </w:rPr>
        <w:t>承担；</w:t>
      </w:r>
    </w:p>
    <w:p w14:paraId="77DA8A4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（2）无负荷联动试车费用由</w:t>
      </w:r>
      <w:r>
        <w:rPr>
          <w:rFonts w:hint="eastAsia" w:cs="宋体" w:asciiTheme="minorEastAsia" w:hAnsiTheme="minorEastAsia"/>
          <w:szCs w:val="21"/>
          <w:u w:val="single"/>
        </w:rPr>
        <w:t>承包人</w:t>
      </w:r>
      <w:r>
        <w:rPr>
          <w:rFonts w:hint="eastAsia" w:cs="宋体" w:asciiTheme="minorEastAsia" w:hAnsiTheme="minorEastAsia"/>
          <w:szCs w:val="21"/>
        </w:rPr>
        <w:t>承担。</w:t>
      </w:r>
    </w:p>
    <w:p w14:paraId="3AC22C0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13.3.3 投料试车</w:t>
      </w:r>
    </w:p>
    <w:p w14:paraId="1BC350F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关于投料试车相关事项的约定：</w:t>
      </w:r>
      <w:r>
        <w:rPr>
          <w:rFonts w:hint="eastAsia" w:cs="宋体" w:asciiTheme="minorEastAsia" w:hAnsiTheme="minorEastAsia"/>
          <w:szCs w:val="21"/>
          <w:u w:val="single"/>
        </w:rPr>
        <w:t>工程验收前必须完成全部安装的设备的试运行，承包人承担全部费用</w:t>
      </w:r>
      <w:r>
        <w:rPr>
          <w:rFonts w:hint="eastAsia" w:cs="宋体" w:asciiTheme="minorEastAsia" w:hAnsiTheme="minorEastAsia"/>
          <w:szCs w:val="21"/>
        </w:rPr>
        <w:t>。</w:t>
      </w:r>
    </w:p>
    <w:p w14:paraId="005D1605">
      <w:pPr>
        <w:autoSpaceDN w:val="0"/>
        <w:spacing w:line="360" w:lineRule="auto"/>
        <w:ind w:firstLine="420" w:firstLineChars="200"/>
        <w:rPr>
          <w:rFonts w:cs="宋体" w:asciiTheme="minorEastAsia" w:hAnsiTheme="minorEastAsia"/>
          <w:szCs w:val="21"/>
        </w:rPr>
      </w:pPr>
      <w:bookmarkStart w:id="773" w:name="_Toc54777961"/>
      <w:r>
        <w:rPr>
          <w:rFonts w:hint="eastAsia" w:cs="宋体" w:asciiTheme="minorEastAsia" w:hAnsiTheme="minorEastAsia"/>
          <w:szCs w:val="21"/>
        </w:rPr>
        <w:t>13.6 竣工退场</w:t>
      </w:r>
      <w:bookmarkEnd w:id="773"/>
    </w:p>
    <w:p w14:paraId="62E3B42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13.6.1 竣工退场</w:t>
      </w:r>
    </w:p>
    <w:p w14:paraId="1ECE142B">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承包人完成竣工退场的期限：</w:t>
      </w:r>
      <w:r>
        <w:rPr>
          <w:rFonts w:hint="eastAsia" w:cs="宋体" w:asciiTheme="minorEastAsia" w:hAnsiTheme="minorEastAsia"/>
          <w:szCs w:val="21"/>
          <w:u w:val="single"/>
        </w:rPr>
        <w:t>工程移交后7天内</w:t>
      </w:r>
      <w:r>
        <w:rPr>
          <w:rFonts w:hint="eastAsia" w:cs="宋体" w:asciiTheme="minorEastAsia" w:hAnsiTheme="minorEastAsia"/>
          <w:szCs w:val="21"/>
        </w:rPr>
        <w:t>。</w:t>
      </w:r>
    </w:p>
    <w:p w14:paraId="13B8739A">
      <w:pPr>
        <w:autoSpaceDN w:val="0"/>
        <w:spacing w:line="360" w:lineRule="auto"/>
        <w:ind w:firstLine="420" w:firstLineChars="200"/>
        <w:rPr>
          <w:rFonts w:cs="宋体" w:asciiTheme="minorEastAsia" w:hAnsiTheme="minorEastAsia"/>
          <w:bCs/>
          <w:szCs w:val="21"/>
        </w:rPr>
      </w:pPr>
      <w:bookmarkStart w:id="774" w:name="_Toc351203646"/>
      <w:r>
        <w:rPr>
          <w:rFonts w:hint="eastAsia" w:cs="宋体" w:asciiTheme="minorEastAsia" w:hAnsiTheme="minorEastAsia"/>
          <w:bCs/>
          <w:szCs w:val="21"/>
        </w:rPr>
        <w:t>14. 竣工结算</w:t>
      </w:r>
      <w:bookmarkEnd w:id="774"/>
    </w:p>
    <w:p w14:paraId="7E94B87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14.1 竣工结算申请</w:t>
      </w:r>
    </w:p>
    <w:p w14:paraId="2D9312F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承包人提交竣工结算申请单的期限：</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28C0FF9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竣工结算申请单应包括的内容：</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7DF79241">
      <w:pPr>
        <w:autoSpaceDN w:val="0"/>
        <w:spacing w:line="360" w:lineRule="auto"/>
        <w:ind w:firstLine="420" w:firstLineChars="200"/>
        <w:rPr>
          <w:rFonts w:cs="宋体" w:asciiTheme="minorEastAsia" w:hAnsiTheme="minorEastAsia"/>
          <w:szCs w:val="21"/>
        </w:rPr>
      </w:pPr>
      <w:bookmarkStart w:id="775" w:name="_Toc54777962"/>
      <w:r>
        <w:rPr>
          <w:rFonts w:hint="eastAsia" w:cs="宋体" w:asciiTheme="minorEastAsia" w:hAnsiTheme="minorEastAsia"/>
          <w:szCs w:val="21"/>
        </w:rPr>
        <w:t>14.2 竣工结算审核</w:t>
      </w:r>
      <w:bookmarkEnd w:id="775"/>
    </w:p>
    <w:p w14:paraId="35E9083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发包人审批竣工付款申请单的期限：</w:t>
      </w:r>
      <w:r>
        <w:rPr>
          <w:rFonts w:hint="eastAsia" w:cs="宋体" w:asciiTheme="minorEastAsia" w:hAnsiTheme="minorEastAsia"/>
          <w:szCs w:val="21"/>
          <w:u w:val="single"/>
        </w:rPr>
        <w:t>工程竣工验收合格后，在收到承包人合格的结算清单之后的28天内，发包人应完成初步审核并提交审计局进行审计，审计完成后发包人应送给承包人一份最终付款证书，并交给承包人一份副本 。</w:t>
      </w:r>
    </w:p>
    <w:p w14:paraId="4A95EA4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发包人完成竣工付款的期限：</w:t>
      </w:r>
      <w:r>
        <w:rPr>
          <w:rFonts w:hint="eastAsia" w:cs="宋体" w:asciiTheme="minorEastAsia" w:hAnsiTheme="minorEastAsia"/>
          <w:szCs w:val="21"/>
          <w:u w:val="single"/>
        </w:rPr>
        <w:t>审计完成后30天内</w:t>
      </w:r>
      <w:r>
        <w:rPr>
          <w:rFonts w:hint="eastAsia" w:cs="宋体" w:asciiTheme="minorEastAsia" w:hAnsiTheme="minorEastAsia"/>
          <w:szCs w:val="21"/>
        </w:rPr>
        <w:t>。</w:t>
      </w:r>
    </w:p>
    <w:p w14:paraId="714011F4">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关于竣工付款证书异议部分复核的方式和程序：</w:t>
      </w:r>
      <w:r>
        <w:rPr>
          <w:rFonts w:hint="eastAsia" w:cs="宋体" w:asciiTheme="minorEastAsia" w:hAnsiTheme="minorEastAsia"/>
          <w:szCs w:val="21"/>
          <w:u w:val="single"/>
        </w:rPr>
        <w:t>本工程最终结算价按审计局结算审计结果执行。</w:t>
      </w:r>
    </w:p>
    <w:p w14:paraId="5796A16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14.4 最终结清</w:t>
      </w:r>
    </w:p>
    <w:p w14:paraId="72D80BC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14.4.1 最终结清申请单</w:t>
      </w:r>
    </w:p>
    <w:p w14:paraId="0C7EAF1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承包人提交最终结清申请单的份数：</w:t>
      </w:r>
      <w:r>
        <w:rPr>
          <w:rFonts w:hint="eastAsia" w:cs="宋体" w:asciiTheme="minorEastAsia" w:hAnsiTheme="minorEastAsia"/>
          <w:szCs w:val="21"/>
          <w:u w:val="single"/>
        </w:rPr>
        <w:t>4份</w:t>
      </w:r>
      <w:r>
        <w:rPr>
          <w:rFonts w:hint="eastAsia" w:cs="宋体" w:asciiTheme="minorEastAsia" w:hAnsiTheme="minorEastAsia"/>
          <w:szCs w:val="21"/>
        </w:rPr>
        <w:t>。</w:t>
      </w:r>
    </w:p>
    <w:p w14:paraId="2E1C9ED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承包人提交最终结算申请单的期限：</w:t>
      </w:r>
      <w:r>
        <w:rPr>
          <w:rFonts w:hint="eastAsia" w:cs="宋体" w:asciiTheme="minorEastAsia" w:hAnsiTheme="minorEastAsia"/>
          <w:szCs w:val="21"/>
          <w:u w:val="single"/>
        </w:rPr>
        <w:t>缺陷责任期终止证书颁发后7天内</w:t>
      </w:r>
      <w:r>
        <w:rPr>
          <w:rFonts w:hint="eastAsia" w:cs="宋体" w:asciiTheme="minorEastAsia" w:hAnsiTheme="minorEastAsia"/>
          <w:szCs w:val="21"/>
        </w:rPr>
        <w:t>。。</w:t>
      </w:r>
    </w:p>
    <w:p w14:paraId="5970CB5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14.4.2 最终结清证书和支付</w:t>
      </w:r>
    </w:p>
    <w:p w14:paraId="03FE462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（1）发包人完成最终结清申请单的审批并颁发最终结清证书的期限：</w:t>
      </w:r>
      <w:r>
        <w:rPr>
          <w:rFonts w:hint="eastAsia" w:cs="宋体" w:asciiTheme="minorEastAsia" w:hAnsiTheme="minorEastAsia"/>
          <w:szCs w:val="21"/>
          <w:u w:val="single"/>
        </w:rPr>
        <w:t>收到后14天内</w:t>
      </w:r>
      <w:r>
        <w:rPr>
          <w:rFonts w:hint="eastAsia" w:cs="宋体" w:asciiTheme="minorEastAsia" w:hAnsiTheme="minorEastAsia"/>
          <w:szCs w:val="21"/>
        </w:rPr>
        <w:t>。</w:t>
      </w:r>
    </w:p>
    <w:p w14:paraId="698A9BA9">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（2）发包人完成支付的期限：</w:t>
      </w:r>
    </w:p>
    <w:bookmarkEnd w:id="760"/>
    <w:bookmarkEnd w:id="761"/>
    <w:bookmarkEnd w:id="762"/>
    <w:bookmarkEnd w:id="763"/>
    <w:bookmarkEnd w:id="764"/>
    <w:bookmarkEnd w:id="765"/>
    <w:bookmarkEnd w:id="766"/>
    <w:bookmarkEnd w:id="772"/>
    <w:p w14:paraId="5C51BF00">
      <w:pPr>
        <w:autoSpaceDN w:val="0"/>
        <w:spacing w:line="360" w:lineRule="auto"/>
        <w:ind w:firstLine="420" w:firstLineChars="200"/>
        <w:rPr>
          <w:rFonts w:cs="宋体" w:asciiTheme="minorEastAsia" w:hAnsiTheme="minorEastAsia"/>
          <w:bCs/>
          <w:szCs w:val="21"/>
        </w:rPr>
      </w:pPr>
      <w:bookmarkStart w:id="776" w:name="_Toc351203647"/>
      <w:bookmarkStart w:id="777" w:name="_Toc267251483"/>
      <w:bookmarkStart w:id="778" w:name="_Toc267251482"/>
      <w:bookmarkStart w:id="779" w:name="_Toc267251484"/>
      <w:bookmarkStart w:id="780" w:name="_Toc267251485"/>
      <w:bookmarkStart w:id="781" w:name="_Toc267251486"/>
      <w:bookmarkStart w:id="782" w:name="_Toc267251490"/>
      <w:bookmarkStart w:id="783" w:name="_Toc267251488"/>
      <w:bookmarkStart w:id="784" w:name="_Toc267251489"/>
      <w:bookmarkStart w:id="785" w:name="_Toc267251494"/>
      <w:bookmarkStart w:id="786" w:name="_Toc267251502"/>
      <w:bookmarkStart w:id="787" w:name="_Toc267251496"/>
      <w:bookmarkStart w:id="788" w:name="_Toc267251495"/>
      <w:bookmarkStart w:id="789" w:name="_Toc267251493"/>
      <w:bookmarkStart w:id="790" w:name="_Toc267251492"/>
      <w:bookmarkStart w:id="791" w:name="_Toc267251498"/>
      <w:bookmarkStart w:id="792" w:name="_Toc267251497"/>
      <w:bookmarkStart w:id="793" w:name="_Toc267251503"/>
      <w:bookmarkStart w:id="794" w:name="_Toc267251491"/>
      <w:bookmarkStart w:id="795" w:name="_Toc267251501"/>
      <w:bookmarkStart w:id="796" w:name="_Toc267251499"/>
      <w:bookmarkStart w:id="797" w:name="_Toc267251506"/>
      <w:bookmarkStart w:id="798" w:name="_Toc267251504"/>
      <w:bookmarkStart w:id="799" w:name="_Toc267251507"/>
      <w:bookmarkStart w:id="800" w:name="_Toc267251508"/>
      <w:r>
        <w:rPr>
          <w:rFonts w:hint="eastAsia" w:cs="宋体" w:asciiTheme="minorEastAsia" w:hAnsiTheme="minorEastAsia"/>
          <w:bCs/>
          <w:szCs w:val="21"/>
        </w:rPr>
        <w:t>15. 缺陷责任期与保修</w:t>
      </w:r>
      <w:bookmarkEnd w:id="776"/>
    </w:p>
    <w:p w14:paraId="62CEEC5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15.2缺陷责任期</w:t>
      </w:r>
      <w:bookmarkEnd w:id="777"/>
    </w:p>
    <w:p w14:paraId="4F785B22">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缺陷责任期的具体期限：</w:t>
      </w:r>
      <w:r>
        <w:rPr>
          <w:rFonts w:hint="eastAsia" w:cs="宋体" w:asciiTheme="minorEastAsia" w:hAnsiTheme="minorEastAsia"/>
          <w:szCs w:val="21"/>
          <w:u w:val="single"/>
        </w:rPr>
        <w:t>自竣工验收合格之日起24个月</w:t>
      </w:r>
      <w:r>
        <w:rPr>
          <w:rFonts w:hint="eastAsia" w:cs="宋体" w:asciiTheme="minorEastAsia" w:hAnsiTheme="minorEastAsia"/>
          <w:szCs w:val="21"/>
        </w:rPr>
        <w:t>。</w:t>
      </w:r>
    </w:p>
    <w:p w14:paraId="0C6C4C44">
      <w:pPr>
        <w:autoSpaceDN w:val="0"/>
        <w:spacing w:line="360" w:lineRule="auto"/>
        <w:ind w:firstLine="420" w:firstLineChars="200"/>
        <w:rPr>
          <w:rFonts w:cs="宋体" w:asciiTheme="minorEastAsia" w:hAnsiTheme="minorEastAsia"/>
          <w:szCs w:val="21"/>
        </w:rPr>
      </w:pPr>
      <w:bookmarkStart w:id="801" w:name="_Toc54777963"/>
      <w:r>
        <w:rPr>
          <w:rFonts w:hint="eastAsia" w:cs="宋体" w:asciiTheme="minorEastAsia" w:hAnsiTheme="minorEastAsia"/>
          <w:szCs w:val="21"/>
        </w:rPr>
        <w:t>15.3 质量保证金</w:t>
      </w:r>
      <w:bookmarkEnd w:id="801"/>
    </w:p>
    <w:p w14:paraId="50CA164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关于是否扣留质量保证金的约定：</w:t>
      </w:r>
      <w:r>
        <w:rPr>
          <w:rFonts w:hint="eastAsia" w:cs="宋体" w:asciiTheme="minorEastAsia" w:hAnsiTheme="minorEastAsia"/>
          <w:szCs w:val="21"/>
          <w:u w:val="single"/>
        </w:rPr>
        <w:t>是</w:t>
      </w:r>
      <w:r>
        <w:rPr>
          <w:rFonts w:hint="eastAsia" w:cs="宋体" w:asciiTheme="minorEastAsia" w:hAnsiTheme="minorEastAsia"/>
          <w:szCs w:val="21"/>
        </w:rPr>
        <w:t>。在工程项目竣工前，承包人按专用合同条款第3.7条提供履约担保的，发包人不得同时预留工程质量保证金。</w:t>
      </w:r>
    </w:p>
    <w:p w14:paraId="4CD69705">
      <w:pPr>
        <w:autoSpaceDN w:val="0"/>
        <w:spacing w:line="360" w:lineRule="auto"/>
        <w:ind w:firstLine="420" w:firstLineChars="200"/>
        <w:rPr>
          <w:rFonts w:cs="宋体" w:asciiTheme="minorEastAsia" w:hAnsiTheme="minorEastAsia"/>
          <w:szCs w:val="21"/>
        </w:rPr>
      </w:pPr>
      <w:bookmarkStart w:id="802" w:name="_Toc54777964"/>
      <w:r>
        <w:rPr>
          <w:rFonts w:hint="eastAsia" w:cs="宋体" w:asciiTheme="minorEastAsia" w:hAnsiTheme="minorEastAsia"/>
          <w:szCs w:val="21"/>
        </w:rPr>
        <w:t>15.3.1 承包人提供质量保证金的方式</w:t>
      </w:r>
      <w:bookmarkEnd w:id="802"/>
    </w:p>
    <w:p w14:paraId="140EA36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质量保证金采用以下第</w:t>
      </w:r>
      <w:r>
        <w:rPr>
          <w:rFonts w:hint="eastAsia" w:cs="宋体" w:asciiTheme="minorEastAsia" w:hAnsiTheme="minorEastAsia"/>
          <w:szCs w:val="21"/>
          <w:u w:val="single"/>
        </w:rPr>
        <w:t>（2）</w:t>
      </w:r>
      <w:r>
        <w:rPr>
          <w:rFonts w:hint="eastAsia" w:cs="宋体" w:asciiTheme="minorEastAsia" w:hAnsiTheme="minorEastAsia"/>
          <w:szCs w:val="21"/>
        </w:rPr>
        <w:t>种方式：</w:t>
      </w:r>
    </w:p>
    <w:p w14:paraId="08FDEB85">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（1）质量保证金保函，保证金额为：</w:t>
      </w:r>
      <w:r>
        <w:rPr>
          <w:rFonts w:hint="eastAsia" w:cs="宋体" w:asciiTheme="minorEastAsia" w:hAnsiTheme="minorEastAsia"/>
          <w:szCs w:val="21"/>
          <w:u w:val="single"/>
        </w:rPr>
        <w:t xml:space="preserve">     /              </w:t>
      </w:r>
      <w:r>
        <w:rPr>
          <w:rFonts w:hint="eastAsia" w:cs="宋体" w:asciiTheme="minorEastAsia" w:hAnsiTheme="minorEastAsia"/>
          <w:szCs w:val="21"/>
        </w:rPr>
        <w:t>；</w:t>
      </w:r>
    </w:p>
    <w:p w14:paraId="34CF35E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w:t>
      </w:r>
      <w:r>
        <w:rPr>
          <w:rFonts w:hint="eastAsia" w:cs="宋体" w:asciiTheme="minorEastAsia" w:hAnsiTheme="minorEastAsia"/>
          <w:szCs w:val="21"/>
          <w:u w:val="single"/>
        </w:rPr>
        <w:t>3</w:t>
      </w:r>
      <w:r>
        <w:rPr>
          <w:rFonts w:hint="eastAsia" w:cs="宋体" w:asciiTheme="minorEastAsia" w:hAnsiTheme="minorEastAsia"/>
          <w:szCs w:val="21"/>
        </w:rPr>
        <w:t>%的工程款；</w:t>
      </w:r>
    </w:p>
    <w:p w14:paraId="671FCD2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（3）其他方式:</w:t>
      </w:r>
      <w:r>
        <w:rPr>
          <w:rFonts w:hint="eastAsia" w:cs="宋体" w:asciiTheme="minorEastAsia" w:hAnsiTheme="minorEastAsia"/>
          <w:szCs w:val="21"/>
          <w:u w:val="single"/>
        </w:rPr>
        <w:t>不采用</w:t>
      </w:r>
      <w:r>
        <w:rPr>
          <w:rFonts w:hint="eastAsia" w:cs="宋体" w:asciiTheme="minorEastAsia" w:hAnsiTheme="minorEastAsia"/>
          <w:szCs w:val="21"/>
        </w:rPr>
        <w:t>。</w:t>
      </w:r>
    </w:p>
    <w:p w14:paraId="37B7D3FC">
      <w:pPr>
        <w:autoSpaceDN w:val="0"/>
        <w:spacing w:line="360" w:lineRule="auto"/>
        <w:ind w:firstLine="420" w:firstLineChars="200"/>
        <w:rPr>
          <w:rFonts w:cs="宋体" w:asciiTheme="minorEastAsia" w:hAnsiTheme="minorEastAsia"/>
          <w:szCs w:val="21"/>
        </w:rPr>
      </w:pPr>
      <w:bookmarkStart w:id="803" w:name="_Toc54777965"/>
      <w:r>
        <w:rPr>
          <w:rFonts w:hint="eastAsia" w:cs="宋体" w:asciiTheme="minorEastAsia" w:hAnsiTheme="minorEastAsia"/>
          <w:szCs w:val="21"/>
        </w:rPr>
        <w:t>15.3.2 质量保证金的扣留</w:t>
      </w:r>
      <w:bookmarkEnd w:id="803"/>
    </w:p>
    <w:p w14:paraId="2A68AB3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质量保证金的扣留采取以下第</w:t>
      </w:r>
      <w:r>
        <w:rPr>
          <w:rFonts w:hint="eastAsia" w:cs="宋体" w:asciiTheme="minorEastAsia" w:hAnsiTheme="minorEastAsia"/>
          <w:szCs w:val="21"/>
          <w:u w:val="single"/>
        </w:rPr>
        <w:t>（2）</w:t>
      </w:r>
      <w:r>
        <w:rPr>
          <w:rFonts w:hint="eastAsia" w:cs="宋体" w:asciiTheme="minorEastAsia" w:hAnsiTheme="minorEastAsia"/>
          <w:szCs w:val="21"/>
        </w:rPr>
        <w:t>种方式：</w:t>
      </w:r>
    </w:p>
    <w:p w14:paraId="4AB9D77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（1）在支付工程进度款时逐次扣留，在此情形下，质量保证金的计算基数不包括预付款的支付、扣回以及价格调整的金额；</w:t>
      </w:r>
    </w:p>
    <w:p w14:paraId="0627F4F3">
      <w:pPr>
        <w:autoSpaceDN w:val="0"/>
        <w:spacing w:line="360" w:lineRule="auto"/>
        <w:ind w:firstLine="420" w:firstLineChars="200"/>
        <w:rPr>
          <w:rFonts w:cs="宋体" w:asciiTheme="minorEastAsia" w:hAnsiTheme="minorEastAsia"/>
          <w:szCs w:val="21"/>
        </w:rPr>
      </w:pPr>
      <w:bookmarkStart w:id="804" w:name="_Toc54777966"/>
      <w:r>
        <w:rPr>
          <w:rFonts w:hint="eastAsia" w:cs="宋体" w:asciiTheme="minorEastAsia" w:hAnsiTheme="minorEastAsia"/>
          <w:szCs w:val="21"/>
        </w:rPr>
        <w:t>（2）工程竣工结算时一次性扣留质量保证金；</w:t>
      </w:r>
      <w:bookmarkEnd w:id="804"/>
    </w:p>
    <w:p w14:paraId="509C214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（3）其他扣留方式:</w:t>
      </w:r>
      <w:r>
        <w:rPr>
          <w:rFonts w:hint="eastAsia" w:cs="宋体" w:asciiTheme="minorEastAsia" w:hAnsiTheme="minorEastAsia"/>
          <w:szCs w:val="21"/>
          <w:u w:val="single"/>
        </w:rPr>
        <w:t>不采用</w:t>
      </w:r>
      <w:r>
        <w:rPr>
          <w:rFonts w:hint="eastAsia" w:cs="宋体" w:asciiTheme="minorEastAsia" w:hAnsiTheme="minorEastAsia"/>
          <w:szCs w:val="21"/>
        </w:rPr>
        <w:t>。</w:t>
      </w:r>
    </w:p>
    <w:p w14:paraId="645CF2B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关于质量保证金的补充约定：</w:t>
      </w:r>
      <w:r>
        <w:rPr>
          <w:rFonts w:hint="eastAsia" w:cs="宋体" w:asciiTheme="minorEastAsia" w:hAnsiTheme="minorEastAsia"/>
          <w:szCs w:val="21"/>
          <w:u w:val="single"/>
        </w:rPr>
        <w:t>质量保证金不计算利息</w:t>
      </w:r>
      <w:r>
        <w:rPr>
          <w:rFonts w:hint="eastAsia" w:cs="宋体" w:asciiTheme="minorEastAsia" w:hAnsiTheme="minorEastAsia"/>
          <w:szCs w:val="21"/>
        </w:rPr>
        <w:t>。</w:t>
      </w:r>
    </w:p>
    <w:bookmarkEnd w:id="778"/>
    <w:bookmarkEnd w:id="779"/>
    <w:p w14:paraId="145E016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15.4保修</w:t>
      </w:r>
    </w:p>
    <w:bookmarkEnd w:id="780"/>
    <w:p w14:paraId="3C3BD27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15.4.1 保修责任</w:t>
      </w:r>
    </w:p>
    <w:p w14:paraId="3E5130D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工程保修期为：</w:t>
      </w:r>
      <w:r>
        <w:rPr>
          <w:rFonts w:hint="eastAsia" w:cs="宋体" w:asciiTheme="minorEastAsia" w:hAnsiTheme="minorEastAsia"/>
          <w:szCs w:val="21"/>
          <w:u w:val="single"/>
        </w:rPr>
        <w:t>执行《建设工程质量管理条例》中保修期的规定</w:t>
      </w:r>
      <w:r>
        <w:rPr>
          <w:rFonts w:hint="eastAsia" w:cs="宋体" w:asciiTheme="minorEastAsia" w:hAnsiTheme="minorEastAsia"/>
          <w:szCs w:val="21"/>
        </w:rPr>
        <w:t>。。</w:t>
      </w:r>
    </w:p>
    <w:p w14:paraId="0F7E44D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15.4.3 修复通知</w:t>
      </w:r>
    </w:p>
    <w:p w14:paraId="3BF28F8F">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承包人收到保修通知并到达工程现场的合理时间：</w:t>
      </w:r>
      <w:bookmarkEnd w:id="781"/>
      <w:bookmarkEnd w:id="782"/>
      <w:bookmarkEnd w:id="783"/>
      <w:bookmarkEnd w:id="784"/>
      <w:bookmarkStart w:id="805" w:name="_Toc351203648"/>
      <w:bookmarkStart w:id="806" w:name="_Toc280868717"/>
      <w:bookmarkStart w:id="807" w:name="_Toc280868718"/>
      <w:r>
        <w:rPr>
          <w:rFonts w:hint="eastAsia" w:cs="宋体" w:asciiTheme="minorEastAsia" w:hAnsiTheme="minorEastAsia"/>
          <w:szCs w:val="21"/>
          <w:u w:val="single"/>
        </w:rPr>
        <w:t>承包人应当在接到保修通知起24小时内到达现场进行保修。承包人不在约定期限内派人保修的，发包人可以委托他人修理，费用由承包人承担。</w:t>
      </w:r>
    </w:p>
    <w:p w14:paraId="075DC9D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 违约</w:t>
      </w:r>
      <w:bookmarkEnd w:id="805"/>
    </w:p>
    <w:p w14:paraId="63DBA9CB">
      <w:pPr>
        <w:autoSpaceDN w:val="0"/>
        <w:spacing w:line="360" w:lineRule="auto"/>
        <w:ind w:firstLine="420" w:firstLineChars="200"/>
        <w:rPr>
          <w:rFonts w:cs="宋体" w:asciiTheme="minorEastAsia" w:hAnsiTheme="minorEastAsia"/>
          <w:szCs w:val="21"/>
        </w:rPr>
      </w:pPr>
      <w:bookmarkStart w:id="808" w:name="_Toc54777967"/>
      <w:r>
        <w:rPr>
          <w:rFonts w:hint="eastAsia" w:cs="宋体" w:asciiTheme="minorEastAsia" w:hAnsiTheme="minorEastAsia"/>
          <w:szCs w:val="21"/>
        </w:rPr>
        <w:t>16.1 发包人违约</w:t>
      </w:r>
      <w:bookmarkEnd w:id="808"/>
    </w:p>
    <w:p w14:paraId="0FDCCA6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16.1.1发包人违约的情形</w:t>
      </w:r>
    </w:p>
    <w:p w14:paraId="213C161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发包人违约的其他情形：</w:t>
      </w:r>
      <w:r>
        <w:rPr>
          <w:rFonts w:hint="eastAsia" w:cs="宋体" w:asciiTheme="minorEastAsia" w:hAnsiTheme="minorEastAsia"/>
          <w:szCs w:val="21"/>
          <w:u w:val="single"/>
        </w:rPr>
        <w:t>无</w:t>
      </w:r>
      <w:r>
        <w:rPr>
          <w:rFonts w:hint="eastAsia" w:cs="宋体" w:asciiTheme="minorEastAsia" w:hAnsiTheme="minorEastAsia"/>
          <w:szCs w:val="21"/>
        </w:rPr>
        <w:t>。</w:t>
      </w:r>
    </w:p>
    <w:p w14:paraId="7ED502E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 xml:space="preserve">    16.1.2 发包人违约的责任</w:t>
      </w:r>
    </w:p>
    <w:p w14:paraId="5803F4F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发包人违约责任的承担方式和计算方法：</w:t>
      </w:r>
    </w:p>
    <w:p w14:paraId="0FE2230D">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（1）因发包人原因未能在计划开工日期前7天内下达开工通知的违约责任：</w:t>
      </w:r>
      <w:r>
        <w:rPr>
          <w:rFonts w:hint="eastAsia" w:cs="宋体" w:asciiTheme="minorEastAsia" w:hAnsiTheme="minorEastAsia"/>
          <w:szCs w:val="21"/>
          <w:u w:val="single"/>
        </w:rPr>
        <w:t>仅相应顺延工期，发包人不承担其他任何责任</w:t>
      </w:r>
      <w:r>
        <w:rPr>
          <w:rFonts w:hint="eastAsia" w:cs="宋体" w:asciiTheme="minorEastAsia" w:hAnsiTheme="minorEastAsia"/>
          <w:szCs w:val="21"/>
        </w:rPr>
        <w:t>。</w:t>
      </w:r>
    </w:p>
    <w:p w14:paraId="5BF5E5C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（2）因发包人原因未能按合同约定支付合同价款的违约责任：</w:t>
      </w:r>
      <w:r>
        <w:rPr>
          <w:rFonts w:hint="eastAsia" w:cs="宋体" w:asciiTheme="minorEastAsia" w:hAnsiTheme="minorEastAsia"/>
          <w:szCs w:val="21"/>
          <w:u w:val="single"/>
        </w:rPr>
        <w:t>按本合同专用合同条款第12.4.4条款执行</w:t>
      </w:r>
      <w:r>
        <w:rPr>
          <w:rFonts w:hint="eastAsia" w:cs="宋体" w:asciiTheme="minorEastAsia" w:hAnsiTheme="minorEastAsia"/>
          <w:szCs w:val="21"/>
        </w:rPr>
        <w:t>。</w:t>
      </w:r>
    </w:p>
    <w:p w14:paraId="5C2876A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（3）发包人违反第10.1款〔变更的范围〕第（2）项约定，自行实施被取消的工作或转由他人实施的违约责任：</w:t>
      </w:r>
      <w:r>
        <w:rPr>
          <w:rFonts w:hint="eastAsia" w:cs="宋体" w:asciiTheme="minorEastAsia" w:hAnsiTheme="minorEastAsia"/>
          <w:szCs w:val="21"/>
          <w:u w:val="single"/>
        </w:rPr>
        <w:t>发包人不承担违约责任，不支付该部分工作的合理利润</w:t>
      </w:r>
      <w:r>
        <w:rPr>
          <w:rFonts w:hint="eastAsia" w:cs="宋体" w:asciiTheme="minorEastAsia" w:hAnsiTheme="minorEastAsia"/>
          <w:szCs w:val="21"/>
        </w:rPr>
        <w:t>。</w:t>
      </w:r>
    </w:p>
    <w:p w14:paraId="717E26C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（4）发包人提供的材料、工程设备的规格、数量或质量不符合合同约定，或因发包人原因导致交货日期延误或交货地点变更等情况的违约责任：</w:t>
      </w:r>
      <w:r>
        <w:rPr>
          <w:rFonts w:hint="eastAsia" w:cs="宋体" w:asciiTheme="minorEastAsia" w:hAnsiTheme="minorEastAsia"/>
          <w:szCs w:val="21"/>
          <w:u w:val="single"/>
        </w:rPr>
        <w:t>工期顺延，发包人不支付违约金 ，发包人不承担承包人的相应损失，不支付合理利润</w:t>
      </w:r>
      <w:r>
        <w:rPr>
          <w:rFonts w:hint="eastAsia" w:cs="宋体" w:asciiTheme="minorEastAsia" w:hAnsiTheme="minorEastAsia"/>
          <w:szCs w:val="21"/>
        </w:rPr>
        <w:t>。</w:t>
      </w:r>
    </w:p>
    <w:p w14:paraId="6711BDAA">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（5）因发包人违反合同约定造成暂停施工的违约责任：</w:t>
      </w:r>
      <w:r>
        <w:rPr>
          <w:rFonts w:hint="eastAsia" w:cs="宋体" w:asciiTheme="minorEastAsia" w:hAnsiTheme="minorEastAsia"/>
          <w:szCs w:val="21"/>
          <w:u w:val="single"/>
        </w:rPr>
        <w:t>工期顺延，发包人不支付违约金 ，发包人不承担承包人的相应损失，不支付合理利润。</w:t>
      </w:r>
    </w:p>
    <w:p w14:paraId="1A027416">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（6）发包人无正当理由没有在约定期限内发出复工指示，导致承包人无法复工的违约责任：</w:t>
      </w:r>
      <w:r>
        <w:rPr>
          <w:rFonts w:hint="eastAsia" w:cs="宋体" w:asciiTheme="minorEastAsia" w:hAnsiTheme="minorEastAsia"/>
          <w:szCs w:val="21"/>
          <w:u w:val="single"/>
        </w:rPr>
        <w:t>仅相应顺延工期，发包人不承担其他任何责任。</w:t>
      </w:r>
    </w:p>
    <w:p w14:paraId="6851578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（7）其他：</w:t>
      </w:r>
      <w:r>
        <w:rPr>
          <w:rFonts w:hint="eastAsia" w:cs="宋体" w:asciiTheme="minorEastAsia" w:hAnsiTheme="minorEastAsia"/>
          <w:szCs w:val="21"/>
          <w:u w:val="single"/>
        </w:rPr>
        <w:t>无</w:t>
      </w:r>
      <w:r>
        <w:rPr>
          <w:rFonts w:hint="eastAsia" w:cs="宋体" w:asciiTheme="minorEastAsia" w:hAnsiTheme="minorEastAsia"/>
          <w:szCs w:val="21"/>
        </w:rPr>
        <w:t>。</w:t>
      </w:r>
    </w:p>
    <w:p w14:paraId="405CD9A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16.1.3 因发包人违约解除合同</w:t>
      </w:r>
    </w:p>
    <w:p w14:paraId="3AC51CD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承包人按16.1.1项〔发包人违约的情形〕约定暂停施工满</w:t>
      </w:r>
      <w:r>
        <w:rPr>
          <w:rFonts w:hint="eastAsia" w:cs="宋体" w:asciiTheme="minorEastAsia" w:hAnsiTheme="minorEastAsia"/>
          <w:szCs w:val="21"/>
          <w:u w:val="single"/>
        </w:rPr>
        <w:t>180</w:t>
      </w:r>
      <w:r>
        <w:rPr>
          <w:rFonts w:hint="eastAsia" w:cs="宋体" w:asciiTheme="minorEastAsia" w:hAnsiTheme="minorEastAsia"/>
          <w:szCs w:val="21"/>
        </w:rPr>
        <w:t>天后发包人仍不纠正其违约行为并致使合同目的不能实现的，承包人有权解除合同。</w:t>
      </w:r>
    </w:p>
    <w:p w14:paraId="67074D97">
      <w:pPr>
        <w:autoSpaceDN w:val="0"/>
        <w:spacing w:line="360" w:lineRule="auto"/>
        <w:ind w:firstLine="420" w:firstLineChars="200"/>
        <w:rPr>
          <w:rFonts w:cs="宋体" w:asciiTheme="minorEastAsia" w:hAnsiTheme="minorEastAsia"/>
          <w:szCs w:val="21"/>
        </w:rPr>
      </w:pPr>
      <w:bookmarkStart w:id="809" w:name="_Toc54777968"/>
      <w:r>
        <w:rPr>
          <w:rFonts w:hint="eastAsia" w:cs="宋体" w:asciiTheme="minorEastAsia" w:hAnsiTheme="minorEastAsia"/>
          <w:szCs w:val="21"/>
        </w:rPr>
        <w:t>16.2 承包人违约</w:t>
      </w:r>
      <w:bookmarkEnd w:id="809"/>
    </w:p>
    <w:p w14:paraId="0866CFB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16.2.1 承包人违约的情形</w:t>
      </w:r>
    </w:p>
    <w:p w14:paraId="42430010">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承包人违约的其他情形：</w:t>
      </w:r>
    </w:p>
    <w:p w14:paraId="2DC1AB52">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1、承包人应保证执行三门峡市有关文件，在进行劳务作业分包时，必须使用有相应资质的劳务分包企业，禁止将劳务作业分包给包工头。若分包给没有资质的劳务分包企业，发包人有权终止合同。</w:t>
      </w:r>
    </w:p>
    <w:p w14:paraId="03EE084E">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2、因承包人原因，质量监督单位、监理单位下达停工通知的，承包人须按规定时间整改完成。</w:t>
      </w:r>
    </w:p>
    <w:p w14:paraId="7ACF33F7">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3、承包人未按照经发包人确认的施工进度计划完成相应施工任务，承包人应承担如下违约责任：除支付违约金外，发包人有权暂停支付进度款；同时，承包人应当采取相应的赶工措施确保工程按时完工，因赶工产生的相应费用由承包人自行承担。若采取赶工措施后，承包人能够在本合同约定的总工期日历天数内按时完工，则发包人返还承包人已支付的前述违约金；若承包人未能按照合同约定的总工期日历天数完工，应当按照专用合同7.5.2条款约定的向发包人支付违约金，前述施工进度的违约金可冲抵逾期完工的违约金。</w:t>
      </w:r>
    </w:p>
    <w:p w14:paraId="49E59F70">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16.2.2承包人违约的责任</w:t>
      </w:r>
    </w:p>
    <w:p w14:paraId="68F79396">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承包人违约责任的承担方式和计算方法：</w:t>
      </w:r>
    </w:p>
    <w:p w14:paraId="24F313DE">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1、承包人不得以任何形式将工程分包、转包，投标文件中载明的项目经理及主要管理人员未经发包人同意不得更换或缺席。发包人发现承包人违反本条规定转包或者违法分包，有权立即解除合同。造成发包人损失的，承包人还应承担给发包人带来的直接、间接经济损失。</w:t>
      </w:r>
    </w:p>
    <w:p w14:paraId="65610D2C">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2、承包人未执行本合同约定的技术标准，为解决质量及安全不确定性问题，而进行的安全技术鉴定，由此引发的费用及施工延误由承包人承担。</w:t>
      </w:r>
    </w:p>
    <w:p w14:paraId="0863645C">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 xml:space="preserve">3、若承包人承建的工程达不到现行建设工程施工及验收规范合格标准，无偿返工直至达到工程质量合格标准，并赔偿由此给发包人造成的一切经济损失。同时支付不合格部分工程造价的10％的违约金。由此造成的工期延误，按专用合同7.5条款规定处罚。 </w:t>
      </w:r>
    </w:p>
    <w:p w14:paraId="4B5B6B2F">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4、承包人违反合同约定采购和使用不合格的材料和工程设备的，除更换合格材料设备外，每次支付违约金1-5万元；</w:t>
      </w:r>
    </w:p>
    <w:p w14:paraId="10D7F825">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u w:val="single"/>
        </w:rPr>
        <w:t>5、承包人在缺陷责任期及保修期内，未能在本合同规定期限内对工程缺陷进行修复，或拒绝按发包人要求进行修复的，承包人未能按照合同约定履行其他义务的，由承包人承担全部费用并赔偿发包人全部损失。</w:t>
      </w:r>
    </w:p>
    <w:p w14:paraId="2F41280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16.2.3 因承包人违约解除合同</w:t>
      </w:r>
    </w:p>
    <w:p w14:paraId="263EA16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关于承包人违约解除合同的特别约定：</w:t>
      </w:r>
      <w:r>
        <w:rPr>
          <w:rFonts w:hint="eastAsia" w:cs="宋体" w:asciiTheme="minorEastAsia" w:hAnsiTheme="minorEastAsia"/>
          <w:szCs w:val="21"/>
          <w:u w:val="single"/>
        </w:rPr>
        <w:t>执行通用条款</w:t>
      </w:r>
      <w:r>
        <w:rPr>
          <w:rFonts w:hint="eastAsia" w:cs="宋体" w:asciiTheme="minorEastAsia" w:hAnsiTheme="minorEastAsia"/>
          <w:szCs w:val="21"/>
        </w:rPr>
        <w:t>。</w:t>
      </w:r>
    </w:p>
    <w:p w14:paraId="09709C8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发包人继续使用承包人在施工现场的材料、设备、临时工程、承包人文件和由承包人或以其名义编制的其他文件的费用承担方式：</w:t>
      </w:r>
      <w:r>
        <w:rPr>
          <w:rFonts w:hint="eastAsia" w:cs="宋体" w:asciiTheme="minorEastAsia" w:hAnsiTheme="minorEastAsia"/>
          <w:szCs w:val="21"/>
          <w:u w:val="single"/>
        </w:rPr>
        <w:t>承包人承担</w:t>
      </w:r>
      <w:r>
        <w:rPr>
          <w:rFonts w:hint="eastAsia" w:cs="宋体" w:asciiTheme="minorEastAsia" w:hAnsiTheme="minorEastAsia"/>
          <w:szCs w:val="21"/>
        </w:rPr>
        <w:t>。</w:t>
      </w:r>
    </w:p>
    <w:p w14:paraId="75490516">
      <w:pPr>
        <w:autoSpaceDN w:val="0"/>
        <w:spacing w:line="360" w:lineRule="auto"/>
        <w:ind w:firstLine="420" w:firstLineChars="200"/>
        <w:rPr>
          <w:rFonts w:cs="宋体" w:asciiTheme="minorEastAsia" w:hAnsiTheme="minorEastAsia"/>
          <w:bCs/>
          <w:szCs w:val="21"/>
        </w:rPr>
      </w:pPr>
      <w:bookmarkStart w:id="810" w:name="_Toc351203649"/>
      <w:r>
        <w:rPr>
          <w:rFonts w:hint="eastAsia" w:cs="宋体" w:asciiTheme="minorEastAsia" w:hAnsiTheme="minorEastAsia"/>
          <w:bCs/>
          <w:szCs w:val="21"/>
        </w:rPr>
        <w:t>17. 不可抗力</w:t>
      </w:r>
      <w:bookmarkEnd w:id="806"/>
      <w:bookmarkEnd w:id="810"/>
    </w:p>
    <w:p w14:paraId="42F688BD">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17.1 不可抗力的确认</w:t>
      </w:r>
    </w:p>
    <w:p w14:paraId="29C12A83">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除通用合同条款约定的不可抗力事件之外，视为不可抗力的其他情形：</w:t>
      </w:r>
      <w:r>
        <w:rPr>
          <w:rFonts w:hint="eastAsia" w:cs="宋体" w:asciiTheme="minorEastAsia" w:hAnsiTheme="minorEastAsia"/>
          <w:szCs w:val="21"/>
          <w:u w:val="single"/>
        </w:rPr>
        <w:t>与工程相关的政府重大政策变化</w:t>
      </w:r>
      <w:r>
        <w:rPr>
          <w:rFonts w:hint="eastAsia" w:cs="宋体" w:asciiTheme="minorEastAsia" w:hAnsiTheme="minorEastAsia"/>
          <w:szCs w:val="21"/>
        </w:rPr>
        <w:t>。</w:t>
      </w:r>
    </w:p>
    <w:p w14:paraId="50A190F9">
      <w:pPr>
        <w:autoSpaceDN w:val="0"/>
        <w:spacing w:line="360" w:lineRule="auto"/>
        <w:ind w:firstLine="420" w:firstLineChars="200"/>
        <w:rPr>
          <w:rFonts w:cs="宋体" w:asciiTheme="minorEastAsia" w:hAnsiTheme="minorEastAsia"/>
          <w:szCs w:val="21"/>
        </w:rPr>
      </w:pPr>
      <w:bookmarkStart w:id="811" w:name="_Toc54777969"/>
      <w:r>
        <w:rPr>
          <w:rFonts w:hint="eastAsia" w:cs="宋体" w:asciiTheme="minorEastAsia" w:hAnsiTheme="minorEastAsia"/>
          <w:szCs w:val="21"/>
        </w:rPr>
        <w:t>17.4 因不可抗力解除合同</w:t>
      </w:r>
      <w:bookmarkEnd w:id="811"/>
    </w:p>
    <w:p w14:paraId="702A7247">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合同解除后，发包人应在商定或确定发包人应支付款项后</w:t>
      </w:r>
      <w:r>
        <w:rPr>
          <w:rFonts w:hint="eastAsia" w:cs="宋体" w:asciiTheme="minorEastAsia" w:hAnsiTheme="minorEastAsia"/>
          <w:szCs w:val="21"/>
          <w:u w:val="single"/>
        </w:rPr>
        <w:t>180</w:t>
      </w:r>
      <w:r>
        <w:rPr>
          <w:rFonts w:hint="eastAsia" w:cs="宋体" w:asciiTheme="minorEastAsia" w:hAnsiTheme="minorEastAsia"/>
          <w:szCs w:val="21"/>
        </w:rPr>
        <w:t>天内完成款项的支付。</w:t>
      </w:r>
    </w:p>
    <w:p w14:paraId="0CC0D78D">
      <w:pPr>
        <w:autoSpaceDN w:val="0"/>
        <w:spacing w:line="360" w:lineRule="auto"/>
        <w:ind w:firstLine="420" w:firstLineChars="200"/>
        <w:rPr>
          <w:rFonts w:cs="宋体" w:asciiTheme="minorEastAsia" w:hAnsiTheme="minorEastAsia"/>
          <w:bCs/>
          <w:szCs w:val="21"/>
        </w:rPr>
      </w:pPr>
      <w:bookmarkStart w:id="812" w:name="_Toc351203650"/>
      <w:r>
        <w:rPr>
          <w:rFonts w:hint="eastAsia" w:cs="宋体" w:asciiTheme="minorEastAsia" w:hAnsiTheme="minorEastAsia"/>
          <w:bCs/>
          <w:szCs w:val="21"/>
        </w:rPr>
        <w:t>18. 保险</w:t>
      </w:r>
      <w:bookmarkEnd w:id="812"/>
    </w:p>
    <w:bookmarkEnd w:id="807"/>
    <w:p w14:paraId="533B83A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18.1 工程保险</w:t>
      </w:r>
    </w:p>
    <w:p w14:paraId="1EDEF021">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关于工程保险的特别约定：</w:t>
      </w:r>
      <w:r>
        <w:rPr>
          <w:rFonts w:hint="eastAsia" w:cs="宋体" w:asciiTheme="minorEastAsia" w:hAnsiTheme="minorEastAsia"/>
          <w:szCs w:val="21"/>
          <w:u w:val="single"/>
        </w:rPr>
        <w:t>建筑工程一切险及第三方责任险由发包人与承包人共同采购。</w:t>
      </w:r>
    </w:p>
    <w:p w14:paraId="19B3B89F">
      <w:pPr>
        <w:autoSpaceDN w:val="0"/>
        <w:spacing w:line="360" w:lineRule="auto"/>
        <w:ind w:firstLine="420" w:firstLineChars="200"/>
        <w:rPr>
          <w:rFonts w:cs="宋体" w:asciiTheme="minorEastAsia" w:hAnsiTheme="minorEastAsia"/>
          <w:szCs w:val="21"/>
        </w:rPr>
      </w:pPr>
      <w:bookmarkStart w:id="813" w:name="_Toc54777970"/>
      <w:r>
        <w:rPr>
          <w:rFonts w:hint="eastAsia" w:cs="宋体" w:asciiTheme="minorEastAsia" w:hAnsiTheme="minorEastAsia"/>
          <w:szCs w:val="21"/>
        </w:rPr>
        <w:t>18.3 其他保险</w:t>
      </w:r>
      <w:bookmarkEnd w:id="813"/>
    </w:p>
    <w:p w14:paraId="4E6AA9C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关于其他保险的约定：</w:t>
      </w:r>
      <w:r>
        <w:rPr>
          <w:rFonts w:hint="eastAsia" w:cs="宋体" w:asciiTheme="minorEastAsia" w:hAnsiTheme="minorEastAsia"/>
          <w:szCs w:val="21"/>
          <w:u w:val="single"/>
        </w:rPr>
        <w:t>承包人应为施工现场的全部人员（包括发包人派驻人员及第三方人员）办理意外伤害保险，费用由承包人承担</w:t>
      </w:r>
      <w:r>
        <w:rPr>
          <w:rFonts w:hint="eastAsia" w:cs="宋体" w:asciiTheme="minorEastAsia" w:hAnsiTheme="minorEastAsia"/>
          <w:szCs w:val="21"/>
        </w:rPr>
        <w:t>。</w:t>
      </w:r>
    </w:p>
    <w:p w14:paraId="7897B58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承包人是否应为其施工设备等办理财产保险：</w:t>
      </w:r>
      <w:r>
        <w:rPr>
          <w:rFonts w:hint="eastAsia" w:cs="宋体" w:asciiTheme="minorEastAsia" w:hAnsiTheme="minorEastAsia"/>
          <w:szCs w:val="21"/>
          <w:u w:val="single"/>
        </w:rPr>
        <w:t xml:space="preserve">承包人应该为施工设备等办理财产保险 </w:t>
      </w:r>
      <w:r>
        <w:rPr>
          <w:rFonts w:hint="eastAsia" w:cs="宋体" w:asciiTheme="minorEastAsia" w:hAnsiTheme="minorEastAsia"/>
          <w:szCs w:val="21"/>
        </w:rPr>
        <w:t>。</w:t>
      </w:r>
    </w:p>
    <w:p w14:paraId="4D65FADF">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18.7 通知义务</w:t>
      </w:r>
    </w:p>
    <w:p w14:paraId="1D2F4C2C">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关于变更保险合同时的通知义务的约定：</w:t>
      </w:r>
      <w:r>
        <w:rPr>
          <w:rFonts w:hint="eastAsia" w:cs="宋体" w:asciiTheme="minorEastAsia" w:hAnsiTheme="minorEastAsia"/>
          <w:szCs w:val="21"/>
          <w:u w:val="single"/>
        </w:rPr>
        <w:t>执行通用条款</w:t>
      </w:r>
      <w:r>
        <w:rPr>
          <w:rFonts w:hint="eastAsia" w:cs="宋体" w:asciiTheme="minorEastAsia" w:hAnsiTheme="minorEastAsia"/>
          <w:szCs w:val="21"/>
        </w:rPr>
        <w:t>。。</w:t>
      </w:r>
    </w:p>
    <w:bookmarkEnd w:id="785"/>
    <w:bookmarkEnd w:id="786"/>
    <w:bookmarkEnd w:id="787"/>
    <w:bookmarkEnd w:id="788"/>
    <w:bookmarkEnd w:id="789"/>
    <w:bookmarkEnd w:id="790"/>
    <w:bookmarkEnd w:id="791"/>
    <w:bookmarkEnd w:id="792"/>
    <w:bookmarkEnd w:id="793"/>
    <w:bookmarkEnd w:id="794"/>
    <w:bookmarkEnd w:id="795"/>
    <w:bookmarkEnd w:id="796"/>
    <w:p w14:paraId="7A45AFC1">
      <w:pPr>
        <w:autoSpaceDN w:val="0"/>
        <w:spacing w:line="360" w:lineRule="auto"/>
        <w:ind w:firstLine="420" w:firstLineChars="200"/>
        <w:rPr>
          <w:rFonts w:cs="宋体" w:asciiTheme="minorEastAsia" w:hAnsiTheme="minorEastAsia"/>
          <w:bCs/>
          <w:szCs w:val="21"/>
        </w:rPr>
      </w:pPr>
      <w:bookmarkStart w:id="814" w:name="_Toc351203651"/>
      <w:r>
        <w:rPr>
          <w:rFonts w:hint="eastAsia" w:cs="宋体" w:asciiTheme="minorEastAsia" w:hAnsiTheme="minorEastAsia"/>
          <w:bCs/>
          <w:szCs w:val="21"/>
        </w:rPr>
        <w:t>20. 争议解决</w:t>
      </w:r>
      <w:bookmarkEnd w:id="814"/>
    </w:p>
    <w:bookmarkEnd w:id="797"/>
    <w:bookmarkEnd w:id="798"/>
    <w:p w14:paraId="55405B38">
      <w:pPr>
        <w:autoSpaceDN w:val="0"/>
        <w:spacing w:line="360" w:lineRule="auto"/>
        <w:ind w:firstLine="420" w:firstLineChars="200"/>
        <w:rPr>
          <w:rFonts w:cs="宋体" w:asciiTheme="minorEastAsia" w:hAnsiTheme="minorEastAsia"/>
          <w:szCs w:val="21"/>
        </w:rPr>
      </w:pPr>
      <w:bookmarkStart w:id="815" w:name="_Toc54777971"/>
      <w:r>
        <w:rPr>
          <w:rFonts w:hint="eastAsia" w:cs="宋体" w:asciiTheme="minorEastAsia" w:hAnsiTheme="minorEastAsia"/>
          <w:szCs w:val="21"/>
        </w:rPr>
        <w:t>20.3 争</w:t>
      </w:r>
      <w:bookmarkEnd w:id="799"/>
      <w:r>
        <w:rPr>
          <w:rFonts w:hint="eastAsia" w:cs="宋体" w:asciiTheme="minorEastAsia" w:hAnsiTheme="minorEastAsia"/>
          <w:szCs w:val="21"/>
        </w:rPr>
        <w:t>议评审</w:t>
      </w:r>
      <w:bookmarkEnd w:id="815"/>
    </w:p>
    <w:p w14:paraId="6D7D2F7E">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合同当事人是否同意将工程争议提交争议评审小组决定：</w:t>
      </w:r>
      <w:r>
        <w:rPr>
          <w:rFonts w:hint="eastAsia" w:cs="宋体" w:asciiTheme="minorEastAsia" w:hAnsiTheme="minorEastAsia"/>
          <w:szCs w:val="21"/>
          <w:u w:val="single"/>
        </w:rPr>
        <w:t>否</w:t>
      </w:r>
      <w:r>
        <w:rPr>
          <w:rFonts w:hint="eastAsia" w:cs="宋体" w:asciiTheme="minorEastAsia" w:hAnsiTheme="minorEastAsia"/>
          <w:szCs w:val="21"/>
        </w:rPr>
        <w:t>。</w:t>
      </w:r>
    </w:p>
    <w:p w14:paraId="10C48479">
      <w:pPr>
        <w:autoSpaceDN w:val="0"/>
        <w:spacing w:line="360" w:lineRule="auto"/>
        <w:ind w:firstLine="420" w:firstLineChars="200"/>
        <w:rPr>
          <w:rFonts w:cs="宋体" w:asciiTheme="minorEastAsia" w:hAnsiTheme="minorEastAsia"/>
          <w:szCs w:val="21"/>
        </w:rPr>
      </w:pPr>
      <w:bookmarkStart w:id="816" w:name="_Toc54777972"/>
      <w:r>
        <w:rPr>
          <w:rFonts w:hint="eastAsia" w:cs="宋体" w:asciiTheme="minorEastAsia" w:hAnsiTheme="minorEastAsia"/>
          <w:szCs w:val="21"/>
        </w:rPr>
        <w:t>20.3.1 争议评审小组的确定</w:t>
      </w:r>
      <w:bookmarkEnd w:id="816"/>
    </w:p>
    <w:p w14:paraId="6AFCE433">
      <w:pPr>
        <w:autoSpaceDN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争议评审小组成员的确定：</w:t>
      </w:r>
      <w:r>
        <w:rPr>
          <w:rFonts w:hint="eastAsia" w:cs="宋体" w:asciiTheme="minorEastAsia" w:hAnsiTheme="minorEastAsia"/>
          <w:szCs w:val="21"/>
          <w:u w:val="single"/>
        </w:rPr>
        <w:t>无</w:t>
      </w:r>
      <w:r>
        <w:rPr>
          <w:rFonts w:hint="eastAsia" w:cs="宋体" w:asciiTheme="minorEastAsia" w:hAnsiTheme="minorEastAsia"/>
          <w:szCs w:val="21"/>
        </w:rPr>
        <w:t>。</w:t>
      </w:r>
    </w:p>
    <w:p w14:paraId="30083F64">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选定争议评审员的期限：</w:t>
      </w:r>
      <w:r>
        <w:rPr>
          <w:rFonts w:hint="eastAsia" w:cs="宋体" w:asciiTheme="minorEastAsia" w:hAnsiTheme="minorEastAsia"/>
          <w:szCs w:val="21"/>
          <w:u w:val="single"/>
        </w:rPr>
        <w:t>无</w:t>
      </w:r>
      <w:r>
        <w:rPr>
          <w:rFonts w:hint="eastAsia" w:cs="宋体" w:asciiTheme="minorEastAsia" w:hAnsiTheme="minorEastAsia"/>
          <w:szCs w:val="21"/>
        </w:rPr>
        <w:t>。</w:t>
      </w:r>
    </w:p>
    <w:p w14:paraId="6E7BC67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争议评审小组成员的报酬承担方式：</w:t>
      </w:r>
      <w:r>
        <w:rPr>
          <w:rFonts w:hint="eastAsia" w:cs="宋体" w:asciiTheme="minorEastAsia" w:hAnsiTheme="minorEastAsia"/>
          <w:szCs w:val="21"/>
          <w:u w:val="single"/>
        </w:rPr>
        <w:t>无</w:t>
      </w:r>
      <w:r>
        <w:rPr>
          <w:rFonts w:hint="eastAsia" w:cs="宋体" w:asciiTheme="minorEastAsia" w:hAnsiTheme="minorEastAsia"/>
          <w:szCs w:val="21"/>
        </w:rPr>
        <w:t>。</w:t>
      </w:r>
    </w:p>
    <w:p w14:paraId="0C90B593">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其他事项的约定：</w:t>
      </w:r>
      <w:r>
        <w:rPr>
          <w:rFonts w:hint="eastAsia" w:cs="宋体" w:asciiTheme="minorEastAsia" w:hAnsiTheme="minorEastAsia"/>
          <w:szCs w:val="21"/>
          <w:u w:val="single"/>
        </w:rPr>
        <w:t>无</w:t>
      </w:r>
      <w:r>
        <w:rPr>
          <w:rFonts w:hint="eastAsia" w:cs="宋体" w:asciiTheme="minorEastAsia" w:hAnsiTheme="minorEastAsia"/>
          <w:szCs w:val="21"/>
        </w:rPr>
        <w:t>。</w:t>
      </w:r>
    </w:p>
    <w:p w14:paraId="32EC3717">
      <w:pPr>
        <w:autoSpaceDN w:val="0"/>
        <w:spacing w:line="360" w:lineRule="auto"/>
        <w:ind w:firstLine="420" w:firstLineChars="200"/>
        <w:rPr>
          <w:rFonts w:cs="宋体" w:asciiTheme="minorEastAsia" w:hAnsiTheme="minorEastAsia"/>
          <w:szCs w:val="21"/>
        </w:rPr>
      </w:pPr>
      <w:bookmarkStart w:id="817" w:name="_Toc54777973"/>
      <w:r>
        <w:rPr>
          <w:rFonts w:hint="eastAsia" w:cs="宋体" w:asciiTheme="minorEastAsia" w:hAnsiTheme="minorEastAsia"/>
          <w:szCs w:val="21"/>
        </w:rPr>
        <w:t>20.3.2 争议评审小组的决定</w:t>
      </w:r>
      <w:bookmarkEnd w:id="817"/>
    </w:p>
    <w:p w14:paraId="427E92FA">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合同当事人关于本项的约定：</w:t>
      </w:r>
      <w:r>
        <w:rPr>
          <w:rFonts w:hint="eastAsia" w:cs="宋体" w:asciiTheme="minorEastAsia" w:hAnsiTheme="minorEastAsia"/>
          <w:szCs w:val="21"/>
          <w:u w:val="single"/>
        </w:rPr>
        <w:t>无</w:t>
      </w:r>
      <w:r>
        <w:rPr>
          <w:rFonts w:hint="eastAsia" w:cs="宋体" w:asciiTheme="minorEastAsia" w:hAnsiTheme="minorEastAsia"/>
          <w:szCs w:val="21"/>
        </w:rPr>
        <w:t>。</w:t>
      </w:r>
    </w:p>
    <w:p w14:paraId="0731B0FA">
      <w:pPr>
        <w:autoSpaceDN w:val="0"/>
        <w:spacing w:line="360" w:lineRule="auto"/>
        <w:ind w:firstLine="420" w:firstLineChars="200"/>
        <w:rPr>
          <w:rFonts w:cs="宋体" w:asciiTheme="minorEastAsia" w:hAnsiTheme="minorEastAsia"/>
          <w:szCs w:val="21"/>
        </w:rPr>
      </w:pPr>
      <w:bookmarkStart w:id="818" w:name="_Toc54777974"/>
      <w:r>
        <w:rPr>
          <w:rFonts w:hint="eastAsia" w:cs="宋体" w:asciiTheme="minorEastAsia" w:hAnsiTheme="minorEastAsia"/>
          <w:szCs w:val="21"/>
        </w:rPr>
        <w:t>20.4仲裁或诉讼</w:t>
      </w:r>
      <w:bookmarkEnd w:id="800"/>
      <w:bookmarkEnd w:id="818"/>
    </w:p>
    <w:p w14:paraId="23871049">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因合同及合同有关事项发生的争议，按下列第</w:t>
      </w:r>
      <w:r>
        <w:rPr>
          <w:rFonts w:hint="eastAsia" w:cs="宋体" w:asciiTheme="minorEastAsia" w:hAnsiTheme="minorEastAsia"/>
          <w:szCs w:val="21"/>
          <w:u w:val="single"/>
        </w:rPr>
        <w:t>2</w:t>
      </w:r>
      <w:r>
        <w:rPr>
          <w:rFonts w:hint="eastAsia" w:cs="宋体" w:asciiTheme="minorEastAsia" w:hAnsiTheme="minorEastAsia"/>
          <w:szCs w:val="21"/>
        </w:rPr>
        <w:t>种方式解决：</w:t>
      </w:r>
    </w:p>
    <w:p w14:paraId="3FE74F88">
      <w:pPr>
        <w:autoSpaceDN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（1）</w:t>
      </w:r>
      <w:r>
        <w:rPr>
          <w:rFonts w:hint="eastAsia" w:cs="宋体" w:asciiTheme="minorEastAsia" w:hAnsiTheme="minorEastAsia"/>
          <w:szCs w:val="21"/>
          <w:u w:val="single"/>
        </w:rPr>
        <w:t>向/</w:t>
      </w:r>
      <w:r>
        <w:rPr>
          <w:rFonts w:hint="eastAsia" w:cs="宋体" w:asciiTheme="minorEastAsia" w:hAnsiTheme="minorEastAsia"/>
          <w:szCs w:val="21"/>
        </w:rPr>
        <w:t>仲裁委员会申请仲裁；</w:t>
      </w:r>
    </w:p>
    <w:p w14:paraId="6331A04E">
      <w:pPr>
        <w:autoSpaceDN w:val="0"/>
        <w:spacing w:line="360" w:lineRule="auto"/>
        <w:ind w:firstLine="420" w:firstLineChars="200"/>
        <w:rPr>
          <w:rFonts w:asciiTheme="minorEastAsia" w:hAnsiTheme="minorEastAsia"/>
        </w:rPr>
      </w:pPr>
      <w:r>
        <w:rPr>
          <w:rFonts w:hint="eastAsia" w:cs="宋体" w:asciiTheme="minorEastAsia" w:hAnsiTheme="minorEastAsia"/>
          <w:szCs w:val="21"/>
        </w:rPr>
        <w:t>（2）向</w:t>
      </w:r>
      <w:r>
        <w:rPr>
          <w:rFonts w:hint="eastAsia" w:cs="宋体" w:asciiTheme="minorEastAsia" w:hAnsiTheme="minorEastAsia"/>
          <w:szCs w:val="21"/>
          <w:u w:val="single"/>
        </w:rPr>
        <w:t>项目所在地有管辖权的</w:t>
      </w:r>
      <w:r>
        <w:rPr>
          <w:rFonts w:hint="eastAsia" w:cs="宋体" w:asciiTheme="minorEastAsia" w:hAnsiTheme="minorEastAsia"/>
          <w:szCs w:val="21"/>
        </w:rPr>
        <w:t>人民法院起诉。</w:t>
      </w:r>
    </w:p>
    <w:p w14:paraId="440E68BA">
      <w:pPr>
        <w:rPr>
          <w:rFonts w:hint="eastAsia" w:cs="宋体" w:asciiTheme="minorEastAsia" w:hAnsiTheme="minorEastAsia"/>
          <w:color w:val="auto"/>
          <w:szCs w:val="21"/>
        </w:rPr>
      </w:pPr>
      <w:r>
        <w:rPr>
          <w:rFonts w:hint="eastAsia" w:cs="宋体" w:asciiTheme="minorEastAsia" w:hAnsiTheme="minorEastAsia"/>
          <w:color w:val="auto"/>
          <w:szCs w:val="21"/>
        </w:rPr>
        <w:br w:type="page"/>
      </w:r>
    </w:p>
    <w:p w14:paraId="1B8AAD46">
      <w:pPr>
        <w:spacing w:line="360" w:lineRule="auto"/>
        <w:rPr>
          <w:rFonts w:ascii="宋体" w:hAnsi="宋体" w:cs="宋体"/>
          <w:color w:val="auto"/>
          <w:sz w:val="22"/>
          <w:szCs w:val="22"/>
        </w:rPr>
      </w:pPr>
    </w:p>
    <w:p w14:paraId="7892277E">
      <w:pPr>
        <w:autoSpaceDE w:val="0"/>
        <w:autoSpaceDN w:val="0"/>
        <w:adjustRightInd w:val="0"/>
        <w:spacing w:line="360" w:lineRule="auto"/>
        <w:rPr>
          <w:rFonts w:ascii="宋体" w:hAnsi="宋体" w:cs="宋体"/>
          <w:color w:val="auto"/>
          <w:sz w:val="22"/>
          <w:szCs w:val="22"/>
        </w:rPr>
      </w:pPr>
    </w:p>
    <w:p w14:paraId="0AACB578">
      <w:pPr>
        <w:spacing w:line="360" w:lineRule="auto"/>
        <w:rPr>
          <w:rFonts w:ascii="宋体" w:hAnsi="宋体" w:cs="宋体"/>
          <w:color w:val="auto"/>
          <w:sz w:val="22"/>
          <w:szCs w:val="22"/>
        </w:rPr>
      </w:pPr>
    </w:p>
    <w:p w14:paraId="37714A7B">
      <w:pPr>
        <w:autoSpaceDE w:val="0"/>
        <w:autoSpaceDN w:val="0"/>
        <w:adjustRightInd w:val="0"/>
        <w:spacing w:line="360" w:lineRule="auto"/>
        <w:rPr>
          <w:rFonts w:ascii="宋体" w:hAnsi="宋体" w:cs="宋体"/>
          <w:color w:val="auto"/>
          <w:sz w:val="22"/>
          <w:szCs w:val="22"/>
        </w:rPr>
      </w:pPr>
    </w:p>
    <w:p w14:paraId="1FFD7B24">
      <w:pPr>
        <w:spacing w:line="360" w:lineRule="auto"/>
        <w:rPr>
          <w:rFonts w:ascii="宋体" w:hAnsi="宋体" w:cs="宋体"/>
          <w:color w:val="auto"/>
          <w:sz w:val="22"/>
          <w:szCs w:val="22"/>
        </w:rPr>
      </w:pPr>
    </w:p>
    <w:p w14:paraId="468B6FE2">
      <w:pPr>
        <w:autoSpaceDE w:val="0"/>
        <w:autoSpaceDN w:val="0"/>
        <w:adjustRightInd w:val="0"/>
        <w:spacing w:line="360" w:lineRule="auto"/>
        <w:rPr>
          <w:rFonts w:ascii="宋体" w:hAnsi="宋体" w:cs="宋体"/>
          <w:color w:val="auto"/>
          <w:sz w:val="22"/>
          <w:szCs w:val="22"/>
        </w:rPr>
      </w:pPr>
    </w:p>
    <w:p w14:paraId="4B5B69C3">
      <w:pPr>
        <w:autoSpaceDE w:val="0"/>
        <w:autoSpaceDN w:val="0"/>
        <w:adjustRightInd w:val="0"/>
        <w:spacing w:line="360" w:lineRule="auto"/>
        <w:rPr>
          <w:rFonts w:ascii="宋体"/>
          <w:color w:val="auto"/>
          <w:sz w:val="22"/>
          <w:szCs w:val="22"/>
        </w:rPr>
      </w:pPr>
    </w:p>
    <w:p w14:paraId="5B0ABEE5">
      <w:pPr>
        <w:spacing w:line="360" w:lineRule="auto"/>
        <w:rPr>
          <w:rFonts w:ascii="宋体" w:hAnsi="宋体" w:cs="宋体"/>
          <w:color w:val="auto"/>
          <w:sz w:val="22"/>
          <w:szCs w:val="22"/>
        </w:rPr>
      </w:pPr>
    </w:p>
    <w:bookmarkEnd w:id="207"/>
    <w:bookmarkEnd w:id="208"/>
    <w:bookmarkEnd w:id="209"/>
    <w:bookmarkEnd w:id="210"/>
    <w:bookmarkEnd w:id="211"/>
    <w:bookmarkEnd w:id="212"/>
    <w:bookmarkEnd w:id="213"/>
    <w:bookmarkEnd w:id="214"/>
    <w:bookmarkEnd w:id="215"/>
    <w:p w14:paraId="49220FFF">
      <w:pPr>
        <w:spacing w:line="360" w:lineRule="auto"/>
        <w:rPr>
          <w:color w:val="auto"/>
          <w:sz w:val="20"/>
          <w:szCs w:val="22"/>
        </w:rPr>
      </w:pPr>
    </w:p>
    <w:p w14:paraId="1431F826">
      <w:pPr>
        <w:spacing w:line="360" w:lineRule="auto"/>
        <w:rPr>
          <w:color w:val="auto"/>
          <w:sz w:val="20"/>
          <w:szCs w:val="22"/>
        </w:rPr>
      </w:pPr>
    </w:p>
    <w:p w14:paraId="7AE0A5CC">
      <w:pPr>
        <w:spacing w:line="360" w:lineRule="auto"/>
        <w:rPr>
          <w:color w:val="auto"/>
          <w:sz w:val="20"/>
          <w:szCs w:val="22"/>
        </w:rPr>
      </w:pPr>
    </w:p>
    <w:p w14:paraId="1074976D">
      <w:pPr>
        <w:spacing w:line="360" w:lineRule="auto"/>
        <w:rPr>
          <w:rFonts w:ascii="宋体" w:hAnsi="宋体" w:cs="宋体"/>
          <w:color w:val="auto"/>
          <w:szCs w:val="21"/>
        </w:rPr>
      </w:pPr>
    </w:p>
    <w:p w14:paraId="183A57F4">
      <w:pPr>
        <w:spacing w:line="360" w:lineRule="auto"/>
        <w:rPr>
          <w:rFonts w:ascii="宋体" w:hAnsi="宋体" w:cs="宋体"/>
          <w:color w:val="auto"/>
          <w:szCs w:val="21"/>
        </w:rPr>
      </w:pPr>
    </w:p>
    <w:p w14:paraId="7230C495">
      <w:pPr>
        <w:spacing w:line="360" w:lineRule="auto"/>
        <w:rPr>
          <w:rFonts w:ascii="宋体" w:hAnsi="宋体" w:cs="宋体"/>
          <w:color w:val="auto"/>
          <w:szCs w:val="21"/>
        </w:rPr>
      </w:pPr>
    </w:p>
    <w:p w14:paraId="27B77D03">
      <w:pPr>
        <w:spacing w:line="360" w:lineRule="auto"/>
        <w:jc w:val="center"/>
        <w:rPr>
          <w:rFonts w:ascii="宋体" w:hAnsi="宋体" w:cs="宋体"/>
          <w:b/>
          <w:bCs/>
          <w:color w:val="auto"/>
          <w:sz w:val="48"/>
          <w:szCs w:val="48"/>
        </w:rPr>
      </w:pPr>
      <w:r>
        <w:rPr>
          <w:rFonts w:hint="eastAsia" w:ascii="宋体" w:hAnsi="宋体" w:cs="宋体"/>
          <w:b/>
          <w:bCs/>
          <w:color w:val="auto"/>
          <w:sz w:val="48"/>
          <w:szCs w:val="48"/>
        </w:rPr>
        <w:t>第二卷</w:t>
      </w:r>
    </w:p>
    <w:p w14:paraId="7EB3058F">
      <w:pPr>
        <w:spacing w:line="360" w:lineRule="auto"/>
        <w:rPr>
          <w:rFonts w:ascii="宋体" w:hAnsi="宋体" w:cs="宋体"/>
          <w:color w:val="auto"/>
          <w:sz w:val="48"/>
          <w:szCs w:val="48"/>
        </w:rPr>
      </w:pPr>
    </w:p>
    <w:p w14:paraId="71147F55">
      <w:pPr>
        <w:spacing w:line="360" w:lineRule="auto"/>
        <w:jc w:val="center"/>
        <w:rPr>
          <w:rFonts w:ascii="宋体" w:hAnsi="宋体" w:cs="宋体"/>
          <w:color w:val="auto"/>
          <w:sz w:val="48"/>
          <w:szCs w:val="48"/>
        </w:rPr>
      </w:pPr>
    </w:p>
    <w:p w14:paraId="7CAD190A">
      <w:pPr>
        <w:spacing w:line="360" w:lineRule="auto"/>
        <w:ind w:firstLine="435"/>
        <w:jc w:val="center"/>
        <w:outlineLvl w:val="0"/>
        <w:rPr>
          <w:rFonts w:ascii="宋体" w:hAnsi="宋体" w:cs="宋体"/>
          <w:b/>
          <w:bCs/>
          <w:color w:val="auto"/>
          <w:sz w:val="36"/>
          <w:szCs w:val="36"/>
        </w:rPr>
      </w:pPr>
      <w:r>
        <w:rPr>
          <w:rFonts w:hint="eastAsia" w:ascii="宋体" w:hAnsi="宋体" w:cs="宋体"/>
          <w:color w:val="auto"/>
          <w:szCs w:val="21"/>
        </w:rPr>
        <w:br w:type="page"/>
      </w:r>
      <w:bookmarkStart w:id="819" w:name="_Toc22206"/>
      <w:bookmarkStart w:id="820" w:name="_Toc9575"/>
      <w:bookmarkStart w:id="821" w:name="_Toc8560"/>
      <w:r>
        <w:rPr>
          <w:rFonts w:hint="eastAsia" w:ascii="宋体" w:hAnsi="宋体" w:cs="宋体"/>
          <w:b/>
          <w:bCs/>
          <w:color w:val="auto"/>
          <w:sz w:val="36"/>
          <w:szCs w:val="36"/>
        </w:rPr>
        <w:t>第六章工程量清单</w:t>
      </w:r>
    </w:p>
    <w:p w14:paraId="608BAD7F">
      <w:pPr>
        <w:spacing w:line="360" w:lineRule="auto"/>
        <w:rPr>
          <w:rFonts w:ascii="宋体" w:hAnsi="宋体" w:cs="宋体"/>
          <w:color w:val="auto"/>
          <w:szCs w:val="21"/>
        </w:rPr>
      </w:pPr>
    </w:p>
    <w:p w14:paraId="65E1CA09">
      <w:pPr>
        <w:spacing w:line="360" w:lineRule="auto"/>
        <w:rPr>
          <w:rFonts w:ascii="宋体" w:hAnsi="宋体" w:cs="宋体"/>
          <w:color w:val="auto"/>
          <w:szCs w:val="21"/>
        </w:rPr>
      </w:pPr>
    </w:p>
    <w:p w14:paraId="698289F4">
      <w:pPr>
        <w:spacing w:line="360" w:lineRule="auto"/>
        <w:rPr>
          <w:rFonts w:ascii="宋体" w:hAnsi="宋体" w:cs="宋体"/>
          <w:color w:val="auto"/>
          <w:szCs w:val="21"/>
        </w:rPr>
      </w:pPr>
    </w:p>
    <w:p w14:paraId="291DCE22">
      <w:pPr>
        <w:spacing w:line="360" w:lineRule="auto"/>
        <w:jc w:val="center"/>
        <w:rPr>
          <w:rFonts w:ascii="宋体" w:hAnsi="宋体" w:cs="宋体"/>
          <w:b/>
          <w:bCs/>
          <w:color w:val="auto"/>
          <w:sz w:val="36"/>
          <w:szCs w:val="36"/>
        </w:rPr>
      </w:pPr>
      <w:r>
        <w:rPr>
          <w:rFonts w:hint="eastAsia" w:ascii="宋体" w:hAnsi="宋体" w:cs="宋体"/>
          <w:color w:val="auto"/>
          <w:szCs w:val="21"/>
        </w:rPr>
        <w:t>详见附件</w:t>
      </w:r>
    </w:p>
    <w:p w14:paraId="0A88BB75">
      <w:pPr>
        <w:pStyle w:val="20"/>
        <w:spacing w:line="360" w:lineRule="auto"/>
        <w:ind w:firstLine="361"/>
        <w:rPr>
          <w:rFonts w:ascii="宋体" w:hAnsi="宋体" w:cs="宋体"/>
          <w:b/>
          <w:bCs/>
          <w:color w:val="auto"/>
          <w:sz w:val="36"/>
          <w:szCs w:val="36"/>
        </w:rPr>
      </w:pPr>
    </w:p>
    <w:p w14:paraId="4CEA9601">
      <w:pPr>
        <w:pStyle w:val="21"/>
        <w:spacing w:line="360" w:lineRule="auto"/>
        <w:ind w:firstLine="400"/>
        <w:rPr>
          <w:color w:val="auto"/>
        </w:rPr>
      </w:pPr>
    </w:p>
    <w:p w14:paraId="25425161">
      <w:pPr>
        <w:pStyle w:val="20"/>
        <w:spacing w:line="360" w:lineRule="auto"/>
        <w:ind w:firstLine="210"/>
        <w:rPr>
          <w:color w:val="auto"/>
        </w:rPr>
      </w:pPr>
    </w:p>
    <w:p w14:paraId="4FF63A7E">
      <w:pPr>
        <w:spacing w:line="360" w:lineRule="auto"/>
        <w:rPr>
          <w:rFonts w:ascii="宋体" w:hAnsi="宋体" w:cs="宋体"/>
          <w:b/>
          <w:bCs/>
          <w:color w:val="auto"/>
          <w:sz w:val="36"/>
          <w:szCs w:val="36"/>
        </w:rPr>
      </w:pPr>
      <w:r>
        <w:rPr>
          <w:rFonts w:hint="eastAsia" w:ascii="宋体" w:hAnsi="宋体" w:cs="宋体"/>
          <w:b/>
          <w:bCs/>
          <w:color w:val="auto"/>
          <w:sz w:val="36"/>
          <w:szCs w:val="36"/>
        </w:rPr>
        <w:br w:type="page"/>
      </w:r>
    </w:p>
    <w:p w14:paraId="2893B045">
      <w:pPr>
        <w:spacing w:line="360" w:lineRule="auto"/>
        <w:ind w:firstLine="435"/>
        <w:jc w:val="center"/>
        <w:outlineLvl w:val="0"/>
        <w:rPr>
          <w:rFonts w:ascii="宋体" w:hAnsi="宋体" w:cs="宋体"/>
          <w:b/>
          <w:bCs/>
          <w:color w:val="auto"/>
          <w:sz w:val="36"/>
          <w:szCs w:val="36"/>
        </w:rPr>
      </w:pPr>
      <w:bookmarkStart w:id="822" w:name="_Toc12237"/>
      <w:r>
        <w:rPr>
          <w:rFonts w:hint="eastAsia" w:ascii="宋体" w:hAnsi="宋体" w:cs="宋体"/>
          <w:b/>
          <w:bCs/>
          <w:color w:val="auto"/>
          <w:sz w:val="36"/>
          <w:szCs w:val="36"/>
        </w:rPr>
        <w:t>第七章图纸</w:t>
      </w:r>
      <w:bookmarkEnd w:id="819"/>
      <w:bookmarkEnd w:id="820"/>
      <w:bookmarkEnd w:id="821"/>
      <w:bookmarkEnd w:id="822"/>
    </w:p>
    <w:p w14:paraId="1D03646F">
      <w:pPr>
        <w:spacing w:line="360" w:lineRule="auto"/>
        <w:jc w:val="center"/>
        <w:rPr>
          <w:rFonts w:hint="eastAsia" w:ascii="宋体" w:hAnsi="宋体" w:eastAsia="宋体" w:cs="宋体"/>
          <w:color w:val="auto"/>
          <w:sz w:val="44"/>
          <w:szCs w:val="44"/>
          <w:lang w:eastAsia="zh-CN"/>
        </w:rPr>
      </w:pPr>
    </w:p>
    <w:p w14:paraId="018DE4D8">
      <w:pPr>
        <w:spacing w:line="360" w:lineRule="auto"/>
        <w:rPr>
          <w:rFonts w:ascii="宋体" w:hAnsi="宋体" w:cs="宋体"/>
          <w:color w:val="auto"/>
          <w:szCs w:val="21"/>
        </w:rPr>
      </w:pPr>
    </w:p>
    <w:p w14:paraId="41F38841">
      <w:pPr>
        <w:spacing w:line="360" w:lineRule="auto"/>
        <w:jc w:val="center"/>
        <w:rPr>
          <w:rFonts w:ascii="宋体" w:hAnsi="宋体" w:cs="宋体"/>
          <w:color w:val="auto"/>
          <w:szCs w:val="21"/>
        </w:rPr>
      </w:pPr>
      <w:r>
        <w:rPr>
          <w:rFonts w:hint="eastAsia" w:ascii="宋体" w:hAnsi="宋体" w:cs="宋体"/>
          <w:color w:val="auto"/>
          <w:szCs w:val="21"/>
        </w:rPr>
        <w:t>详见附件</w:t>
      </w:r>
    </w:p>
    <w:p w14:paraId="2EF55B19">
      <w:pPr>
        <w:spacing w:line="360" w:lineRule="auto"/>
        <w:rPr>
          <w:rFonts w:ascii="宋体" w:hAnsi="宋体" w:cs="宋体"/>
          <w:color w:val="auto"/>
          <w:szCs w:val="21"/>
        </w:rPr>
      </w:pPr>
      <w:r>
        <w:rPr>
          <w:rFonts w:hint="eastAsia" w:ascii="宋体" w:hAnsi="宋体" w:cs="宋体"/>
          <w:color w:val="auto"/>
          <w:sz w:val="24"/>
        </w:rPr>
        <w:br w:type="page"/>
      </w:r>
    </w:p>
    <w:p w14:paraId="4A10A174">
      <w:pPr>
        <w:spacing w:line="360" w:lineRule="auto"/>
        <w:rPr>
          <w:rFonts w:ascii="宋体" w:hAnsi="宋体" w:cs="宋体"/>
          <w:color w:val="auto"/>
          <w:szCs w:val="21"/>
        </w:rPr>
      </w:pPr>
    </w:p>
    <w:p w14:paraId="0E687642">
      <w:pPr>
        <w:spacing w:line="360" w:lineRule="auto"/>
        <w:rPr>
          <w:rFonts w:ascii="宋体" w:hAnsi="宋体" w:cs="宋体"/>
          <w:color w:val="auto"/>
          <w:szCs w:val="21"/>
        </w:rPr>
      </w:pPr>
    </w:p>
    <w:p w14:paraId="2F0D06E0">
      <w:pPr>
        <w:spacing w:line="360" w:lineRule="auto"/>
        <w:rPr>
          <w:rFonts w:ascii="宋体" w:hAnsi="宋体" w:cs="宋体"/>
          <w:color w:val="auto"/>
          <w:szCs w:val="21"/>
        </w:rPr>
      </w:pPr>
    </w:p>
    <w:p w14:paraId="06C5F2DB">
      <w:pPr>
        <w:spacing w:line="360" w:lineRule="auto"/>
        <w:rPr>
          <w:rFonts w:ascii="宋体" w:hAnsi="宋体" w:cs="宋体"/>
          <w:color w:val="auto"/>
          <w:szCs w:val="21"/>
        </w:rPr>
      </w:pPr>
    </w:p>
    <w:p w14:paraId="6469EE13">
      <w:pPr>
        <w:spacing w:line="360" w:lineRule="auto"/>
        <w:rPr>
          <w:rFonts w:ascii="宋体" w:hAnsi="宋体" w:cs="宋体"/>
          <w:color w:val="auto"/>
          <w:szCs w:val="21"/>
        </w:rPr>
      </w:pPr>
    </w:p>
    <w:p w14:paraId="65B3C60E">
      <w:pPr>
        <w:spacing w:line="360" w:lineRule="auto"/>
        <w:rPr>
          <w:rFonts w:ascii="宋体" w:hAnsi="宋体" w:cs="宋体"/>
          <w:color w:val="auto"/>
          <w:szCs w:val="21"/>
        </w:rPr>
      </w:pPr>
    </w:p>
    <w:p w14:paraId="33398782">
      <w:pPr>
        <w:spacing w:line="360" w:lineRule="auto"/>
        <w:rPr>
          <w:rFonts w:ascii="宋体" w:hAnsi="宋体" w:cs="宋体"/>
          <w:color w:val="auto"/>
          <w:szCs w:val="21"/>
        </w:rPr>
      </w:pPr>
    </w:p>
    <w:p w14:paraId="54DD5749">
      <w:pPr>
        <w:spacing w:line="360" w:lineRule="auto"/>
        <w:rPr>
          <w:rFonts w:ascii="宋体" w:hAnsi="宋体" w:cs="宋体"/>
          <w:color w:val="auto"/>
          <w:szCs w:val="21"/>
        </w:rPr>
      </w:pPr>
    </w:p>
    <w:p w14:paraId="0601971E">
      <w:pPr>
        <w:spacing w:line="360" w:lineRule="auto"/>
        <w:rPr>
          <w:rFonts w:ascii="宋体" w:hAnsi="宋体" w:cs="宋体"/>
          <w:color w:val="auto"/>
          <w:szCs w:val="21"/>
        </w:rPr>
      </w:pPr>
    </w:p>
    <w:p w14:paraId="4F9DFA6B">
      <w:pPr>
        <w:spacing w:line="360" w:lineRule="auto"/>
        <w:rPr>
          <w:rFonts w:ascii="宋体" w:hAnsi="宋体" w:cs="宋体"/>
          <w:color w:val="auto"/>
          <w:szCs w:val="21"/>
        </w:rPr>
      </w:pPr>
    </w:p>
    <w:p w14:paraId="42E9B263">
      <w:pPr>
        <w:spacing w:line="360" w:lineRule="auto"/>
        <w:jc w:val="center"/>
        <w:rPr>
          <w:rFonts w:ascii="宋体" w:hAnsi="宋体" w:cs="宋体"/>
          <w:b/>
          <w:bCs/>
          <w:color w:val="auto"/>
          <w:sz w:val="48"/>
          <w:szCs w:val="48"/>
        </w:rPr>
      </w:pPr>
      <w:r>
        <w:rPr>
          <w:rFonts w:hint="eastAsia" w:ascii="宋体" w:hAnsi="宋体" w:cs="宋体"/>
          <w:b/>
          <w:bCs/>
          <w:color w:val="auto"/>
          <w:sz w:val="48"/>
          <w:szCs w:val="48"/>
        </w:rPr>
        <w:t>第三卷</w:t>
      </w:r>
    </w:p>
    <w:p w14:paraId="68A0A90F">
      <w:pPr>
        <w:spacing w:line="360" w:lineRule="auto"/>
        <w:jc w:val="center"/>
        <w:rPr>
          <w:rFonts w:ascii="宋体" w:hAnsi="宋体" w:cs="宋体"/>
          <w:color w:val="auto"/>
          <w:sz w:val="32"/>
          <w:szCs w:val="32"/>
        </w:rPr>
      </w:pPr>
    </w:p>
    <w:p w14:paraId="0E3A02FD">
      <w:pPr>
        <w:spacing w:line="360" w:lineRule="auto"/>
        <w:ind w:firstLine="435"/>
        <w:jc w:val="center"/>
        <w:outlineLvl w:val="0"/>
        <w:rPr>
          <w:rFonts w:hint="eastAsia" w:eastAsia="宋体" w:asciiTheme="minorEastAsia" w:hAnsiTheme="minorEastAsia"/>
          <w:color w:val="auto"/>
          <w:szCs w:val="21"/>
          <w:lang w:eastAsia="zh-CN"/>
        </w:rPr>
      </w:pPr>
      <w:r>
        <w:rPr>
          <w:rFonts w:hint="eastAsia" w:ascii="宋体" w:hAnsi="宋体" w:cs="宋体"/>
          <w:color w:val="auto"/>
          <w:sz w:val="32"/>
          <w:szCs w:val="32"/>
        </w:rPr>
        <w:br w:type="page"/>
      </w:r>
      <w:bookmarkStart w:id="823" w:name="_Toc10775"/>
      <w:bookmarkStart w:id="824" w:name="_Toc2512"/>
      <w:bookmarkStart w:id="825" w:name="_Toc2838"/>
      <w:r>
        <w:rPr>
          <w:rFonts w:hint="eastAsia" w:ascii="宋体" w:hAnsi="宋体" w:cs="宋体"/>
          <w:b/>
          <w:bCs/>
          <w:color w:val="auto"/>
          <w:sz w:val="36"/>
          <w:szCs w:val="36"/>
        </w:rPr>
        <w:t>第八章技术标准和要求</w:t>
      </w:r>
      <w:bookmarkEnd w:id="823"/>
      <w:bookmarkEnd w:id="824"/>
      <w:bookmarkEnd w:id="825"/>
    </w:p>
    <w:p w14:paraId="7FDF45B6">
      <w:pPr>
        <w:shd w:val="clear"/>
        <w:spacing w:line="360" w:lineRule="auto"/>
        <w:ind w:firstLine="420" w:firstLineChars="175"/>
        <w:rPr>
          <w:rFonts w:hint="eastAsia"/>
          <w:color w:val="auto"/>
          <w:sz w:val="24"/>
          <w:szCs w:val="24"/>
          <w:highlight w:val="none"/>
          <w:lang w:val="en-US" w:eastAsia="zh-CN"/>
        </w:rPr>
      </w:pPr>
      <w:bookmarkStart w:id="826" w:name="_Toc444161105"/>
      <w:bookmarkStart w:id="827" w:name="_Toc488052455"/>
      <w:bookmarkStart w:id="828" w:name="_Toc528743946"/>
      <w:bookmarkStart w:id="829" w:name="_Toc356564508"/>
      <w:bookmarkStart w:id="830" w:name="_Toc354668596"/>
      <w:bookmarkStart w:id="831" w:name="_Toc250"/>
      <w:bookmarkStart w:id="832" w:name="_Toc246930466"/>
      <w:bookmarkStart w:id="833" w:name="_Toc324150168"/>
      <w:bookmarkStart w:id="834" w:name="_Toc424374456"/>
      <w:bookmarkStart w:id="835" w:name="_Toc383782901"/>
      <w:bookmarkStart w:id="836" w:name="_Toc246931736"/>
      <w:bookmarkStart w:id="837" w:name="_Toc359334377"/>
      <w:bookmarkStart w:id="838" w:name="_Toc278558603"/>
      <w:bookmarkStart w:id="839" w:name="_Toc279505674"/>
      <w:bookmarkStart w:id="840" w:name="_Toc395689279"/>
      <w:r>
        <w:rPr>
          <w:rFonts w:hint="eastAsia"/>
          <w:color w:val="auto"/>
          <w:sz w:val="24"/>
          <w:szCs w:val="24"/>
          <w:highlight w:val="none"/>
        </w:rPr>
        <w:t>一、</w:t>
      </w:r>
      <w:r>
        <w:rPr>
          <w:rFonts w:hint="eastAsia"/>
          <w:color w:val="auto"/>
          <w:sz w:val="24"/>
          <w:szCs w:val="24"/>
          <w:highlight w:val="none"/>
          <w:lang w:val="en-US" w:eastAsia="zh-CN"/>
        </w:rPr>
        <w:t>建设项目内容及规模：本次项目工程根据区域位置可分为两部分，建设规模分别为：</w:t>
      </w:r>
    </w:p>
    <w:p w14:paraId="6FF3DBD2">
      <w:pPr>
        <w:shd w:val="clear"/>
        <w:spacing w:line="360" w:lineRule="auto"/>
        <w:ind w:firstLine="420" w:firstLineChars="175"/>
        <w:rPr>
          <w:rFonts w:hint="eastAsia"/>
          <w:color w:val="auto"/>
          <w:sz w:val="24"/>
          <w:szCs w:val="24"/>
          <w:highlight w:val="none"/>
          <w:lang w:val="en-US" w:eastAsia="zh-CN"/>
        </w:rPr>
      </w:pPr>
      <w:r>
        <w:rPr>
          <w:rFonts w:hint="eastAsia"/>
          <w:color w:val="auto"/>
          <w:sz w:val="24"/>
          <w:szCs w:val="24"/>
          <w:highlight w:val="none"/>
          <w:lang w:val="en-US" w:eastAsia="zh-CN"/>
        </w:rPr>
        <w:t>1、银昌路排水防涝改造工程：起点自高速引线处现状雨水井，终点至铝厂转盘宋会路同期改造雨水井，拟建雨水管道规格DN1200mm，采用钢筋混凝土管道及钢筋混凝土检查井，全长约为3937m，布置于现状银昌路南侧距路中5.5m原破损雨水管道路径上，埋深约为2—4m，开挖施工，局部开挖区域需进行基坑支护，配套采购异动感应器设备174套，水位感应器设备174套，智能化监测设备7套。</w:t>
      </w:r>
    </w:p>
    <w:p w14:paraId="7284E6AE">
      <w:pPr>
        <w:shd w:val="clear"/>
        <w:spacing w:line="360" w:lineRule="auto"/>
        <w:ind w:firstLine="420" w:firstLineChars="175"/>
        <w:rPr>
          <w:rFonts w:hint="eastAsia"/>
          <w:color w:val="auto"/>
          <w:sz w:val="24"/>
          <w:szCs w:val="24"/>
          <w:highlight w:val="none"/>
          <w:lang w:val="en-US" w:eastAsia="zh-CN"/>
        </w:rPr>
      </w:pPr>
      <w:r>
        <w:rPr>
          <w:rFonts w:hint="eastAsia"/>
          <w:color w:val="auto"/>
          <w:sz w:val="24"/>
          <w:szCs w:val="24"/>
          <w:highlight w:val="none"/>
          <w:lang w:val="en-US" w:eastAsia="zh-CN"/>
        </w:rPr>
        <w:t>2、崤山东路排水防涝改造项目：起点自黄河路火车站现状雨水井，终点至铝厂转盘宋会路同期改造雨水井，拟建雨水管道规格DN800mm，采用钢筋混凝土管道及钢筋混凝土检查井，全长约为759m，布置于现状崤山东路东侧距路中6m原破损雨水管道路径上，埋深约为4—5m，开挖施工，局部开挖区域进行基坑支护，配套采购异动感应器设备27套，水位感应器设备27套，智能化监测设备2套。</w:t>
      </w:r>
    </w:p>
    <w:p w14:paraId="5BBBD1F8">
      <w:pPr>
        <w:shd w:val="clear"/>
        <w:spacing w:line="360" w:lineRule="auto"/>
        <w:ind w:firstLine="420" w:firstLineChars="175"/>
        <w:rPr>
          <w:rFonts w:hint="default" w:eastAsia="宋体"/>
          <w:color w:val="auto"/>
          <w:sz w:val="24"/>
          <w:szCs w:val="24"/>
          <w:highlight w:val="none"/>
          <w:lang w:val="en-US" w:eastAsia="zh-CN"/>
        </w:rPr>
      </w:pPr>
      <w:r>
        <w:rPr>
          <w:rFonts w:hint="eastAsia"/>
          <w:color w:val="auto"/>
          <w:sz w:val="24"/>
          <w:szCs w:val="24"/>
          <w:highlight w:val="none"/>
          <w:lang w:val="en-US" w:eastAsia="zh-CN"/>
        </w:rPr>
        <w:t>本项目共计建设DN800—DN1200Ⅱ级钢筋混凝土雨水主管4696米，配套采购异动感应器设备201套，水位感应器设备201套，智能化监测设备9套。</w:t>
      </w:r>
    </w:p>
    <w:p w14:paraId="1C89E513">
      <w:pPr>
        <w:shd w:val="clear"/>
        <w:spacing w:line="360" w:lineRule="auto"/>
        <w:ind w:firstLine="420" w:firstLineChars="175"/>
        <w:rPr>
          <w:color w:val="auto"/>
          <w:sz w:val="24"/>
          <w:szCs w:val="24"/>
          <w:highlight w:val="none"/>
        </w:rPr>
      </w:pPr>
      <w:r>
        <w:rPr>
          <w:rFonts w:hint="eastAsia"/>
          <w:color w:val="auto"/>
          <w:sz w:val="24"/>
          <w:szCs w:val="24"/>
          <w:highlight w:val="none"/>
          <w:lang w:val="en-US" w:eastAsia="zh-CN"/>
        </w:rPr>
        <w:t>二</w:t>
      </w:r>
      <w:r>
        <w:rPr>
          <w:rFonts w:hint="eastAsia"/>
          <w:color w:val="auto"/>
          <w:sz w:val="24"/>
          <w:szCs w:val="24"/>
          <w:highlight w:val="none"/>
        </w:rPr>
        <w:t>、本项目适用于现行国家、行业和地方规范、标准和规程</w:t>
      </w:r>
      <w:bookmarkEnd w:id="826"/>
      <w:r>
        <w:rPr>
          <w:rFonts w:hint="eastAsia"/>
          <w:color w:val="auto"/>
          <w:sz w:val="24"/>
          <w:szCs w:val="24"/>
          <w:highlight w:val="none"/>
        </w:rPr>
        <w:t>；</w:t>
      </w:r>
      <w:bookmarkEnd w:id="827"/>
      <w:bookmarkEnd w:id="828"/>
    </w:p>
    <w:p w14:paraId="5A59D738">
      <w:pPr>
        <w:shd w:val="clear"/>
        <w:spacing w:line="360" w:lineRule="auto"/>
        <w:ind w:firstLine="420" w:firstLineChars="175"/>
        <w:rPr>
          <w:color w:val="auto"/>
          <w:sz w:val="24"/>
          <w:szCs w:val="24"/>
          <w:highlight w:val="none"/>
        </w:rPr>
      </w:pPr>
      <w:bookmarkStart w:id="841" w:name="_Toc444161106"/>
      <w:bookmarkStart w:id="842" w:name="_Toc488052456"/>
      <w:bookmarkStart w:id="843" w:name="_Toc528743947"/>
      <w:r>
        <w:rPr>
          <w:rFonts w:hint="eastAsia"/>
          <w:color w:val="auto"/>
          <w:sz w:val="24"/>
          <w:szCs w:val="24"/>
          <w:highlight w:val="none"/>
          <w:lang w:val="en-US" w:eastAsia="zh-CN"/>
        </w:rPr>
        <w:t>三</w:t>
      </w:r>
      <w:r>
        <w:rPr>
          <w:rFonts w:hint="eastAsia"/>
          <w:color w:val="auto"/>
          <w:sz w:val="24"/>
          <w:szCs w:val="24"/>
          <w:highlight w:val="none"/>
        </w:rPr>
        <w:t>、本项目的《招标文件》及《招标工程量清单》</w:t>
      </w:r>
      <w:bookmarkEnd w:id="841"/>
      <w:r>
        <w:rPr>
          <w:rFonts w:hint="eastAsia"/>
          <w:color w:val="auto"/>
          <w:sz w:val="24"/>
          <w:szCs w:val="24"/>
          <w:highlight w:val="none"/>
        </w:rPr>
        <w:t>；</w:t>
      </w:r>
      <w:bookmarkEnd w:id="842"/>
      <w:bookmarkEnd w:id="843"/>
    </w:p>
    <w:p w14:paraId="5B8DBA9B">
      <w:pPr>
        <w:shd w:val="clear"/>
        <w:spacing w:line="360" w:lineRule="auto"/>
        <w:ind w:firstLine="420" w:firstLineChars="175"/>
        <w:rPr>
          <w:color w:val="auto"/>
          <w:sz w:val="24"/>
          <w:szCs w:val="24"/>
          <w:highlight w:val="none"/>
        </w:rPr>
      </w:pPr>
      <w:bookmarkStart w:id="844" w:name="_Toc444161107"/>
      <w:r>
        <w:rPr>
          <w:rFonts w:hint="eastAsia"/>
          <w:color w:val="auto"/>
          <w:sz w:val="24"/>
          <w:szCs w:val="24"/>
          <w:highlight w:val="none"/>
          <w:lang w:val="en-US" w:eastAsia="zh-CN"/>
        </w:rPr>
        <w:t>四</w:t>
      </w:r>
      <w:r>
        <w:rPr>
          <w:rFonts w:hint="eastAsia"/>
          <w:color w:val="auto"/>
          <w:sz w:val="24"/>
          <w:szCs w:val="24"/>
          <w:highlight w:val="none"/>
        </w:rPr>
        <w:t>、本项目的设计图纸及其相关组成文件；</w:t>
      </w:r>
    </w:p>
    <w:p w14:paraId="546AC77D">
      <w:pPr>
        <w:shd w:val="clear"/>
        <w:spacing w:line="360" w:lineRule="auto"/>
        <w:ind w:firstLine="420" w:firstLineChars="175"/>
        <w:rPr>
          <w:color w:val="auto"/>
          <w:sz w:val="24"/>
          <w:szCs w:val="24"/>
          <w:highlight w:val="none"/>
        </w:rPr>
      </w:pPr>
      <w:r>
        <w:rPr>
          <w:rFonts w:hint="eastAsia"/>
          <w:color w:val="auto"/>
          <w:sz w:val="24"/>
          <w:szCs w:val="24"/>
          <w:highlight w:val="none"/>
          <w:lang w:val="en-US" w:eastAsia="zh-CN"/>
        </w:rPr>
        <w:t>五</w:t>
      </w:r>
      <w:r>
        <w:rPr>
          <w:rFonts w:hint="eastAsia"/>
          <w:color w:val="auto"/>
          <w:sz w:val="24"/>
          <w:szCs w:val="24"/>
          <w:highlight w:val="none"/>
        </w:rPr>
        <w:t>、《招标控制价》及其相关组成文件；</w:t>
      </w:r>
    </w:p>
    <w:p w14:paraId="3D0BEAFA">
      <w:pPr>
        <w:shd w:val="clear"/>
        <w:spacing w:line="360" w:lineRule="auto"/>
        <w:ind w:firstLine="420" w:firstLineChars="175"/>
        <w:rPr>
          <w:color w:val="auto"/>
          <w:sz w:val="24"/>
          <w:szCs w:val="24"/>
          <w:highlight w:val="none"/>
        </w:rPr>
      </w:pPr>
      <w:r>
        <w:rPr>
          <w:rFonts w:hint="eastAsia"/>
          <w:color w:val="auto"/>
          <w:sz w:val="24"/>
          <w:szCs w:val="24"/>
          <w:highlight w:val="none"/>
          <w:lang w:val="en-US" w:eastAsia="zh-CN"/>
        </w:rPr>
        <w:t>六</w:t>
      </w:r>
      <w:r>
        <w:rPr>
          <w:rFonts w:hint="eastAsia"/>
          <w:color w:val="auto"/>
          <w:sz w:val="24"/>
          <w:szCs w:val="24"/>
          <w:highlight w:val="none"/>
        </w:rPr>
        <w:t>、与本工程有关的标准（包括标准图集）、规范、技术资料；</w:t>
      </w:r>
    </w:p>
    <w:p w14:paraId="12AD8E42">
      <w:pPr>
        <w:shd w:val="clear"/>
        <w:spacing w:line="360" w:lineRule="auto"/>
        <w:ind w:firstLine="420" w:firstLineChars="175"/>
        <w:rPr>
          <w:color w:val="auto"/>
          <w:sz w:val="24"/>
          <w:szCs w:val="24"/>
          <w:highlight w:val="none"/>
        </w:rPr>
      </w:pPr>
      <w:r>
        <w:rPr>
          <w:rFonts w:hint="eastAsia"/>
          <w:color w:val="auto"/>
          <w:sz w:val="24"/>
          <w:szCs w:val="24"/>
          <w:highlight w:val="none"/>
          <w:lang w:val="en-US" w:eastAsia="zh-CN"/>
        </w:rPr>
        <w:t>七</w:t>
      </w:r>
      <w:r>
        <w:rPr>
          <w:rFonts w:hint="eastAsia"/>
          <w:color w:val="auto"/>
          <w:sz w:val="24"/>
          <w:szCs w:val="24"/>
          <w:highlight w:val="none"/>
        </w:rPr>
        <w:t>、安全文明施工：在工程施工、竣工、交付及修补任何缺陷的过程中，承包人应当始终遵守国家和地方有关安全生产的法律、法规、规范、标准和规程等。</w:t>
      </w:r>
    </w:p>
    <w:p w14:paraId="618B3837">
      <w:pPr>
        <w:widowControl/>
        <w:spacing w:line="520" w:lineRule="exact"/>
        <w:ind w:firstLine="480" w:firstLineChars="200"/>
        <w:jc w:val="left"/>
        <w:rPr>
          <w:rFonts w:ascii="宋体" w:hAnsi="宋体" w:eastAsia="宋体" w:cs="Times New Roman"/>
          <w:color w:val="auto"/>
          <w:sz w:val="24"/>
          <w:szCs w:val="24"/>
        </w:rPr>
      </w:pPr>
      <w:r>
        <w:rPr>
          <w:rFonts w:hint="eastAsia"/>
          <w:color w:val="auto"/>
          <w:sz w:val="24"/>
          <w:szCs w:val="24"/>
          <w:highlight w:val="none"/>
          <w:lang w:val="en-US" w:eastAsia="zh-CN"/>
        </w:rPr>
        <w:t>八</w:t>
      </w:r>
      <w:r>
        <w:rPr>
          <w:rFonts w:hint="eastAsia"/>
          <w:color w:val="auto"/>
          <w:sz w:val="24"/>
          <w:szCs w:val="24"/>
          <w:highlight w:val="none"/>
        </w:rPr>
        <w:t>、</w:t>
      </w:r>
      <w:r>
        <w:rPr>
          <w:rFonts w:hint="eastAsia" w:ascii="宋体" w:hAnsi="宋体" w:eastAsia="宋体" w:cs="Times New Roman"/>
          <w:color w:val="auto"/>
          <w:sz w:val="24"/>
          <w:szCs w:val="24"/>
        </w:rPr>
        <w:t>质量标准要求</w:t>
      </w:r>
    </w:p>
    <w:p w14:paraId="4FA3FC5C">
      <w:pPr>
        <w:shd w:val="clear"/>
        <w:spacing w:line="360" w:lineRule="auto"/>
        <w:ind w:firstLine="420" w:firstLineChars="175"/>
        <w:rPr>
          <w:rFonts w:hint="eastAsia"/>
          <w:color w:val="auto"/>
          <w:sz w:val="24"/>
          <w:szCs w:val="24"/>
          <w:highlight w:val="none"/>
          <w:lang w:val="en-US" w:eastAsia="zh-CN"/>
        </w:rPr>
      </w:pPr>
      <w:r>
        <w:rPr>
          <w:rFonts w:hint="eastAsia"/>
          <w:color w:val="auto"/>
          <w:sz w:val="24"/>
          <w:szCs w:val="24"/>
          <w:highlight w:val="none"/>
          <w:lang w:val="en-US" w:eastAsia="zh-CN"/>
        </w:rPr>
        <w:t>质量达到国家现行有关施工质量验收规范要求，并达到合格标准</w:t>
      </w:r>
    </w:p>
    <w:p w14:paraId="32CEA1AC">
      <w:pPr>
        <w:shd w:val="clear"/>
        <w:spacing w:line="360" w:lineRule="auto"/>
        <w:ind w:firstLine="420" w:firstLineChars="175"/>
        <w:rPr>
          <w:color w:val="auto"/>
          <w:sz w:val="24"/>
          <w:szCs w:val="24"/>
          <w:highlight w:val="none"/>
        </w:rPr>
      </w:pPr>
      <w:r>
        <w:rPr>
          <w:rFonts w:hint="eastAsia"/>
          <w:color w:val="auto"/>
          <w:sz w:val="24"/>
          <w:szCs w:val="24"/>
          <w:highlight w:val="none"/>
          <w:lang w:val="en-US" w:eastAsia="zh-CN"/>
        </w:rPr>
        <w:t>九、</w:t>
      </w:r>
      <w:r>
        <w:rPr>
          <w:rFonts w:hint="eastAsia"/>
          <w:color w:val="auto"/>
          <w:sz w:val="24"/>
          <w:szCs w:val="24"/>
          <w:highlight w:val="none"/>
        </w:rPr>
        <w:t>施工过程中如遇地方关系由中标人自行解决，招标人可出面协助解决，其间发生的所有费用由中标人承担。</w:t>
      </w:r>
    </w:p>
    <w:bookmarkEnd w:id="829"/>
    <w:bookmarkEnd w:id="830"/>
    <w:bookmarkEnd w:id="831"/>
    <w:bookmarkEnd w:id="832"/>
    <w:bookmarkEnd w:id="833"/>
    <w:bookmarkEnd w:id="834"/>
    <w:bookmarkEnd w:id="835"/>
    <w:bookmarkEnd w:id="836"/>
    <w:bookmarkEnd w:id="837"/>
    <w:bookmarkEnd w:id="838"/>
    <w:bookmarkEnd w:id="839"/>
    <w:bookmarkEnd w:id="840"/>
    <w:bookmarkEnd w:id="844"/>
    <w:p w14:paraId="1BB84249">
      <w:pPr>
        <w:wordWrap w:val="0"/>
        <w:snapToGrid w:val="0"/>
        <w:spacing w:line="500" w:lineRule="exact"/>
        <w:ind w:firstLine="371" w:firstLineChars="177"/>
        <w:rPr>
          <w:rFonts w:hint="eastAsia" w:ascii="宋体" w:hAnsi="宋体"/>
          <w:color w:val="auto"/>
          <w:sz w:val="21"/>
          <w:szCs w:val="21"/>
        </w:rPr>
      </w:pPr>
    </w:p>
    <w:p w14:paraId="4A9BE124">
      <w:pPr>
        <w:spacing w:line="360" w:lineRule="auto"/>
        <w:ind w:firstLine="417" w:firstLineChars="174"/>
        <w:jc w:val="left"/>
        <w:rPr>
          <w:rFonts w:ascii="宋体" w:hAnsi="宋体" w:cs="宋体"/>
          <w:color w:val="auto"/>
          <w:sz w:val="24"/>
        </w:rPr>
      </w:pPr>
    </w:p>
    <w:p w14:paraId="6F6EC957">
      <w:pPr>
        <w:spacing w:line="360" w:lineRule="auto"/>
        <w:ind w:firstLine="417" w:firstLineChars="174"/>
        <w:jc w:val="left"/>
        <w:rPr>
          <w:rFonts w:ascii="宋体" w:hAnsi="宋体" w:cs="宋体"/>
          <w:color w:val="auto"/>
          <w:sz w:val="24"/>
        </w:rPr>
      </w:pPr>
    </w:p>
    <w:p w14:paraId="28D1AF70">
      <w:pPr>
        <w:spacing w:line="360" w:lineRule="auto"/>
        <w:ind w:firstLine="417" w:firstLineChars="174"/>
        <w:jc w:val="left"/>
        <w:rPr>
          <w:rFonts w:ascii="宋体" w:hAnsi="宋体" w:cs="宋体"/>
          <w:color w:val="auto"/>
          <w:sz w:val="24"/>
        </w:rPr>
      </w:pPr>
    </w:p>
    <w:p w14:paraId="0A107AAB">
      <w:pPr>
        <w:spacing w:line="360" w:lineRule="auto"/>
        <w:ind w:firstLine="417" w:firstLineChars="174"/>
        <w:jc w:val="left"/>
        <w:rPr>
          <w:rFonts w:ascii="宋体" w:hAnsi="宋体" w:cs="宋体"/>
          <w:color w:val="auto"/>
          <w:sz w:val="24"/>
        </w:rPr>
      </w:pPr>
    </w:p>
    <w:p w14:paraId="65353847">
      <w:pPr>
        <w:spacing w:line="360" w:lineRule="auto"/>
        <w:ind w:firstLine="417" w:firstLineChars="174"/>
        <w:jc w:val="left"/>
        <w:rPr>
          <w:rFonts w:ascii="宋体" w:hAnsi="宋体" w:cs="宋体"/>
          <w:color w:val="auto"/>
          <w:sz w:val="24"/>
        </w:rPr>
      </w:pPr>
    </w:p>
    <w:p w14:paraId="723FC78E">
      <w:pPr>
        <w:spacing w:line="360" w:lineRule="auto"/>
        <w:ind w:firstLine="417" w:firstLineChars="174"/>
        <w:jc w:val="left"/>
        <w:rPr>
          <w:rFonts w:ascii="宋体" w:hAnsi="宋体" w:cs="宋体"/>
          <w:color w:val="auto"/>
          <w:sz w:val="24"/>
        </w:rPr>
      </w:pPr>
    </w:p>
    <w:p w14:paraId="08F74E63">
      <w:pPr>
        <w:spacing w:line="360" w:lineRule="auto"/>
        <w:ind w:firstLine="417" w:firstLineChars="174"/>
        <w:jc w:val="left"/>
        <w:rPr>
          <w:rFonts w:ascii="宋体" w:hAnsi="宋体" w:cs="宋体"/>
          <w:color w:val="auto"/>
          <w:sz w:val="24"/>
        </w:rPr>
      </w:pPr>
    </w:p>
    <w:p w14:paraId="48200554">
      <w:pPr>
        <w:spacing w:line="360" w:lineRule="auto"/>
        <w:ind w:firstLine="417" w:firstLineChars="174"/>
        <w:jc w:val="left"/>
        <w:rPr>
          <w:rFonts w:ascii="宋体" w:hAnsi="宋体" w:cs="宋体"/>
          <w:color w:val="auto"/>
          <w:sz w:val="24"/>
        </w:rPr>
      </w:pPr>
    </w:p>
    <w:p w14:paraId="7310BFF1">
      <w:pPr>
        <w:spacing w:line="360" w:lineRule="auto"/>
        <w:jc w:val="left"/>
        <w:rPr>
          <w:rFonts w:ascii="宋体" w:hAnsi="宋体" w:cs="宋体"/>
          <w:color w:val="auto"/>
          <w:sz w:val="24"/>
        </w:rPr>
      </w:pPr>
    </w:p>
    <w:p w14:paraId="7B5B64AD">
      <w:pPr>
        <w:spacing w:line="360" w:lineRule="auto"/>
        <w:jc w:val="left"/>
        <w:rPr>
          <w:rFonts w:ascii="宋体" w:hAnsi="宋体" w:cs="宋体"/>
          <w:color w:val="auto"/>
          <w:sz w:val="24"/>
        </w:rPr>
      </w:pPr>
    </w:p>
    <w:p w14:paraId="7825445F">
      <w:pPr>
        <w:spacing w:line="360" w:lineRule="auto"/>
        <w:jc w:val="left"/>
        <w:rPr>
          <w:rFonts w:ascii="宋体" w:hAnsi="宋体" w:cs="宋体"/>
          <w:color w:val="auto"/>
          <w:sz w:val="24"/>
        </w:rPr>
      </w:pPr>
    </w:p>
    <w:p w14:paraId="0CF7E0A6">
      <w:pPr>
        <w:spacing w:line="360" w:lineRule="auto"/>
        <w:jc w:val="left"/>
        <w:rPr>
          <w:rFonts w:ascii="宋体" w:hAnsi="宋体" w:cs="宋体"/>
          <w:color w:val="auto"/>
          <w:sz w:val="24"/>
        </w:rPr>
      </w:pPr>
    </w:p>
    <w:p w14:paraId="0EE32B63">
      <w:pPr>
        <w:spacing w:line="360" w:lineRule="auto"/>
        <w:jc w:val="center"/>
        <w:rPr>
          <w:rFonts w:ascii="宋体" w:hAnsi="宋体" w:cs="宋体"/>
          <w:b/>
          <w:bCs/>
          <w:color w:val="auto"/>
          <w:sz w:val="48"/>
          <w:szCs w:val="48"/>
        </w:rPr>
      </w:pPr>
      <w:r>
        <w:rPr>
          <w:rFonts w:hint="eastAsia" w:ascii="宋体" w:hAnsi="宋体" w:cs="宋体"/>
          <w:b/>
          <w:bCs/>
          <w:color w:val="auto"/>
          <w:sz w:val="48"/>
          <w:szCs w:val="48"/>
        </w:rPr>
        <w:t>第四卷</w:t>
      </w:r>
    </w:p>
    <w:p w14:paraId="754C9740">
      <w:pPr>
        <w:spacing w:line="360" w:lineRule="auto"/>
        <w:jc w:val="center"/>
        <w:rPr>
          <w:rFonts w:ascii="宋体" w:hAnsi="宋体" w:cs="宋体"/>
          <w:color w:val="auto"/>
        </w:rPr>
      </w:pPr>
      <w:r>
        <w:rPr>
          <w:rFonts w:hint="eastAsia" w:ascii="宋体" w:hAnsi="宋体" w:cs="宋体"/>
          <w:color w:val="auto"/>
          <w:sz w:val="36"/>
          <w:szCs w:val="36"/>
        </w:rPr>
        <w:br w:type="page"/>
      </w:r>
    </w:p>
    <w:p w14:paraId="5F77BF47">
      <w:pPr>
        <w:spacing w:line="360" w:lineRule="auto"/>
        <w:jc w:val="center"/>
        <w:rPr>
          <w:rFonts w:ascii="宋体" w:hAnsi="宋体" w:cs="宋体"/>
          <w:color w:val="auto"/>
        </w:rPr>
      </w:pPr>
    </w:p>
    <w:p w14:paraId="34DEF2EB">
      <w:pPr>
        <w:spacing w:line="360" w:lineRule="auto"/>
        <w:ind w:firstLine="435"/>
        <w:jc w:val="center"/>
        <w:outlineLvl w:val="0"/>
        <w:rPr>
          <w:rFonts w:ascii="宋体" w:hAnsi="宋体" w:cs="宋体"/>
          <w:b/>
          <w:bCs/>
          <w:color w:val="auto"/>
          <w:sz w:val="36"/>
          <w:szCs w:val="36"/>
        </w:rPr>
      </w:pPr>
      <w:bookmarkStart w:id="845" w:name="_Toc4971"/>
      <w:bookmarkStart w:id="846" w:name="_Toc23495"/>
      <w:bookmarkStart w:id="847" w:name="_Toc15695"/>
      <w:bookmarkStart w:id="848" w:name="_Toc8508"/>
      <w:r>
        <w:rPr>
          <w:rFonts w:hint="eastAsia" w:ascii="宋体" w:hAnsi="宋体" w:cs="宋体"/>
          <w:b/>
          <w:bCs/>
          <w:color w:val="auto"/>
          <w:sz w:val="36"/>
          <w:szCs w:val="36"/>
        </w:rPr>
        <w:t>第九章投标文件格式</w:t>
      </w:r>
      <w:bookmarkEnd w:id="845"/>
      <w:bookmarkEnd w:id="846"/>
      <w:bookmarkEnd w:id="847"/>
      <w:bookmarkEnd w:id="848"/>
    </w:p>
    <w:p w14:paraId="288B10FB">
      <w:pPr>
        <w:spacing w:line="360" w:lineRule="auto"/>
        <w:jc w:val="center"/>
        <w:rPr>
          <w:rFonts w:ascii="宋体" w:hAnsi="宋体" w:cs="宋体"/>
          <w:color w:val="auto"/>
          <w:sz w:val="32"/>
          <w:szCs w:val="32"/>
          <w:u w:val="single"/>
        </w:rPr>
      </w:pPr>
    </w:p>
    <w:p w14:paraId="0AB22BDC">
      <w:pPr>
        <w:spacing w:line="360" w:lineRule="auto"/>
        <w:jc w:val="center"/>
        <w:rPr>
          <w:rFonts w:hint="eastAsia" w:ascii="宋体" w:hAnsi="宋体" w:eastAsia="宋体" w:cs="宋体"/>
          <w:color w:val="auto"/>
          <w:sz w:val="48"/>
          <w:szCs w:val="48"/>
          <w:lang w:eastAsia="zh-CN"/>
        </w:rPr>
      </w:pPr>
      <w:r>
        <w:rPr>
          <w:rFonts w:hint="eastAsia" w:ascii="宋体" w:hAnsi="宋体" w:cs="宋体"/>
          <w:b/>
          <w:bCs/>
          <w:color w:val="auto"/>
          <w:sz w:val="52"/>
          <w:szCs w:val="52"/>
          <w:lang w:eastAsia="zh-CN"/>
        </w:rPr>
        <w:t>银昌路、崤山东路排水防涝改造项目</w:t>
      </w:r>
    </w:p>
    <w:p w14:paraId="3A0C02A5">
      <w:pPr>
        <w:spacing w:beforeLines="100" w:line="360" w:lineRule="auto"/>
        <w:jc w:val="center"/>
        <w:rPr>
          <w:rFonts w:ascii="宋体" w:hAnsi="宋体" w:cs="宋体"/>
          <w:color w:val="auto"/>
          <w:sz w:val="40"/>
          <w:szCs w:val="40"/>
        </w:rPr>
      </w:pPr>
    </w:p>
    <w:p w14:paraId="6714D9E2">
      <w:pPr>
        <w:pStyle w:val="38"/>
        <w:spacing w:line="360" w:lineRule="auto"/>
        <w:ind w:firstLine="440"/>
        <w:rPr>
          <w:color w:val="auto"/>
          <w:sz w:val="22"/>
          <w:szCs w:val="22"/>
        </w:rPr>
      </w:pPr>
    </w:p>
    <w:p w14:paraId="7F170402">
      <w:pPr>
        <w:spacing w:beforeLines="100" w:line="360" w:lineRule="auto"/>
        <w:jc w:val="center"/>
        <w:rPr>
          <w:rFonts w:ascii="宋体" w:hAnsi="宋体" w:cs="宋体"/>
          <w:color w:val="auto"/>
          <w:sz w:val="72"/>
          <w:szCs w:val="72"/>
        </w:rPr>
      </w:pPr>
      <w:r>
        <w:rPr>
          <w:rFonts w:hint="eastAsia" w:ascii="宋体" w:hAnsi="宋体" w:cs="宋体"/>
          <w:color w:val="auto"/>
          <w:sz w:val="72"/>
          <w:szCs w:val="72"/>
        </w:rPr>
        <w:t>投标文件</w:t>
      </w:r>
    </w:p>
    <w:p w14:paraId="39986042">
      <w:pPr>
        <w:spacing w:line="360" w:lineRule="auto"/>
        <w:jc w:val="center"/>
        <w:rPr>
          <w:rFonts w:ascii="宋体" w:hAnsi="宋体" w:cs="宋体"/>
          <w:color w:val="auto"/>
          <w:sz w:val="32"/>
          <w:szCs w:val="32"/>
        </w:rPr>
      </w:pPr>
      <w:r>
        <w:rPr>
          <w:rFonts w:hint="eastAsia" w:ascii="宋体" w:hAnsi="宋体" w:cs="宋体"/>
          <w:color w:val="auto"/>
          <w:sz w:val="32"/>
          <w:szCs w:val="32"/>
          <w:lang w:eastAsia="zh-CN"/>
        </w:rPr>
        <w:t>招标编号</w:t>
      </w:r>
      <w:r>
        <w:rPr>
          <w:rFonts w:hint="eastAsia" w:ascii="宋体" w:hAnsi="宋体" w:cs="宋体"/>
          <w:color w:val="auto"/>
          <w:sz w:val="32"/>
          <w:szCs w:val="32"/>
        </w:rPr>
        <w:t>：</w:t>
      </w:r>
    </w:p>
    <w:p w14:paraId="2DA1C67F">
      <w:pPr>
        <w:spacing w:line="360" w:lineRule="auto"/>
        <w:jc w:val="center"/>
        <w:rPr>
          <w:rFonts w:ascii="宋体" w:hAnsi="宋体" w:cs="宋体"/>
          <w:color w:val="auto"/>
          <w:sz w:val="32"/>
          <w:szCs w:val="32"/>
        </w:rPr>
      </w:pPr>
    </w:p>
    <w:p w14:paraId="555A90D1">
      <w:pPr>
        <w:spacing w:line="360" w:lineRule="auto"/>
        <w:jc w:val="center"/>
        <w:rPr>
          <w:rFonts w:ascii="宋体" w:hAnsi="宋体" w:cs="宋体"/>
          <w:color w:val="auto"/>
          <w:sz w:val="32"/>
          <w:szCs w:val="32"/>
        </w:rPr>
      </w:pPr>
    </w:p>
    <w:p w14:paraId="755CE8D2">
      <w:pPr>
        <w:spacing w:line="360" w:lineRule="auto"/>
        <w:jc w:val="center"/>
        <w:rPr>
          <w:rFonts w:ascii="宋体" w:hAnsi="宋体" w:cs="宋体"/>
          <w:color w:val="auto"/>
          <w:sz w:val="32"/>
          <w:szCs w:val="32"/>
        </w:rPr>
      </w:pPr>
    </w:p>
    <w:p w14:paraId="7B8F08BD">
      <w:pPr>
        <w:spacing w:line="360" w:lineRule="auto"/>
        <w:jc w:val="center"/>
        <w:rPr>
          <w:rFonts w:ascii="宋体" w:hAnsi="宋体" w:cs="宋体"/>
          <w:color w:val="auto"/>
          <w:sz w:val="32"/>
          <w:szCs w:val="32"/>
        </w:rPr>
      </w:pPr>
    </w:p>
    <w:p w14:paraId="2D6F895A">
      <w:pPr>
        <w:spacing w:line="360" w:lineRule="auto"/>
        <w:jc w:val="center"/>
        <w:rPr>
          <w:rFonts w:ascii="宋体" w:hAnsi="宋体" w:cs="宋体"/>
          <w:color w:val="auto"/>
          <w:sz w:val="32"/>
          <w:szCs w:val="32"/>
        </w:rPr>
      </w:pPr>
    </w:p>
    <w:p w14:paraId="5ABCCEB6">
      <w:pPr>
        <w:spacing w:line="360" w:lineRule="auto"/>
        <w:jc w:val="center"/>
        <w:rPr>
          <w:rFonts w:ascii="宋体" w:hAnsi="宋体" w:cs="宋体"/>
          <w:color w:val="auto"/>
          <w:sz w:val="32"/>
          <w:szCs w:val="32"/>
        </w:rPr>
      </w:pPr>
    </w:p>
    <w:p w14:paraId="1823D252">
      <w:pPr>
        <w:spacing w:line="360" w:lineRule="auto"/>
        <w:ind w:firstLine="1120" w:firstLineChars="400"/>
        <w:rPr>
          <w:rFonts w:ascii="宋体" w:hAnsi="宋体" w:cs="宋体"/>
          <w:color w:val="auto"/>
          <w:sz w:val="28"/>
          <w:szCs w:val="28"/>
        </w:rPr>
      </w:pPr>
      <w:r>
        <w:rPr>
          <w:rFonts w:hint="eastAsia" w:ascii="宋体" w:hAnsi="宋体" w:cs="宋体"/>
          <w:color w:val="auto"/>
          <w:sz w:val="28"/>
          <w:szCs w:val="28"/>
        </w:rPr>
        <w:t>投标人：（盖电子公章）</w:t>
      </w:r>
    </w:p>
    <w:p w14:paraId="629410E6">
      <w:pPr>
        <w:spacing w:line="360" w:lineRule="auto"/>
        <w:ind w:firstLine="1120" w:firstLineChars="400"/>
        <w:rPr>
          <w:rFonts w:ascii="宋体" w:hAnsi="宋体" w:cs="宋体"/>
          <w:color w:val="auto"/>
          <w:sz w:val="28"/>
          <w:szCs w:val="28"/>
        </w:rPr>
      </w:pPr>
      <w:r>
        <w:rPr>
          <w:rFonts w:hint="eastAsia" w:ascii="宋体" w:hAnsi="宋体" w:cs="宋体"/>
          <w:color w:val="auto"/>
          <w:sz w:val="28"/>
          <w:szCs w:val="28"/>
        </w:rPr>
        <w:t>法定代表人或其委托代理人：（</w:t>
      </w:r>
      <w:r>
        <w:rPr>
          <w:rFonts w:hint="eastAsia" w:ascii="宋体" w:hAnsi="宋体" w:cs="宋体"/>
          <w:color w:val="auto"/>
          <w:sz w:val="28"/>
          <w:szCs w:val="28"/>
          <w:lang w:eastAsia="zh-CN"/>
        </w:rPr>
        <w:t>签章</w:t>
      </w:r>
      <w:r>
        <w:rPr>
          <w:rFonts w:hint="eastAsia" w:ascii="宋体" w:hAnsi="宋体" w:cs="宋体"/>
          <w:color w:val="auto"/>
          <w:sz w:val="28"/>
          <w:szCs w:val="28"/>
        </w:rPr>
        <w:t>）</w:t>
      </w:r>
    </w:p>
    <w:p w14:paraId="6D40540E">
      <w:pPr>
        <w:spacing w:line="360" w:lineRule="auto"/>
        <w:jc w:val="center"/>
        <w:rPr>
          <w:rFonts w:ascii="宋体" w:hAnsi="宋体" w:cs="宋体"/>
          <w:color w:val="auto"/>
          <w:sz w:val="28"/>
          <w:szCs w:val="28"/>
        </w:rPr>
      </w:pPr>
      <w:r>
        <w:rPr>
          <w:rFonts w:hint="eastAsia" w:ascii="宋体" w:hAnsi="宋体" w:cs="宋体"/>
          <w:color w:val="auto"/>
          <w:sz w:val="28"/>
          <w:szCs w:val="28"/>
        </w:rPr>
        <w:t>年</w:t>
      </w:r>
      <w:r>
        <w:rPr>
          <w:rFonts w:hint="eastAsia" w:ascii="宋体" w:hAnsi="宋体" w:cs="宋体"/>
          <w:color w:val="auto"/>
          <w:sz w:val="28"/>
          <w:szCs w:val="28"/>
          <w:lang w:val="en-US" w:eastAsia="zh-CN"/>
        </w:rPr>
        <w:t xml:space="preserve">   </w:t>
      </w:r>
      <w:r>
        <w:rPr>
          <w:rFonts w:hint="eastAsia" w:ascii="宋体" w:hAnsi="宋体" w:cs="宋体"/>
          <w:color w:val="auto"/>
          <w:sz w:val="28"/>
          <w:szCs w:val="28"/>
        </w:rPr>
        <w:t>月</w:t>
      </w:r>
      <w:r>
        <w:rPr>
          <w:rFonts w:hint="eastAsia" w:ascii="宋体" w:hAnsi="宋体" w:cs="宋体"/>
          <w:color w:val="auto"/>
          <w:sz w:val="28"/>
          <w:szCs w:val="28"/>
          <w:lang w:val="en-US" w:eastAsia="zh-CN"/>
        </w:rPr>
        <w:t xml:space="preserve">   </w:t>
      </w:r>
      <w:r>
        <w:rPr>
          <w:rFonts w:hint="eastAsia" w:ascii="宋体" w:hAnsi="宋体" w:cs="宋体"/>
          <w:color w:val="auto"/>
          <w:sz w:val="28"/>
          <w:szCs w:val="28"/>
        </w:rPr>
        <w:t>日</w:t>
      </w:r>
    </w:p>
    <w:p w14:paraId="7F59B87F">
      <w:pPr>
        <w:spacing w:beforeLines="100" w:afterLines="100" w:line="360" w:lineRule="auto"/>
        <w:jc w:val="center"/>
        <w:rPr>
          <w:rFonts w:ascii="宋体" w:hAnsi="宋体" w:cs="宋体"/>
          <w:color w:val="auto"/>
          <w:sz w:val="28"/>
          <w:szCs w:val="28"/>
        </w:rPr>
      </w:pPr>
      <w:r>
        <w:rPr>
          <w:rFonts w:hint="eastAsia" w:ascii="宋体" w:hAnsi="宋体" w:cs="宋体"/>
          <w:color w:val="auto"/>
          <w:sz w:val="28"/>
          <w:szCs w:val="28"/>
        </w:rPr>
        <w:br w:type="page"/>
      </w:r>
      <w:r>
        <w:rPr>
          <w:rFonts w:hint="eastAsia" w:ascii="宋体" w:hAnsi="宋体" w:cs="宋体"/>
          <w:color w:val="auto"/>
          <w:sz w:val="28"/>
          <w:szCs w:val="28"/>
        </w:rPr>
        <w:t>目录</w:t>
      </w:r>
    </w:p>
    <w:p w14:paraId="628C5DDC">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一、投标函及投标函附录</w:t>
      </w:r>
    </w:p>
    <w:p w14:paraId="7A8560AA">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二、法定代表人身份证明及授权委托书</w:t>
      </w:r>
    </w:p>
    <w:p w14:paraId="6E52B1E0">
      <w:pPr>
        <w:widowControl/>
        <w:wordWrap w:val="0"/>
        <w:spacing w:line="760" w:lineRule="exact"/>
        <w:ind w:firstLine="619" w:firstLineChars="295"/>
        <w:jc w:val="left"/>
        <w:textAlignment w:val="center"/>
        <w:rPr>
          <w:rFonts w:hint="default" w:ascii="宋体" w:hAnsi="宋体" w:eastAsia="宋体" w:cs="仿宋_GB2312"/>
          <w:color w:val="auto"/>
          <w:kern w:val="0"/>
          <w:sz w:val="21"/>
          <w:szCs w:val="21"/>
          <w:lang w:val="en-US" w:eastAsia="zh-CN"/>
        </w:rPr>
      </w:pPr>
      <w:r>
        <w:rPr>
          <w:rFonts w:hint="eastAsia" w:ascii="宋体" w:hAnsi="宋体" w:cs="仿宋_GB2312"/>
          <w:color w:val="auto"/>
          <w:kern w:val="0"/>
          <w:sz w:val="21"/>
          <w:szCs w:val="21"/>
        </w:rPr>
        <w:t>三、</w:t>
      </w:r>
      <w:r>
        <w:rPr>
          <w:rFonts w:hint="eastAsia" w:ascii="宋体" w:hAnsi="宋体" w:cs="仿宋_GB2312"/>
          <w:color w:val="auto"/>
          <w:kern w:val="0"/>
          <w:sz w:val="21"/>
          <w:szCs w:val="21"/>
          <w:lang w:val="en-US" w:eastAsia="zh-CN"/>
        </w:rPr>
        <w:t>投标承诺函</w:t>
      </w:r>
    </w:p>
    <w:p w14:paraId="34DFC2B0">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四、投标保证金</w:t>
      </w:r>
    </w:p>
    <w:p w14:paraId="4C7E76F9">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五、已标价工程量清单</w:t>
      </w:r>
    </w:p>
    <w:p w14:paraId="1CF1CE36">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六、施工组织设计</w:t>
      </w:r>
    </w:p>
    <w:p w14:paraId="07D3D4F2">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七、项目管理机构</w:t>
      </w:r>
    </w:p>
    <w:p w14:paraId="70BAB7C7">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八、投标人基本情况资料</w:t>
      </w:r>
    </w:p>
    <w:p w14:paraId="11F919F6">
      <w:pPr>
        <w:widowControl/>
        <w:wordWrap w:val="0"/>
        <w:spacing w:line="760" w:lineRule="exact"/>
        <w:ind w:firstLine="619" w:firstLineChars="295"/>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九、投标人认为应附的其他材料</w:t>
      </w:r>
    </w:p>
    <w:p w14:paraId="00835ED1">
      <w:pPr>
        <w:widowControl/>
        <w:wordWrap w:val="0"/>
        <w:spacing w:beforeLines="100" w:line="440" w:lineRule="exact"/>
        <w:jc w:val="center"/>
        <w:textAlignment w:val="center"/>
        <w:rPr>
          <w:rFonts w:ascii="宋体" w:hAnsi="宋体" w:cs="仿宋_GB2312"/>
          <w:color w:val="auto"/>
          <w:kern w:val="0"/>
          <w:sz w:val="24"/>
        </w:rPr>
      </w:pPr>
    </w:p>
    <w:p w14:paraId="78933FA8">
      <w:pPr>
        <w:widowControl/>
        <w:wordWrap w:val="0"/>
        <w:spacing w:beforeLines="100" w:line="480" w:lineRule="exact"/>
        <w:jc w:val="center"/>
        <w:textAlignment w:val="center"/>
        <w:rPr>
          <w:rFonts w:ascii="宋体" w:hAnsi="宋体" w:cs="仿宋_GB2312"/>
          <w:color w:val="auto"/>
          <w:kern w:val="0"/>
          <w:sz w:val="28"/>
          <w:szCs w:val="30"/>
        </w:rPr>
      </w:pPr>
    </w:p>
    <w:p w14:paraId="7172AEF2">
      <w:pPr>
        <w:widowControl/>
        <w:wordWrap w:val="0"/>
        <w:spacing w:beforeLines="100" w:line="480" w:lineRule="exact"/>
        <w:jc w:val="center"/>
        <w:textAlignment w:val="center"/>
        <w:rPr>
          <w:rFonts w:ascii="宋体" w:hAnsi="宋体" w:cs="仿宋_GB2312"/>
          <w:color w:val="auto"/>
          <w:kern w:val="0"/>
          <w:sz w:val="28"/>
          <w:szCs w:val="30"/>
        </w:rPr>
      </w:pPr>
    </w:p>
    <w:p w14:paraId="5AC82D48">
      <w:pPr>
        <w:widowControl/>
        <w:wordWrap w:val="0"/>
        <w:spacing w:beforeLines="100" w:line="480" w:lineRule="exact"/>
        <w:jc w:val="center"/>
        <w:textAlignment w:val="center"/>
        <w:rPr>
          <w:rFonts w:ascii="宋体" w:hAnsi="宋体" w:cs="仿宋_GB2312"/>
          <w:color w:val="auto"/>
          <w:kern w:val="0"/>
          <w:sz w:val="28"/>
          <w:szCs w:val="30"/>
        </w:rPr>
      </w:pPr>
    </w:p>
    <w:p w14:paraId="011F80B3">
      <w:pPr>
        <w:widowControl/>
        <w:wordWrap w:val="0"/>
        <w:spacing w:beforeLines="100" w:line="480" w:lineRule="exact"/>
        <w:jc w:val="center"/>
        <w:textAlignment w:val="center"/>
        <w:rPr>
          <w:rFonts w:ascii="宋体" w:hAnsi="宋体" w:cs="仿宋_GB2312"/>
          <w:color w:val="auto"/>
          <w:kern w:val="0"/>
          <w:sz w:val="28"/>
          <w:szCs w:val="30"/>
        </w:rPr>
      </w:pPr>
    </w:p>
    <w:p w14:paraId="5929E11D">
      <w:pPr>
        <w:widowControl/>
        <w:wordWrap w:val="0"/>
        <w:spacing w:beforeLines="100" w:line="480" w:lineRule="exact"/>
        <w:jc w:val="center"/>
        <w:textAlignment w:val="center"/>
        <w:rPr>
          <w:rFonts w:ascii="宋体" w:hAnsi="宋体" w:cs="仿宋_GB2312"/>
          <w:color w:val="auto"/>
          <w:kern w:val="0"/>
          <w:sz w:val="28"/>
          <w:szCs w:val="30"/>
        </w:rPr>
      </w:pPr>
    </w:p>
    <w:p w14:paraId="6F419960">
      <w:pPr>
        <w:widowControl/>
        <w:wordWrap w:val="0"/>
        <w:spacing w:beforeLines="100" w:line="240" w:lineRule="exact"/>
        <w:jc w:val="center"/>
        <w:textAlignment w:val="center"/>
        <w:rPr>
          <w:rFonts w:ascii="宋体" w:hAnsi="宋体" w:cs="仿宋_GB2312"/>
          <w:color w:val="auto"/>
          <w:kern w:val="0"/>
          <w:sz w:val="24"/>
          <w:szCs w:val="28"/>
        </w:rPr>
      </w:pPr>
    </w:p>
    <w:p w14:paraId="055C85A7">
      <w:pPr>
        <w:widowControl/>
        <w:jc w:val="left"/>
        <w:rPr>
          <w:rFonts w:ascii="Arial" w:hAnsi="Arial"/>
          <w:b/>
          <w:color w:val="auto"/>
          <w:sz w:val="24"/>
          <w:szCs w:val="32"/>
        </w:rPr>
      </w:pPr>
      <w:bookmarkStart w:id="849" w:name="_Toc204691607"/>
      <w:r>
        <w:rPr>
          <w:rFonts w:ascii="Arial" w:hAnsi="Arial"/>
          <w:b/>
          <w:color w:val="auto"/>
          <w:sz w:val="24"/>
          <w:szCs w:val="32"/>
        </w:rPr>
        <w:br w:type="page"/>
      </w:r>
    </w:p>
    <w:p w14:paraId="214BFE67">
      <w:pPr>
        <w:widowControl/>
        <w:wordWrap w:val="0"/>
        <w:jc w:val="center"/>
        <w:outlineLvl w:val="1"/>
        <w:rPr>
          <w:rFonts w:ascii="Arial" w:hAnsi="Arial"/>
          <w:b/>
          <w:color w:val="auto"/>
          <w:sz w:val="24"/>
          <w:szCs w:val="32"/>
        </w:rPr>
      </w:pPr>
      <w:r>
        <w:rPr>
          <w:rFonts w:hint="eastAsia" w:ascii="Arial" w:hAnsi="Arial"/>
          <w:b/>
          <w:color w:val="auto"/>
          <w:sz w:val="24"/>
          <w:szCs w:val="32"/>
        </w:rPr>
        <w:t>一、投标函及投标函附录</w:t>
      </w:r>
      <w:bookmarkEnd w:id="849"/>
    </w:p>
    <w:p w14:paraId="022DFB2C">
      <w:pPr>
        <w:spacing w:line="360" w:lineRule="auto"/>
        <w:jc w:val="center"/>
        <w:outlineLvl w:val="2"/>
        <w:rPr>
          <w:rFonts w:ascii="宋体" w:hAnsi="宋体" w:cs="宋体"/>
          <w:b/>
          <w:color w:val="auto"/>
          <w:sz w:val="28"/>
        </w:rPr>
      </w:pPr>
      <w:bookmarkStart w:id="850" w:name="_Toc16501"/>
      <w:bookmarkStart w:id="851" w:name="_Toc24031"/>
      <w:bookmarkStart w:id="852" w:name="_Toc14702"/>
      <w:bookmarkStart w:id="853" w:name="_Toc13933"/>
      <w:bookmarkStart w:id="854" w:name="_Toc21532"/>
      <w:bookmarkStart w:id="855" w:name="_Toc204691608"/>
      <w:r>
        <w:rPr>
          <w:rFonts w:hint="eastAsia" w:ascii="宋体" w:hAnsi="宋体" w:cs="宋体"/>
          <w:b/>
          <w:color w:val="auto"/>
          <w:sz w:val="28"/>
        </w:rPr>
        <w:t>（一）投标函</w:t>
      </w:r>
      <w:bookmarkEnd w:id="850"/>
      <w:bookmarkEnd w:id="851"/>
      <w:bookmarkEnd w:id="852"/>
      <w:bookmarkEnd w:id="853"/>
      <w:bookmarkEnd w:id="854"/>
    </w:p>
    <w:p w14:paraId="24D2B081">
      <w:pPr>
        <w:spacing w:line="360" w:lineRule="auto"/>
        <w:rPr>
          <w:rFonts w:hint="eastAsia" w:ascii="宋体" w:hAnsi="宋体" w:cs="宋体"/>
          <w:b/>
          <w:color w:val="auto"/>
          <w:szCs w:val="21"/>
        </w:rPr>
      </w:pPr>
      <w:r>
        <w:rPr>
          <w:rFonts w:hint="eastAsia" w:ascii="宋体" w:hAnsi="宋体" w:cs="宋体"/>
          <w:color w:val="auto"/>
          <w:szCs w:val="21"/>
        </w:rPr>
        <w:t>（招标人名称）：</w:t>
      </w:r>
    </w:p>
    <w:p w14:paraId="21A6D66A">
      <w:pPr>
        <w:numPr>
          <w:ilvl w:val="0"/>
          <w:numId w:val="4"/>
        </w:numPr>
        <w:spacing w:line="360" w:lineRule="auto"/>
        <w:ind w:left="-105" w:firstLine="508"/>
        <w:rPr>
          <w:rFonts w:hint="eastAsia" w:ascii="宋体" w:hAnsi="宋体" w:cs="宋体"/>
          <w:color w:val="auto"/>
          <w:szCs w:val="21"/>
        </w:rPr>
      </w:pPr>
      <w:r>
        <w:rPr>
          <w:rFonts w:hint="eastAsia" w:ascii="宋体" w:hAnsi="宋体" w:cs="宋体"/>
          <w:color w:val="auto"/>
          <w:szCs w:val="21"/>
        </w:rPr>
        <w:t>我方</w:t>
      </w:r>
      <w:r>
        <w:rPr>
          <w:rFonts w:hint="eastAsia" w:ascii="宋体" w:hAnsi="宋体" w:cs="宋体"/>
          <w:color w:val="auto"/>
          <w:szCs w:val="21"/>
          <w:highlight w:val="none"/>
        </w:rPr>
        <w:t>已仔细研究了</w:t>
      </w:r>
      <w:r>
        <w:rPr>
          <w:rFonts w:hint="eastAsia" w:ascii="宋体" w:hAnsi="宋体" w:cs="宋体"/>
          <w:color w:val="auto"/>
          <w:szCs w:val="21"/>
          <w:highlight w:val="none"/>
          <w:u w:val="single"/>
        </w:rPr>
        <w:tab/>
      </w:r>
      <w:r>
        <w:rPr>
          <w:rFonts w:hint="eastAsia" w:ascii="宋体" w:hAnsi="宋体" w:cs="宋体"/>
          <w:color w:val="auto"/>
          <w:szCs w:val="21"/>
          <w:highlight w:val="none"/>
        </w:rPr>
        <w:t>（项目名称）招标文件的全部内容，对本项目施工愿意以人民币（小写）元，（大写）的投标总报价，工期，按合同约定实施和完成承包工程，修补工程中的任何缺陷，质量</w:t>
      </w:r>
      <w:r>
        <w:rPr>
          <w:rFonts w:hint="eastAsia" w:ascii="宋体" w:hAnsi="宋体" w:cs="宋体"/>
          <w:color w:val="auto"/>
          <w:szCs w:val="21"/>
          <w:highlight w:val="none"/>
          <w:lang w:val="en-US" w:eastAsia="zh-CN"/>
        </w:rPr>
        <w:t>要求</w:t>
      </w:r>
      <w:r>
        <w:rPr>
          <w:rFonts w:hint="eastAsia" w:ascii="宋体" w:hAnsi="宋体" w:cs="宋体"/>
          <w:color w:val="auto"/>
          <w:szCs w:val="21"/>
          <w:highlight w:val="none"/>
        </w:rPr>
        <w:t>。</w:t>
      </w:r>
    </w:p>
    <w:p w14:paraId="53E09017">
      <w:pPr>
        <w:numPr>
          <w:ilvl w:val="0"/>
          <w:numId w:val="4"/>
        </w:numPr>
        <w:spacing w:line="360" w:lineRule="auto"/>
        <w:ind w:left="-105" w:firstLine="508"/>
        <w:rPr>
          <w:rFonts w:hint="eastAsia" w:ascii="宋体" w:hAnsi="宋体" w:cs="宋体"/>
          <w:color w:val="auto"/>
          <w:szCs w:val="21"/>
        </w:rPr>
      </w:pPr>
      <w:r>
        <w:rPr>
          <w:rFonts w:hint="eastAsia" w:ascii="宋体" w:hAnsi="宋体" w:cs="宋体"/>
          <w:color w:val="auto"/>
          <w:szCs w:val="21"/>
        </w:rPr>
        <w:t>我方承诺在投标有效期日历天内不修改、撤销投标文件。</w:t>
      </w:r>
    </w:p>
    <w:p w14:paraId="60F5FC64">
      <w:pPr>
        <w:numPr>
          <w:ilvl w:val="0"/>
          <w:numId w:val="4"/>
        </w:numPr>
        <w:spacing w:line="360" w:lineRule="auto"/>
        <w:ind w:left="-105" w:firstLine="508"/>
        <w:rPr>
          <w:rFonts w:hint="eastAsia" w:ascii="宋体" w:hAnsi="宋体" w:cs="宋体"/>
          <w:color w:val="auto"/>
          <w:szCs w:val="21"/>
        </w:rPr>
      </w:pPr>
      <w:r>
        <w:rPr>
          <w:rFonts w:hint="eastAsia" w:ascii="宋体" w:hAnsi="宋体" w:cs="宋体"/>
          <w:color w:val="auto"/>
          <w:szCs w:val="21"/>
        </w:rPr>
        <w:t>随同本投标函提交投标保证金一份，金额为人民币（小写）元，（大写）。</w:t>
      </w:r>
    </w:p>
    <w:p w14:paraId="0E72F20B">
      <w:pPr>
        <w:numPr>
          <w:ilvl w:val="0"/>
          <w:numId w:val="4"/>
        </w:numPr>
        <w:spacing w:line="360" w:lineRule="auto"/>
        <w:ind w:left="-105" w:firstLine="508"/>
        <w:rPr>
          <w:rFonts w:hint="eastAsia" w:ascii="宋体" w:hAnsi="宋体" w:cs="宋体"/>
          <w:color w:val="auto"/>
          <w:szCs w:val="21"/>
        </w:rPr>
      </w:pPr>
      <w:r>
        <w:rPr>
          <w:rFonts w:hint="eastAsia" w:ascii="宋体" w:hAnsi="宋体" w:cs="宋体"/>
          <w:color w:val="auto"/>
          <w:szCs w:val="21"/>
        </w:rPr>
        <w:t>如我方中标：</w:t>
      </w:r>
    </w:p>
    <w:p w14:paraId="0ED6D021">
      <w:pPr>
        <w:spacing w:line="360" w:lineRule="auto"/>
        <w:ind w:left="332"/>
        <w:rPr>
          <w:rFonts w:hint="eastAsia" w:ascii="宋体" w:hAnsi="宋体" w:cs="宋体"/>
          <w:color w:val="auto"/>
          <w:szCs w:val="21"/>
        </w:rPr>
      </w:pPr>
      <w:r>
        <w:rPr>
          <w:rFonts w:hint="eastAsia" w:ascii="宋体" w:hAnsi="宋体" w:cs="宋体"/>
          <w:color w:val="auto"/>
          <w:szCs w:val="21"/>
        </w:rPr>
        <w:t>（1）我方承诺在收到中标通知书后，在中标通知书规定的期限内与你方签订合同。</w:t>
      </w:r>
    </w:p>
    <w:p w14:paraId="47F8D024">
      <w:pPr>
        <w:spacing w:line="360" w:lineRule="auto"/>
        <w:ind w:left="332"/>
        <w:rPr>
          <w:rFonts w:hint="eastAsia" w:ascii="宋体" w:hAnsi="宋体" w:cs="宋体"/>
          <w:color w:val="auto"/>
          <w:szCs w:val="21"/>
        </w:rPr>
      </w:pPr>
      <w:r>
        <w:rPr>
          <w:rFonts w:hint="eastAsia" w:ascii="宋体" w:hAnsi="宋体" w:cs="宋体"/>
          <w:color w:val="auto"/>
          <w:szCs w:val="21"/>
        </w:rPr>
        <w:t>（2）随同本投标函递交的投标函附录属于合同文件的组成部分。</w:t>
      </w:r>
    </w:p>
    <w:p w14:paraId="7FD450BD">
      <w:pPr>
        <w:spacing w:line="360" w:lineRule="auto"/>
        <w:ind w:left="332"/>
        <w:rPr>
          <w:rFonts w:hint="eastAsia" w:ascii="宋体" w:hAnsi="宋体" w:cs="宋体"/>
          <w:color w:val="auto"/>
          <w:szCs w:val="21"/>
        </w:rPr>
      </w:pPr>
      <w:r>
        <w:rPr>
          <w:rFonts w:hint="eastAsia" w:ascii="宋体" w:hAnsi="宋体" w:cs="宋体"/>
          <w:color w:val="auto"/>
          <w:szCs w:val="21"/>
        </w:rPr>
        <w:t>（3）我方承诺若中标按照招标文件规定向你方递交履约担保。</w:t>
      </w:r>
    </w:p>
    <w:p w14:paraId="0637A3AF">
      <w:pPr>
        <w:spacing w:line="360" w:lineRule="auto"/>
        <w:ind w:left="332"/>
        <w:rPr>
          <w:rFonts w:hint="eastAsia" w:ascii="宋体" w:hAnsi="宋体" w:cs="宋体"/>
          <w:color w:val="auto"/>
          <w:szCs w:val="21"/>
        </w:rPr>
      </w:pPr>
      <w:r>
        <w:rPr>
          <w:rFonts w:hint="eastAsia" w:ascii="宋体" w:hAnsi="宋体" w:cs="宋体"/>
          <w:color w:val="auto"/>
          <w:szCs w:val="21"/>
        </w:rPr>
        <w:t>（4）我方承诺在合同约定的期限内完成并移交全部合同工程。</w:t>
      </w:r>
    </w:p>
    <w:p w14:paraId="32C6DDF0">
      <w:pPr>
        <w:spacing w:line="360" w:lineRule="auto"/>
        <w:ind w:left="332"/>
        <w:rPr>
          <w:rFonts w:hint="eastAsia" w:ascii="宋体" w:hAnsi="宋体" w:cs="宋体"/>
          <w:color w:val="auto"/>
          <w:szCs w:val="21"/>
        </w:rPr>
      </w:pPr>
      <w:r>
        <w:rPr>
          <w:rFonts w:hint="eastAsia" w:ascii="宋体" w:hAnsi="宋体" w:cs="宋体"/>
          <w:color w:val="auto"/>
          <w:szCs w:val="21"/>
        </w:rPr>
        <w:t>（5）我方承诺将按照招标文件第</w:t>
      </w:r>
      <w:r>
        <w:rPr>
          <w:rFonts w:hint="eastAsia" w:ascii="宋体" w:hAnsi="宋体" w:cs="宋体"/>
          <w:color w:val="auto"/>
          <w:szCs w:val="21"/>
          <w:lang w:val="en-US" w:eastAsia="zh-CN"/>
        </w:rPr>
        <w:t>五</w:t>
      </w:r>
      <w:r>
        <w:rPr>
          <w:rFonts w:hint="eastAsia" w:ascii="宋体" w:hAnsi="宋体" w:cs="宋体"/>
          <w:color w:val="auto"/>
          <w:szCs w:val="21"/>
        </w:rPr>
        <w:t>章“合同条款及格式”履行施工合同。</w:t>
      </w:r>
    </w:p>
    <w:p w14:paraId="059E4BD6">
      <w:pPr>
        <w:tabs>
          <w:tab w:val="left" w:pos="825"/>
        </w:tabs>
        <w:spacing w:line="360" w:lineRule="auto"/>
        <w:ind w:left="332"/>
        <w:rPr>
          <w:rFonts w:hint="eastAsia" w:ascii="宋体" w:hAnsi="宋体" w:cs="宋体"/>
          <w:color w:val="auto"/>
          <w:szCs w:val="21"/>
        </w:rPr>
      </w:pPr>
      <w:r>
        <w:rPr>
          <w:rFonts w:hint="eastAsia" w:ascii="宋体" w:hAnsi="宋体" w:cs="宋体"/>
          <w:color w:val="auto"/>
          <w:szCs w:val="21"/>
        </w:rPr>
        <w:t>（6）我方承诺将按照招标文件第</w:t>
      </w:r>
      <w:r>
        <w:rPr>
          <w:rFonts w:hint="eastAsia" w:ascii="宋体" w:hAnsi="宋体" w:cs="宋体"/>
          <w:color w:val="auto"/>
          <w:szCs w:val="21"/>
          <w:lang w:val="en-US" w:eastAsia="zh-CN"/>
        </w:rPr>
        <w:t>八</w:t>
      </w:r>
      <w:r>
        <w:rPr>
          <w:rFonts w:hint="eastAsia" w:ascii="宋体" w:hAnsi="宋体" w:cs="宋体"/>
          <w:color w:val="auto"/>
          <w:szCs w:val="21"/>
        </w:rPr>
        <w:t>章“技术标准和要求”规定执行。</w:t>
      </w:r>
    </w:p>
    <w:p w14:paraId="118BAFA3">
      <w:pPr>
        <w:tabs>
          <w:tab w:val="left" w:pos="825"/>
        </w:tabs>
        <w:spacing w:line="360" w:lineRule="auto"/>
        <w:ind w:left="332"/>
        <w:rPr>
          <w:rFonts w:hint="eastAsia" w:ascii="宋体" w:hAnsi="宋体" w:eastAsia="宋体" w:cs="宋体"/>
          <w:color w:val="auto"/>
          <w:szCs w:val="21"/>
          <w:lang w:eastAsia="zh-CN"/>
        </w:rPr>
      </w:pPr>
      <w:r>
        <w:rPr>
          <w:rFonts w:hint="eastAsia" w:ascii="宋体" w:hAnsi="宋体" w:cs="宋体"/>
          <w:color w:val="auto"/>
          <w:szCs w:val="21"/>
          <w:lang w:eastAsia="zh-CN"/>
        </w:rPr>
        <w:t>（</w:t>
      </w:r>
      <w:r>
        <w:rPr>
          <w:rFonts w:hint="eastAsia" w:ascii="宋体" w:hAnsi="宋体" w:cs="宋体"/>
          <w:color w:val="auto"/>
          <w:szCs w:val="21"/>
          <w:lang w:val="en-US" w:eastAsia="zh-CN"/>
        </w:rPr>
        <w:t>7</w:t>
      </w:r>
      <w:r>
        <w:rPr>
          <w:rFonts w:hint="eastAsia" w:ascii="宋体" w:hAnsi="宋体" w:cs="宋体"/>
          <w:color w:val="auto"/>
          <w:szCs w:val="21"/>
          <w:lang w:eastAsia="zh-CN"/>
        </w:rPr>
        <w:t>）</w:t>
      </w:r>
      <w:r>
        <w:rPr>
          <w:rFonts w:hint="eastAsia" w:ascii="宋体" w:hAnsi="宋体" w:cs="宋体"/>
          <w:color w:val="auto"/>
          <w:szCs w:val="21"/>
        </w:rPr>
        <w:t>我方承诺将按照招标文件规定支付</w:t>
      </w:r>
      <w:r>
        <w:rPr>
          <w:rFonts w:hint="eastAsia" w:ascii="宋体" w:hAnsi="宋体"/>
          <w:color w:val="auto"/>
          <w:kern w:val="0"/>
          <w:szCs w:val="21"/>
          <w:lang w:bidi="en-US"/>
        </w:rPr>
        <w:t>招标代理费</w:t>
      </w:r>
      <w:r>
        <w:rPr>
          <w:rFonts w:hint="eastAsia" w:ascii="宋体" w:hAnsi="宋体" w:cs="宋体"/>
          <w:color w:val="auto"/>
          <w:szCs w:val="21"/>
          <w:lang w:eastAsia="zh-CN"/>
        </w:rPr>
        <w:t>。</w:t>
      </w:r>
    </w:p>
    <w:p w14:paraId="353B88C3">
      <w:pPr>
        <w:numPr>
          <w:ilvl w:val="0"/>
          <w:numId w:val="4"/>
        </w:numPr>
        <w:spacing w:line="360" w:lineRule="auto"/>
        <w:ind w:left="-105" w:firstLine="508"/>
        <w:rPr>
          <w:rFonts w:hint="eastAsia" w:ascii="宋体" w:hAnsi="宋体" w:cs="宋体"/>
          <w:color w:val="auto"/>
          <w:szCs w:val="21"/>
        </w:rPr>
      </w:pPr>
      <w:r>
        <w:rPr>
          <w:rFonts w:hint="eastAsia" w:ascii="宋体" w:hAnsi="宋体" w:cs="宋体"/>
          <w:color w:val="auto"/>
          <w:szCs w:val="21"/>
        </w:rPr>
        <w:t>我方在此声明，所递交的投标文件及有关资料内容完整、真实和准确，且不存在第二章“投标人须知”第1.4.3项规定的任何一种情形。</w:t>
      </w:r>
    </w:p>
    <w:p w14:paraId="08988817">
      <w:pPr>
        <w:numPr>
          <w:ilvl w:val="0"/>
          <w:numId w:val="4"/>
        </w:numPr>
        <w:spacing w:line="360" w:lineRule="auto"/>
        <w:ind w:left="-105" w:firstLine="508"/>
        <w:rPr>
          <w:rFonts w:hint="eastAsia" w:ascii="宋体" w:hAnsi="宋体" w:cs="宋体"/>
          <w:color w:val="auto"/>
          <w:szCs w:val="21"/>
        </w:rPr>
      </w:pPr>
      <w:r>
        <w:rPr>
          <w:rFonts w:hint="eastAsia" w:ascii="宋体" w:hAnsi="宋体" w:cs="宋体"/>
          <w:color w:val="auto"/>
          <w:szCs w:val="21"/>
        </w:rPr>
        <w:t>（其他补充说明）。</w:t>
      </w:r>
    </w:p>
    <w:p w14:paraId="53765D3E">
      <w:pPr>
        <w:pStyle w:val="8"/>
        <w:tabs>
          <w:tab w:val="left" w:pos="7241"/>
        </w:tabs>
        <w:spacing w:after="0" w:line="360" w:lineRule="auto"/>
        <w:ind w:left="2621" w:right="113"/>
        <w:jc w:val="left"/>
        <w:rPr>
          <w:rFonts w:hint="eastAsia" w:ascii="宋体" w:hAnsi="宋体" w:cs="宋体"/>
          <w:color w:val="auto"/>
          <w:szCs w:val="21"/>
        </w:rPr>
      </w:pPr>
      <w:r>
        <w:rPr>
          <w:rFonts w:hint="eastAsia" w:ascii="宋体" w:hAnsi="宋体" w:cs="宋体"/>
          <w:color w:val="auto"/>
          <w:szCs w:val="21"/>
        </w:rPr>
        <w:t>投标人：（盖电子公章）</w:t>
      </w:r>
    </w:p>
    <w:p w14:paraId="79A23AF2">
      <w:pPr>
        <w:pStyle w:val="8"/>
        <w:tabs>
          <w:tab w:val="left" w:pos="7241"/>
        </w:tabs>
        <w:spacing w:after="0" w:line="360" w:lineRule="auto"/>
        <w:ind w:left="2621" w:right="113"/>
        <w:jc w:val="left"/>
        <w:rPr>
          <w:rFonts w:hint="eastAsia"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lang w:eastAsia="zh-CN"/>
        </w:rPr>
        <w:t>签章</w:t>
      </w:r>
      <w:r>
        <w:rPr>
          <w:rFonts w:hint="eastAsia" w:ascii="宋体" w:hAnsi="宋体" w:cs="宋体"/>
          <w:color w:val="auto"/>
          <w:szCs w:val="21"/>
        </w:rPr>
        <w:t>）</w:t>
      </w:r>
    </w:p>
    <w:p w14:paraId="1029D8BC">
      <w:pPr>
        <w:pStyle w:val="8"/>
        <w:tabs>
          <w:tab w:val="left" w:pos="3232"/>
          <w:tab w:val="left" w:pos="8529"/>
        </w:tabs>
        <w:spacing w:after="0" w:line="360" w:lineRule="auto"/>
        <w:ind w:left="2601"/>
        <w:jc w:val="left"/>
        <w:rPr>
          <w:rFonts w:hint="eastAsia" w:ascii="宋体" w:hAnsi="宋体" w:eastAsia="宋体" w:cs="宋体"/>
          <w:color w:val="auto"/>
          <w:szCs w:val="21"/>
          <w:lang w:eastAsia="zh-CN"/>
        </w:rPr>
      </w:pPr>
      <w:r>
        <w:rPr>
          <w:rFonts w:hint="eastAsia" w:ascii="宋体" w:hAnsi="宋体" w:cs="宋体"/>
          <w:color w:val="auto"/>
          <w:szCs w:val="21"/>
        </w:rPr>
        <w:t>地址：</w:t>
      </w:r>
    </w:p>
    <w:p w14:paraId="415345F1">
      <w:pPr>
        <w:pStyle w:val="8"/>
        <w:tabs>
          <w:tab w:val="left" w:pos="3232"/>
          <w:tab w:val="left" w:pos="8529"/>
        </w:tabs>
        <w:spacing w:after="0" w:line="360" w:lineRule="auto"/>
        <w:ind w:left="2601"/>
        <w:jc w:val="left"/>
        <w:rPr>
          <w:rFonts w:hint="eastAsia" w:ascii="宋体" w:hAnsi="宋体" w:eastAsia="宋体" w:cs="宋体"/>
          <w:color w:val="auto"/>
          <w:szCs w:val="21"/>
          <w:lang w:eastAsia="zh-CN"/>
        </w:rPr>
      </w:pPr>
      <w:r>
        <w:rPr>
          <w:rFonts w:hint="eastAsia" w:ascii="宋体" w:hAnsi="宋体" w:cs="宋体"/>
          <w:color w:val="auto"/>
          <w:szCs w:val="21"/>
        </w:rPr>
        <w:t>网址：</w:t>
      </w:r>
    </w:p>
    <w:p w14:paraId="0C22F2EF">
      <w:pPr>
        <w:pStyle w:val="8"/>
        <w:tabs>
          <w:tab w:val="left" w:pos="3232"/>
          <w:tab w:val="left" w:pos="8529"/>
        </w:tabs>
        <w:spacing w:after="0" w:line="360" w:lineRule="auto"/>
        <w:ind w:left="2601"/>
        <w:jc w:val="left"/>
        <w:rPr>
          <w:rFonts w:hint="eastAsia" w:ascii="宋体" w:hAnsi="宋体" w:eastAsia="宋体" w:cs="宋体"/>
          <w:color w:val="auto"/>
          <w:szCs w:val="21"/>
          <w:lang w:eastAsia="zh-CN"/>
        </w:rPr>
      </w:pPr>
      <w:r>
        <w:rPr>
          <w:rFonts w:hint="eastAsia" w:ascii="宋体" w:hAnsi="宋体" w:cs="宋体"/>
          <w:color w:val="auto"/>
          <w:szCs w:val="21"/>
        </w:rPr>
        <w:t>电话：</w:t>
      </w:r>
    </w:p>
    <w:p w14:paraId="6D8351F7">
      <w:pPr>
        <w:pStyle w:val="8"/>
        <w:tabs>
          <w:tab w:val="left" w:pos="3232"/>
          <w:tab w:val="left" w:pos="8529"/>
        </w:tabs>
        <w:spacing w:after="0" w:line="360" w:lineRule="auto"/>
        <w:ind w:left="2601"/>
        <w:jc w:val="left"/>
        <w:rPr>
          <w:rFonts w:hint="eastAsia" w:ascii="宋体" w:hAnsi="宋体" w:cs="宋体"/>
          <w:color w:val="auto"/>
          <w:szCs w:val="21"/>
        </w:rPr>
      </w:pPr>
      <w:r>
        <w:rPr>
          <w:rFonts w:hint="eastAsia" w:ascii="宋体" w:hAnsi="宋体" w:cs="宋体"/>
          <w:color w:val="auto"/>
          <w:szCs w:val="21"/>
        </w:rPr>
        <w:t>传真：</w:t>
      </w:r>
    </w:p>
    <w:p w14:paraId="7637B1D6">
      <w:pPr>
        <w:pStyle w:val="8"/>
        <w:tabs>
          <w:tab w:val="left" w:pos="3232"/>
          <w:tab w:val="left" w:pos="8529"/>
        </w:tabs>
        <w:spacing w:after="0" w:line="360" w:lineRule="auto"/>
        <w:ind w:left="2601"/>
        <w:jc w:val="lef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邮箱：</w:t>
      </w:r>
    </w:p>
    <w:p w14:paraId="25E28EA8">
      <w:pPr>
        <w:pStyle w:val="8"/>
        <w:tabs>
          <w:tab w:val="left" w:pos="8529"/>
        </w:tabs>
        <w:spacing w:after="0" w:line="360" w:lineRule="auto"/>
        <w:ind w:left="2601"/>
        <w:jc w:val="left"/>
        <w:rPr>
          <w:rFonts w:hint="eastAsia" w:ascii="宋体" w:hAnsi="宋体" w:eastAsia="宋体" w:cs="宋体"/>
          <w:color w:val="auto"/>
          <w:szCs w:val="21"/>
          <w:lang w:eastAsia="zh-CN"/>
        </w:rPr>
      </w:pPr>
      <w:r>
        <w:rPr>
          <w:rFonts w:hint="eastAsia" w:ascii="宋体" w:hAnsi="宋体" w:cs="宋体"/>
          <w:color w:val="auto"/>
          <w:szCs w:val="21"/>
        </w:rPr>
        <w:t>邮政编码：</w:t>
      </w:r>
    </w:p>
    <w:p w14:paraId="6188D94D">
      <w:pPr>
        <w:keepNext w:val="0"/>
        <w:keepLines w:val="0"/>
        <w:pageBreakBefore w:val="0"/>
        <w:widowControl w:val="0"/>
        <w:kinsoku/>
        <w:wordWrap/>
        <w:overflowPunct/>
        <w:topLinePunct w:val="0"/>
        <w:autoSpaceDE/>
        <w:autoSpaceDN/>
        <w:bidi w:val="0"/>
        <w:adjustRightInd/>
        <w:snapToGrid/>
        <w:spacing w:line="360" w:lineRule="auto"/>
        <w:ind w:firstLine="2625" w:firstLineChars="1250"/>
        <w:jc w:val="both"/>
        <w:textAlignment w:val="auto"/>
        <w:rPr>
          <w:rFonts w:hint="eastAsia" w:ascii="宋体" w:hAnsi="宋体" w:cs="宋体"/>
          <w:color w:val="auto"/>
          <w:szCs w:val="21"/>
        </w:rPr>
      </w:pPr>
      <w:r>
        <w:rPr>
          <w:rFonts w:hint="eastAsia" w:ascii="宋体" w:hAnsi="宋体" w:cs="宋体"/>
          <w:color w:val="auto"/>
          <w:szCs w:val="21"/>
        </w:rPr>
        <w:t>年</w:t>
      </w:r>
      <w:r>
        <w:rPr>
          <w:rFonts w:hint="eastAsia" w:ascii="宋体" w:hAnsi="宋体" w:cs="宋体"/>
          <w:color w:val="auto"/>
          <w:szCs w:val="21"/>
          <w:lang w:val="en-US" w:eastAsia="zh-CN"/>
        </w:rPr>
        <w:t xml:space="preserve">  </w:t>
      </w:r>
      <w:r>
        <w:rPr>
          <w:rFonts w:hint="eastAsia" w:ascii="宋体" w:hAnsi="宋体" w:cs="宋体"/>
          <w:color w:val="auto"/>
          <w:szCs w:val="21"/>
        </w:rPr>
        <w:t>月</w:t>
      </w:r>
      <w:r>
        <w:rPr>
          <w:rFonts w:hint="eastAsia" w:ascii="宋体" w:hAnsi="宋体" w:cs="宋体"/>
          <w:color w:val="auto"/>
          <w:szCs w:val="21"/>
          <w:lang w:val="en-US" w:eastAsia="zh-CN"/>
        </w:rPr>
        <w:t xml:space="preserve">  </w:t>
      </w:r>
      <w:r>
        <w:rPr>
          <w:rFonts w:hint="eastAsia" w:ascii="宋体" w:hAnsi="宋体" w:cs="宋体"/>
          <w:color w:val="auto"/>
          <w:szCs w:val="21"/>
        </w:rPr>
        <w:t>日</w:t>
      </w:r>
    </w:p>
    <w:p w14:paraId="25ADEA5A">
      <w:pPr>
        <w:numPr>
          <w:ilvl w:val="0"/>
          <w:numId w:val="5"/>
        </w:numPr>
        <w:spacing w:line="360" w:lineRule="auto"/>
        <w:jc w:val="center"/>
        <w:outlineLvl w:val="2"/>
        <w:rPr>
          <w:rFonts w:hint="eastAsia" w:ascii="宋体" w:hAnsi="宋体" w:cs="宋体"/>
          <w:b/>
          <w:color w:val="auto"/>
          <w:sz w:val="28"/>
        </w:rPr>
      </w:pPr>
      <w:r>
        <w:rPr>
          <w:rFonts w:hint="eastAsia" w:ascii="宋体" w:hAnsi="宋体" w:cs="宋体"/>
          <w:color w:val="auto"/>
          <w:szCs w:val="21"/>
        </w:rPr>
        <w:br w:type="page"/>
      </w:r>
      <w:bookmarkStart w:id="856" w:name="_Toc16686"/>
      <w:bookmarkStart w:id="857" w:name="_Toc7586"/>
      <w:bookmarkStart w:id="858" w:name="_Toc23906"/>
      <w:bookmarkStart w:id="859" w:name="_Toc23154"/>
      <w:bookmarkStart w:id="860" w:name="_Toc31889"/>
      <w:r>
        <w:rPr>
          <w:rFonts w:hint="eastAsia" w:ascii="宋体" w:hAnsi="宋体" w:cs="宋体"/>
          <w:b/>
          <w:color w:val="auto"/>
          <w:sz w:val="28"/>
        </w:rPr>
        <w:t>投标函附录</w:t>
      </w:r>
      <w:bookmarkEnd w:id="856"/>
      <w:bookmarkEnd w:id="857"/>
      <w:bookmarkEnd w:id="858"/>
      <w:bookmarkEnd w:id="859"/>
      <w:bookmarkEnd w:id="860"/>
    </w:p>
    <w:tbl>
      <w:tblPr>
        <w:tblStyle w:val="22"/>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2"/>
        <w:gridCol w:w="667"/>
        <w:gridCol w:w="1450"/>
        <w:gridCol w:w="298"/>
        <w:gridCol w:w="535"/>
        <w:gridCol w:w="1403"/>
        <w:gridCol w:w="986"/>
        <w:gridCol w:w="989"/>
      </w:tblGrid>
      <w:tr w14:paraId="4C50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177AF7BB">
            <w:pPr>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项目名称</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3DEBC0F3">
            <w:pPr>
              <w:spacing w:before="100" w:beforeAutospacing="1" w:after="100" w:afterAutospacing="1" w:line="360" w:lineRule="auto"/>
              <w:jc w:val="center"/>
              <w:rPr>
                <w:rFonts w:hint="default" w:ascii="Times New Roman" w:hAnsi="Times New Roman" w:cs="Times New Roman"/>
                <w:color w:val="auto"/>
                <w:szCs w:val="21"/>
              </w:rPr>
            </w:pPr>
          </w:p>
        </w:tc>
      </w:tr>
      <w:tr w14:paraId="39AD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3AECC7E4">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投标人</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3ADDB724">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r w14:paraId="2EB1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547E6365">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投标范围</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231CEB79">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r w14:paraId="3195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302" w:type="dxa"/>
            <w:vMerge w:val="restart"/>
            <w:tcBorders>
              <w:top w:val="single" w:color="auto" w:sz="4" w:space="0"/>
              <w:left w:val="single" w:color="auto" w:sz="4" w:space="0"/>
              <w:right w:val="single" w:color="auto" w:sz="4" w:space="0"/>
            </w:tcBorders>
            <w:noWrap w:val="0"/>
            <w:vAlign w:val="center"/>
          </w:tcPr>
          <w:p w14:paraId="063C4D9C">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投标总报价（元）</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175B3AC5">
            <w:pPr>
              <w:tabs>
                <w:tab w:val="left" w:pos="2340"/>
              </w:tabs>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大写：</w:t>
            </w:r>
          </w:p>
          <w:p w14:paraId="6DA5CC93">
            <w:pPr>
              <w:tabs>
                <w:tab w:val="left" w:pos="2340"/>
              </w:tabs>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小写：</w:t>
            </w:r>
          </w:p>
        </w:tc>
      </w:tr>
      <w:tr w14:paraId="11C0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3302" w:type="dxa"/>
            <w:vMerge w:val="continue"/>
            <w:tcBorders>
              <w:left w:val="single" w:color="auto" w:sz="4" w:space="0"/>
              <w:right w:val="single" w:color="auto" w:sz="4" w:space="0"/>
            </w:tcBorders>
            <w:noWrap w:val="0"/>
            <w:vAlign w:val="center"/>
          </w:tcPr>
          <w:p w14:paraId="4F54F106">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667" w:type="dxa"/>
            <w:vMerge w:val="restart"/>
            <w:tcBorders>
              <w:left w:val="single" w:color="auto" w:sz="4" w:space="0"/>
              <w:right w:val="single" w:color="auto" w:sz="4" w:space="0"/>
            </w:tcBorders>
            <w:noWrap w:val="0"/>
            <w:vAlign w:val="center"/>
          </w:tcPr>
          <w:p w14:paraId="0F3D93F5">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其中</w:t>
            </w:r>
          </w:p>
        </w:tc>
        <w:tc>
          <w:tcPr>
            <w:tcW w:w="1748" w:type="dxa"/>
            <w:gridSpan w:val="2"/>
            <w:tcBorders>
              <w:top w:val="single" w:color="auto" w:sz="4" w:space="0"/>
              <w:left w:val="single" w:color="auto" w:sz="4" w:space="0"/>
              <w:bottom w:val="single" w:color="auto" w:sz="4" w:space="0"/>
              <w:right w:val="single" w:color="auto" w:sz="4" w:space="0"/>
            </w:tcBorders>
            <w:noWrap w:val="0"/>
            <w:vAlign w:val="center"/>
          </w:tcPr>
          <w:p w14:paraId="60F82303">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安全生产措施费（元）</w:t>
            </w:r>
          </w:p>
        </w:tc>
        <w:tc>
          <w:tcPr>
            <w:tcW w:w="3913" w:type="dxa"/>
            <w:gridSpan w:val="4"/>
            <w:tcBorders>
              <w:top w:val="single" w:color="auto" w:sz="4" w:space="0"/>
              <w:left w:val="single" w:color="auto" w:sz="4" w:space="0"/>
              <w:bottom w:val="single" w:color="auto" w:sz="4" w:space="0"/>
              <w:right w:val="single" w:color="auto" w:sz="4" w:space="0"/>
            </w:tcBorders>
            <w:noWrap w:val="0"/>
            <w:vAlign w:val="center"/>
          </w:tcPr>
          <w:p w14:paraId="117E7B7C">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大写：</w:t>
            </w:r>
          </w:p>
          <w:p w14:paraId="6218E3AA">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小写：</w:t>
            </w:r>
          </w:p>
        </w:tc>
      </w:tr>
      <w:tr w14:paraId="78E7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3302" w:type="dxa"/>
            <w:vMerge w:val="continue"/>
            <w:tcBorders>
              <w:left w:val="single" w:color="auto" w:sz="4" w:space="0"/>
              <w:right w:val="single" w:color="auto" w:sz="4" w:space="0"/>
            </w:tcBorders>
            <w:noWrap w:val="0"/>
            <w:vAlign w:val="center"/>
          </w:tcPr>
          <w:p w14:paraId="10969A61">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667" w:type="dxa"/>
            <w:vMerge w:val="continue"/>
            <w:tcBorders>
              <w:left w:val="single" w:color="auto" w:sz="4" w:space="0"/>
              <w:right w:val="single" w:color="auto" w:sz="4" w:space="0"/>
            </w:tcBorders>
            <w:noWrap w:val="0"/>
            <w:vAlign w:val="center"/>
          </w:tcPr>
          <w:p w14:paraId="6223ABFA">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1748" w:type="dxa"/>
            <w:gridSpan w:val="2"/>
            <w:tcBorders>
              <w:top w:val="single" w:color="auto" w:sz="4" w:space="0"/>
              <w:left w:val="single" w:color="auto" w:sz="4" w:space="0"/>
              <w:bottom w:val="single" w:color="auto" w:sz="4" w:space="0"/>
              <w:right w:val="single" w:color="auto" w:sz="4" w:space="0"/>
            </w:tcBorders>
            <w:noWrap w:val="0"/>
            <w:vAlign w:val="center"/>
          </w:tcPr>
          <w:p w14:paraId="3606DE68">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暂列金额（元）</w:t>
            </w:r>
          </w:p>
        </w:tc>
        <w:tc>
          <w:tcPr>
            <w:tcW w:w="3913" w:type="dxa"/>
            <w:gridSpan w:val="4"/>
            <w:tcBorders>
              <w:top w:val="single" w:color="auto" w:sz="4" w:space="0"/>
              <w:left w:val="single" w:color="auto" w:sz="4" w:space="0"/>
              <w:bottom w:val="single" w:color="auto" w:sz="4" w:space="0"/>
              <w:right w:val="single" w:color="auto" w:sz="4" w:space="0"/>
            </w:tcBorders>
            <w:noWrap w:val="0"/>
            <w:vAlign w:val="center"/>
          </w:tcPr>
          <w:p w14:paraId="4E6DE1B7">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大写：</w:t>
            </w:r>
          </w:p>
          <w:p w14:paraId="727D030A">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小写：</w:t>
            </w:r>
          </w:p>
        </w:tc>
      </w:tr>
      <w:tr w14:paraId="2150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02" w:type="dxa"/>
            <w:vMerge w:val="continue"/>
            <w:tcBorders>
              <w:left w:val="single" w:color="auto" w:sz="4" w:space="0"/>
              <w:right w:val="single" w:color="auto" w:sz="4" w:space="0"/>
            </w:tcBorders>
            <w:noWrap w:val="0"/>
            <w:vAlign w:val="center"/>
          </w:tcPr>
          <w:p w14:paraId="615B5C9D">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667" w:type="dxa"/>
            <w:vMerge w:val="continue"/>
            <w:tcBorders>
              <w:left w:val="single" w:color="auto" w:sz="4" w:space="0"/>
              <w:right w:val="single" w:color="auto" w:sz="4" w:space="0"/>
            </w:tcBorders>
            <w:noWrap w:val="0"/>
            <w:vAlign w:val="center"/>
          </w:tcPr>
          <w:p w14:paraId="5B68BAEC">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1748" w:type="dxa"/>
            <w:gridSpan w:val="2"/>
            <w:tcBorders>
              <w:top w:val="single" w:color="auto" w:sz="4" w:space="0"/>
              <w:left w:val="single" w:color="auto" w:sz="4" w:space="0"/>
              <w:bottom w:val="single" w:color="auto" w:sz="4" w:space="0"/>
              <w:right w:val="single" w:color="auto" w:sz="4" w:space="0"/>
            </w:tcBorders>
            <w:noWrap w:val="0"/>
            <w:vAlign w:val="center"/>
          </w:tcPr>
          <w:p w14:paraId="5EC9035F">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专业工程暂估价（含税）（元）</w:t>
            </w:r>
          </w:p>
        </w:tc>
        <w:tc>
          <w:tcPr>
            <w:tcW w:w="3913" w:type="dxa"/>
            <w:gridSpan w:val="4"/>
            <w:tcBorders>
              <w:top w:val="single" w:color="auto" w:sz="4" w:space="0"/>
              <w:left w:val="single" w:color="auto" w:sz="4" w:space="0"/>
              <w:bottom w:val="single" w:color="auto" w:sz="4" w:space="0"/>
              <w:right w:val="single" w:color="auto" w:sz="4" w:space="0"/>
            </w:tcBorders>
            <w:noWrap w:val="0"/>
            <w:vAlign w:val="center"/>
          </w:tcPr>
          <w:p w14:paraId="4161B43B">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大写：</w:t>
            </w:r>
          </w:p>
          <w:p w14:paraId="5314CF1E">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小写：</w:t>
            </w:r>
          </w:p>
        </w:tc>
      </w:tr>
      <w:tr w14:paraId="4F8D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302" w:type="dxa"/>
            <w:vMerge w:val="continue"/>
            <w:tcBorders>
              <w:left w:val="single" w:color="auto" w:sz="4" w:space="0"/>
              <w:right w:val="single" w:color="auto" w:sz="4" w:space="0"/>
            </w:tcBorders>
            <w:noWrap w:val="0"/>
            <w:vAlign w:val="center"/>
          </w:tcPr>
          <w:p w14:paraId="61ADC396">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667" w:type="dxa"/>
            <w:vMerge w:val="continue"/>
            <w:tcBorders>
              <w:left w:val="single" w:color="auto" w:sz="4" w:space="0"/>
              <w:right w:val="single" w:color="auto" w:sz="4" w:space="0"/>
            </w:tcBorders>
            <w:noWrap w:val="0"/>
            <w:vAlign w:val="center"/>
          </w:tcPr>
          <w:p w14:paraId="3A1363BD">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1748" w:type="dxa"/>
            <w:gridSpan w:val="2"/>
            <w:tcBorders>
              <w:top w:val="single" w:color="auto" w:sz="4" w:space="0"/>
              <w:left w:val="single" w:color="auto" w:sz="4" w:space="0"/>
              <w:right w:val="single" w:color="auto" w:sz="4" w:space="0"/>
            </w:tcBorders>
            <w:noWrap w:val="0"/>
            <w:vAlign w:val="center"/>
          </w:tcPr>
          <w:p w14:paraId="515744E0">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增值税（元）</w:t>
            </w:r>
          </w:p>
        </w:tc>
        <w:tc>
          <w:tcPr>
            <w:tcW w:w="3913" w:type="dxa"/>
            <w:gridSpan w:val="4"/>
            <w:tcBorders>
              <w:top w:val="single" w:color="auto" w:sz="4" w:space="0"/>
              <w:left w:val="single" w:color="auto" w:sz="4" w:space="0"/>
              <w:bottom w:val="single" w:color="auto" w:sz="4" w:space="0"/>
              <w:right w:val="single" w:color="auto" w:sz="4" w:space="0"/>
            </w:tcBorders>
            <w:noWrap w:val="0"/>
            <w:vAlign w:val="center"/>
          </w:tcPr>
          <w:p w14:paraId="69D667AF">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大写：</w:t>
            </w:r>
          </w:p>
          <w:p w14:paraId="0CC2D391">
            <w:pPr>
              <w:tabs>
                <w:tab w:val="left" w:pos="2340"/>
              </w:tabs>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小写：</w:t>
            </w:r>
          </w:p>
        </w:tc>
      </w:tr>
      <w:tr w14:paraId="4481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5FAFB7BA">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投标工期</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570BC7C7">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r w14:paraId="6EBA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62738690">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投标质量</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4946168F">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r w14:paraId="0CB1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5CD25496">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投标有效期</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7C06D6D7">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r w14:paraId="2A6D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4D081B56">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缺陷责任期</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0C0A660B">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r w14:paraId="7A23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0A3A386B">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项目经理</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45A68E86">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姓名</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CA5657D">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833" w:type="dxa"/>
            <w:gridSpan w:val="2"/>
            <w:tcBorders>
              <w:top w:val="single" w:color="auto" w:sz="4" w:space="0"/>
              <w:left w:val="single" w:color="auto" w:sz="4" w:space="0"/>
              <w:bottom w:val="single" w:color="auto" w:sz="4" w:space="0"/>
              <w:right w:val="single" w:color="auto" w:sz="4" w:space="0"/>
            </w:tcBorders>
            <w:noWrap w:val="0"/>
            <w:vAlign w:val="center"/>
          </w:tcPr>
          <w:p w14:paraId="19ADA482">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级别</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7784C57E">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783D4189">
            <w:pPr>
              <w:tabs>
                <w:tab w:val="left" w:pos="2340"/>
              </w:tabs>
              <w:spacing w:before="100" w:beforeAutospacing="1" w:after="100" w:afterAutospacing="1" w:line="360" w:lineRule="auto"/>
              <w:ind w:left="-90" w:leftChars="-43"/>
              <w:jc w:val="center"/>
              <w:rPr>
                <w:rFonts w:hint="default" w:ascii="Times New Roman" w:hAnsi="Times New Roman" w:cs="Times New Roman"/>
                <w:color w:val="auto"/>
                <w:szCs w:val="21"/>
              </w:rPr>
            </w:pPr>
            <w:r>
              <w:rPr>
                <w:rFonts w:hint="default" w:ascii="Times New Roman" w:hAnsi="Times New Roman" w:cs="Times New Roman"/>
                <w:color w:val="auto"/>
                <w:szCs w:val="21"/>
              </w:rPr>
              <w:t>注册证号</w:t>
            </w:r>
          </w:p>
        </w:tc>
        <w:tc>
          <w:tcPr>
            <w:tcW w:w="989" w:type="dxa"/>
            <w:tcBorders>
              <w:top w:val="single" w:color="auto" w:sz="4" w:space="0"/>
              <w:left w:val="single" w:color="auto" w:sz="4" w:space="0"/>
              <w:bottom w:val="single" w:color="auto" w:sz="4" w:space="0"/>
              <w:right w:val="single" w:color="auto" w:sz="4" w:space="0"/>
            </w:tcBorders>
            <w:noWrap w:val="0"/>
            <w:vAlign w:val="center"/>
          </w:tcPr>
          <w:p w14:paraId="0517732A">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r w14:paraId="10F3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302" w:type="dxa"/>
            <w:tcBorders>
              <w:top w:val="single" w:color="auto" w:sz="4" w:space="0"/>
              <w:left w:val="single" w:color="auto" w:sz="4" w:space="0"/>
              <w:bottom w:val="single" w:color="auto" w:sz="4" w:space="0"/>
              <w:right w:val="single" w:color="auto" w:sz="4" w:space="0"/>
            </w:tcBorders>
            <w:noWrap w:val="0"/>
            <w:vAlign w:val="center"/>
          </w:tcPr>
          <w:p w14:paraId="63A91954">
            <w:pPr>
              <w:tabs>
                <w:tab w:val="left" w:pos="2340"/>
              </w:tabs>
              <w:spacing w:before="100" w:beforeAutospacing="1" w:after="100" w:afterAutospacing="1"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备注</w:t>
            </w:r>
          </w:p>
        </w:tc>
        <w:tc>
          <w:tcPr>
            <w:tcW w:w="6328" w:type="dxa"/>
            <w:gridSpan w:val="7"/>
            <w:tcBorders>
              <w:top w:val="single" w:color="auto" w:sz="4" w:space="0"/>
              <w:left w:val="single" w:color="auto" w:sz="4" w:space="0"/>
              <w:bottom w:val="single" w:color="auto" w:sz="4" w:space="0"/>
              <w:right w:val="single" w:color="auto" w:sz="4" w:space="0"/>
            </w:tcBorders>
            <w:noWrap w:val="0"/>
            <w:vAlign w:val="center"/>
          </w:tcPr>
          <w:p w14:paraId="2AC03C0F">
            <w:pPr>
              <w:tabs>
                <w:tab w:val="left" w:pos="2340"/>
              </w:tabs>
              <w:spacing w:before="100" w:beforeAutospacing="1" w:after="100" w:afterAutospacing="1" w:line="360" w:lineRule="auto"/>
              <w:jc w:val="center"/>
              <w:rPr>
                <w:rFonts w:hint="default" w:ascii="Times New Roman" w:hAnsi="Times New Roman" w:cs="Times New Roman"/>
                <w:color w:val="auto"/>
                <w:szCs w:val="21"/>
              </w:rPr>
            </w:pPr>
          </w:p>
        </w:tc>
      </w:tr>
    </w:tbl>
    <w:p w14:paraId="0B1826DA">
      <w:pPr>
        <w:spacing w:line="360" w:lineRule="auto"/>
        <w:ind w:left="2625" w:leftChars="1250"/>
        <w:jc w:val="right"/>
        <w:rPr>
          <w:rFonts w:hint="eastAsia" w:ascii="宋体" w:hAnsi="宋体" w:cs="宋体"/>
          <w:color w:val="auto"/>
          <w:szCs w:val="21"/>
        </w:rPr>
      </w:pPr>
      <w:r>
        <w:rPr>
          <w:rFonts w:hint="eastAsia" w:ascii="宋体" w:hAnsi="宋体" w:cs="宋体"/>
          <w:color w:val="auto"/>
          <w:szCs w:val="21"/>
        </w:rPr>
        <w:t>投标人：（盖电子公章）</w:t>
      </w:r>
    </w:p>
    <w:p w14:paraId="433AF0CF">
      <w:pPr>
        <w:spacing w:line="360" w:lineRule="auto"/>
        <w:ind w:left="2625" w:leftChars="1250"/>
        <w:jc w:val="right"/>
        <w:rPr>
          <w:rFonts w:hint="eastAsia"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lang w:eastAsia="zh-CN"/>
        </w:rPr>
        <w:t>签章</w:t>
      </w:r>
      <w:r>
        <w:rPr>
          <w:rFonts w:hint="eastAsia" w:ascii="宋体" w:hAnsi="宋体" w:cs="宋体"/>
          <w:color w:val="auto"/>
          <w:szCs w:val="21"/>
        </w:rPr>
        <w:t>）</w:t>
      </w:r>
    </w:p>
    <w:p w14:paraId="492AB310">
      <w:pPr>
        <w:spacing w:line="360" w:lineRule="auto"/>
        <w:ind w:firstLine="6090" w:firstLineChars="2900"/>
        <w:rPr>
          <w:rFonts w:hint="eastAsia" w:ascii="宋体" w:hAnsi="宋体" w:cs="宋体"/>
          <w:color w:val="auto"/>
          <w:szCs w:val="21"/>
        </w:rPr>
      </w:pPr>
      <w:r>
        <w:rPr>
          <w:rFonts w:hint="eastAsia" w:ascii="宋体" w:hAnsi="宋体" w:cs="宋体"/>
          <w:color w:val="auto"/>
          <w:szCs w:val="21"/>
        </w:rPr>
        <w:t>年月日</w:t>
      </w:r>
    </w:p>
    <w:p w14:paraId="7AEEF2A3">
      <w:pPr>
        <w:widowControl/>
        <w:spacing w:line="360" w:lineRule="auto"/>
        <w:jc w:val="left"/>
        <w:rPr>
          <w:rFonts w:ascii="宋体" w:hAnsi="宋体" w:cs="宋体"/>
          <w:color w:val="auto"/>
          <w:szCs w:val="21"/>
        </w:rPr>
        <w:sectPr>
          <w:footerReference r:id="rId8" w:type="default"/>
          <w:pgSz w:w="11915" w:h="16840"/>
          <w:pgMar w:top="1418" w:right="1417" w:bottom="1417" w:left="1417" w:header="777" w:footer="799" w:gutter="0"/>
          <w:pgBorders>
            <w:top w:val="none" w:sz="0" w:space="0"/>
            <w:left w:val="none" w:sz="0" w:space="0"/>
            <w:bottom w:val="none" w:sz="0" w:space="0"/>
            <w:right w:val="none" w:sz="0" w:space="0"/>
          </w:pgBorders>
          <w:pgNumType w:fmt="decimal"/>
          <w:cols w:space="720" w:num="1"/>
          <w:docGrid w:type="lines" w:linePitch="312" w:charSpace="0"/>
        </w:sectPr>
      </w:pPr>
    </w:p>
    <w:p w14:paraId="2680F5A8">
      <w:pPr>
        <w:keepNext/>
        <w:keepLines/>
        <w:widowControl/>
        <w:wordWrap w:val="0"/>
        <w:spacing w:line="360" w:lineRule="auto"/>
        <w:jc w:val="center"/>
        <w:outlineLvl w:val="1"/>
        <w:rPr>
          <w:rFonts w:ascii="Arial" w:hAnsi="Arial"/>
          <w:b/>
          <w:color w:val="auto"/>
          <w:sz w:val="22"/>
          <w:szCs w:val="32"/>
        </w:rPr>
      </w:pPr>
      <w:r>
        <w:rPr>
          <w:rFonts w:hint="eastAsia" w:ascii="Arial" w:hAnsi="Arial"/>
          <w:b/>
          <w:color w:val="auto"/>
          <w:sz w:val="24"/>
          <w:szCs w:val="32"/>
        </w:rPr>
        <w:t>二、法定代表人身份证明及授权委托书</w:t>
      </w:r>
      <w:bookmarkEnd w:id="855"/>
    </w:p>
    <w:p w14:paraId="38AC1E20">
      <w:pPr>
        <w:keepNext/>
        <w:keepLines/>
        <w:tabs>
          <w:tab w:val="left" w:pos="1548"/>
        </w:tabs>
        <w:wordWrap w:val="0"/>
        <w:spacing w:before="260" w:after="260" w:line="480" w:lineRule="exact"/>
        <w:jc w:val="center"/>
        <w:outlineLvl w:val="1"/>
        <w:rPr>
          <w:rFonts w:ascii="宋体" w:hAnsi="宋体"/>
          <w:b/>
          <w:bCs w:val="0"/>
          <w:color w:val="auto"/>
          <w:sz w:val="24"/>
        </w:rPr>
      </w:pPr>
      <w:bookmarkStart w:id="861" w:name="_Toc204691609"/>
      <w:r>
        <w:rPr>
          <w:rFonts w:hint="eastAsia" w:ascii="宋体" w:hAnsi="宋体"/>
          <w:b/>
          <w:bCs w:val="0"/>
          <w:color w:val="auto"/>
          <w:sz w:val="24"/>
        </w:rPr>
        <w:t>（一）法定代表人身份证明</w:t>
      </w:r>
      <w:bookmarkEnd w:id="861"/>
    </w:p>
    <w:p w14:paraId="4FD0E307">
      <w:pPr>
        <w:widowControl/>
        <w:wordWrap w:val="0"/>
        <w:adjustRightInd w:val="0"/>
        <w:spacing w:line="600" w:lineRule="exact"/>
        <w:jc w:val="left"/>
        <w:rPr>
          <w:rFonts w:ascii="宋体" w:hAnsi="宋体" w:cs="仿宋_GB2312"/>
          <w:color w:val="auto"/>
          <w:kern w:val="0"/>
          <w:sz w:val="24"/>
          <w:szCs w:val="28"/>
        </w:rPr>
      </w:pPr>
    </w:p>
    <w:p w14:paraId="7F660AC2">
      <w:pPr>
        <w:widowControl/>
        <w:wordWrap w:val="0"/>
        <w:adjustRightInd w:val="0"/>
        <w:spacing w:line="360" w:lineRule="auto"/>
        <w:jc w:val="left"/>
        <w:rPr>
          <w:rFonts w:hint="eastAsia" w:ascii="宋体" w:hAnsi="宋体" w:eastAsia="宋体" w:cs="仿宋_GB2312"/>
          <w:color w:val="auto"/>
          <w:kern w:val="0"/>
          <w:sz w:val="24"/>
          <w:lang w:eastAsia="zh-CN"/>
        </w:rPr>
      </w:pPr>
      <w:r>
        <w:rPr>
          <w:rFonts w:hint="eastAsia" w:ascii="宋体" w:hAnsi="宋体" w:cs="仿宋_GB2312"/>
          <w:color w:val="auto"/>
          <w:kern w:val="0"/>
          <w:sz w:val="24"/>
        </w:rPr>
        <w:t>投标人名称：</w:t>
      </w:r>
    </w:p>
    <w:p w14:paraId="2FCCE741">
      <w:pPr>
        <w:widowControl/>
        <w:wordWrap w:val="0"/>
        <w:adjustRightInd w:val="0"/>
        <w:spacing w:line="360" w:lineRule="auto"/>
        <w:jc w:val="left"/>
        <w:rPr>
          <w:rFonts w:ascii="宋体" w:hAnsi="宋体" w:cs="仿宋_GB2312"/>
          <w:color w:val="auto"/>
          <w:kern w:val="0"/>
          <w:sz w:val="24"/>
        </w:rPr>
      </w:pPr>
      <w:r>
        <w:rPr>
          <w:rFonts w:hint="eastAsia" w:ascii="宋体" w:hAnsi="宋体" w:cs="仿宋_GB2312"/>
          <w:color w:val="auto"/>
          <w:kern w:val="0"/>
          <w:sz w:val="24"/>
        </w:rPr>
        <w:t>单位性质：</w:t>
      </w:r>
    </w:p>
    <w:p w14:paraId="70F70B5C">
      <w:pPr>
        <w:widowControl/>
        <w:wordWrap w:val="0"/>
        <w:adjustRightInd w:val="0"/>
        <w:spacing w:line="360" w:lineRule="auto"/>
        <w:jc w:val="left"/>
        <w:rPr>
          <w:rFonts w:ascii="宋体" w:hAnsi="宋体" w:cs="仿宋_GB2312"/>
          <w:color w:val="auto"/>
          <w:kern w:val="0"/>
          <w:sz w:val="24"/>
        </w:rPr>
      </w:pPr>
      <w:r>
        <w:rPr>
          <w:rFonts w:hint="eastAsia" w:ascii="宋体" w:hAnsi="宋体" w:cs="仿宋_GB2312"/>
          <w:color w:val="auto"/>
          <w:kern w:val="0"/>
          <w:sz w:val="24"/>
        </w:rPr>
        <w:t>地址：</w:t>
      </w:r>
    </w:p>
    <w:p w14:paraId="6AB05027">
      <w:pPr>
        <w:widowControl/>
        <w:wordWrap w:val="0"/>
        <w:adjustRightInd w:val="0"/>
        <w:spacing w:line="360" w:lineRule="auto"/>
        <w:jc w:val="left"/>
        <w:rPr>
          <w:rFonts w:ascii="宋体" w:hAnsi="宋体" w:cs="仿宋_GB2312"/>
          <w:color w:val="auto"/>
          <w:kern w:val="0"/>
          <w:sz w:val="24"/>
        </w:rPr>
      </w:pPr>
      <w:r>
        <w:rPr>
          <w:rFonts w:hint="eastAsia" w:ascii="宋体" w:hAnsi="宋体" w:cs="仿宋_GB2312"/>
          <w:color w:val="auto"/>
          <w:kern w:val="0"/>
          <w:sz w:val="24"/>
        </w:rPr>
        <w:t>成立时间：年月日</w:t>
      </w:r>
    </w:p>
    <w:p w14:paraId="6D725992">
      <w:pPr>
        <w:widowControl/>
        <w:wordWrap w:val="0"/>
        <w:adjustRightInd w:val="0"/>
        <w:spacing w:line="360" w:lineRule="auto"/>
        <w:jc w:val="left"/>
        <w:rPr>
          <w:rFonts w:ascii="宋体" w:hAnsi="宋体" w:cs="仿宋_GB2312"/>
          <w:color w:val="auto"/>
          <w:kern w:val="0"/>
          <w:sz w:val="24"/>
        </w:rPr>
      </w:pPr>
      <w:r>
        <w:rPr>
          <w:rFonts w:hint="eastAsia" w:ascii="宋体" w:hAnsi="宋体" w:cs="仿宋_GB2312"/>
          <w:color w:val="auto"/>
          <w:kern w:val="0"/>
          <w:sz w:val="24"/>
        </w:rPr>
        <w:t>经营期限：</w:t>
      </w:r>
    </w:p>
    <w:p w14:paraId="6EF0FD76">
      <w:pPr>
        <w:widowControl/>
        <w:wordWrap w:val="0"/>
        <w:adjustRightInd w:val="0"/>
        <w:spacing w:line="360" w:lineRule="auto"/>
        <w:jc w:val="left"/>
        <w:rPr>
          <w:rFonts w:ascii="宋体" w:hAnsi="宋体" w:cs="仿宋_GB2312"/>
          <w:color w:val="auto"/>
          <w:kern w:val="0"/>
          <w:sz w:val="24"/>
        </w:rPr>
      </w:pPr>
      <w:r>
        <w:rPr>
          <w:rFonts w:hint="eastAsia" w:ascii="宋体" w:hAnsi="宋体" w:cs="仿宋_GB2312"/>
          <w:color w:val="auto"/>
          <w:kern w:val="0"/>
          <w:sz w:val="24"/>
        </w:rPr>
        <w:t>姓名：性别：年龄：职务：</w:t>
      </w:r>
    </w:p>
    <w:p w14:paraId="1078947E">
      <w:pPr>
        <w:widowControl/>
        <w:wordWrap w:val="0"/>
        <w:adjustRightInd w:val="0"/>
        <w:spacing w:line="360" w:lineRule="auto"/>
        <w:jc w:val="left"/>
        <w:rPr>
          <w:rFonts w:ascii="宋体" w:hAnsi="宋体" w:cs="仿宋_GB2312"/>
          <w:color w:val="auto"/>
          <w:kern w:val="0"/>
          <w:sz w:val="24"/>
        </w:rPr>
      </w:pPr>
      <w:r>
        <w:rPr>
          <w:rFonts w:hint="eastAsia" w:ascii="宋体" w:hAnsi="宋体" w:cs="仿宋_GB2312"/>
          <w:color w:val="auto"/>
          <w:kern w:val="0"/>
          <w:sz w:val="24"/>
        </w:rPr>
        <w:t>系（投标人名称）的法定代表人。</w:t>
      </w:r>
    </w:p>
    <w:p w14:paraId="2FCEB422">
      <w:pPr>
        <w:widowControl/>
        <w:wordWrap w:val="0"/>
        <w:adjustRightInd w:val="0"/>
        <w:spacing w:line="360" w:lineRule="auto"/>
        <w:jc w:val="left"/>
        <w:rPr>
          <w:rFonts w:ascii="宋体" w:hAnsi="宋体" w:cs="仿宋_GB2312"/>
          <w:color w:val="auto"/>
          <w:kern w:val="0"/>
          <w:sz w:val="24"/>
        </w:rPr>
      </w:pPr>
    </w:p>
    <w:p w14:paraId="2BEE805C">
      <w:pPr>
        <w:widowControl/>
        <w:wordWrap w:val="0"/>
        <w:adjustRightInd w:val="0"/>
        <w:spacing w:line="360" w:lineRule="auto"/>
        <w:ind w:firstLine="480" w:firstLineChars="200"/>
        <w:jc w:val="left"/>
        <w:rPr>
          <w:rFonts w:ascii="宋体" w:hAnsi="宋体" w:cs="仿宋_GB2312"/>
          <w:color w:val="auto"/>
          <w:kern w:val="0"/>
          <w:sz w:val="24"/>
        </w:rPr>
      </w:pPr>
      <w:r>
        <w:rPr>
          <w:rFonts w:hint="eastAsia" w:ascii="宋体" w:hAnsi="宋体" w:cs="仿宋_GB2312"/>
          <w:color w:val="auto"/>
          <w:kern w:val="0"/>
          <w:sz w:val="24"/>
        </w:rPr>
        <w:t>特此证明。</w:t>
      </w:r>
    </w:p>
    <w:p w14:paraId="5CCC1B26">
      <w:pPr>
        <w:widowControl/>
        <w:wordWrap w:val="0"/>
        <w:adjustRightInd w:val="0"/>
        <w:spacing w:line="360" w:lineRule="auto"/>
        <w:ind w:firstLine="480" w:firstLineChars="200"/>
        <w:jc w:val="left"/>
        <w:rPr>
          <w:rFonts w:ascii="宋体" w:hAnsi="宋体" w:cs="仿宋_GB2312"/>
          <w:color w:val="auto"/>
          <w:kern w:val="0"/>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5"/>
      </w:tblGrid>
      <w:tr w14:paraId="23BD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8535" w:type="dxa"/>
            <w:tcBorders>
              <w:top w:val="single" w:color="auto" w:sz="4" w:space="0"/>
              <w:left w:val="single" w:color="auto" w:sz="4" w:space="0"/>
              <w:bottom w:val="single" w:color="auto" w:sz="4" w:space="0"/>
              <w:right w:val="single" w:color="auto" w:sz="4" w:space="0"/>
            </w:tcBorders>
            <w:vAlign w:val="center"/>
          </w:tcPr>
          <w:p w14:paraId="416A4515">
            <w:pPr>
              <w:widowControl/>
              <w:wordWrap w:val="0"/>
              <w:spacing w:line="440" w:lineRule="exact"/>
              <w:jc w:val="center"/>
              <w:rPr>
                <w:rFonts w:ascii="宋体" w:hAnsi="宋体" w:cs="仿宋_GB2312"/>
                <w:color w:val="auto"/>
                <w:kern w:val="0"/>
                <w:sz w:val="24"/>
              </w:rPr>
            </w:pPr>
            <w:r>
              <w:rPr>
                <w:rFonts w:hint="eastAsia" w:ascii="宋体" w:hAnsi="宋体" w:cs="仿宋_GB2312"/>
                <w:color w:val="auto"/>
                <w:kern w:val="0"/>
                <w:sz w:val="24"/>
              </w:rPr>
              <w:t>法定代表人身份证扫描件</w:t>
            </w:r>
          </w:p>
        </w:tc>
      </w:tr>
    </w:tbl>
    <w:p w14:paraId="2687E00E">
      <w:pPr>
        <w:widowControl/>
        <w:wordWrap w:val="0"/>
        <w:adjustRightInd w:val="0"/>
        <w:spacing w:line="240" w:lineRule="atLeast"/>
        <w:jc w:val="left"/>
        <w:rPr>
          <w:rFonts w:ascii="宋体" w:hAnsi="宋体" w:cs="仿宋_GB2312"/>
          <w:color w:val="auto"/>
          <w:kern w:val="0"/>
          <w:sz w:val="24"/>
        </w:rPr>
      </w:pPr>
    </w:p>
    <w:p w14:paraId="5767824C">
      <w:pPr>
        <w:widowControl/>
        <w:wordWrap w:val="0"/>
        <w:adjustRightInd w:val="0"/>
        <w:spacing w:line="240" w:lineRule="atLeast"/>
        <w:ind w:firstLine="480" w:firstLineChars="200"/>
        <w:jc w:val="left"/>
        <w:rPr>
          <w:rFonts w:ascii="宋体" w:hAnsi="宋体" w:cs="仿宋_GB2312"/>
          <w:color w:val="auto"/>
          <w:kern w:val="0"/>
          <w:sz w:val="24"/>
        </w:rPr>
      </w:pPr>
    </w:p>
    <w:p w14:paraId="76F33C53">
      <w:pPr>
        <w:wordWrap w:val="0"/>
        <w:spacing w:line="480" w:lineRule="exact"/>
        <w:jc w:val="right"/>
        <w:rPr>
          <w:rFonts w:ascii="宋体" w:hAnsi="宋体"/>
          <w:color w:val="auto"/>
          <w:sz w:val="24"/>
        </w:rPr>
      </w:pPr>
      <w:r>
        <w:rPr>
          <w:rFonts w:hint="eastAsia" w:ascii="宋体" w:hAnsi="宋体"/>
          <w:color w:val="auto"/>
          <w:sz w:val="24"/>
        </w:rPr>
        <w:t>投标人：（电子签章）</w:t>
      </w:r>
    </w:p>
    <w:p w14:paraId="11717561">
      <w:pPr>
        <w:widowControl/>
        <w:wordWrap w:val="0"/>
        <w:adjustRightInd w:val="0"/>
        <w:spacing w:line="240" w:lineRule="atLeast"/>
        <w:ind w:firstLine="6420" w:firstLineChars="2675"/>
        <w:jc w:val="left"/>
        <w:rPr>
          <w:rFonts w:ascii="宋体" w:hAnsi="宋体" w:cs="仿宋_GB2312"/>
          <w:color w:val="auto"/>
          <w:kern w:val="0"/>
          <w:sz w:val="24"/>
        </w:rPr>
      </w:pPr>
      <w:r>
        <w:rPr>
          <w:rFonts w:hint="eastAsia" w:ascii="宋体" w:hAnsi="宋体"/>
          <w:color w:val="auto"/>
          <w:sz w:val="24"/>
        </w:rPr>
        <w:t>年月日</w:t>
      </w:r>
    </w:p>
    <w:p w14:paraId="15373A86">
      <w:pPr>
        <w:widowControl/>
        <w:wordWrap w:val="0"/>
        <w:jc w:val="left"/>
        <w:rPr>
          <w:rFonts w:ascii="宋体" w:hAnsi="宋体" w:cs="仿宋_GB2312"/>
          <w:color w:val="auto"/>
          <w:kern w:val="0"/>
          <w:sz w:val="24"/>
        </w:rPr>
      </w:pPr>
      <w:r>
        <w:rPr>
          <w:rFonts w:ascii="宋体" w:hAnsi="宋体" w:cs="仿宋_GB2312"/>
          <w:color w:val="auto"/>
          <w:kern w:val="0"/>
          <w:sz w:val="24"/>
        </w:rPr>
        <w:br w:type="page"/>
      </w:r>
    </w:p>
    <w:p w14:paraId="73A5507D">
      <w:pPr>
        <w:keepNext/>
        <w:keepLines/>
        <w:tabs>
          <w:tab w:val="left" w:pos="1548"/>
        </w:tabs>
        <w:wordWrap w:val="0"/>
        <w:spacing w:before="260" w:after="260" w:line="480" w:lineRule="exact"/>
        <w:jc w:val="center"/>
        <w:outlineLvl w:val="1"/>
        <w:rPr>
          <w:rFonts w:ascii="宋体" w:hAnsi="宋体"/>
          <w:b/>
          <w:bCs w:val="0"/>
          <w:color w:val="auto"/>
          <w:sz w:val="24"/>
        </w:rPr>
      </w:pPr>
      <w:bookmarkStart w:id="862" w:name="_Toc180919760"/>
      <w:bookmarkStart w:id="863" w:name="_Toc191031462"/>
      <w:bookmarkStart w:id="864" w:name="_Toc204691610"/>
      <w:bookmarkStart w:id="865" w:name="_Toc139279261"/>
      <w:r>
        <w:rPr>
          <w:rFonts w:hint="eastAsia" w:ascii="宋体" w:hAnsi="宋体"/>
          <w:b/>
          <w:bCs w:val="0"/>
          <w:color w:val="auto"/>
          <w:sz w:val="24"/>
        </w:rPr>
        <w:t>（二）授权委托书</w:t>
      </w:r>
      <w:bookmarkEnd w:id="862"/>
      <w:bookmarkEnd w:id="863"/>
      <w:bookmarkEnd w:id="864"/>
      <w:bookmarkEnd w:id="865"/>
    </w:p>
    <w:p w14:paraId="1BB93780">
      <w:pPr>
        <w:overflowPunct w:val="0"/>
        <w:topLinePunct/>
        <w:spacing w:line="440" w:lineRule="exact"/>
        <w:ind w:firstLine="420" w:firstLineChars="200"/>
        <w:rPr>
          <w:color w:val="auto"/>
          <w:szCs w:val="21"/>
        </w:rPr>
      </w:pPr>
      <w:r>
        <w:rPr>
          <w:color w:val="auto"/>
          <w:szCs w:val="21"/>
        </w:rPr>
        <w:t>本人（姓名）系（投标人名称）的法定代表人，现委托（姓名）为我方代理人</w:t>
      </w:r>
      <w:r>
        <w:rPr>
          <w:rFonts w:hint="eastAsia"/>
          <w:color w:val="auto"/>
          <w:szCs w:val="21"/>
        </w:rPr>
        <w:t>。</w:t>
      </w:r>
      <w:r>
        <w:rPr>
          <w:color w:val="auto"/>
          <w:szCs w:val="21"/>
        </w:rPr>
        <w:t>代理人根据授权，以我方名义签署、澄清</w:t>
      </w:r>
      <w:r>
        <w:rPr>
          <w:rFonts w:hint="eastAsia"/>
          <w:color w:val="auto"/>
          <w:szCs w:val="21"/>
        </w:rPr>
        <w:t>、说明、补正</w:t>
      </w:r>
      <w:r>
        <w:rPr>
          <w:color w:val="auto"/>
          <w:szCs w:val="21"/>
        </w:rPr>
        <w:t>、递交、撤回、修改（项目名称）投标文件、签订合同和处理有关事宜，其法律后果由我方承担。</w:t>
      </w:r>
    </w:p>
    <w:p w14:paraId="4C095396">
      <w:pPr>
        <w:overflowPunct w:val="0"/>
        <w:topLinePunct/>
        <w:spacing w:line="440" w:lineRule="exact"/>
        <w:rPr>
          <w:color w:val="auto"/>
          <w:szCs w:val="21"/>
        </w:rPr>
      </w:pPr>
      <w:r>
        <w:rPr>
          <w:color w:val="auto"/>
          <w:szCs w:val="21"/>
        </w:rPr>
        <w:t>委托期限：</w:t>
      </w:r>
      <w:r>
        <w:rPr>
          <w:rFonts w:hint="eastAsia"/>
          <w:color w:val="auto"/>
          <w:szCs w:val="21"/>
        </w:rPr>
        <w:t>。</w:t>
      </w:r>
    </w:p>
    <w:p w14:paraId="6B48B4CA">
      <w:pPr>
        <w:overflowPunct w:val="0"/>
        <w:topLinePunct/>
        <w:spacing w:line="440" w:lineRule="exact"/>
        <w:ind w:firstLine="420" w:firstLineChars="200"/>
        <w:rPr>
          <w:color w:val="auto"/>
          <w:szCs w:val="21"/>
        </w:rPr>
      </w:pPr>
      <w:r>
        <w:rPr>
          <w:color w:val="auto"/>
          <w:szCs w:val="21"/>
        </w:rPr>
        <w:t>代理人无转委托权。</w:t>
      </w:r>
    </w:p>
    <w:p w14:paraId="664A43A4">
      <w:pPr>
        <w:overflowPunct w:val="0"/>
        <w:topLinePunct/>
        <w:spacing w:line="440" w:lineRule="exact"/>
        <w:ind w:firstLine="420" w:firstLineChars="200"/>
        <w:rPr>
          <w:color w:val="auto"/>
          <w:szCs w:val="21"/>
        </w:rPr>
      </w:pPr>
      <w:r>
        <w:rPr>
          <w:rFonts w:hint="eastAsia"/>
          <w:color w:val="auto"/>
          <w:szCs w:val="21"/>
        </w:rPr>
        <w:t>附：法定代表人及</w:t>
      </w:r>
      <w:r>
        <w:rPr>
          <w:color w:val="auto"/>
          <w:szCs w:val="21"/>
        </w:rPr>
        <w:t>委托代理人</w:t>
      </w:r>
      <w:r>
        <w:rPr>
          <w:rFonts w:hint="eastAsia"/>
          <w:color w:val="auto"/>
          <w:szCs w:val="21"/>
        </w:rPr>
        <w:t>身份证扫描件</w:t>
      </w:r>
    </w:p>
    <w:p w14:paraId="33DCA629">
      <w:pPr>
        <w:overflowPunct w:val="0"/>
        <w:topLinePunct/>
        <w:spacing w:line="440" w:lineRule="exact"/>
        <w:rPr>
          <w:color w:val="auto"/>
          <w:szCs w:val="21"/>
        </w:rPr>
      </w:pPr>
    </w:p>
    <w:p w14:paraId="1EB98438">
      <w:pPr>
        <w:overflowPunct w:val="0"/>
        <w:topLinePunct/>
        <w:spacing w:line="440" w:lineRule="exact"/>
        <w:rPr>
          <w:color w:val="auto"/>
          <w:szCs w:val="21"/>
        </w:rPr>
      </w:pPr>
    </w:p>
    <w:p w14:paraId="03FC997F">
      <w:pPr>
        <w:overflowPunct w:val="0"/>
        <w:topLinePunct/>
        <w:spacing w:line="440" w:lineRule="exact"/>
        <w:rPr>
          <w:color w:val="auto"/>
          <w:szCs w:val="21"/>
        </w:rPr>
      </w:pPr>
      <w:r>
        <w:rPr>
          <w:color w:val="auto"/>
          <w:szCs w:val="21"/>
        </w:rPr>
        <w:t>投标人：（</w:t>
      </w:r>
      <w:r>
        <w:rPr>
          <w:rFonts w:hint="eastAsia" w:ascii="宋体" w:hAnsi="宋体" w:cs="宋体"/>
          <w:color w:val="auto"/>
          <w:szCs w:val="21"/>
        </w:rPr>
        <w:t>盖电子公章</w:t>
      </w:r>
      <w:r>
        <w:rPr>
          <w:color w:val="auto"/>
          <w:szCs w:val="21"/>
        </w:rPr>
        <w:t>）</w:t>
      </w:r>
    </w:p>
    <w:p w14:paraId="7B436D63">
      <w:pPr>
        <w:overflowPunct w:val="0"/>
        <w:topLinePunct/>
        <w:spacing w:line="440" w:lineRule="exact"/>
        <w:rPr>
          <w:color w:val="auto"/>
          <w:szCs w:val="21"/>
        </w:rPr>
      </w:pPr>
    </w:p>
    <w:p w14:paraId="196274DE">
      <w:pPr>
        <w:overflowPunct w:val="0"/>
        <w:topLinePunct/>
        <w:spacing w:line="440" w:lineRule="exact"/>
        <w:rPr>
          <w:color w:val="auto"/>
          <w:szCs w:val="21"/>
        </w:rPr>
      </w:pPr>
      <w:r>
        <w:rPr>
          <w:color w:val="auto"/>
          <w:szCs w:val="21"/>
        </w:rPr>
        <w:t>法定代表人：（</w:t>
      </w:r>
      <w:r>
        <w:rPr>
          <w:rFonts w:hint="eastAsia" w:ascii="宋体" w:hAnsi="宋体" w:cs="宋体"/>
          <w:color w:val="auto"/>
          <w:sz w:val="24"/>
          <w:lang w:bidi="zh-CN"/>
        </w:rPr>
        <w:t>电子签章</w:t>
      </w:r>
      <w:r>
        <w:rPr>
          <w:color w:val="auto"/>
          <w:szCs w:val="21"/>
        </w:rPr>
        <w:t>）</w:t>
      </w:r>
    </w:p>
    <w:p w14:paraId="540F4CCF">
      <w:pPr>
        <w:overflowPunct w:val="0"/>
        <w:topLinePunct/>
        <w:spacing w:line="440" w:lineRule="exact"/>
        <w:rPr>
          <w:color w:val="auto"/>
          <w:szCs w:val="21"/>
        </w:rPr>
      </w:pPr>
    </w:p>
    <w:p w14:paraId="27C333CC">
      <w:pPr>
        <w:overflowPunct w:val="0"/>
        <w:topLinePunct/>
        <w:spacing w:line="440" w:lineRule="exact"/>
        <w:rPr>
          <w:rFonts w:hint="eastAsia" w:eastAsia="宋体"/>
          <w:color w:val="auto"/>
          <w:szCs w:val="21"/>
          <w:lang w:eastAsia="zh-CN"/>
        </w:rPr>
      </w:pPr>
      <w:r>
        <w:rPr>
          <w:color w:val="auto"/>
          <w:szCs w:val="21"/>
        </w:rPr>
        <w:t>身份证号码：</w:t>
      </w:r>
    </w:p>
    <w:p w14:paraId="22A7BADC">
      <w:pPr>
        <w:overflowPunct w:val="0"/>
        <w:topLinePunct/>
        <w:spacing w:line="440" w:lineRule="exact"/>
        <w:rPr>
          <w:color w:val="auto"/>
          <w:szCs w:val="21"/>
        </w:rPr>
      </w:pPr>
    </w:p>
    <w:p w14:paraId="1D5D8134">
      <w:pPr>
        <w:overflowPunct w:val="0"/>
        <w:topLinePunct/>
        <w:spacing w:line="440" w:lineRule="exact"/>
        <w:rPr>
          <w:rFonts w:hint="eastAsia" w:eastAsia="宋体"/>
          <w:color w:val="auto"/>
          <w:szCs w:val="21"/>
          <w:lang w:eastAsia="zh-CN"/>
        </w:rPr>
      </w:pPr>
      <w:r>
        <w:rPr>
          <w:color w:val="auto"/>
          <w:szCs w:val="21"/>
        </w:rPr>
        <w:t>委托代理人：（签字</w:t>
      </w:r>
      <w:r>
        <w:rPr>
          <w:rFonts w:hint="eastAsia"/>
          <w:color w:val="auto"/>
          <w:szCs w:val="21"/>
        </w:rPr>
        <w:t>或盖章</w:t>
      </w:r>
      <w:r>
        <w:rPr>
          <w:color w:val="auto"/>
          <w:szCs w:val="21"/>
        </w:rPr>
        <w:t>）</w:t>
      </w:r>
    </w:p>
    <w:p w14:paraId="571CFEBF">
      <w:pPr>
        <w:overflowPunct w:val="0"/>
        <w:topLinePunct/>
        <w:spacing w:line="440" w:lineRule="exact"/>
        <w:rPr>
          <w:color w:val="auto"/>
          <w:szCs w:val="21"/>
        </w:rPr>
      </w:pPr>
    </w:p>
    <w:p w14:paraId="586037D6">
      <w:pPr>
        <w:overflowPunct w:val="0"/>
        <w:topLinePunct/>
        <w:spacing w:line="440" w:lineRule="exact"/>
        <w:rPr>
          <w:rFonts w:hint="eastAsia" w:eastAsia="宋体"/>
          <w:color w:val="auto"/>
          <w:szCs w:val="21"/>
          <w:u w:val="single"/>
          <w:lang w:eastAsia="zh-CN"/>
        </w:rPr>
      </w:pPr>
      <w:r>
        <w:rPr>
          <w:color w:val="auto"/>
          <w:szCs w:val="21"/>
        </w:rPr>
        <w:t>身份证号码：</w:t>
      </w:r>
    </w:p>
    <w:p w14:paraId="4B2CB672">
      <w:pPr>
        <w:pStyle w:val="8"/>
        <w:overflowPunct w:val="0"/>
        <w:topLinePunct/>
        <w:rPr>
          <w:color w:val="auto"/>
        </w:rPr>
      </w:pPr>
    </w:p>
    <w:p w14:paraId="48658975">
      <w:pPr>
        <w:overflowPunct w:val="0"/>
        <w:topLinePunct/>
        <w:spacing w:line="440" w:lineRule="exact"/>
        <w:rPr>
          <w:color w:val="auto"/>
          <w:szCs w:val="21"/>
        </w:rPr>
      </w:pPr>
    </w:p>
    <w:p w14:paraId="7D2ED828">
      <w:pPr>
        <w:overflowPunct w:val="0"/>
        <w:topLinePunct/>
        <w:spacing w:line="440" w:lineRule="exact"/>
        <w:ind w:firstLine="1575" w:firstLineChars="750"/>
        <w:rPr>
          <w:rFonts w:eastAsia="黑体"/>
          <w:color w:val="auto"/>
          <w:szCs w:val="21"/>
        </w:rPr>
      </w:pPr>
      <w:r>
        <w:rPr>
          <w:color w:val="auto"/>
          <w:szCs w:val="21"/>
        </w:rPr>
        <w:t>年</w:t>
      </w:r>
      <w:r>
        <w:rPr>
          <w:rFonts w:hint="eastAsia"/>
          <w:color w:val="auto"/>
          <w:szCs w:val="21"/>
          <w:lang w:val="en-US" w:eastAsia="zh-CN"/>
        </w:rPr>
        <w:t xml:space="preserve">  </w:t>
      </w:r>
      <w:r>
        <w:rPr>
          <w:color w:val="auto"/>
          <w:szCs w:val="21"/>
        </w:rPr>
        <w:t>月</w:t>
      </w:r>
      <w:r>
        <w:rPr>
          <w:rFonts w:hint="eastAsia"/>
          <w:color w:val="auto"/>
          <w:szCs w:val="21"/>
          <w:lang w:val="en-US" w:eastAsia="zh-CN"/>
        </w:rPr>
        <w:t xml:space="preserve">   </w:t>
      </w:r>
      <w:r>
        <w:rPr>
          <w:color w:val="auto"/>
          <w:szCs w:val="21"/>
        </w:rPr>
        <w:t>日</w:t>
      </w:r>
    </w:p>
    <w:p w14:paraId="15F0976D">
      <w:pPr>
        <w:overflowPunct w:val="0"/>
        <w:topLinePunct/>
        <w:spacing w:line="400" w:lineRule="exact"/>
        <w:rPr>
          <w:rFonts w:eastAsia="黑体"/>
          <w:color w:val="auto"/>
          <w:sz w:val="20"/>
          <w:szCs w:val="20"/>
        </w:rPr>
      </w:pPr>
    </w:p>
    <w:p w14:paraId="3E83DD5F">
      <w:pPr>
        <w:keepNext/>
        <w:keepLines/>
        <w:widowControl/>
        <w:wordWrap w:val="0"/>
        <w:spacing w:line="360" w:lineRule="auto"/>
        <w:jc w:val="center"/>
        <w:outlineLvl w:val="1"/>
        <w:rPr>
          <w:rFonts w:hint="eastAsia" w:ascii="Arial" w:hAnsi="Arial" w:eastAsia="宋体"/>
          <w:b/>
          <w:color w:val="auto"/>
          <w:sz w:val="24"/>
          <w:szCs w:val="32"/>
          <w:lang w:eastAsia="zh-CN"/>
        </w:rPr>
      </w:pPr>
      <w:r>
        <w:rPr>
          <w:rFonts w:ascii="Arial" w:hAnsi="Arial"/>
          <w:b/>
          <w:color w:val="auto"/>
          <w:sz w:val="24"/>
          <w:szCs w:val="32"/>
        </w:rPr>
        <w:br w:type="page"/>
      </w:r>
      <w:bookmarkStart w:id="866" w:name="_Toc26023"/>
      <w:bookmarkStart w:id="867" w:name="_Toc204691611"/>
      <w:r>
        <w:rPr>
          <w:rFonts w:hint="eastAsia" w:ascii="Arial" w:hAnsi="Arial"/>
          <w:b/>
          <w:color w:val="auto"/>
          <w:sz w:val="24"/>
          <w:szCs w:val="32"/>
          <w:lang w:val="en-US" w:eastAsia="zh-CN"/>
        </w:rPr>
        <w:t>三</w:t>
      </w:r>
      <w:r>
        <w:rPr>
          <w:rFonts w:hint="eastAsia" w:ascii="Arial" w:hAnsi="Arial"/>
          <w:b/>
          <w:color w:val="auto"/>
          <w:sz w:val="24"/>
          <w:szCs w:val="32"/>
        </w:rPr>
        <w:t>、投标</w:t>
      </w:r>
      <w:r>
        <w:rPr>
          <w:rFonts w:hint="eastAsia" w:ascii="Arial" w:hAnsi="Arial"/>
          <w:b/>
          <w:color w:val="auto"/>
          <w:sz w:val="24"/>
          <w:szCs w:val="32"/>
          <w:lang w:val="en-US" w:eastAsia="zh-CN"/>
        </w:rPr>
        <w:t>承诺函</w:t>
      </w:r>
    </w:p>
    <w:bookmarkEnd w:id="866"/>
    <w:bookmarkEnd w:id="867"/>
    <w:p w14:paraId="6FFE3480">
      <w:pPr>
        <w:keepNext w:val="0"/>
        <w:keepLines w:val="0"/>
        <w:pageBreakBefore w:val="0"/>
        <w:widowControl w:val="0"/>
        <w:kinsoku/>
        <w:wordWrap w:val="0"/>
        <w:overflowPunct/>
        <w:topLinePunct w:val="0"/>
        <w:bidi w:val="0"/>
        <w:snapToGrid/>
        <w:spacing w:line="440" w:lineRule="exact"/>
        <w:textAlignment w:val="auto"/>
        <w:rPr>
          <w:rFonts w:ascii="宋体" w:hAnsi="宋体" w:cs="宋体"/>
          <w:color w:val="auto"/>
          <w:sz w:val="21"/>
          <w:szCs w:val="21"/>
        </w:rPr>
      </w:pPr>
      <w:r>
        <w:rPr>
          <w:rFonts w:hint="eastAsia" w:ascii="宋体" w:hAnsi="宋体" w:cs="宋体"/>
          <w:color w:val="auto"/>
          <w:kern w:val="0"/>
          <w:sz w:val="21"/>
          <w:szCs w:val="21"/>
        </w:rPr>
        <w:t>致：</w:t>
      </w:r>
      <w:r>
        <w:rPr>
          <w:rFonts w:hint="eastAsia" w:ascii="宋体" w:hAnsi="宋体" w:cs="宋体"/>
          <w:color w:val="auto"/>
          <w:kern w:val="0"/>
          <w:sz w:val="21"/>
          <w:szCs w:val="21"/>
          <w:u w:val="single"/>
        </w:rPr>
        <w:t>（填写招标人名称）</w:t>
      </w:r>
      <w:r>
        <w:rPr>
          <w:rFonts w:hint="eastAsia" w:ascii="宋体" w:hAnsi="宋体" w:cs="宋体"/>
          <w:color w:val="auto"/>
          <w:sz w:val="21"/>
          <w:szCs w:val="21"/>
          <w:u w:val="single"/>
        </w:rPr>
        <w:t>：</w:t>
      </w:r>
    </w:p>
    <w:p w14:paraId="161FED14">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我单位在</w:t>
      </w:r>
      <w:r>
        <w:rPr>
          <w:rFonts w:hint="eastAsia" w:ascii="宋体" w:hAnsi="宋体" w:cs="宋体"/>
          <w:color w:val="auto"/>
          <w:sz w:val="21"/>
          <w:szCs w:val="21"/>
          <w:u w:val="single"/>
          <w:lang w:eastAsia="zh-CN"/>
        </w:rPr>
        <w:t>（</w:t>
      </w:r>
      <w:r>
        <w:rPr>
          <w:rFonts w:hint="eastAsia" w:ascii="宋体" w:hAnsi="宋体" w:cs="宋体"/>
          <w:color w:val="auto"/>
          <w:sz w:val="21"/>
          <w:szCs w:val="21"/>
          <w:u w:val="single"/>
          <w:lang w:val="en-US" w:eastAsia="zh-CN"/>
        </w:rPr>
        <w:t>项目名称）</w:t>
      </w:r>
      <w:r>
        <w:rPr>
          <w:rFonts w:hint="eastAsia" w:ascii="宋体" w:hAnsi="宋体" w:cs="宋体"/>
          <w:color w:val="auto"/>
          <w:sz w:val="21"/>
          <w:szCs w:val="21"/>
          <w:highlight w:val="none"/>
        </w:rPr>
        <w:t>投</w:t>
      </w:r>
      <w:r>
        <w:rPr>
          <w:rFonts w:hint="eastAsia" w:ascii="宋体" w:hAnsi="宋体" w:cs="宋体"/>
          <w:color w:val="auto"/>
          <w:sz w:val="21"/>
          <w:szCs w:val="21"/>
        </w:rPr>
        <w:t>标中</w:t>
      </w:r>
      <w:r>
        <w:rPr>
          <w:rFonts w:hint="eastAsia" w:ascii="宋体" w:hAnsi="宋体"/>
          <w:color w:val="auto"/>
          <w:sz w:val="21"/>
          <w:szCs w:val="21"/>
        </w:rPr>
        <w:t>自愿作出以下承诺</w:t>
      </w:r>
      <w:r>
        <w:rPr>
          <w:rFonts w:hint="eastAsia" w:ascii="宋体" w:hAnsi="宋体" w:cs="宋体"/>
          <w:color w:val="auto"/>
          <w:sz w:val="21"/>
          <w:szCs w:val="21"/>
        </w:rPr>
        <w:t>：</w:t>
      </w:r>
    </w:p>
    <w:p w14:paraId="3CD7E148">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olor w:val="auto"/>
          <w:sz w:val="21"/>
          <w:szCs w:val="21"/>
        </w:rPr>
      </w:pPr>
      <w:r>
        <w:rPr>
          <w:rFonts w:hint="eastAsia" w:ascii="宋体" w:hAnsi="宋体"/>
          <w:color w:val="auto"/>
          <w:sz w:val="21"/>
          <w:szCs w:val="21"/>
        </w:rPr>
        <w:t>一、我单位具备承担招标项目的能力，自愿参加该标段投标活动，严格遵守《中华人民共和国招标投标法》及相关法律法规，依法诚信经营，</w:t>
      </w:r>
      <w:r>
        <w:rPr>
          <w:rFonts w:hint="eastAsia" w:ascii="宋体" w:hAnsi="宋体" w:cs="宋体"/>
          <w:color w:val="auto"/>
          <w:sz w:val="21"/>
          <w:szCs w:val="21"/>
        </w:rPr>
        <w:t>不存在以下任何情形之一：</w:t>
      </w:r>
    </w:p>
    <w:p w14:paraId="40D01803">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1.为本标段前期准备提供设计或咨询服务的法人；</w:t>
      </w:r>
    </w:p>
    <w:p w14:paraId="1000FBC1">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2.为本标段的监理人、代建人或招标代理机构的；</w:t>
      </w:r>
    </w:p>
    <w:p w14:paraId="470CB28D">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3.与本标段的监理人或代建人或招标代理机构同为一个法定代表人的；</w:t>
      </w:r>
    </w:p>
    <w:p w14:paraId="5727C69A">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4.与本标段的监理人或代建人或招标代理机构相互控股或参股的；</w:t>
      </w:r>
    </w:p>
    <w:p w14:paraId="66A7A9AF">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5.与本标段的监理人或代建人或招标代理机构相互任职或工作的；</w:t>
      </w:r>
    </w:p>
    <w:p w14:paraId="166F7BEE">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6.被责令停业、被暂扣或者吊销执照、被暂扣或者吊销许可证或的；</w:t>
      </w:r>
    </w:p>
    <w:p w14:paraId="48703049">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7.被暂停或取消投标资格的；</w:t>
      </w:r>
    </w:p>
    <w:p w14:paraId="30B4B912">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8.进入清算程序或宣告破产的；</w:t>
      </w:r>
    </w:p>
    <w:p w14:paraId="01532224">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9.因财产被接管、扣押、查封或冻结而丧失履约能力的；</w:t>
      </w:r>
    </w:p>
    <w:p w14:paraId="746BCA30">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10.与招标人存在利害关系且可能影响招标公正性的；</w:t>
      </w:r>
    </w:p>
    <w:p w14:paraId="710F8B33">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11.与本招标项目的其他投标人为同一单位负责人或存在控股、管理关系的；</w:t>
      </w:r>
    </w:p>
    <w:p w14:paraId="796459A7">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12.在招标文件中规定的投标有效期内撤销投标文件；</w:t>
      </w:r>
    </w:p>
    <w:p w14:paraId="62FE68CA">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13.中标后在规定期限内无正当理由不与招标人签订合同，或者不按招标文件规定提交履约保证金。</w:t>
      </w:r>
    </w:p>
    <w:p w14:paraId="61D56387">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二、在本项目投标中不存在串通投标、租借资质以及弄虚作假投标等违法行为。</w:t>
      </w:r>
    </w:p>
    <w:p w14:paraId="3B1A87C3">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三、拟派的项目经理对所在单位参与本次投标知情，投标中使用的本人相关业绩真实有效；本人未在其他项目上任职项目经理，或虽在其他项目上任职项目经理，承诺本项目中标后能够从其他任职项目撤离。</w:t>
      </w:r>
    </w:p>
    <w:p w14:paraId="33B67E2D">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olor w:val="auto"/>
          <w:sz w:val="21"/>
          <w:szCs w:val="21"/>
        </w:rPr>
      </w:pPr>
      <w:r>
        <w:rPr>
          <w:rFonts w:hint="eastAsia" w:ascii="宋体" w:hAnsi="宋体" w:cs="宋体"/>
          <w:color w:val="auto"/>
          <w:sz w:val="21"/>
          <w:szCs w:val="21"/>
        </w:rPr>
        <w:t>以上承诺如有虚假，招标人有权取消我单位投标资格或中标资格、拒签或提前终止合同，给招标人造成损失的，自愿承担赔偿责任；接受有关部门的处罚，并承担由此带来的一切法律责任。</w:t>
      </w:r>
    </w:p>
    <w:p w14:paraId="0F4364E4">
      <w:pPr>
        <w:keepNext w:val="0"/>
        <w:keepLines w:val="0"/>
        <w:pageBreakBefore w:val="0"/>
        <w:widowControl w:val="0"/>
        <w:kinsoku/>
        <w:wordWrap w:val="0"/>
        <w:overflowPunct/>
        <w:topLinePunct w:val="0"/>
        <w:bidi w:val="0"/>
        <w:snapToGrid/>
        <w:spacing w:line="440" w:lineRule="exact"/>
        <w:ind w:firstLine="420" w:firstLineChars="200"/>
        <w:textAlignment w:val="auto"/>
        <w:rPr>
          <w:rFonts w:ascii="宋体" w:hAnsi="宋体" w:cs="宋体"/>
          <w:color w:val="auto"/>
          <w:sz w:val="21"/>
          <w:szCs w:val="21"/>
        </w:rPr>
      </w:pPr>
      <w:r>
        <w:rPr>
          <w:rFonts w:hint="eastAsia" w:ascii="宋体" w:hAnsi="宋体" w:cs="宋体"/>
          <w:color w:val="auto"/>
          <w:sz w:val="21"/>
          <w:szCs w:val="21"/>
        </w:rPr>
        <w:t>特此承诺。</w:t>
      </w:r>
    </w:p>
    <w:p w14:paraId="4BDC6585">
      <w:pPr>
        <w:keepNext w:val="0"/>
        <w:keepLines w:val="0"/>
        <w:pageBreakBefore w:val="0"/>
        <w:widowControl w:val="0"/>
        <w:kinsoku/>
        <w:wordWrap w:val="0"/>
        <w:overflowPunct/>
        <w:topLinePunct w:val="0"/>
        <w:autoSpaceDE w:val="0"/>
        <w:autoSpaceDN w:val="0"/>
        <w:bidi w:val="0"/>
        <w:adjustRightInd w:val="0"/>
        <w:snapToGrid/>
        <w:spacing w:line="440" w:lineRule="exact"/>
        <w:ind w:right="210"/>
        <w:jc w:val="right"/>
        <w:textAlignment w:val="auto"/>
        <w:rPr>
          <w:rFonts w:ascii="宋体" w:hAnsi="宋体" w:cs="宋体"/>
          <w:bCs/>
          <w:color w:val="auto"/>
          <w:kern w:val="0"/>
          <w:sz w:val="21"/>
          <w:szCs w:val="21"/>
        </w:rPr>
      </w:pPr>
      <w:r>
        <w:rPr>
          <w:rFonts w:hint="eastAsia" w:ascii="宋体" w:hAnsi="宋体" w:cs="宋体"/>
          <w:bCs/>
          <w:color w:val="auto"/>
          <w:kern w:val="0"/>
          <w:sz w:val="21"/>
          <w:szCs w:val="21"/>
        </w:rPr>
        <w:t>投标人：（</w:t>
      </w:r>
      <w:r>
        <w:rPr>
          <w:rFonts w:hint="eastAsia" w:ascii="宋体" w:hAnsi="宋体" w:cs="宋体"/>
          <w:color w:val="auto"/>
          <w:szCs w:val="21"/>
        </w:rPr>
        <w:t>盖电子公章</w:t>
      </w:r>
      <w:r>
        <w:rPr>
          <w:rFonts w:hint="eastAsia" w:ascii="宋体" w:hAnsi="宋体" w:cs="宋体"/>
          <w:bCs/>
          <w:color w:val="auto"/>
          <w:kern w:val="0"/>
          <w:sz w:val="21"/>
          <w:szCs w:val="21"/>
        </w:rPr>
        <w:t>）</w:t>
      </w:r>
    </w:p>
    <w:p w14:paraId="5CC78DC8">
      <w:pPr>
        <w:keepNext w:val="0"/>
        <w:keepLines w:val="0"/>
        <w:pageBreakBefore w:val="0"/>
        <w:widowControl w:val="0"/>
        <w:kinsoku/>
        <w:wordWrap w:val="0"/>
        <w:overflowPunct/>
        <w:topLinePunct w:val="0"/>
        <w:autoSpaceDE/>
        <w:autoSpaceDN/>
        <w:bidi w:val="0"/>
        <w:adjustRightInd/>
        <w:snapToGrid/>
        <w:spacing w:line="440" w:lineRule="exact"/>
        <w:ind w:firstLine="5670" w:firstLineChars="2700"/>
        <w:jc w:val="left"/>
        <w:textAlignment w:val="auto"/>
        <w:rPr>
          <w:rFonts w:ascii="宋体" w:hAnsi="宋体" w:cs="宋体"/>
          <w:color w:val="auto"/>
          <w:sz w:val="21"/>
          <w:szCs w:val="21"/>
          <w:lang w:bidi="zh-CN"/>
        </w:rPr>
      </w:pPr>
      <w:r>
        <w:rPr>
          <w:rFonts w:hint="eastAsia" w:ascii="宋体" w:hAnsi="宋体" w:cs="宋体"/>
          <w:bCs/>
          <w:color w:val="auto"/>
          <w:kern w:val="0"/>
          <w:sz w:val="21"/>
          <w:szCs w:val="21"/>
        </w:rPr>
        <w:t>法定代表人：（</w:t>
      </w:r>
      <w:r>
        <w:rPr>
          <w:rFonts w:hint="eastAsia" w:ascii="宋体" w:hAnsi="宋体" w:cs="宋体"/>
          <w:color w:val="auto"/>
          <w:sz w:val="21"/>
          <w:szCs w:val="21"/>
          <w:lang w:bidi="zh-CN"/>
        </w:rPr>
        <w:t>电子签章）</w:t>
      </w:r>
    </w:p>
    <w:p w14:paraId="47C948FC">
      <w:pPr>
        <w:keepNext w:val="0"/>
        <w:keepLines w:val="0"/>
        <w:pageBreakBefore w:val="0"/>
        <w:widowControl w:val="0"/>
        <w:kinsoku/>
        <w:wordWrap w:val="0"/>
        <w:overflowPunct/>
        <w:topLinePunct w:val="0"/>
        <w:autoSpaceDE w:val="0"/>
        <w:autoSpaceDN w:val="0"/>
        <w:bidi w:val="0"/>
        <w:adjustRightInd w:val="0"/>
        <w:snapToGrid/>
        <w:spacing w:line="440" w:lineRule="exact"/>
        <w:ind w:right="839" w:firstLine="5460" w:firstLineChars="2600"/>
        <w:jc w:val="center"/>
        <w:textAlignment w:val="auto"/>
        <w:rPr>
          <w:rFonts w:ascii="宋体" w:hAnsi="宋体" w:cs="宋体"/>
          <w:bCs/>
          <w:color w:val="auto"/>
          <w:kern w:val="0"/>
          <w:sz w:val="21"/>
          <w:szCs w:val="21"/>
        </w:rPr>
      </w:pPr>
      <w:r>
        <w:rPr>
          <w:rFonts w:hint="eastAsia" w:ascii="宋体" w:hAnsi="宋体" w:cs="宋体"/>
          <w:bCs/>
          <w:color w:val="auto"/>
          <w:kern w:val="0"/>
          <w:sz w:val="21"/>
          <w:szCs w:val="21"/>
        </w:rPr>
        <w:t>日期：年月日</w:t>
      </w:r>
    </w:p>
    <w:p w14:paraId="3CF99ED8">
      <w:pPr>
        <w:widowControl/>
        <w:wordWrap w:val="0"/>
        <w:jc w:val="left"/>
        <w:rPr>
          <w:rFonts w:ascii="Arial" w:hAnsi="Arial"/>
          <w:b/>
          <w:color w:val="auto"/>
          <w:sz w:val="24"/>
          <w:szCs w:val="32"/>
        </w:rPr>
      </w:pPr>
      <w:r>
        <w:rPr>
          <w:rFonts w:ascii="Arial" w:hAnsi="Arial"/>
          <w:b/>
          <w:color w:val="auto"/>
          <w:sz w:val="24"/>
          <w:szCs w:val="32"/>
        </w:rPr>
        <w:br w:type="page"/>
      </w:r>
    </w:p>
    <w:p w14:paraId="1595C4E4">
      <w:pPr>
        <w:keepNext/>
        <w:keepLines/>
        <w:widowControl/>
        <w:wordWrap w:val="0"/>
        <w:spacing w:line="360" w:lineRule="auto"/>
        <w:jc w:val="center"/>
        <w:outlineLvl w:val="1"/>
        <w:rPr>
          <w:rFonts w:ascii="Arial" w:hAnsi="Arial"/>
          <w:b/>
          <w:color w:val="auto"/>
          <w:sz w:val="24"/>
          <w:szCs w:val="32"/>
        </w:rPr>
      </w:pPr>
      <w:bookmarkStart w:id="868" w:name="_Toc204691612"/>
      <w:r>
        <w:rPr>
          <w:rFonts w:hint="eastAsia" w:ascii="Arial" w:hAnsi="Arial"/>
          <w:b/>
          <w:color w:val="auto"/>
          <w:sz w:val="24"/>
          <w:szCs w:val="32"/>
        </w:rPr>
        <w:t>四、投标保证金</w:t>
      </w:r>
      <w:bookmarkEnd w:id="868"/>
    </w:p>
    <w:p w14:paraId="6DADF4D3">
      <w:pPr>
        <w:widowControl/>
        <w:wordWrap w:val="0"/>
        <w:spacing w:line="460" w:lineRule="exact"/>
        <w:ind w:firstLine="440" w:firstLineChars="200"/>
        <w:jc w:val="left"/>
        <w:rPr>
          <w:rFonts w:ascii="宋体" w:hAnsi="宋体" w:cs="仿宋_GB2312"/>
          <w:color w:val="auto"/>
          <w:kern w:val="0"/>
          <w:sz w:val="22"/>
        </w:rPr>
      </w:pPr>
    </w:p>
    <w:p w14:paraId="11BE9BDD">
      <w:pPr>
        <w:spacing w:line="360" w:lineRule="auto"/>
        <w:jc w:val="center"/>
        <w:rPr>
          <w:rFonts w:ascii="宋体" w:hAnsi="宋体" w:cs="宋体"/>
          <w:b w:val="0"/>
          <w:bCs w:val="0"/>
          <w:color w:val="auto"/>
          <w:szCs w:val="21"/>
          <w:highlight w:val="none"/>
        </w:rPr>
      </w:pPr>
      <w:r>
        <w:rPr>
          <w:rFonts w:hint="eastAsia" w:ascii="宋体" w:hAnsi="宋体" w:cs="宋体"/>
          <w:b w:val="0"/>
          <w:bCs w:val="0"/>
          <w:color w:val="auto"/>
          <w:szCs w:val="21"/>
          <w:highlight w:val="none"/>
        </w:rPr>
        <w:t>可以将系统生成的回执单图片制作在投标文件中，或附投标保函相关证明材料</w:t>
      </w:r>
    </w:p>
    <w:p w14:paraId="49165A5D">
      <w:pPr>
        <w:widowControl/>
        <w:wordWrap w:val="0"/>
        <w:spacing w:line="460" w:lineRule="exact"/>
        <w:ind w:firstLine="480" w:firstLineChars="200"/>
        <w:jc w:val="center"/>
        <w:rPr>
          <w:rFonts w:ascii="宋体" w:hAnsi="宋体" w:cs="仿宋_GB2312"/>
          <w:color w:val="auto"/>
          <w:kern w:val="0"/>
          <w:sz w:val="24"/>
        </w:rPr>
      </w:pPr>
    </w:p>
    <w:p w14:paraId="7A6E7D62">
      <w:pPr>
        <w:widowControl/>
        <w:wordWrap w:val="0"/>
        <w:spacing w:beforeLines="100" w:afterLines="50" w:line="480" w:lineRule="exact"/>
        <w:jc w:val="center"/>
        <w:textAlignment w:val="center"/>
        <w:rPr>
          <w:rFonts w:ascii="宋体" w:hAnsi="宋体" w:cs="仿宋_GB2312"/>
          <w:b/>
          <w:color w:val="auto"/>
          <w:kern w:val="0"/>
          <w:sz w:val="22"/>
        </w:rPr>
      </w:pPr>
    </w:p>
    <w:p w14:paraId="42B42110">
      <w:pPr>
        <w:widowControl/>
        <w:wordWrap w:val="0"/>
        <w:spacing w:beforeLines="100" w:afterLines="50" w:line="480" w:lineRule="exact"/>
        <w:jc w:val="left"/>
        <w:textAlignment w:val="center"/>
        <w:rPr>
          <w:rFonts w:ascii="宋体" w:hAnsi="宋体" w:cs="仿宋_GB2312"/>
          <w:b/>
          <w:color w:val="auto"/>
          <w:kern w:val="0"/>
          <w:sz w:val="22"/>
        </w:rPr>
      </w:pPr>
    </w:p>
    <w:p w14:paraId="6C9ABD78">
      <w:pPr>
        <w:widowControl/>
        <w:wordWrap w:val="0"/>
        <w:spacing w:beforeLines="100" w:afterLines="50" w:line="480" w:lineRule="exact"/>
        <w:jc w:val="left"/>
        <w:textAlignment w:val="center"/>
        <w:rPr>
          <w:rFonts w:ascii="宋体" w:hAnsi="宋体" w:cs="仿宋_GB2312"/>
          <w:b/>
          <w:color w:val="auto"/>
          <w:kern w:val="0"/>
          <w:sz w:val="22"/>
        </w:rPr>
      </w:pPr>
    </w:p>
    <w:p w14:paraId="56BD6412">
      <w:pPr>
        <w:widowControl/>
        <w:wordWrap w:val="0"/>
        <w:spacing w:beforeLines="100" w:afterLines="50" w:line="480" w:lineRule="exact"/>
        <w:jc w:val="left"/>
        <w:textAlignment w:val="center"/>
        <w:rPr>
          <w:rFonts w:ascii="宋体" w:hAnsi="宋体" w:cs="仿宋_GB2312"/>
          <w:b/>
          <w:color w:val="auto"/>
          <w:kern w:val="0"/>
          <w:sz w:val="22"/>
        </w:rPr>
      </w:pPr>
    </w:p>
    <w:p w14:paraId="60E0E387">
      <w:pPr>
        <w:widowControl/>
        <w:wordWrap w:val="0"/>
        <w:spacing w:beforeLines="100" w:afterLines="50" w:line="480" w:lineRule="exact"/>
        <w:jc w:val="left"/>
        <w:textAlignment w:val="center"/>
        <w:rPr>
          <w:rFonts w:ascii="宋体" w:hAnsi="宋体" w:cs="仿宋_GB2312"/>
          <w:b/>
          <w:color w:val="auto"/>
          <w:kern w:val="0"/>
          <w:sz w:val="22"/>
        </w:rPr>
      </w:pPr>
    </w:p>
    <w:p w14:paraId="2DB8B79F">
      <w:pPr>
        <w:widowControl/>
        <w:wordWrap w:val="0"/>
        <w:spacing w:beforeLines="100" w:afterLines="50" w:line="480" w:lineRule="exact"/>
        <w:jc w:val="center"/>
        <w:textAlignment w:val="center"/>
        <w:rPr>
          <w:rFonts w:ascii="宋体" w:hAnsi="宋体" w:cs="仿宋_GB2312"/>
          <w:b/>
          <w:color w:val="auto"/>
          <w:kern w:val="0"/>
          <w:sz w:val="24"/>
          <w:szCs w:val="28"/>
        </w:rPr>
      </w:pPr>
    </w:p>
    <w:p w14:paraId="255E8841">
      <w:pPr>
        <w:rPr>
          <w:rFonts w:ascii="宋体" w:hAnsi="宋体" w:cs="仿宋_GB2312"/>
          <w:b/>
          <w:color w:val="auto"/>
          <w:kern w:val="0"/>
          <w:sz w:val="24"/>
          <w:szCs w:val="28"/>
        </w:rPr>
      </w:pPr>
      <w:r>
        <w:rPr>
          <w:rFonts w:ascii="宋体" w:hAnsi="宋体" w:cs="仿宋_GB2312"/>
          <w:b/>
          <w:color w:val="auto"/>
          <w:kern w:val="0"/>
          <w:sz w:val="24"/>
          <w:szCs w:val="28"/>
        </w:rPr>
        <w:br w:type="page"/>
      </w:r>
    </w:p>
    <w:p w14:paraId="63AADDFB">
      <w:pPr>
        <w:keepNext/>
        <w:keepLines/>
        <w:widowControl/>
        <w:wordWrap w:val="0"/>
        <w:spacing w:line="360" w:lineRule="auto"/>
        <w:jc w:val="center"/>
        <w:outlineLvl w:val="1"/>
        <w:rPr>
          <w:rFonts w:ascii="Arial" w:hAnsi="Arial"/>
          <w:b/>
          <w:color w:val="auto"/>
          <w:sz w:val="24"/>
          <w:szCs w:val="32"/>
        </w:rPr>
      </w:pPr>
      <w:bookmarkStart w:id="869" w:name="_Toc204691613"/>
      <w:r>
        <w:rPr>
          <w:rFonts w:hint="eastAsia" w:ascii="Arial" w:hAnsi="Arial"/>
          <w:b/>
          <w:color w:val="auto"/>
          <w:sz w:val="24"/>
          <w:szCs w:val="32"/>
        </w:rPr>
        <w:t>五、已标价工程量清单</w:t>
      </w:r>
      <w:bookmarkEnd w:id="869"/>
    </w:p>
    <w:p w14:paraId="37CE351C">
      <w:pPr>
        <w:widowControl/>
        <w:wordWrap w:val="0"/>
        <w:spacing w:line="520" w:lineRule="exact"/>
        <w:ind w:firstLine="440" w:firstLineChars="200"/>
        <w:jc w:val="left"/>
        <w:textAlignment w:val="center"/>
        <w:rPr>
          <w:rFonts w:hint="eastAsia" w:ascii="宋体" w:hAnsi="宋体" w:eastAsia="宋体" w:cs="仿宋_GB2312"/>
          <w:color w:val="auto"/>
          <w:kern w:val="0"/>
          <w:sz w:val="22"/>
          <w:lang w:eastAsia="zh-CN"/>
        </w:rPr>
      </w:pPr>
    </w:p>
    <w:p w14:paraId="1375D3EB">
      <w:pPr>
        <w:widowControl/>
        <w:wordWrap w:val="0"/>
        <w:jc w:val="left"/>
        <w:rPr>
          <w:rFonts w:ascii="宋体" w:hAnsi="宋体" w:cs="仿宋_GB2312"/>
          <w:color w:val="auto"/>
          <w:kern w:val="0"/>
          <w:sz w:val="22"/>
        </w:rPr>
      </w:pPr>
      <w:r>
        <w:rPr>
          <w:rFonts w:ascii="宋体" w:hAnsi="宋体" w:cs="仿宋_GB2312"/>
          <w:color w:val="auto"/>
          <w:kern w:val="0"/>
          <w:sz w:val="22"/>
        </w:rPr>
        <w:br w:type="page"/>
      </w:r>
    </w:p>
    <w:p w14:paraId="37766373">
      <w:pPr>
        <w:keepNext/>
        <w:keepLines/>
        <w:widowControl/>
        <w:wordWrap w:val="0"/>
        <w:spacing w:line="360" w:lineRule="auto"/>
        <w:jc w:val="center"/>
        <w:outlineLvl w:val="1"/>
        <w:rPr>
          <w:rFonts w:ascii="Arial" w:hAnsi="Arial"/>
          <w:b/>
          <w:color w:val="auto"/>
          <w:sz w:val="22"/>
          <w:szCs w:val="32"/>
        </w:rPr>
      </w:pPr>
      <w:bookmarkStart w:id="870" w:name="_Toc204691614"/>
      <w:r>
        <w:rPr>
          <w:rFonts w:hint="eastAsia" w:ascii="Arial" w:hAnsi="Arial"/>
          <w:b/>
          <w:color w:val="auto"/>
          <w:sz w:val="24"/>
          <w:szCs w:val="32"/>
        </w:rPr>
        <w:t>六、施工组织设计</w:t>
      </w:r>
      <w:bookmarkEnd w:id="870"/>
    </w:p>
    <w:p w14:paraId="3DC88687">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1．投标人应根据招标文件和对现场的勘察情况，采用文字并结合图表形式，参考以下要点编制本工程的施工组织设计：：</w:t>
      </w:r>
    </w:p>
    <w:p w14:paraId="4C2D07F9">
      <w:pPr>
        <w:widowControl/>
        <w:wordWrap w:val="0"/>
        <w:spacing w:line="480" w:lineRule="exact"/>
        <w:ind w:firstLine="405" w:firstLineChars="193"/>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（1）主要施工方案</w:t>
      </w:r>
      <w:r>
        <w:rPr>
          <w:rFonts w:ascii="宋体" w:hAnsi="宋体" w:cs="仿宋_GB2312"/>
          <w:color w:val="auto"/>
          <w:kern w:val="0"/>
          <w:sz w:val="21"/>
          <w:szCs w:val="21"/>
        </w:rPr>
        <w:t>与技术措施</w:t>
      </w:r>
    </w:p>
    <w:p w14:paraId="1B62D054">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2</w:t>
      </w:r>
      <w:r>
        <w:rPr>
          <w:rFonts w:ascii="宋体" w:hAnsi="宋体" w:cs="仿宋_GB2312"/>
          <w:color w:val="auto"/>
          <w:kern w:val="0"/>
          <w:sz w:val="21"/>
          <w:szCs w:val="21"/>
        </w:rPr>
        <w:t>）</w:t>
      </w:r>
      <w:r>
        <w:rPr>
          <w:rFonts w:hint="eastAsia" w:ascii="宋体" w:hAnsi="宋体" w:cs="仿宋_GB2312"/>
          <w:color w:val="auto"/>
          <w:kern w:val="0"/>
          <w:sz w:val="21"/>
          <w:szCs w:val="21"/>
        </w:rPr>
        <w:t>质量管理体系与措施</w:t>
      </w:r>
      <w:r>
        <w:rPr>
          <w:rFonts w:ascii="宋体" w:hAnsi="宋体" w:cs="仿宋_GB2312"/>
          <w:color w:val="auto"/>
          <w:kern w:val="0"/>
          <w:sz w:val="21"/>
          <w:szCs w:val="21"/>
        </w:rPr>
        <w:tab/>
      </w:r>
    </w:p>
    <w:p w14:paraId="3EC0C245">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3</w:t>
      </w:r>
      <w:r>
        <w:rPr>
          <w:rFonts w:ascii="宋体" w:hAnsi="宋体" w:cs="仿宋_GB2312"/>
          <w:color w:val="auto"/>
          <w:kern w:val="0"/>
          <w:sz w:val="21"/>
          <w:szCs w:val="21"/>
        </w:rPr>
        <w:t>）</w:t>
      </w:r>
      <w:r>
        <w:rPr>
          <w:rFonts w:hint="eastAsia" w:ascii="宋体" w:hAnsi="宋体" w:cs="仿宋_GB2312"/>
          <w:color w:val="auto"/>
          <w:kern w:val="0"/>
          <w:sz w:val="21"/>
          <w:szCs w:val="21"/>
        </w:rPr>
        <w:t>安全管理体系与措施</w:t>
      </w:r>
      <w:r>
        <w:rPr>
          <w:rFonts w:ascii="宋体" w:hAnsi="宋体" w:cs="仿宋_GB2312"/>
          <w:color w:val="auto"/>
          <w:kern w:val="0"/>
          <w:sz w:val="21"/>
          <w:szCs w:val="21"/>
        </w:rPr>
        <w:tab/>
      </w:r>
    </w:p>
    <w:p w14:paraId="60869037">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4</w:t>
      </w:r>
      <w:r>
        <w:rPr>
          <w:rFonts w:ascii="宋体" w:hAnsi="宋体" w:cs="仿宋_GB2312"/>
          <w:color w:val="auto"/>
          <w:kern w:val="0"/>
          <w:sz w:val="21"/>
          <w:szCs w:val="21"/>
        </w:rPr>
        <w:t>）</w:t>
      </w:r>
      <w:r>
        <w:rPr>
          <w:rFonts w:hint="eastAsia" w:ascii="宋体" w:hAnsi="宋体" w:cs="仿宋_GB2312"/>
          <w:color w:val="auto"/>
          <w:kern w:val="0"/>
          <w:sz w:val="21"/>
          <w:szCs w:val="21"/>
        </w:rPr>
        <w:t>文明施工、环境保护管理体系及施工现场扬尘治理措施</w:t>
      </w:r>
      <w:r>
        <w:rPr>
          <w:rFonts w:ascii="宋体" w:hAnsi="宋体" w:cs="仿宋_GB2312"/>
          <w:color w:val="auto"/>
          <w:kern w:val="0"/>
          <w:sz w:val="21"/>
          <w:szCs w:val="21"/>
        </w:rPr>
        <w:tab/>
      </w:r>
    </w:p>
    <w:p w14:paraId="04B4BDE4">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5</w:t>
      </w:r>
      <w:r>
        <w:rPr>
          <w:rFonts w:ascii="宋体" w:hAnsi="宋体" w:cs="仿宋_GB2312"/>
          <w:color w:val="auto"/>
          <w:kern w:val="0"/>
          <w:sz w:val="21"/>
          <w:szCs w:val="21"/>
        </w:rPr>
        <w:t>）</w:t>
      </w:r>
      <w:r>
        <w:rPr>
          <w:rFonts w:hint="eastAsia" w:ascii="宋体" w:hAnsi="宋体" w:cs="仿宋_GB2312"/>
          <w:color w:val="auto"/>
          <w:kern w:val="0"/>
          <w:sz w:val="21"/>
          <w:szCs w:val="21"/>
        </w:rPr>
        <w:t>工期保证措施</w:t>
      </w:r>
      <w:r>
        <w:rPr>
          <w:rFonts w:ascii="宋体" w:hAnsi="宋体" w:cs="仿宋_GB2312"/>
          <w:color w:val="auto"/>
          <w:kern w:val="0"/>
          <w:sz w:val="21"/>
          <w:szCs w:val="21"/>
        </w:rPr>
        <w:tab/>
      </w:r>
    </w:p>
    <w:p w14:paraId="1760A677">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6</w:t>
      </w:r>
      <w:r>
        <w:rPr>
          <w:rFonts w:ascii="宋体" w:hAnsi="宋体" w:cs="仿宋_GB2312"/>
          <w:color w:val="auto"/>
          <w:kern w:val="0"/>
          <w:sz w:val="21"/>
          <w:szCs w:val="21"/>
        </w:rPr>
        <w:t>）</w:t>
      </w:r>
      <w:r>
        <w:rPr>
          <w:rFonts w:hint="eastAsia" w:ascii="宋体" w:hAnsi="宋体" w:cs="仿宋_GB2312"/>
          <w:color w:val="auto"/>
          <w:kern w:val="0"/>
          <w:sz w:val="21"/>
          <w:szCs w:val="21"/>
        </w:rPr>
        <w:t>拟投入资源配备计划</w:t>
      </w:r>
      <w:r>
        <w:rPr>
          <w:rFonts w:ascii="宋体" w:hAnsi="宋体" w:cs="仿宋_GB2312"/>
          <w:color w:val="auto"/>
          <w:kern w:val="0"/>
          <w:sz w:val="21"/>
          <w:szCs w:val="21"/>
        </w:rPr>
        <w:tab/>
      </w:r>
    </w:p>
    <w:p w14:paraId="470C6FEC">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7</w:t>
      </w:r>
      <w:r>
        <w:rPr>
          <w:rFonts w:ascii="宋体" w:hAnsi="宋体" w:cs="仿宋_GB2312"/>
          <w:color w:val="auto"/>
          <w:kern w:val="0"/>
          <w:sz w:val="21"/>
          <w:szCs w:val="21"/>
        </w:rPr>
        <w:t>）</w:t>
      </w:r>
      <w:r>
        <w:rPr>
          <w:rFonts w:hint="eastAsia" w:ascii="宋体" w:hAnsi="宋体" w:cs="仿宋_GB2312"/>
          <w:color w:val="auto"/>
          <w:kern w:val="0"/>
          <w:sz w:val="21"/>
          <w:szCs w:val="21"/>
        </w:rPr>
        <w:t>施工进度表与网络计划图</w:t>
      </w:r>
      <w:r>
        <w:rPr>
          <w:rFonts w:ascii="宋体" w:hAnsi="宋体" w:cs="仿宋_GB2312"/>
          <w:color w:val="auto"/>
          <w:kern w:val="0"/>
          <w:sz w:val="21"/>
          <w:szCs w:val="21"/>
        </w:rPr>
        <w:tab/>
      </w:r>
    </w:p>
    <w:p w14:paraId="3C2AA1BC">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8</w:t>
      </w:r>
      <w:r>
        <w:rPr>
          <w:rFonts w:ascii="宋体" w:hAnsi="宋体" w:cs="仿宋_GB2312"/>
          <w:color w:val="auto"/>
          <w:kern w:val="0"/>
          <w:sz w:val="21"/>
          <w:szCs w:val="21"/>
        </w:rPr>
        <w:t>）</w:t>
      </w:r>
      <w:r>
        <w:rPr>
          <w:rFonts w:hint="eastAsia" w:ascii="宋体" w:hAnsi="宋体" w:cs="仿宋_GB2312"/>
          <w:color w:val="auto"/>
          <w:kern w:val="0"/>
          <w:sz w:val="21"/>
          <w:szCs w:val="21"/>
        </w:rPr>
        <w:t>施工总平面图布置</w:t>
      </w:r>
      <w:r>
        <w:rPr>
          <w:rFonts w:ascii="宋体" w:hAnsi="宋体" w:cs="仿宋_GB2312"/>
          <w:color w:val="auto"/>
          <w:kern w:val="0"/>
          <w:sz w:val="21"/>
          <w:szCs w:val="21"/>
        </w:rPr>
        <w:tab/>
      </w:r>
    </w:p>
    <w:p w14:paraId="73D3C022">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9</w:t>
      </w:r>
      <w:r>
        <w:rPr>
          <w:rFonts w:ascii="宋体" w:hAnsi="宋体" w:cs="仿宋_GB2312"/>
          <w:color w:val="auto"/>
          <w:kern w:val="0"/>
          <w:sz w:val="21"/>
          <w:szCs w:val="21"/>
        </w:rPr>
        <w:t>）</w:t>
      </w:r>
      <w:r>
        <w:rPr>
          <w:rFonts w:hint="eastAsia" w:ascii="宋体" w:hAnsi="宋体" w:cs="仿宋_GB2312"/>
          <w:color w:val="auto"/>
          <w:kern w:val="0"/>
          <w:sz w:val="21"/>
          <w:szCs w:val="21"/>
        </w:rPr>
        <w:t>建造方式的创新应用实施方案</w:t>
      </w:r>
    </w:p>
    <w:p w14:paraId="24C7E731">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10</w:t>
      </w:r>
      <w:r>
        <w:rPr>
          <w:rFonts w:ascii="宋体" w:hAnsi="宋体" w:cs="仿宋_GB2312"/>
          <w:color w:val="auto"/>
          <w:kern w:val="0"/>
          <w:sz w:val="21"/>
          <w:szCs w:val="21"/>
        </w:rPr>
        <w:t>）</w:t>
      </w:r>
      <w:r>
        <w:rPr>
          <w:rFonts w:hint="eastAsia" w:ascii="宋体" w:hAnsi="宋体" w:cs="仿宋_GB2312"/>
          <w:color w:val="auto"/>
          <w:kern w:val="0"/>
          <w:sz w:val="21"/>
          <w:szCs w:val="21"/>
        </w:rPr>
        <w:t>采用新工艺、新技术、新设备、新材料、</w:t>
      </w:r>
      <w:r>
        <w:rPr>
          <w:rFonts w:ascii="宋体" w:hAnsi="宋体" w:cs="仿宋_GB2312"/>
          <w:color w:val="auto"/>
          <w:kern w:val="0"/>
          <w:sz w:val="21"/>
          <w:szCs w:val="21"/>
        </w:rPr>
        <w:t>BIM等的程度</w:t>
      </w:r>
      <w:r>
        <w:rPr>
          <w:rFonts w:ascii="宋体" w:hAnsi="宋体" w:cs="仿宋_GB2312"/>
          <w:color w:val="auto"/>
          <w:kern w:val="0"/>
          <w:sz w:val="21"/>
          <w:szCs w:val="21"/>
        </w:rPr>
        <w:tab/>
      </w:r>
    </w:p>
    <w:p w14:paraId="1AAABD07">
      <w:pPr>
        <w:widowControl/>
        <w:wordWrap w:val="0"/>
        <w:spacing w:line="480" w:lineRule="exact"/>
        <w:ind w:firstLine="134" w:firstLineChars="64"/>
        <w:jc w:val="left"/>
        <w:textAlignment w:val="center"/>
        <w:rPr>
          <w:rFonts w:ascii="宋体" w:hAnsi="宋体" w:cs="仿宋_GB2312"/>
          <w:color w:val="auto"/>
          <w:kern w:val="0"/>
          <w:sz w:val="21"/>
          <w:szCs w:val="21"/>
        </w:rPr>
      </w:pPr>
      <w:r>
        <w:rPr>
          <w:rFonts w:ascii="宋体" w:hAnsi="宋体" w:cs="仿宋_GB2312"/>
          <w:color w:val="auto"/>
          <w:kern w:val="0"/>
          <w:sz w:val="21"/>
          <w:szCs w:val="21"/>
        </w:rPr>
        <w:tab/>
      </w:r>
      <w:r>
        <w:rPr>
          <w:rFonts w:ascii="宋体" w:hAnsi="宋体" w:cs="仿宋_GB2312"/>
          <w:color w:val="auto"/>
          <w:kern w:val="0"/>
          <w:sz w:val="21"/>
          <w:szCs w:val="21"/>
        </w:rPr>
        <w:t>（</w:t>
      </w:r>
      <w:r>
        <w:rPr>
          <w:rFonts w:hint="eastAsia" w:ascii="宋体" w:hAnsi="宋体" w:cs="仿宋_GB2312"/>
          <w:color w:val="auto"/>
          <w:kern w:val="0"/>
          <w:sz w:val="21"/>
          <w:szCs w:val="21"/>
        </w:rPr>
        <w:t>11</w:t>
      </w:r>
      <w:r>
        <w:rPr>
          <w:rFonts w:ascii="宋体" w:hAnsi="宋体" w:cs="仿宋_GB2312"/>
          <w:color w:val="auto"/>
          <w:kern w:val="0"/>
          <w:sz w:val="21"/>
          <w:szCs w:val="21"/>
        </w:rPr>
        <w:t>）</w:t>
      </w:r>
      <w:r>
        <w:rPr>
          <w:rFonts w:hint="eastAsia" w:ascii="宋体" w:hAnsi="宋体" w:cs="仿宋_GB2312"/>
          <w:color w:val="auto"/>
          <w:kern w:val="0"/>
          <w:sz w:val="21"/>
          <w:szCs w:val="21"/>
        </w:rPr>
        <w:t>施工现场实施信息化监控和数据处理</w:t>
      </w:r>
    </w:p>
    <w:p w14:paraId="2F09BA45">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ascii="宋体" w:hAnsi="宋体" w:cs="仿宋_GB2312"/>
          <w:color w:val="auto"/>
          <w:kern w:val="0"/>
          <w:sz w:val="21"/>
          <w:szCs w:val="21"/>
        </w:rPr>
        <w:t>（</w:t>
      </w:r>
      <w:r>
        <w:rPr>
          <w:rFonts w:hint="eastAsia" w:ascii="宋体" w:hAnsi="宋体" w:cs="仿宋_GB2312"/>
          <w:color w:val="auto"/>
          <w:kern w:val="0"/>
          <w:sz w:val="21"/>
          <w:szCs w:val="21"/>
        </w:rPr>
        <w:t>12</w:t>
      </w:r>
      <w:r>
        <w:rPr>
          <w:rFonts w:ascii="宋体" w:hAnsi="宋体" w:cs="仿宋_GB2312"/>
          <w:color w:val="auto"/>
          <w:kern w:val="0"/>
          <w:sz w:val="21"/>
          <w:szCs w:val="21"/>
        </w:rPr>
        <w:t>）</w:t>
      </w:r>
      <w:r>
        <w:rPr>
          <w:rFonts w:hint="eastAsia" w:ascii="宋体" w:hAnsi="宋体" w:cs="仿宋_GB2312"/>
          <w:color w:val="auto"/>
          <w:kern w:val="0"/>
          <w:sz w:val="21"/>
          <w:szCs w:val="21"/>
        </w:rPr>
        <w:t>风险管理措施</w:t>
      </w:r>
    </w:p>
    <w:p w14:paraId="307D36D6">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2．施工组织设计除采用文字表述外可附下列图表，图表及格式要求附后（如有）。</w:t>
      </w:r>
    </w:p>
    <w:p w14:paraId="015D607A">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附表一拟投入本工程的主要施工设备表</w:t>
      </w:r>
    </w:p>
    <w:p w14:paraId="2B4DF879">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附表二拟配备本工程的试验和检测仪器设备表</w:t>
      </w:r>
    </w:p>
    <w:p w14:paraId="4BDE0DA2">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附表三劳动力计划表</w:t>
      </w:r>
    </w:p>
    <w:p w14:paraId="5DBB570A">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附表四计划开、竣工日期和施工进度网络图</w:t>
      </w:r>
    </w:p>
    <w:p w14:paraId="3AC6052A">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附表五施工总平面图</w:t>
      </w:r>
    </w:p>
    <w:p w14:paraId="3B9D9CD1">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附表六临时用地表</w:t>
      </w:r>
    </w:p>
    <w:p w14:paraId="65A11A5C">
      <w:pPr>
        <w:widowControl/>
        <w:wordWrap w:val="0"/>
        <w:spacing w:beforeLines="50" w:afterLines="100" w:line="480" w:lineRule="exact"/>
        <w:jc w:val="left"/>
        <w:textAlignment w:val="center"/>
        <w:rPr>
          <w:rFonts w:ascii="宋体" w:hAnsi="宋体" w:cs="仿宋_GB2312"/>
          <w:color w:val="auto"/>
          <w:kern w:val="0"/>
          <w:sz w:val="21"/>
          <w:szCs w:val="21"/>
        </w:rPr>
      </w:pPr>
    </w:p>
    <w:p w14:paraId="6E191623">
      <w:pPr>
        <w:widowControl/>
        <w:wordWrap w:val="0"/>
        <w:jc w:val="left"/>
        <w:rPr>
          <w:rFonts w:ascii="宋体" w:hAnsi="宋体" w:cs="仿宋_GB2312"/>
          <w:color w:val="auto"/>
          <w:kern w:val="0"/>
          <w:sz w:val="21"/>
          <w:szCs w:val="21"/>
        </w:rPr>
      </w:pPr>
      <w:r>
        <w:rPr>
          <w:rFonts w:ascii="宋体" w:hAnsi="宋体" w:cs="仿宋_GB2312"/>
          <w:color w:val="auto"/>
          <w:kern w:val="0"/>
          <w:sz w:val="21"/>
          <w:szCs w:val="21"/>
        </w:rPr>
        <w:br w:type="page"/>
      </w:r>
    </w:p>
    <w:p w14:paraId="0217B3D1">
      <w:pPr>
        <w:widowControl/>
        <w:wordWrap w:val="0"/>
        <w:spacing w:beforeLines="50" w:afterLines="100" w:line="480" w:lineRule="exac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附表一：拟投入本工程的主要施工设备表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7"/>
        <w:gridCol w:w="809"/>
        <w:gridCol w:w="885"/>
        <w:gridCol w:w="851"/>
        <w:gridCol w:w="850"/>
        <w:gridCol w:w="1134"/>
        <w:gridCol w:w="993"/>
        <w:gridCol w:w="1134"/>
        <w:gridCol w:w="1134"/>
      </w:tblGrid>
      <w:tr w14:paraId="66F3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39985014">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序号</w:t>
            </w:r>
          </w:p>
        </w:tc>
        <w:tc>
          <w:tcPr>
            <w:tcW w:w="857" w:type="dxa"/>
            <w:tcBorders>
              <w:top w:val="single" w:color="auto" w:sz="4" w:space="0"/>
              <w:left w:val="nil"/>
              <w:bottom w:val="single" w:color="auto" w:sz="4" w:space="0"/>
              <w:right w:val="single" w:color="auto" w:sz="4" w:space="0"/>
            </w:tcBorders>
            <w:vAlign w:val="center"/>
          </w:tcPr>
          <w:p w14:paraId="7C631E01">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设备名称</w:t>
            </w:r>
          </w:p>
        </w:tc>
        <w:tc>
          <w:tcPr>
            <w:tcW w:w="809" w:type="dxa"/>
            <w:tcBorders>
              <w:top w:val="single" w:color="auto" w:sz="4" w:space="0"/>
              <w:left w:val="nil"/>
              <w:bottom w:val="single" w:color="auto" w:sz="4" w:space="0"/>
              <w:right w:val="single" w:color="auto" w:sz="4" w:space="0"/>
            </w:tcBorders>
            <w:vAlign w:val="center"/>
          </w:tcPr>
          <w:p w14:paraId="7C5DCBCF">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型号</w:t>
            </w:r>
          </w:p>
          <w:p w14:paraId="04FBCA7A">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规格</w:t>
            </w:r>
          </w:p>
        </w:tc>
        <w:tc>
          <w:tcPr>
            <w:tcW w:w="885" w:type="dxa"/>
            <w:tcBorders>
              <w:top w:val="single" w:color="auto" w:sz="4" w:space="0"/>
              <w:left w:val="nil"/>
              <w:bottom w:val="single" w:color="auto" w:sz="4" w:space="0"/>
              <w:right w:val="single" w:color="auto" w:sz="4" w:space="0"/>
            </w:tcBorders>
            <w:vAlign w:val="center"/>
          </w:tcPr>
          <w:p w14:paraId="093F9A97">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数量</w:t>
            </w:r>
          </w:p>
        </w:tc>
        <w:tc>
          <w:tcPr>
            <w:tcW w:w="851" w:type="dxa"/>
            <w:tcBorders>
              <w:top w:val="single" w:color="auto" w:sz="4" w:space="0"/>
              <w:left w:val="nil"/>
              <w:bottom w:val="single" w:color="auto" w:sz="4" w:space="0"/>
              <w:right w:val="single" w:color="auto" w:sz="4" w:space="0"/>
            </w:tcBorders>
            <w:vAlign w:val="center"/>
          </w:tcPr>
          <w:p w14:paraId="249F9124">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国别</w:t>
            </w:r>
          </w:p>
          <w:p w14:paraId="25CA8ACC">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产地</w:t>
            </w:r>
          </w:p>
        </w:tc>
        <w:tc>
          <w:tcPr>
            <w:tcW w:w="850" w:type="dxa"/>
            <w:tcBorders>
              <w:top w:val="single" w:color="auto" w:sz="4" w:space="0"/>
              <w:left w:val="nil"/>
              <w:bottom w:val="single" w:color="auto" w:sz="4" w:space="0"/>
              <w:right w:val="single" w:color="auto" w:sz="4" w:space="0"/>
            </w:tcBorders>
            <w:vAlign w:val="center"/>
          </w:tcPr>
          <w:p w14:paraId="59F18FFE">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制造</w:t>
            </w:r>
          </w:p>
          <w:p w14:paraId="60212E28">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年份</w:t>
            </w:r>
          </w:p>
        </w:tc>
        <w:tc>
          <w:tcPr>
            <w:tcW w:w="1134" w:type="dxa"/>
            <w:tcBorders>
              <w:top w:val="single" w:color="auto" w:sz="4" w:space="0"/>
              <w:left w:val="nil"/>
              <w:bottom w:val="single" w:color="auto" w:sz="4" w:space="0"/>
              <w:right w:val="single" w:color="auto" w:sz="4" w:space="0"/>
            </w:tcBorders>
            <w:vAlign w:val="center"/>
          </w:tcPr>
          <w:p w14:paraId="4E5C45C4">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额定功率</w:t>
            </w:r>
          </w:p>
          <w:p w14:paraId="54614811">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（KW）</w:t>
            </w:r>
          </w:p>
        </w:tc>
        <w:tc>
          <w:tcPr>
            <w:tcW w:w="993" w:type="dxa"/>
            <w:tcBorders>
              <w:top w:val="single" w:color="auto" w:sz="4" w:space="0"/>
              <w:left w:val="nil"/>
              <w:bottom w:val="single" w:color="auto" w:sz="4" w:space="0"/>
              <w:right w:val="single" w:color="auto" w:sz="4" w:space="0"/>
            </w:tcBorders>
            <w:vAlign w:val="center"/>
          </w:tcPr>
          <w:p w14:paraId="1A42332A">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生产</w:t>
            </w:r>
          </w:p>
          <w:p w14:paraId="319ACFE5">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能力</w:t>
            </w:r>
          </w:p>
        </w:tc>
        <w:tc>
          <w:tcPr>
            <w:tcW w:w="1134" w:type="dxa"/>
            <w:tcBorders>
              <w:top w:val="single" w:color="auto" w:sz="4" w:space="0"/>
              <w:left w:val="nil"/>
              <w:bottom w:val="single" w:color="auto" w:sz="4" w:space="0"/>
              <w:right w:val="single" w:color="auto" w:sz="4" w:space="0"/>
            </w:tcBorders>
            <w:vAlign w:val="center"/>
          </w:tcPr>
          <w:p w14:paraId="1D27549C">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用于施</w:t>
            </w:r>
          </w:p>
          <w:p w14:paraId="4757D06E">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工部位</w:t>
            </w:r>
          </w:p>
        </w:tc>
        <w:tc>
          <w:tcPr>
            <w:tcW w:w="1134" w:type="dxa"/>
            <w:tcBorders>
              <w:top w:val="single" w:color="auto" w:sz="4" w:space="0"/>
              <w:left w:val="nil"/>
              <w:bottom w:val="single" w:color="auto" w:sz="4" w:space="0"/>
              <w:right w:val="single" w:color="auto" w:sz="4" w:space="0"/>
            </w:tcBorders>
            <w:vAlign w:val="center"/>
          </w:tcPr>
          <w:p w14:paraId="3CC340C5">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备注</w:t>
            </w:r>
          </w:p>
        </w:tc>
      </w:tr>
      <w:tr w14:paraId="6545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82FAA59">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0E6F18AD">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0C1F3979">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0B9074E2">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07AE9711">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76734885">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3FFE984">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6570CC53">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74AE4BB">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6B8C173">
            <w:pPr>
              <w:widowControl/>
              <w:wordWrap w:val="0"/>
              <w:spacing w:line="480" w:lineRule="exact"/>
              <w:jc w:val="center"/>
              <w:textAlignment w:val="center"/>
              <w:rPr>
                <w:rFonts w:ascii="宋体" w:hAnsi="宋体" w:cs="仿宋_GB2312"/>
                <w:color w:val="auto"/>
                <w:kern w:val="0"/>
                <w:sz w:val="21"/>
                <w:szCs w:val="21"/>
              </w:rPr>
            </w:pPr>
          </w:p>
        </w:tc>
      </w:tr>
      <w:tr w14:paraId="13FF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E927272">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20D5BDFE">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50DA3252">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6F9CC8A4">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5CCF91B4">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76A43CE4">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B9D0AF1">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0AC7573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BDE9A7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41FC743">
            <w:pPr>
              <w:widowControl/>
              <w:wordWrap w:val="0"/>
              <w:spacing w:line="480" w:lineRule="exact"/>
              <w:jc w:val="center"/>
              <w:textAlignment w:val="center"/>
              <w:rPr>
                <w:rFonts w:ascii="宋体" w:hAnsi="宋体" w:cs="仿宋_GB2312"/>
                <w:color w:val="auto"/>
                <w:kern w:val="0"/>
                <w:sz w:val="21"/>
                <w:szCs w:val="21"/>
              </w:rPr>
            </w:pPr>
          </w:p>
        </w:tc>
      </w:tr>
      <w:tr w14:paraId="6F6F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6CCE7570">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62252AAB">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1B56E2E3">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3B8C5E20">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0CEC2BA5">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3461EB5">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5D6FD5B">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2EDA1E3D">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63A874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004ABD3">
            <w:pPr>
              <w:widowControl/>
              <w:wordWrap w:val="0"/>
              <w:spacing w:line="480" w:lineRule="exact"/>
              <w:jc w:val="center"/>
              <w:textAlignment w:val="center"/>
              <w:rPr>
                <w:rFonts w:ascii="宋体" w:hAnsi="宋体" w:cs="仿宋_GB2312"/>
                <w:color w:val="auto"/>
                <w:kern w:val="0"/>
                <w:sz w:val="21"/>
                <w:szCs w:val="21"/>
              </w:rPr>
            </w:pPr>
          </w:p>
        </w:tc>
      </w:tr>
      <w:tr w14:paraId="4190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6D8B0A49">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2F5E499D">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3AEAA90B">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67EB2AF5">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70CD7C4B">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416C6F4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3F959A5">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65E5C62B">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E7592C0">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FD80377">
            <w:pPr>
              <w:widowControl/>
              <w:wordWrap w:val="0"/>
              <w:spacing w:line="480" w:lineRule="exact"/>
              <w:jc w:val="center"/>
              <w:textAlignment w:val="center"/>
              <w:rPr>
                <w:rFonts w:ascii="宋体" w:hAnsi="宋体" w:cs="仿宋_GB2312"/>
                <w:color w:val="auto"/>
                <w:kern w:val="0"/>
                <w:sz w:val="21"/>
                <w:szCs w:val="21"/>
              </w:rPr>
            </w:pPr>
          </w:p>
        </w:tc>
      </w:tr>
      <w:tr w14:paraId="18A3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60C4B15E">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1900981D">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27108F91">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64672807">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467D0576">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066CA3B">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2ACDF79">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1FEEE76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10E1E87">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2B11909">
            <w:pPr>
              <w:widowControl/>
              <w:wordWrap w:val="0"/>
              <w:spacing w:line="480" w:lineRule="exact"/>
              <w:jc w:val="center"/>
              <w:textAlignment w:val="center"/>
              <w:rPr>
                <w:rFonts w:ascii="宋体" w:hAnsi="宋体" w:cs="仿宋_GB2312"/>
                <w:color w:val="auto"/>
                <w:kern w:val="0"/>
                <w:sz w:val="21"/>
                <w:szCs w:val="21"/>
              </w:rPr>
            </w:pPr>
          </w:p>
        </w:tc>
      </w:tr>
      <w:tr w14:paraId="3643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C5E49CF">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5047A7A5">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0F51CC57">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332105AD">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5F314D0C">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16C6E860">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D7F9912">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37492CC5">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6E15A5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039C28E">
            <w:pPr>
              <w:widowControl/>
              <w:wordWrap w:val="0"/>
              <w:spacing w:line="480" w:lineRule="exact"/>
              <w:jc w:val="center"/>
              <w:textAlignment w:val="center"/>
              <w:rPr>
                <w:rFonts w:ascii="宋体" w:hAnsi="宋体" w:cs="仿宋_GB2312"/>
                <w:color w:val="auto"/>
                <w:kern w:val="0"/>
                <w:sz w:val="21"/>
                <w:szCs w:val="21"/>
              </w:rPr>
            </w:pPr>
          </w:p>
        </w:tc>
      </w:tr>
      <w:tr w14:paraId="03B2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DE003AE">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604A76AC">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3C4992E6">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2BAB1E90">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12C82A01">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7ADF8E62">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F249A97">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2E955F2A">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2C8E77E">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B41F246">
            <w:pPr>
              <w:widowControl/>
              <w:wordWrap w:val="0"/>
              <w:spacing w:line="480" w:lineRule="exact"/>
              <w:jc w:val="center"/>
              <w:textAlignment w:val="center"/>
              <w:rPr>
                <w:rFonts w:ascii="宋体" w:hAnsi="宋体" w:cs="仿宋_GB2312"/>
                <w:color w:val="auto"/>
                <w:kern w:val="0"/>
                <w:sz w:val="21"/>
                <w:szCs w:val="21"/>
              </w:rPr>
            </w:pPr>
          </w:p>
        </w:tc>
      </w:tr>
      <w:tr w14:paraId="26D9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DA73F3B">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07E6D6AE">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7B94AE73">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61951FBD">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3BCB19D">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6FC3CD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5A0176E">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2DC8AE6C">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D858642">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7A8E66E">
            <w:pPr>
              <w:widowControl/>
              <w:wordWrap w:val="0"/>
              <w:spacing w:line="480" w:lineRule="exact"/>
              <w:jc w:val="center"/>
              <w:textAlignment w:val="center"/>
              <w:rPr>
                <w:rFonts w:ascii="宋体" w:hAnsi="宋体" w:cs="仿宋_GB2312"/>
                <w:color w:val="auto"/>
                <w:kern w:val="0"/>
                <w:sz w:val="21"/>
                <w:szCs w:val="21"/>
              </w:rPr>
            </w:pPr>
          </w:p>
        </w:tc>
      </w:tr>
      <w:tr w14:paraId="579B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23FEBA99">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38465514">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62B2B079">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26C36289">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AB448C8">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7B0CD0F4">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05030B3">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2FAEA58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C7EB8A9">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9F3A480">
            <w:pPr>
              <w:widowControl/>
              <w:wordWrap w:val="0"/>
              <w:spacing w:line="480" w:lineRule="exact"/>
              <w:jc w:val="center"/>
              <w:textAlignment w:val="center"/>
              <w:rPr>
                <w:rFonts w:ascii="宋体" w:hAnsi="宋体" w:cs="仿宋_GB2312"/>
                <w:color w:val="auto"/>
                <w:kern w:val="0"/>
                <w:sz w:val="21"/>
                <w:szCs w:val="21"/>
              </w:rPr>
            </w:pPr>
          </w:p>
        </w:tc>
      </w:tr>
      <w:tr w14:paraId="5503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5F92F3D">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345C1AFC">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4E72A38A">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3AE4617C">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4773198">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7D376220">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C97AE50">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5A55AB22">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015A59C">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8B7E546">
            <w:pPr>
              <w:widowControl/>
              <w:wordWrap w:val="0"/>
              <w:spacing w:line="480" w:lineRule="exact"/>
              <w:jc w:val="center"/>
              <w:textAlignment w:val="center"/>
              <w:rPr>
                <w:rFonts w:ascii="宋体" w:hAnsi="宋体" w:cs="仿宋_GB2312"/>
                <w:color w:val="auto"/>
                <w:kern w:val="0"/>
                <w:sz w:val="21"/>
                <w:szCs w:val="21"/>
              </w:rPr>
            </w:pPr>
          </w:p>
        </w:tc>
      </w:tr>
      <w:tr w14:paraId="5C9E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D6B819C">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5DE02396">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3172E0AE">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0B6B5258">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5B8332EA">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499033CA">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CA7C8EC">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6DF4354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61059FD">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E1DC08C">
            <w:pPr>
              <w:widowControl/>
              <w:wordWrap w:val="0"/>
              <w:spacing w:line="480" w:lineRule="exact"/>
              <w:jc w:val="center"/>
              <w:textAlignment w:val="center"/>
              <w:rPr>
                <w:rFonts w:ascii="宋体" w:hAnsi="宋体" w:cs="仿宋_GB2312"/>
                <w:color w:val="auto"/>
                <w:kern w:val="0"/>
                <w:sz w:val="21"/>
                <w:szCs w:val="21"/>
              </w:rPr>
            </w:pPr>
          </w:p>
        </w:tc>
      </w:tr>
      <w:tr w14:paraId="47A6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E53917D">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00C89010">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4815E945">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733FCC64">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2439B36B">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F031EE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CA883F5">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6CCD45A0">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F26221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9B07D4B">
            <w:pPr>
              <w:widowControl/>
              <w:wordWrap w:val="0"/>
              <w:spacing w:line="480" w:lineRule="exact"/>
              <w:jc w:val="center"/>
              <w:textAlignment w:val="center"/>
              <w:rPr>
                <w:rFonts w:ascii="宋体" w:hAnsi="宋体" w:cs="仿宋_GB2312"/>
                <w:color w:val="auto"/>
                <w:kern w:val="0"/>
                <w:sz w:val="21"/>
                <w:szCs w:val="21"/>
              </w:rPr>
            </w:pPr>
          </w:p>
        </w:tc>
      </w:tr>
      <w:tr w14:paraId="14B1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A28DFE8">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4FA9E0B4">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3232662C">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48D9EBDC">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09226D44">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2DECFAC8">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EBC7E64">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37AAF3E7">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D9900F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1B39AC8">
            <w:pPr>
              <w:widowControl/>
              <w:wordWrap w:val="0"/>
              <w:spacing w:line="480" w:lineRule="exact"/>
              <w:jc w:val="center"/>
              <w:textAlignment w:val="center"/>
              <w:rPr>
                <w:rFonts w:ascii="宋体" w:hAnsi="宋体" w:cs="仿宋_GB2312"/>
                <w:color w:val="auto"/>
                <w:kern w:val="0"/>
                <w:sz w:val="21"/>
                <w:szCs w:val="21"/>
              </w:rPr>
            </w:pPr>
          </w:p>
        </w:tc>
      </w:tr>
      <w:tr w14:paraId="33BE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EE6F53A">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2F601468">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5D7C15A5">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52A325F0">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09489BB2">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6678E9D7">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B3D8C97">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2C3C5B9A">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9A10278">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FBC9BB7">
            <w:pPr>
              <w:widowControl/>
              <w:wordWrap w:val="0"/>
              <w:spacing w:line="480" w:lineRule="exact"/>
              <w:jc w:val="center"/>
              <w:textAlignment w:val="center"/>
              <w:rPr>
                <w:rFonts w:ascii="宋体" w:hAnsi="宋体" w:cs="仿宋_GB2312"/>
                <w:color w:val="auto"/>
                <w:kern w:val="0"/>
                <w:sz w:val="21"/>
                <w:szCs w:val="21"/>
              </w:rPr>
            </w:pPr>
          </w:p>
        </w:tc>
      </w:tr>
      <w:tr w14:paraId="1C37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BEFDFA0">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01DA0529">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1FD1B5AD">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06564F6E">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0FE528CA">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61F830B3">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FEDCE75">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04802BEE">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6393C8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A40AB69">
            <w:pPr>
              <w:widowControl/>
              <w:wordWrap w:val="0"/>
              <w:spacing w:line="480" w:lineRule="exact"/>
              <w:jc w:val="center"/>
              <w:textAlignment w:val="center"/>
              <w:rPr>
                <w:rFonts w:ascii="宋体" w:hAnsi="宋体" w:cs="仿宋_GB2312"/>
                <w:color w:val="auto"/>
                <w:kern w:val="0"/>
                <w:sz w:val="21"/>
                <w:szCs w:val="21"/>
              </w:rPr>
            </w:pPr>
          </w:p>
        </w:tc>
      </w:tr>
      <w:tr w14:paraId="057C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24F27C27">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244D14C1">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1603FF01">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552569EA">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7F200CC2">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0236BFC">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1D6E3BF">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6230A3E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C33ADE9">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D4435CE">
            <w:pPr>
              <w:widowControl/>
              <w:wordWrap w:val="0"/>
              <w:spacing w:line="480" w:lineRule="exact"/>
              <w:jc w:val="center"/>
              <w:textAlignment w:val="center"/>
              <w:rPr>
                <w:rFonts w:ascii="宋体" w:hAnsi="宋体" w:cs="仿宋_GB2312"/>
                <w:color w:val="auto"/>
                <w:kern w:val="0"/>
                <w:sz w:val="21"/>
                <w:szCs w:val="21"/>
              </w:rPr>
            </w:pPr>
          </w:p>
        </w:tc>
      </w:tr>
      <w:tr w14:paraId="4CE3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8186938">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10E3572F">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55CB28CD">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2A0789D1">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A3EF76A">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7CB1ED5">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1497F31">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571B3A19">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A53DB4C">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721CF52">
            <w:pPr>
              <w:widowControl/>
              <w:wordWrap w:val="0"/>
              <w:spacing w:line="480" w:lineRule="exact"/>
              <w:jc w:val="center"/>
              <w:textAlignment w:val="center"/>
              <w:rPr>
                <w:rFonts w:ascii="宋体" w:hAnsi="宋体" w:cs="仿宋_GB2312"/>
                <w:color w:val="auto"/>
                <w:kern w:val="0"/>
                <w:sz w:val="21"/>
                <w:szCs w:val="21"/>
              </w:rPr>
            </w:pPr>
          </w:p>
        </w:tc>
      </w:tr>
      <w:tr w14:paraId="05C9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3EE2DE0">
            <w:pPr>
              <w:widowControl/>
              <w:wordWrap w:val="0"/>
              <w:spacing w:line="480" w:lineRule="exact"/>
              <w:jc w:val="center"/>
              <w:textAlignment w:val="center"/>
              <w:rPr>
                <w:rFonts w:ascii="宋体" w:hAnsi="宋体" w:cs="仿宋_GB2312"/>
                <w:color w:val="auto"/>
                <w:kern w:val="0"/>
                <w:sz w:val="21"/>
                <w:szCs w:val="21"/>
              </w:rPr>
            </w:pPr>
          </w:p>
        </w:tc>
        <w:tc>
          <w:tcPr>
            <w:tcW w:w="857" w:type="dxa"/>
            <w:tcBorders>
              <w:top w:val="single" w:color="auto" w:sz="4" w:space="0"/>
              <w:left w:val="nil"/>
              <w:bottom w:val="single" w:color="auto" w:sz="4" w:space="0"/>
              <w:right w:val="single" w:color="auto" w:sz="4" w:space="0"/>
            </w:tcBorders>
            <w:vAlign w:val="center"/>
          </w:tcPr>
          <w:p w14:paraId="470DFA6A">
            <w:pPr>
              <w:widowControl/>
              <w:wordWrap w:val="0"/>
              <w:spacing w:line="480" w:lineRule="exact"/>
              <w:jc w:val="center"/>
              <w:textAlignment w:val="center"/>
              <w:rPr>
                <w:rFonts w:ascii="宋体" w:hAnsi="宋体" w:cs="仿宋_GB2312"/>
                <w:color w:val="auto"/>
                <w:kern w:val="0"/>
                <w:sz w:val="21"/>
                <w:szCs w:val="21"/>
              </w:rPr>
            </w:pPr>
          </w:p>
        </w:tc>
        <w:tc>
          <w:tcPr>
            <w:tcW w:w="809" w:type="dxa"/>
            <w:tcBorders>
              <w:top w:val="single" w:color="auto" w:sz="4" w:space="0"/>
              <w:left w:val="nil"/>
              <w:bottom w:val="single" w:color="auto" w:sz="4" w:space="0"/>
              <w:right w:val="single" w:color="auto" w:sz="4" w:space="0"/>
            </w:tcBorders>
            <w:vAlign w:val="center"/>
          </w:tcPr>
          <w:p w14:paraId="24658926">
            <w:pPr>
              <w:widowControl/>
              <w:wordWrap w:val="0"/>
              <w:spacing w:line="480" w:lineRule="exact"/>
              <w:jc w:val="center"/>
              <w:textAlignment w:val="center"/>
              <w:rPr>
                <w:rFonts w:ascii="宋体" w:hAnsi="宋体" w:cs="仿宋_GB2312"/>
                <w:color w:val="auto"/>
                <w:kern w:val="0"/>
                <w:sz w:val="21"/>
                <w:szCs w:val="21"/>
              </w:rPr>
            </w:pPr>
          </w:p>
        </w:tc>
        <w:tc>
          <w:tcPr>
            <w:tcW w:w="885" w:type="dxa"/>
            <w:tcBorders>
              <w:top w:val="single" w:color="auto" w:sz="4" w:space="0"/>
              <w:left w:val="nil"/>
              <w:bottom w:val="single" w:color="auto" w:sz="4" w:space="0"/>
              <w:right w:val="single" w:color="auto" w:sz="4" w:space="0"/>
            </w:tcBorders>
            <w:vAlign w:val="center"/>
          </w:tcPr>
          <w:p w14:paraId="74ABE301">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74F7846C">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6464DFAD">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06FF764">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3FDB090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17D816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32A0B7B">
            <w:pPr>
              <w:widowControl/>
              <w:wordWrap w:val="0"/>
              <w:spacing w:line="480" w:lineRule="exact"/>
              <w:jc w:val="center"/>
              <w:textAlignment w:val="center"/>
              <w:rPr>
                <w:rFonts w:ascii="宋体" w:hAnsi="宋体" w:cs="仿宋_GB2312"/>
                <w:color w:val="auto"/>
                <w:kern w:val="0"/>
                <w:sz w:val="21"/>
                <w:szCs w:val="21"/>
              </w:rPr>
            </w:pPr>
          </w:p>
        </w:tc>
      </w:tr>
    </w:tbl>
    <w:p w14:paraId="5CB7CD56">
      <w:pPr>
        <w:widowControl/>
        <w:wordWrap w:val="0"/>
        <w:jc w:val="left"/>
        <w:rPr>
          <w:rFonts w:ascii="宋体" w:hAnsi="宋体" w:cs="仿宋_GB2312"/>
          <w:color w:val="auto"/>
          <w:kern w:val="0"/>
          <w:sz w:val="21"/>
          <w:szCs w:val="21"/>
        </w:rPr>
      </w:pPr>
      <w:r>
        <w:rPr>
          <w:rFonts w:hint="eastAsia" w:ascii="宋体" w:hAnsi="宋体" w:cs="仿宋_GB2312"/>
          <w:color w:val="auto"/>
          <w:kern w:val="0"/>
          <w:sz w:val="21"/>
          <w:szCs w:val="21"/>
        </w:rPr>
        <w:br w:type="page"/>
      </w:r>
      <w:r>
        <w:rPr>
          <w:rFonts w:hint="eastAsia" w:ascii="宋体" w:hAnsi="宋体" w:cs="仿宋_GB2312"/>
          <w:color w:val="auto"/>
          <w:kern w:val="0"/>
          <w:sz w:val="21"/>
          <w:szCs w:val="21"/>
        </w:rPr>
        <w:t>附表二：拟配备本工程的试验和检测仪器设备表</w:t>
      </w:r>
    </w:p>
    <w:p w14:paraId="7ED926C0">
      <w:pPr>
        <w:widowControl/>
        <w:wordWrap w:val="0"/>
        <w:jc w:val="left"/>
        <w:rPr>
          <w:rFonts w:ascii="宋体" w:hAnsi="宋体" w:cs="仿宋_GB2312"/>
          <w:color w:val="auto"/>
          <w:kern w:val="0"/>
          <w:sz w:val="21"/>
          <w:szCs w:val="21"/>
        </w:rPr>
      </w:pPr>
    </w:p>
    <w:tbl>
      <w:tblPr>
        <w:tblStyle w:val="2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992"/>
        <w:gridCol w:w="1134"/>
        <w:gridCol w:w="851"/>
        <w:gridCol w:w="1134"/>
        <w:gridCol w:w="1275"/>
        <w:gridCol w:w="993"/>
        <w:gridCol w:w="992"/>
      </w:tblGrid>
      <w:tr w14:paraId="2A5F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2A717C5">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序号</w:t>
            </w:r>
          </w:p>
        </w:tc>
        <w:tc>
          <w:tcPr>
            <w:tcW w:w="1276" w:type="dxa"/>
            <w:tcBorders>
              <w:top w:val="single" w:color="auto" w:sz="4" w:space="0"/>
              <w:left w:val="nil"/>
              <w:bottom w:val="single" w:color="auto" w:sz="4" w:space="0"/>
              <w:right w:val="single" w:color="auto" w:sz="4" w:space="0"/>
            </w:tcBorders>
            <w:vAlign w:val="center"/>
          </w:tcPr>
          <w:p w14:paraId="70FDF67E">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仪器设备</w:t>
            </w:r>
          </w:p>
          <w:p w14:paraId="288CAFE7">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名称</w:t>
            </w:r>
          </w:p>
        </w:tc>
        <w:tc>
          <w:tcPr>
            <w:tcW w:w="992" w:type="dxa"/>
            <w:tcBorders>
              <w:top w:val="single" w:color="auto" w:sz="4" w:space="0"/>
              <w:left w:val="nil"/>
              <w:bottom w:val="single" w:color="auto" w:sz="4" w:space="0"/>
              <w:right w:val="single" w:color="auto" w:sz="4" w:space="0"/>
            </w:tcBorders>
            <w:vAlign w:val="center"/>
          </w:tcPr>
          <w:p w14:paraId="5D4F4240">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型号</w:t>
            </w:r>
          </w:p>
          <w:p w14:paraId="35A2740B">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规格</w:t>
            </w:r>
          </w:p>
        </w:tc>
        <w:tc>
          <w:tcPr>
            <w:tcW w:w="1134" w:type="dxa"/>
            <w:tcBorders>
              <w:top w:val="single" w:color="auto" w:sz="4" w:space="0"/>
              <w:left w:val="nil"/>
              <w:bottom w:val="single" w:color="auto" w:sz="4" w:space="0"/>
              <w:right w:val="single" w:color="auto" w:sz="4" w:space="0"/>
            </w:tcBorders>
            <w:vAlign w:val="center"/>
          </w:tcPr>
          <w:p w14:paraId="0FEBAF4D">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数量</w:t>
            </w:r>
          </w:p>
        </w:tc>
        <w:tc>
          <w:tcPr>
            <w:tcW w:w="851" w:type="dxa"/>
            <w:tcBorders>
              <w:top w:val="single" w:color="auto" w:sz="4" w:space="0"/>
              <w:left w:val="nil"/>
              <w:bottom w:val="single" w:color="auto" w:sz="4" w:space="0"/>
              <w:right w:val="single" w:color="auto" w:sz="4" w:space="0"/>
            </w:tcBorders>
            <w:vAlign w:val="center"/>
          </w:tcPr>
          <w:p w14:paraId="58854A6B">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国别</w:t>
            </w:r>
          </w:p>
          <w:p w14:paraId="07A79484">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产地</w:t>
            </w:r>
          </w:p>
        </w:tc>
        <w:tc>
          <w:tcPr>
            <w:tcW w:w="1134" w:type="dxa"/>
            <w:tcBorders>
              <w:top w:val="single" w:color="auto" w:sz="4" w:space="0"/>
              <w:left w:val="nil"/>
              <w:bottom w:val="single" w:color="auto" w:sz="4" w:space="0"/>
              <w:right w:val="single" w:color="auto" w:sz="4" w:space="0"/>
            </w:tcBorders>
            <w:vAlign w:val="center"/>
          </w:tcPr>
          <w:p w14:paraId="637E4E60">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制造</w:t>
            </w:r>
          </w:p>
          <w:p w14:paraId="55EFC6BF">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年份</w:t>
            </w:r>
          </w:p>
        </w:tc>
        <w:tc>
          <w:tcPr>
            <w:tcW w:w="1275" w:type="dxa"/>
            <w:tcBorders>
              <w:top w:val="single" w:color="auto" w:sz="4" w:space="0"/>
              <w:left w:val="nil"/>
              <w:bottom w:val="single" w:color="auto" w:sz="4" w:space="0"/>
              <w:right w:val="single" w:color="auto" w:sz="4" w:space="0"/>
            </w:tcBorders>
            <w:vAlign w:val="center"/>
          </w:tcPr>
          <w:p w14:paraId="7778AB58">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已使用台</w:t>
            </w:r>
          </w:p>
          <w:p w14:paraId="4AC26CE2">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时数</w:t>
            </w:r>
          </w:p>
        </w:tc>
        <w:tc>
          <w:tcPr>
            <w:tcW w:w="993" w:type="dxa"/>
            <w:tcBorders>
              <w:top w:val="single" w:color="auto" w:sz="4" w:space="0"/>
              <w:left w:val="nil"/>
              <w:bottom w:val="single" w:color="auto" w:sz="4" w:space="0"/>
              <w:right w:val="single" w:color="auto" w:sz="4" w:space="0"/>
            </w:tcBorders>
            <w:vAlign w:val="center"/>
          </w:tcPr>
          <w:p w14:paraId="027EFF2B">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用途</w:t>
            </w:r>
          </w:p>
        </w:tc>
        <w:tc>
          <w:tcPr>
            <w:tcW w:w="992" w:type="dxa"/>
            <w:tcBorders>
              <w:top w:val="single" w:color="auto" w:sz="4" w:space="0"/>
              <w:left w:val="nil"/>
              <w:bottom w:val="single" w:color="auto" w:sz="4" w:space="0"/>
              <w:right w:val="single" w:color="auto" w:sz="4" w:space="0"/>
            </w:tcBorders>
            <w:vAlign w:val="center"/>
          </w:tcPr>
          <w:p w14:paraId="0BD8596D">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备注</w:t>
            </w:r>
          </w:p>
        </w:tc>
      </w:tr>
      <w:tr w14:paraId="4161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41FB3671">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3A7413C">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27E66F5D">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AB75066">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E40800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573E9A5">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5AD31908">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17195C6C">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6EC9F318">
            <w:pPr>
              <w:widowControl/>
              <w:wordWrap w:val="0"/>
              <w:spacing w:line="480" w:lineRule="exact"/>
              <w:jc w:val="center"/>
              <w:textAlignment w:val="center"/>
              <w:rPr>
                <w:rFonts w:ascii="宋体" w:hAnsi="宋体" w:cs="仿宋_GB2312"/>
                <w:color w:val="auto"/>
                <w:kern w:val="0"/>
                <w:sz w:val="21"/>
                <w:szCs w:val="21"/>
              </w:rPr>
            </w:pPr>
          </w:p>
        </w:tc>
      </w:tr>
      <w:tr w14:paraId="0CE9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16E71A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0BD762E">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0EB63544">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D338ACC">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008060C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EB75152">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0CC88795">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003C60FB">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10336B12">
            <w:pPr>
              <w:widowControl/>
              <w:wordWrap w:val="0"/>
              <w:spacing w:line="480" w:lineRule="exact"/>
              <w:jc w:val="center"/>
              <w:textAlignment w:val="center"/>
              <w:rPr>
                <w:rFonts w:ascii="宋体" w:hAnsi="宋体" w:cs="仿宋_GB2312"/>
                <w:color w:val="auto"/>
                <w:kern w:val="0"/>
                <w:sz w:val="21"/>
                <w:szCs w:val="21"/>
              </w:rPr>
            </w:pPr>
          </w:p>
        </w:tc>
      </w:tr>
      <w:tr w14:paraId="5209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47A7A2F">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241043D">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2026447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443C8DC">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6E8C9DD">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958C05F">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02C79485">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41AB8DEF">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0717D96F">
            <w:pPr>
              <w:widowControl/>
              <w:wordWrap w:val="0"/>
              <w:spacing w:line="480" w:lineRule="exact"/>
              <w:jc w:val="center"/>
              <w:textAlignment w:val="center"/>
              <w:rPr>
                <w:rFonts w:ascii="宋体" w:hAnsi="宋体" w:cs="仿宋_GB2312"/>
                <w:color w:val="auto"/>
                <w:kern w:val="0"/>
                <w:sz w:val="21"/>
                <w:szCs w:val="21"/>
              </w:rPr>
            </w:pPr>
          </w:p>
        </w:tc>
      </w:tr>
      <w:tr w14:paraId="4397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576837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4CFACE8">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02C981A3">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033EC97">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688A2BE">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F518030">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33C101B4">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503BC235">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6C414AEF">
            <w:pPr>
              <w:widowControl/>
              <w:wordWrap w:val="0"/>
              <w:spacing w:line="480" w:lineRule="exact"/>
              <w:jc w:val="center"/>
              <w:textAlignment w:val="center"/>
              <w:rPr>
                <w:rFonts w:ascii="宋体" w:hAnsi="宋体" w:cs="仿宋_GB2312"/>
                <w:color w:val="auto"/>
                <w:kern w:val="0"/>
                <w:sz w:val="21"/>
                <w:szCs w:val="21"/>
              </w:rPr>
            </w:pPr>
          </w:p>
        </w:tc>
      </w:tr>
      <w:tr w14:paraId="53D6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3207AA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F5A4FDF">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746ED3C8">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F3AE8A4">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BBC184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353E547">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773CB025">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632810EF">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2432B820">
            <w:pPr>
              <w:widowControl/>
              <w:wordWrap w:val="0"/>
              <w:spacing w:line="480" w:lineRule="exact"/>
              <w:jc w:val="center"/>
              <w:textAlignment w:val="center"/>
              <w:rPr>
                <w:rFonts w:ascii="宋体" w:hAnsi="宋体" w:cs="仿宋_GB2312"/>
                <w:color w:val="auto"/>
                <w:kern w:val="0"/>
                <w:sz w:val="21"/>
                <w:szCs w:val="21"/>
              </w:rPr>
            </w:pPr>
          </w:p>
        </w:tc>
      </w:tr>
      <w:tr w14:paraId="47B3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2F211FA">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888C03D">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10D04337">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64F5FE1">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5FDD439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B4D3272">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4CBD79A5">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583F8C13">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5E93546A">
            <w:pPr>
              <w:widowControl/>
              <w:wordWrap w:val="0"/>
              <w:spacing w:line="480" w:lineRule="exact"/>
              <w:jc w:val="center"/>
              <w:textAlignment w:val="center"/>
              <w:rPr>
                <w:rFonts w:ascii="宋体" w:hAnsi="宋体" w:cs="仿宋_GB2312"/>
                <w:color w:val="auto"/>
                <w:kern w:val="0"/>
                <w:sz w:val="21"/>
                <w:szCs w:val="21"/>
              </w:rPr>
            </w:pPr>
          </w:p>
        </w:tc>
      </w:tr>
      <w:tr w14:paraId="40F9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53AF55B">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5BBB563">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3B69D84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D278552">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3CE74C3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9963CF6">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0E5E7E27">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34F628F1">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21AB9C40">
            <w:pPr>
              <w:widowControl/>
              <w:wordWrap w:val="0"/>
              <w:spacing w:line="480" w:lineRule="exact"/>
              <w:jc w:val="center"/>
              <w:textAlignment w:val="center"/>
              <w:rPr>
                <w:rFonts w:ascii="宋体" w:hAnsi="宋体" w:cs="仿宋_GB2312"/>
                <w:color w:val="auto"/>
                <w:kern w:val="0"/>
                <w:sz w:val="21"/>
                <w:szCs w:val="21"/>
              </w:rPr>
            </w:pPr>
          </w:p>
        </w:tc>
      </w:tr>
      <w:tr w14:paraId="5FB0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B5FD8A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8933B54">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10652069">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90C3C1A">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4B520C2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1A0CBE1">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1739B7EE">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68DA9386">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3BB38376">
            <w:pPr>
              <w:widowControl/>
              <w:wordWrap w:val="0"/>
              <w:spacing w:line="480" w:lineRule="exact"/>
              <w:jc w:val="center"/>
              <w:textAlignment w:val="center"/>
              <w:rPr>
                <w:rFonts w:ascii="宋体" w:hAnsi="宋体" w:cs="仿宋_GB2312"/>
                <w:color w:val="auto"/>
                <w:kern w:val="0"/>
                <w:sz w:val="21"/>
                <w:szCs w:val="21"/>
              </w:rPr>
            </w:pPr>
          </w:p>
        </w:tc>
      </w:tr>
      <w:tr w14:paraId="0AB7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12A53C3">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E57F607">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63AA1BC5">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07EB229">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278F30F3">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7192962">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2B192193">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5A1ACB25">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19075367">
            <w:pPr>
              <w:widowControl/>
              <w:wordWrap w:val="0"/>
              <w:spacing w:line="480" w:lineRule="exact"/>
              <w:jc w:val="center"/>
              <w:textAlignment w:val="center"/>
              <w:rPr>
                <w:rFonts w:ascii="宋体" w:hAnsi="宋体" w:cs="仿宋_GB2312"/>
                <w:color w:val="auto"/>
                <w:kern w:val="0"/>
                <w:sz w:val="21"/>
                <w:szCs w:val="21"/>
              </w:rPr>
            </w:pPr>
          </w:p>
        </w:tc>
      </w:tr>
      <w:tr w14:paraId="03E2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40E3547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6E0FFC5">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09F5F145">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9EF3266">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43E414E7">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6D53BDA">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526B3BCF">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2494DAE1">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71F3D0A9">
            <w:pPr>
              <w:widowControl/>
              <w:wordWrap w:val="0"/>
              <w:spacing w:line="480" w:lineRule="exact"/>
              <w:jc w:val="center"/>
              <w:textAlignment w:val="center"/>
              <w:rPr>
                <w:rFonts w:ascii="宋体" w:hAnsi="宋体" w:cs="仿宋_GB2312"/>
                <w:color w:val="auto"/>
                <w:kern w:val="0"/>
                <w:sz w:val="21"/>
                <w:szCs w:val="21"/>
              </w:rPr>
            </w:pPr>
          </w:p>
        </w:tc>
      </w:tr>
      <w:tr w14:paraId="4C2D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982013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7BCDF26">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122EECA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33E1B70">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06304C0B">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8B9594E">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5E10105C">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0A8C5432">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520AF5F1">
            <w:pPr>
              <w:widowControl/>
              <w:wordWrap w:val="0"/>
              <w:spacing w:line="480" w:lineRule="exact"/>
              <w:jc w:val="center"/>
              <w:textAlignment w:val="center"/>
              <w:rPr>
                <w:rFonts w:ascii="宋体" w:hAnsi="宋体" w:cs="仿宋_GB2312"/>
                <w:color w:val="auto"/>
                <w:kern w:val="0"/>
                <w:sz w:val="21"/>
                <w:szCs w:val="21"/>
              </w:rPr>
            </w:pPr>
          </w:p>
        </w:tc>
      </w:tr>
      <w:tr w14:paraId="0900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2EE7825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E3AD64A">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25B5B25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481B13C">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7497E9ED">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637B67D">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300B1E97">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75D1BF57">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45BCA8B1">
            <w:pPr>
              <w:widowControl/>
              <w:wordWrap w:val="0"/>
              <w:spacing w:line="480" w:lineRule="exact"/>
              <w:jc w:val="center"/>
              <w:textAlignment w:val="center"/>
              <w:rPr>
                <w:rFonts w:ascii="宋体" w:hAnsi="宋体" w:cs="仿宋_GB2312"/>
                <w:color w:val="auto"/>
                <w:kern w:val="0"/>
                <w:sz w:val="21"/>
                <w:szCs w:val="21"/>
              </w:rPr>
            </w:pPr>
          </w:p>
        </w:tc>
      </w:tr>
      <w:tr w14:paraId="5253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35A470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3B06730">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1DEC7053">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FB2C919">
            <w:pPr>
              <w:widowControl/>
              <w:wordWrap w:val="0"/>
              <w:spacing w:line="480" w:lineRule="exact"/>
              <w:jc w:val="center"/>
              <w:textAlignment w:val="center"/>
              <w:rPr>
                <w:rFonts w:ascii="宋体" w:hAnsi="宋体" w:cs="仿宋_GB2312"/>
                <w:color w:val="auto"/>
                <w:kern w:val="0"/>
                <w:sz w:val="21"/>
                <w:szCs w:val="21"/>
              </w:rPr>
            </w:pPr>
          </w:p>
        </w:tc>
        <w:tc>
          <w:tcPr>
            <w:tcW w:w="851" w:type="dxa"/>
            <w:tcBorders>
              <w:top w:val="single" w:color="auto" w:sz="4" w:space="0"/>
              <w:left w:val="nil"/>
              <w:bottom w:val="single" w:color="auto" w:sz="4" w:space="0"/>
              <w:right w:val="single" w:color="auto" w:sz="4" w:space="0"/>
            </w:tcBorders>
            <w:vAlign w:val="center"/>
          </w:tcPr>
          <w:p w14:paraId="4FF6A9FC">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3F9AFF0">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1518094D">
            <w:pPr>
              <w:widowControl/>
              <w:wordWrap w:val="0"/>
              <w:spacing w:line="480" w:lineRule="exact"/>
              <w:jc w:val="center"/>
              <w:textAlignment w:val="center"/>
              <w:rPr>
                <w:rFonts w:ascii="宋体" w:hAnsi="宋体" w:cs="仿宋_GB2312"/>
                <w:color w:val="auto"/>
                <w:kern w:val="0"/>
                <w:sz w:val="21"/>
                <w:szCs w:val="21"/>
              </w:rPr>
            </w:pPr>
          </w:p>
        </w:tc>
        <w:tc>
          <w:tcPr>
            <w:tcW w:w="993" w:type="dxa"/>
            <w:tcBorders>
              <w:top w:val="single" w:color="auto" w:sz="4" w:space="0"/>
              <w:left w:val="nil"/>
              <w:bottom w:val="single" w:color="auto" w:sz="4" w:space="0"/>
              <w:right w:val="single" w:color="auto" w:sz="4" w:space="0"/>
            </w:tcBorders>
            <w:vAlign w:val="center"/>
          </w:tcPr>
          <w:p w14:paraId="3E39133A">
            <w:pPr>
              <w:widowControl/>
              <w:wordWrap w:val="0"/>
              <w:spacing w:line="480" w:lineRule="exact"/>
              <w:jc w:val="center"/>
              <w:textAlignment w:val="center"/>
              <w:rPr>
                <w:rFonts w:ascii="宋体" w:hAnsi="宋体" w:cs="仿宋_GB2312"/>
                <w:color w:val="auto"/>
                <w:kern w:val="0"/>
                <w:sz w:val="21"/>
                <w:szCs w:val="21"/>
              </w:rPr>
            </w:pPr>
          </w:p>
        </w:tc>
        <w:tc>
          <w:tcPr>
            <w:tcW w:w="992" w:type="dxa"/>
            <w:tcBorders>
              <w:top w:val="single" w:color="auto" w:sz="4" w:space="0"/>
              <w:left w:val="nil"/>
              <w:bottom w:val="single" w:color="auto" w:sz="4" w:space="0"/>
              <w:right w:val="single" w:color="auto" w:sz="4" w:space="0"/>
            </w:tcBorders>
            <w:vAlign w:val="center"/>
          </w:tcPr>
          <w:p w14:paraId="55165008">
            <w:pPr>
              <w:widowControl/>
              <w:wordWrap w:val="0"/>
              <w:spacing w:line="480" w:lineRule="exact"/>
              <w:jc w:val="center"/>
              <w:textAlignment w:val="center"/>
              <w:rPr>
                <w:rFonts w:ascii="宋体" w:hAnsi="宋体" w:cs="仿宋_GB2312"/>
                <w:color w:val="auto"/>
                <w:kern w:val="0"/>
                <w:sz w:val="21"/>
                <w:szCs w:val="21"/>
              </w:rPr>
            </w:pPr>
          </w:p>
        </w:tc>
      </w:tr>
    </w:tbl>
    <w:p w14:paraId="5DF22375">
      <w:pPr>
        <w:widowControl/>
        <w:wordWrap w:val="0"/>
        <w:spacing w:beforeLines="50" w:afterLines="50" w:line="480" w:lineRule="exact"/>
        <w:jc w:val="left"/>
        <w:textAlignment w:val="center"/>
        <w:rPr>
          <w:rFonts w:ascii="宋体" w:hAnsi="宋体" w:cs="仿宋_GB2312"/>
          <w:color w:val="auto"/>
          <w:kern w:val="0"/>
          <w:sz w:val="21"/>
          <w:szCs w:val="21"/>
        </w:rPr>
      </w:pPr>
    </w:p>
    <w:p w14:paraId="717C33A8">
      <w:pPr>
        <w:widowControl/>
        <w:wordWrap w:val="0"/>
        <w:spacing w:beforeLines="50" w:afterLines="50" w:line="480" w:lineRule="exact"/>
        <w:jc w:val="left"/>
        <w:textAlignment w:val="center"/>
        <w:rPr>
          <w:rFonts w:ascii="宋体" w:hAnsi="宋体" w:cs="仿宋_GB2312"/>
          <w:color w:val="auto"/>
          <w:kern w:val="0"/>
          <w:sz w:val="21"/>
          <w:szCs w:val="21"/>
        </w:rPr>
      </w:pPr>
    </w:p>
    <w:p w14:paraId="2975825B">
      <w:pPr>
        <w:widowControl/>
        <w:wordWrap w:val="0"/>
        <w:spacing w:beforeLines="50" w:afterLines="50" w:line="480" w:lineRule="exact"/>
        <w:jc w:val="left"/>
        <w:textAlignment w:val="center"/>
        <w:rPr>
          <w:rFonts w:ascii="宋体" w:hAnsi="宋体" w:cs="仿宋_GB2312"/>
          <w:color w:val="auto"/>
          <w:kern w:val="0"/>
          <w:sz w:val="21"/>
          <w:szCs w:val="21"/>
        </w:rPr>
      </w:pPr>
    </w:p>
    <w:p w14:paraId="3DE635F3">
      <w:pPr>
        <w:widowControl/>
        <w:wordWrap w:val="0"/>
        <w:spacing w:beforeLines="50" w:afterLines="50" w:line="480" w:lineRule="exact"/>
        <w:jc w:val="left"/>
        <w:textAlignment w:val="center"/>
        <w:rPr>
          <w:rFonts w:ascii="宋体" w:hAnsi="宋体" w:cs="仿宋_GB2312"/>
          <w:color w:val="auto"/>
          <w:kern w:val="0"/>
          <w:sz w:val="21"/>
          <w:szCs w:val="21"/>
        </w:rPr>
      </w:pPr>
    </w:p>
    <w:p w14:paraId="3A1D4FEC">
      <w:pPr>
        <w:widowControl/>
        <w:wordWrap w:val="0"/>
        <w:spacing w:beforeLines="50" w:afterLines="50" w:line="480" w:lineRule="exact"/>
        <w:jc w:val="left"/>
        <w:textAlignment w:val="center"/>
        <w:rPr>
          <w:rFonts w:ascii="宋体" w:hAnsi="宋体" w:cs="仿宋_GB2312"/>
          <w:color w:val="auto"/>
          <w:kern w:val="0"/>
          <w:sz w:val="21"/>
          <w:szCs w:val="21"/>
        </w:rPr>
      </w:pPr>
    </w:p>
    <w:p w14:paraId="45127C1E">
      <w:pPr>
        <w:widowControl/>
        <w:wordWrap w:val="0"/>
        <w:spacing w:beforeLines="50" w:afterLines="50" w:line="480" w:lineRule="exact"/>
        <w:jc w:val="left"/>
        <w:textAlignment w:val="center"/>
        <w:rPr>
          <w:rFonts w:ascii="宋体" w:hAnsi="宋体" w:cs="仿宋_GB2312"/>
          <w:color w:val="auto"/>
          <w:kern w:val="0"/>
          <w:sz w:val="21"/>
          <w:szCs w:val="21"/>
        </w:rPr>
      </w:pPr>
    </w:p>
    <w:p w14:paraId="5D0FC1B2">
      <w:pPr>
        <w:widowControl/>
        <w:wordWrap w:val="0"/>
        <w:spacing w:beforeLines="50" w:afterLines="50" w:line="480" w:lineRule="exact"/>
        <w:jc w:val="left"/>
        <w:textAlignment w:val="center"/>
        <w:rPr>
          <w:rFonts w:ascii="宋体" w:hAnsi="宋体" w:cs="仿宋_GB2312"/>
          <w:color w:val="auto"/>
          <w:kern w:val="0"/>
          <w:sz w:val="21"/>
          <w:szCs w:val="21"/>
        </w:rPr>
      </w:pPr>
    </w:p>
    <w:p w14:paraId="5D86588A">
      <w:pPr>
        <w:widowControl/>
        <w:wordWrap w:val="0"/>
        <w:jc w:val="left"/>
        <w:rPr>
          <w:rFonts w:ascii="宋体" w:hAnsi="宋体" w:cs="仿宋_GB2312"/>
          <w:color w:val="auto"/>
          <w:kern w:val="0"/>
          <w:sz w:val="21"/>
          <w:szCs w:val="21"/>
        </w:rPr>
      </w:pPr>
    </w:p>
    <w:p w14:paraId="5A0FAF21">
      <w:pPr>
        <w:widowControl/>
        <w:wordWrap w:val="0"/>
        <w:jc w:val="left"/>
        <w:rPr>
          <w:rFonts w:ascii="宋体" w:hAnsi="宋体" w:cs="仿宋_GB2312"/>
          <w:color w:val="auto"/>
          <w:kern w:val="0"/>
          <w:sz w:val="21"/>
          <w:szCs w:val="21"/>
        </w:rPr>
      </w:pPr>
    </w:p>
    <w:p w14:paraId="52455F5F">
      <w:pPr>
        <w:widowControl/>
        <w:wordWrap w:val="0"/>
        <w:jc w:val="left"/>
        <w:rPr>
          <w:rFonts w:ascii="宋体" w:hAnsi="宋体" w:cs="仿宋_GB2312"/>
          <w:color w:val="auto"/>
          <w:kern w:val="0"/>
          <w:sz w:val="21"/>
          <w:szCs w:val="21"/>
        </w:rPr>
      </w:pPr>
      <w:r>
        <w:rPr>
          <w:rFonts w:ascii="宋体" w:hAnsi="宋体" w:cs="仿宋_GB2312"/>
          <w:color w:val="auto"/>
          <w:kern w:val="0"/>
          <w:sz w:val="21"/>
          <w:szCs w:val="21"/>
        </w:rPr>
        <w:br w:type="page"/>
      </w:r>
    </w:p>
    <w:p w14:paraId="2B32E8EB">
      <w:pPr>
        <w:widowControl/>
        <w:wordWrap w:val="0"/>
        <w:jc w:val="left"/>
        <w:rPr>
          <w:rFonts w:ascii="宋体" w:hAnsi="宋体" w:cs="仿宋_GB2312"/>
          <w:color w:val="auto"/>
          <w:kern w:val="0"/>
          <w:sz w:val="21"/>
          <w:szCs w:val="21"/>
        </w:rPr>
      </w:pPr>
      <w:r>
        <w:rPr>
          <w:rFonts w:hint="eastAsia" w:ascii="宋体" w:hAnsi="宋体" w:cs="仿宋_GB2312"/>
          <w:color w:val="auto"/>
          <w:kern w:val="0"/>
          <w:sz w:val="21"/>
          <w:szCs w:val="21"/>
        </w:rPr>
        <w:t>附表三：劳动力计划表</w:t>
      </w:r>
    </w:p>
    <w:p w14:paraId="56F48664">
      <w:pPr>
        <w:widowControl/>
        <w:wordWrap w:val="0"/>
        <w:spacing w:beforeLines="50" w:afterLines="50" w:line="480" w:lineRule="exact"/>
        <w:jc w:val="right"/>
        <w:textAlignment w:val="center"/>
        <w:rPr>
          <w:rFonts w:ascii="宋体" w:hAnsi="宋体" w:cs="仿宋_GB2312"/>
          <w:color w:val="auto"/>
          <w:kern w:val="0"/>
          <w:sz w:val="21"/>
          <w:szCs w:val="21"/>
        </w:rPr>
      </w:pPr>
      <w:r>
        <w:rPr>
          <w:rFonts w:hint="eastAsia" w:ascii="宋体" w:hAnsi="宋体" w:cs="仿宋_GB2312"/>
          <w:color w:val="auto"/>
          <w:kern w:val="0"/>
          <w:sz w:val="21"/>
          <w:szCs w:val="21"/>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1417"/>
        <w:gridCol w:w="1276"/>
        <w:gridCol w:w="1276"/>
        <w:gridCol w:w="1276"/>
        <w:gridCol w:w="1134"/>
        <w:gridCol w:w="1275"/>
      </w:tblGrid>
      <w:tr w14:paraId="3CFA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1B557069">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工种</w:t>
            </w:r>
          </w:p>
        </w:tc>
        <w:tc>
          <w:tcPr>
            <w:tcW w:w="8930" w:type="dxa"/>
            <w:gridSpan w:val="7"/>
            <w:tcBorders>
              <w:top w:val="single" w:color="auto" w:sz="4" w:space="0"/>
              <w:left w:val="nil"/>
              <w:bottom w:val="single" w:color="auto" w:sz="4" w:space="0"/>
              <w:right w:val="single" w:color="auto" w:sz="4" w:space="0"/>
            </w:tcBorders>
            <w:vAlign w:val="center"/>
          </w:tcPr>
          <w:p w14:paraId="70BBDF11">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按工程施工阶段投入劳动力情况</w:t>
            </w:r>
          </w:p>
        </w:tc>
      </w:tr>
      <w:tr w14:paraId="0E12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FF14B4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E82EEDA">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74AD6D75">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E131D8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CC161F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8B045B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AC474E1">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7707B9A3">
            <w:pPr>
              <w:widowControl/>
              <w:wordWrap w:val="0"/>
              <w:spacing w:line="480" w:lineRule="exact"/>
              <w:jc w:val="center"/>
              <w:textAlignment w:val="center"/>
              <w:rPr>
                <w:rFonts w:ascii="宋体" w:hAnsi="宋体" w:cs="仿宋_GB2312"/>
                <w:color w:val="auto"/>
                <w:kern w:val="0"/>
                <w:sz w:val="21"/>
                <w:szCs w:val="21"/>
              </w:rPr>
            </w:pPr>
          </w:p>
        </w:tc>
      </w:tr>
      <w:tr w14:paraId="2305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62EEF5C">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385F88E">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498B50CB">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614DC5C">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3B8BEEE">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FBD69B8">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D1349A6">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102FE2D0">
            <w:pPr>
              <w:widowControl/>
              <w:wordWrap w:val="0"/>
              <w:spacing w:line="480" w:lineRule="exact"/>
              <w:jc w:val="center"/>
              <w:textAlignment w:val="center"/>
              <w:rPr>
                <w:rFonts w:ascii="宋体" w:hAnsi="宋体" w:cs="仿宋_GB2312"/>
                <w:color w:val="auto"/>
                <w:kern w:val="0"/>
                <w:sz w:val="21"/>
                <w:szCs w:val="21"/>
              </w:rPr>
            </w:pPr>
          </w:p>
        </w:tc>
      </w:tr>
      <w:tr w14:paraId="1ADC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24E7F4B5">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CDE7221">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463D9BF4">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5DDE41D">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C92DA1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39C6EE3">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AA99F30">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27603D59">
            <w:pPr>
              <w:widowControl/>
              <w:wordWrap w:val="0"/>
              <w:spacing w:line="480" w:lineRule="exact"/>
              <w:jc w:val="center"/>
              <w:textAlignment w:val="center"/>
              <w:rPr>
                <w:rFonts w:ascii="宋体" w:hAnsi="宋体" w:cs="仿宋_GB2312"/>
                <w:color w:val="auto"/>
                <w:kern w:val="0"/>
                <w:sz w:val="21"/>
                <w:szCs w:val="21"/>
              </w:rPr>
            </w:pPr>
          </w:p>
        </w:tc>
      </w:tr>
      <w:tr w14:paraId="1DA2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4BC7DFF">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622AF32">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4699FCD1">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3D925A1">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78AB57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11FF43B">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5B9B035">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77F8458C">
            <w:pPr>
              <w:widowControl/>
              <w:wordWrap w:val="0"/>
              <w:spacing w:line="480" w:lineRule="exact"/>
              <w:jc w:val="center"/>
              <w:textAlignment w:val="center"/>
              <w:rPr>
                <w:rFonts w:ascii="宋体" w:hAnsi="宋体" w:cs="仿宋_GB2312"/>
                <w:color w:val="auto"/>
                <w:kern w:val="0"/>
                <w:sz w:val="21"/>
                <w:szCs w:val="21"/>
              </w:rPr>
            </w:pPr>
          </w:p>
        </w:tc>
      </w:tr>
      <w:tr w14:paraId="3405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E10A7FD">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78B3F27">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735500B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6EE87E5">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41E0CAE">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3F62FD0">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50DB833">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3A6F57CD">
            <w:pPr>
              <w:widowControl/>
              <w:wordWrap w:val="0"/>
              <w:spacing w:line="480" w:lineRule="exact"/>
              <w:jc w:val="center"/>
              <w:textAlignment w:val="center"/>
              <w:rPr>
                <w:rFonts w:ascii="宋体" w:hAnsi="宋体" w:cs="仿宋_GB2312"/>
                <w:color w:val="auto"/>
                <w:kern w:val="0"/>
                <w:sz w:val="21"/>
                <w:szCs w:val="21"/>
              </w:rPr>
            </w:pPr>
          </w:p>
        </w:tc>
      </w:tr>
      <w:tr w14:paraId="5769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AAA4A2D">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D82710D">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50BFDC6A">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3FA6984">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7E2FC6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2E7715E">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131EBFE">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048B9CF1">
            <w:pPr>
              <w:widowControl/>
              <w:wordWrap w:val="0"/>
              <w:spacing w:line="480" w:lineRule="exact"/>
              <w:jc w:val="center"/>
              <w:textAlignment w:val="center"/>
              <w:rPr>
                <w:rFonts w:ascii="宋体" w:hAnsi="宋体" w:cs="仿宋_GB2312"/>
                <w:color w:val="auto"/>
                <w:kern w:val="0"/>
                <w:sz w:val="21"/>
                <w:szCs w:val="21"/>
              </w:rPr>
            </w:pPr>
          </w:p>
        </w:tc>
      </w:tr>
      <w:tr w14:paraId="47D3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C158646">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6D0C690">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5FCC0A4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EF0D1ED">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138C89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F144718">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5033901">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54A69D52">
            <w:pPr>
              <w:widowControl/>
              <w:wordWrap w:val="0"/>
              <w:spacing w:line="480" w:lineRule="exact"/>
              <w:jc w:val="center"/>
              <w:textAlignment w:val="center"/>
              <w:rPr>
                <w:rFonts w:ascii="宋体" w:hAnsi="宋体" w:cs="仿宋_GB2312"/>
                <w:color w:val="auto"/>
                <w:kern w:val="0"/>
                <w:sz w:val="21"/>
                <w:szCs w:val="21"/>
              </w:rPr>
            </w:pPr>
          </w:p>
        </w:tc>
      </w:tr>
      <w:tr w14:paraId="134B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391D31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58C2ACB">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57581805">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3D84953">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007D89D">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6B85829">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91EEA14">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0E02F5AD">
            <w:pPr>
              <w:widowControl/>
              <w:wordWrap w:val="0"/>
              <w:spacing w:line="480" w:lineRule="exact"/>
              <w:jc w:val="center"/>
              <w:textAlignment w:val="center"/>
              <w:rPr>
                <w:rFonts w:ascii="宋体" w:hAnsi="宋体" w:cs="仿宋_GB2312"/>
                <w:color w:val="auto"/>
                <w:kern w:val="0"/>
                <w:sz w:val="21"/>
                <w:szCs w:val="21"/>
              </w:rPr>
            </w:pPr>
          </w:p>
        </w:tc>
      </w:tr>
      <w:tr w14:paraId="4757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EAB75D0">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37225CC">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3725136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1B92B7F">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610235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88080BA">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093E0F3">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0B23D5E8">
            <w:pPr>
              <w:widowControl/>
              <w:wordWrap w:val="0"/>
              <w:spacing w:line="480" w:lineRule="exact"/>
              <w:jc w:val="center"/>
              <w:textAlignment w:val="center"/>
              <w:rPr>
                <w:rFonts w:ascii="宋体" w:hAnsi="宋体" w:cs="仿宋_GB2312"/>
                <w:color w:val="auto"/>
                <w:kern w:val="0"/>
                <w:sz w:val="21"/>
                <w:szCs w:val="21"/>
              </w:rPr>
            </w:pPr>
          </w:p>
        </w:tc>
      </w:tr>
      <w:tr w14:paraId="4F2D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4B707596">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7CBA932">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79BF624A">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258F343">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4A9BCBC">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E463148">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727F1ED7">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78281F96">
            <w:pPr>
              <w:widowControl/>
              <w:wordWrap w:val="0"/>
              <w:spacing w:line="480" w:lineRule="exact"/>
              <w:jc w:val="center"/>
              <w:textAlignment w:val="center"/>
              <w:rPr>
                <w:rFonts w:ascii="宋体" w:hAnsi="宋体" w:cs="仿宋_GB2312"/>
                <w:color w:val="auto"/>
                <w:kern w:val="0"/>
                <w:sz w:val="21"/>
                <w:szCs w:val="21"/>
              </w:rPr>
            </w:pPr>
          </w:p>
        </w:tc>
      </w:tr>
      <w:tr w14:paraId="0531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88F2EB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355D11E">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4682E780">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63893CA">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EF7574B">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A5117F7">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F91D2FF">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4F8D5A9B">
            <w:pPr>
              <w:widowControl/>
              <w:wordWrap w:val="0"/>
              <w:spacing w:line="480" w:lineRule="exact"/>
              <w:jc w:val="center"/>
              <w:textAlignment w:val="center"/>
              <w:rPr>
                <w:rFonts w:ascii="宋体" w:hAnsi="宋体" w:cs="仿宋_GB2312"/>
                <w:color w:val="auto"/>
                <w:kern w:val="0"/>
                <w:sz w:val="21"/>
                <w:szCs w:val="21"/>
              </w:rPr>
            </w:pPr>
          </w:p>
        </w:tc>
      </w:tr>
      <w:tr w14:paraId="1FD4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521FE8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5A505E8">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2861C726">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2452FD1">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8ADCEC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3BB92A0">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5247B21">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47F73301">
            <w:pPr>
              <w:widowControl/>
              <w:wordWrap w:val="0"/>
              <w:spacing w:line="480" w:lineRule="exact"/>
              <w:jc w:val="center"/>
              <w:textAlignment w:val="center"/>
              <w:rPr>
                <w:rFonts w:ascii="宋体" w:hAnsi="宋体" w:cs="仿宋_GB2312"/>
                <w:color w:val="auto"/>
                <w:kern w:val="0"/>
                <w:sz w:val="21"/>
                <w:szCs w:val="21"/>
              </w:rPr>
            </w:pPr>
          </w:p>
        </w:tc>
      </w:tr>
      <w:tr w14:paraId="1DD4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242594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F6659F6">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68AC859A">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55E5C2C">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03061E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5DA8FA4">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203D9F76">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4C71548B">
            <w:pPr>
              <w:widowControl/>
              <w:wordWrap w:val="0"/>
              <w:spacing w:line="480" w:lineRule="exact"/>
              <w:jc w:val="center"/>
              <w:textAlignment w:val="center"/>
              <w:rPr>
                <w:rFonts w:ascii="宋体" w:hAnsi="宋体" w:cs="仿宋_GB2312"/>
                <w:color w:val="auto"/>
                <w:kern w:val="0"/>
                <w:sz w:val="21"/>
                <w:szCs w:val="21"/>
              </w:rPr>
            </w:pPr>
          </w:p>
        </w:tc>
      </w:tr>
      <w:tr w14:paraId="2CE4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11B2BCBF">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9FF038B">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2DE5726D">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264AD0BE">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8BA4EA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C847288">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111A31A1">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562BDABD">
            <w:pPr>
              <w:widowControl/>
              <w:wordWrap w:val="0"/>
              <w:spacing w:line="480" w:lineRule="exact"/>
              <w:jc w:val="center"/>
              <w:textAlignment w:val="center"/>
              <w:rPr>
                <w:rFonts w:ascii="宋体" w:hAnsi="宋体" w:cs="仿宋_GB2312"/>
                <w:color w:val="auto"/>
                <w:kern w:val="0"/>
                <w:sz w:val="21"/>
                <w:szCs w:val="21"/>
              </w:rPr>
            </w:pPr>
          </w:p>
        </w:tc>
      </w:tr>
      <w:tr w14:paraId="31D6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D808FC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07281CD">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5C472BD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D10B8CE">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46C141F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7428177">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40DE238A">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6D79A02E">
            <w:pPr>
              <w:widowControl/>
              <w:wordWrap w:val="0"/>
              <w:spacing w:line="480" w:lineRule="exact"/>
              <w:jc w:val="center"/>
              <w:textAlignment w:val="center"/>
              <w:rPr>
                <w:rFonts w:ascii="宋体" w:hAnsi="宋体" w:cs="仿宋_GB2312"/>
                <w:color w:val="auto"/>
                <w:kern w:val="0"/>
                <w:sz w:val="21"/>
                <w:szCs w:val="21"/>
              </w:rPr>
            </w:pPr>
          </w:p>
        </w:tc>
      </w:tr>
      <w:tr w14:paraId="57A4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733346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028B30A">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229F6EE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5D7124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F052220">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1FBFC74">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35ECC853">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2B5DD57B">
            <w:pPr>
              <w:widowControl/>
              <w:wordWrap w:val="0"/>
              <w:spacing w:line="480" w:lineRule="exact"/>
              <w:jc w:val="center"/>
              <w:textAlignment w:val="center"/>
              <w:rPr>
                <w:rFonts w:ascii="宋体" w:hAnsi="宋体" w:cs="仿宋_GB2312"/>
                <w:color w:val="auto"/>
                <w:kern w:val="0"/>
                <w:sz w:val="21"/>
                <w:szCs w:val="21"/>
              </w:rPr>
            </w:pPr>
          </w:p>
        </w:tc>
      </w:tr>
      <w:tr w14:paraId="6B0E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FEDAB0E">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21F1B3D">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1D36A455">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982587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2A40DAE">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0F8ECA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BA2B53E">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2B26F803">
            <w:pPr>
              <w:widowControl/>
              <w:wordWrap w:val="0"/>
              <w:spacing w:line="480" w:lineRule="exact"/>
              <w:jc w:val="center"/>
              <w:textAlignment w:val="center"/>
              <w:rPr>
                <w:rFonts w:ascii="宋体" w:hAnsi="宋体" w:cs="仿宋_GB2312"/>
                <w:color w:val="auto"/>
                <w:kern w:val="0"/>
                <w:sz w:val="21"/>
                <w:szCs w:val="21"/>
              </w:rPr>
            </w:pPr>
          </w:p>
        </w:tc>
      </w:tr>
      <w:tr w14:paraId="41A3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1C7F7DD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C190A1B">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1089FCEF">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7BBB386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803F3A3">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CBC9D66">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254D31F">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5E518C12">
            <w:pPr>
              <w:widowControl/>
              <w:wordWrap w:val="0"/>
              <w:spacing w:line="480" w:lineRule="exact"/>
              <w:jc w:val="center"/>
              <w:textAlignment w:val="center"/>
              <w:rPr>
                <w:rFonts w:ascii="宋体" w:hAnsi="宋体" w:cs="仿宋_GB2312"/>
                <w:color w:val="auto"/>
                <w:kern w:val="0"/>
                <w:sz w:val="21"/>
                <w:szCs w:val="21"/>
              </w:rPr>
            </w:pPr>
          </w:p>
        </w:tc>
      </w:tr>
      <w:tr w14:paraId="55A6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C409FF9">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64ED6DF">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7FF498A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50173BB8">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AE4B47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B453CDF">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6418F551">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6A57C5F5">
            <w:pPr>
              <w:widowControl/>
              <w:wordWrap w:val="0"/>
              <w:spacing w:line="480" w:lineRule="exact"/>
              <w:jc w:val="center"/>
              <w:textAlignment w:val="center"/>
              <w:rPr>
                <w:rFonts w:ascii="宋体" w:hAnsi="宋体" w:cs="仿宋_GB2312"/>
                <w:color w:val="auto"/>
                <w:kern w:val="0"/>
                <w:sz w:val="21"/>
                <w:szCs w:val="21"/>
              </w:rPr>
            </w:pPr>
          </w:p>
        </w:tc>
      </w:tr>
      <w:tr w14:paraId="3400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E7C9AF5">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345BD49">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4C7DCEC0">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4A8755F">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E580A1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601C0925">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5913984A">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6C83D0A4">
            <w:pPr>
              <w:widowControl/>
              <w:wordWrap w:val="0"/>
              <w:spacing w:line="480" w:lineRule="exact"/>
              <w:jc w:val="center"/>
              <w:textAlignment w:val="center"/>
              <w:rPr>
                <w:rFonts w:ascii="宋体" w:hAnsi="宋体" w:cs="仿宋_GB2312"/>
                <w:color w:val="auto"/>
                <w:kern w:val="0"/>
                <w:sz w:val="21"/>
                <w:szCs w:val="21"/>
              </w:rPr>
            </w:pPr>
          </w:p>
        </w:tc>
      </w:tr>
      <w:tr w14:paraId="0D36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CBDDCB3">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0CA1B46D">
            <w:pPr>
              <w:widowControl/>
              <w:wordWrap w:val="0"/>
              <w:spacing w:line="480" w:lineRule="exact"/>
              <w:jc w:val="center"/>
              <w:textAlignment w:val="center"/>
              <w:rPr>
                <w:rFonts w:ascii="宋体" w:hAnsi="宋体" w:cs="仿宋_GB2312"/>
                <w:color w:val="auto"/>
                <w:kern w:val="0"/>
                <w:sz w:val="21"/>
                <w:szCs w:val="21"/>
              </w:rPr>
            </w:pPr>
          </w:p>
        </w:tc>
        <w:tc>
          <w:tcPr>
            <w:tcW w:w="1417" w:type="dxa"/>
            <w:tcBorders>
              <w:top w:val="single" w:color="auto" w:sz="4" w:space="0"/>
              <w:left w:val="nil"/>
              <w:bottom w:val="single" w:color="auto" w:sz="4" w:space="0"/>
              <w:right w:val="single" w:color="auto" w:sz="4" w:space="0"/>
            </w:tcBorders>
            <w:vAlign w:val="center"/>
          </w:tcPr>
          <w:p w14:paraId="58087777">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D1185EE">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19D9D802">
            <w:pPr>
              <w:widowControl/>
              <w:wordWrap w:val="0"/>
              <w:spacing w:line="480" w:lineRule="exact"/>
              <w:jc w:val="center"/>
              <w:textAlignment w:val="center"/>
              <w:rPr>
                <w:rFonts w:ascii="宋体" w:hAnsi="宋体" w:cs="仿宋_GB2312"/>
                <w:color w:val="auto"/>
                <w:kern w:val="0"/>
                <w:sz w:val="21"/>
                <w:szCs w:val="21"/>
              </w:rPr>
            </w:pPr>
          </w:p>
        </w:tc>
        <w:tc>
          <w:tcPr>
            <w:tcW w:w="1276" w:type="dxa"/>
            <w:tcBorders>
              <w:top w:val="single" w:color="auto" w:sz="4" w:space="0"/>
              <w:left w:val="nil"/>
              <w:bottom w:val="single" w:color="auto" w:sz="4" w:space="0"/>
              <w:right w:val="single" w:color="auto" w:sz="4" w:space="0"/>
            </w:tcBorders>
            <w:vAlign w:val="center"/>
          </w:tcPr>
          <w:p w14:paraId="341819E1">
            <w:pPr>
              <w:widowControl/>
              <w:wordWrap w:val="0"/>
              <w:spacing w:line="480" w:lineRule="exact"/>
              <w:jc w:val="center"/>
              <w:textAlignment w:val="center"/>
              <w:rPr>
                <w:rFonts w:ascii="宋体" w:hAnsi="宋体" w:cs="仿宋_GB2312"/>
                <w:color w:val="auto"/>
                <w:kern w:val="0"/>
                <w:sz w:val="21"/>
                <w:szCs w:val="21"/>
              </w:rPr>
            </w:pPr>
          </w:p>
        </w:tc>
        <w:tc>
          <w:tcPr>
            <w:tcW w:w="1134" w:type="dxa"/>
            <w:tcBorders>
              <w:top w:val="single" w:color="auto" w:sz="4" w:space="0"/>
              <w:left w:val="nil"/>
              <w:bottom w:val="single" w:color="auto" w:sz="4" w:space="0"/>
              <w:right w:val="single" w:color="auto" w:sz="4" w:space="0"/>
            </w:tcBorders>
            <w:vAlign w:val="center"/>
          </w:tcPr>
          <w:p w14:paraId="06421E3F">
            <w:pPr>
              <w:widowControl/>
              <w:wordWrap w:val="0"/>
              <w:spacing w:line="480" w:lineRule="exact"/>
              <w:jc w:val="center"/>
              <w:textAlignment w:val="center"/>
              <w:rPr>
                <w:rFonts w:ascii="宋体" w:hAnsi="宋体" w:cs="仿宋_GB2312"/>
                <w:color w:val="auto"/>
                <w:kern w:val="0"/>
                <w:sz w:val="21"/>
                <w:szCs w:val="21"/>
              </w:rPr>
            </w:pPr>
          </w:p>
        </w:tc>
        <w:tc>
          <w:tcPr>
            <w:tcW w:w="1275" w:type="dxa"/>
            <w:tcBorders>
              <w:top w:val="single" w:color="auto" w:sz="4" w:space="0"/>
              <w:left w:val="nil"/>
              <w:bottom w:val="single" w:color="auto" w:sz="4" w:space="0"/>
              <w:right w:val="single" w:color="auto" w:sz="4" w:space="0"/>
            </w:tcBorders>
            <w:vAlign w:val="center"/>
          </w:tcPr>
          <w:p w14:paraId="1663DEA0">
            <w:pPr>
              <w:widowControl/>
              <w:wordWrap w:val="0"/>
              <w:spacing w:line="480" w:lineRule="exact"/>
              <w:jc w:val="center"/>
              <w:textAlignment w:val="center"/>
              <w:rPr>
                <w:rFonts w:ascii="宋体" w:hAnsi="宋体" w:cs="仿宋_GB2312"/>
                <w:color w:val="auto"/>
                <w:kern w:val="0"/>
                <w:sz w:val="21"/>
                <w:szCs w:val="21"/>
              </w:rPr>
            </w:pPr>
          </w:p>
        </w:tc>
      </w:tr>
    </w:tbl>
    <w:p w14:paraId="142D861A">
      <w:pPr>
        <w:widowControl/>
        <w:wordWrap w:val="0"/>
        <w:spacing w:beforeLines="50" w:afterLines="50" w:line="480" w:lineRule="exact"/>
        <w:textAlignment w:val="center"/>
        <w:rPr>
          <w:rFonts w:ascii="宋体" w:hAnsi="宋体" w:cs="仿宋_GB2312"/>
          <w:color w:val="auto"/>
          <w:kern w:val="0"/>
          <w:sz w:val="21"/>
          <w:szCs w:val="21"/>
        </w:rPr>
      </w:pPr>
      <w:r>
        <w:rPr>
          <w:rFonts w:hint="eastAsia" w:ascii="宋体" w:hAnsi="宋体" w:cs="仿宋_GB2312"/>
          <w:color w:val="auto"/>
          <w:kern w:val="0"/>
          <w:sz w:val="21"/>
          <w:szCs w:val="21"/>
        </w:rPr>
        <w:br w:type="page"/>
      </w:r>
      <w:r>
        <w:rPr>
          <w:rFonts w:hint="eastAsia" w:ascii="宋体" w:hAnsi="宋体" w:cs="仿宋_GB2312"/>
          <w:color w:val="auto"/>
          <w:kern w:val="0"/>
          <w:sz w:val="21"/>
          <w:szCs w:val="21"/>
        </w:rPr>
        <w:t>附表四：计划开、竣工日期和施工进度网络图</w:t>
      </w:r>
    </w:p>
    <w:p w14:paraId="23A87515">
      <w:pPr>
        <w:widowControl/>
        <w:wordWrap w:val="0"/>
        <w:spacing w:line="52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1．投标人应递交施工进度网络图或施工进度表，说明按招标文件要求的计划工期进行施工的各个关键日期。</w:t>
      </w:r>
    </w:p>
    <w:p w14:paraId="344A982B">
      <w:pPr>
        <w:widowControl/>
        <w:wordWrap w:val="0"/>
        <w:spacing w:line="52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2．施工进度表可采用网络图和（或）横道图表示。</w:t>
      </w:r>
    </w:p>
    <w:p w14:paraId="197A6F0B">
      <w:pPr>
        <w:widowControl/>
        <w:wordWrap w:val="0"/>
        <w:spacing w:beforeLines="50" w:afterLines="50" w:line="480" w:lineRule="exact"/>
        <w:textAlignment w:val="center"/>
        <w:rPr>
          <w:rFonts w:ascii="宋体" w:hAnsi="宋体" w:cs="仿宋_GB2312"/>
          <w:color w:val="auto"/>
          <w:kern w:val="0"/>
          <w:sz w:val="21"/>
          <w:szCs w:val="21"/>
        </w:rPr>
      </w:pPr>
    </w:p>
    <w:p w14:paraId="4C022D19">
      <w:pPr>
        <w:widowControl/>
        <w:wordWrap w:val="0"/>
        <w:spacing w:beforeLines="50" w:afterLines="50" w:line="480" w:lineRule="exact"/>
        <w:textAlignment w:val="center"/>
        <w:rPr>
          <w:rFonts w:ascii="宋体" w:hAnsi="宋体" w:cs="仿宋_GB2312"/>
          <w:color w:val="auto"/>
          <w:kern w:val="0"/>
          <w:sz w:val="21"/>
          <w:szCs w:val="21"/>
        </w:rPr>
      </w:pPr>
    </w:p>
    <w:p w14:paraId="58E53A55">
      <w:pPr>
        <w:widowControl/>
        <w:wordWrap w:val="0"/>
        <w:spacing w:beforeLines="50" w:afterLines="50" w:line="480" w:lineRule="exact"/>
        <w:textAlignment w:val="center"/>
        <w:rPr>
          <w:rFonts w:ascii="宋体" w:hAnsi="宋体" w:cs="仿宋_GB2312"/>
          <w:color w:val="auto"/>
          <w:kern w:val="0"/>
          <w:sz w:val="21"/>
          <w:szCs w:val="21"/>
        </w:rPr>
      </w:pPr>
    </w:p>
    <w:p w14:paraId="5E828B7E">
      <w:pPr>
        <w:widowControl/>
        <w:wordWrap w:val="0"/>
        <w:spacing w:beforeLines="50" w:afterLines="50" w:line="480" w:lineRule="exact"/>
        <w:textAlignment w:val="center"/>
        <w:rPr>
          <w:rFonts w:ascii="宋体" w:hAnsi="宋体" w:cs="仿宋_GB2312"/>
          <w:color w:val="auto"/>
          <w:kern w:val="0"/>
          <w:sz w:val="21"/>
          <w:szCs w:val="21"/>
        </w:rPr>
      </w:pPr>
    </w:p>
    <w:p w14:paraId="689D62F3">
      <w:pPr>
        <w:widowControl/>
        <w:wordWrap w:val="0"/>
        <w:spacing w:beforeLines="50" w:afterLines="50" w:line="480" w:lineRule="exact"/>
        <w:textAlignment w:val="center"/>
        <w:rPr>
          <w:rFonts w:ascii="宋体" w:hAnsi="宋体" w:cs="仿宋_GB2312"/>
          <w:color w:val="auto"/>
          <w:kern w:val="0"/>
          <w:sz w:val="21"/>
          <w:szCs w:val="21"/>
        </w:rPr>
      </w:pPr>
    </w:p>
    <w:p w14:paraId="65768561">
      <w:pPr>
        <w:widowControl/>
        <w:wordWrap w:val="0"/>
        <w:spacing w:beforeLines="50" w:afterLines="50" w:line="480" w:lineRule="exact"/>
        <w:textAlignment w:val="center"/>
        <w:rPr>
          <w:rFonts w:ascii="宋体" w:hAnsi="宋体" w:cs="仿宋_GB2312"/>
          <w:color w:val="auto"/>
          <w:kern w:val="0"/>
          <w:sz w:val="21"/>
          <w:szCs w:val="21"/>
        </w:rPr>
      </w:pPr>
    </w:p>
    <w:p w14:paraId="44D3A85E">
      <w:pPr>
        <w:widowControl/>
        <w:wordWrap w:val="0"/>
        <w:spacing w:beforeLines="50" w:afterLines="50" w:line="480" w:lineRule="exact"/>
        <w:textAlignment w:val="center"/>
        <w:rPr>
          <w:rFonts w:ascii="宋体" w:hAnsi="宋体" w:cs="仿宋_GB2312"/>
          <w:color w:val="auto"/>
          <w:kern w:val="0"/>
          <w:sz w:val="21"/>
          <w:szCs w:val="21"/>
        </w:rPr>
      </w:pPr>
      <w:r>
        <w:rPr>
          <w:rFonts w:hint="eastAsia" w:ascii="宋体" w:hAnsi="宋体" w:cs="仿宋_GB2312"/>
          <w:color w:val="auto"/>
          <w:kern w:val="0"/>
          <w:sz w:val="21"/>
          <w:szCs w:val="21"/>
        </w:rPr>
        <w:t>附表五：施工总平面图</w:t>
      </w:r>
    </w:p>
    <w:p w14:paraId="3FACADD7">
      <w:pPr>
        <w:widowControl/>
        <w:wordWrap w:val="0"/>
        <w:spacing w:line="520" w:lineRule="exact"/>
        <w:ind w:firstLine="420" w:firstLineChars="200"/>
        <w:jc w:val="left"/>
        <w:textAlignment w:val="center"/>
        <w:rPr>
          <w:rFonts w:ascii="宋体" w:hAnsi="宋体" w:cs="仿宋_GB2312"/>
          <w:color w:val="auto"/>
          <w:kern w:val="0"/>
          <w:sz w:val="21"/>
          <w:szCs w:val="21"/>
        </w:rPr>
      </w:pPr>
      <w:r>
        <w:rPr>
          <w:rFonts w:hint="eastAsia" w:ascii="宋体" w:hAnsi="宋体" w:cs="仿宋_GB2312"/>
          <w:color w:val="auto"/>
          <w:kern w:val="0"/>
          <w:sz w:val="21"/>
          <w:szCs w:val="21"/>
        </w:rPr>
        <w:t>投标人应递交一份施工总平面图，绘出现场临时设施布置图表并附文字说明，说明临时设施、加工车间、现场办公、设备及仓储、供电、供水、卫生、生活、道路、消防等设施的情况和布置。</w:t>
      </w:r>
    </w:p>
    <w:p w14:paraId="51CEDDFD">
      <w:pPr>
        <w:widowControl/>
        <w:wordWrap w:val="0"/>
        <w:spacing w:beforeLines="50" w:afterLines="50" w:line="480" w:lineRule="exact"/>
        <w:textAlignment w:val="center"/>
        <w:rPr>
          <w:rFonts w:ascii="宋体" w:hAnsi="宋体" w:cs="仿宋_GB2312"/>
          <w:color w:val="auto"/>
          <w:kern w:val="0"/>
          <w:sz w:val="21"/>
          <w:szCs w:val="21"/>
        </w:rPr>
      </w:pPr>
      <w:r>
        <w:rPr>
          <w:rFonts w:hint="eastAsia" w:ascii="宋体" w:hAnsi="宋体" w:cs="仿宋_GB2312"/>
          <w:color w:val="auto"/>
          <w:kern w:val="0"/>
          <w:sz w:val="22"/>
        </w:rPr>
        <w:br w:type="page"/>
      </w:r>
      <w:r>
        <w:rPr>
          <w:rFonts w:hint="eastAsia" w:ascii="宋体" w:hAnsi="宋体" w:cs="仿宋_GB2312"/>
          <w:color w:val="auto"/>
          <w:kern w:val="0"/>
          <w:sz w:val="21"/>
          <w:szCs w:val="21"/>
        </w:rPr>
        <w:t>附表六：临时用地表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2409"/>
        <w:gridCol w:w="2268"/>
        <w:gridCol w:w="2693"/>
      </w:tblGrid>
      <w:tr w14:paraId="4E08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0D4BD49A">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用途</w:t>
            </w:r>
          </w:p>
        </w:tc>
        <w:tc>
          <w:tcPr>
            <w:tcW w:w="2409" w:type="dxa"/>
            <w:tcBorders>
              <w:top w:val="single" w:color="auto" w:sz="4" w:space="0"/>
              <w:left w:val="nil"/>
              <w:bottom w:val="single" w:color="auto" w:sz="4" w:space="0"/>
              <w:right w:val="single" w:color="auto" w:sz="4" w:space="0"/>
            </w:tcBorders>
            <w:vAlign w:val="center"/>
          </w:tcPr>
          <w:p w14:paraId="32F916CD">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面积（平方米）</w:t>
            </w:r>
          </w:p>
        </w:tc>
        <w:tc>
          <w:tcPr>
            <w:tcW w:w="2268" w:type="dxa"/>
            <w:tcBorders>
              <w:top w:val="single" w:color="auto" w:sz="4" w:space="0"/>
              <w:left w:val="nil"/>
              <w:bottom w:val="single" w:color="auto" w:sz="4" w:space="0"/>
              <w:right w:val="single" w:color="auto" w:sz="4" w:space="0"/>
            </w:tcBorders>
            <w:vAlign w:val="center"/>
          </w:tcPr>
          <w:p w14:paraId="3213ED00">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位置</w:t>
            </w:r>
          </w:p>
        </w:tc>
        <w:tc>
          <w:tcPr>
            <w:tcW w:w="2693" w:type="dxa"/>
            <w:tcBorders>
              <w:top w:val="single" w:color="auto" w:sz="4" w:space="0"/>
              <w:left w:val="nil"/>
              <w:bottom w:val="single" w:color="auto" w:sz="4" w:space="0"/>
              <w:right w:val="single" w:color="auto" w:sz="4" w:space="0"/>
            </w:tcBorders>
            <w:vAlign w:val="center"/>
          </w:tcPr>
          <w:p w14:paraId="27ED42D8">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需用时间</w:t>
            </w:r>
          </w:p>
        </w:tc>
      </w:tr>
      <w:tr w14:paraId="60FD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46B044C7">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64A64983">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13367746">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3A4CAE8E">
            <w:pPr>
              <w:widowControl/>
              <w:wordWrap w:val="0"/>
              <w:spacing w:line="480" w:lineRule="exact"/>
              <w:jc w:val="left"/>
              <w:textAlignment w:val="center"/>
              <w:rPr>
                <w:rFonts w:ascii="宋体" w:hAnsi="宋体" w:cs="仿宋_GB2312"/>
                <w:color w:val="auto"/>
                <w:kern w:val="0"/>
                <w:sz w:val="21"/>
                <w:szCs w:val="21"/>
              </w:rPr>
            </w:pPr>
          </w:p>
        </w:tc>
      </w:tr>
      <w:tr w14:paraId="47B7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72AC71FE">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1816E5B5">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6DFEE4D">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6DC2EF62">
            <w:pPr>
              <w:widowControl/>
              <w:wordWrap w:val="0"/>
              <w:spacing w:line="480" w:lineRule="exact"/>
              <w:jc w:val="left"/>
              <w:textAlignment w:val="center"/>
              <w:rPr>
                <w:rFonts w:ascii="宋体" w:hAnsi="宋体" w:cs="仿宋_GB2312"/>
                <w:color w:val="auto"/>
                <w:kern w:val="0"/>
                <w:sz w:val="21"/>
                <w:szCs w:val="21"/>
              </w:rPr>
            </w:pPr>
          </w:p>
        </w:tc>
      </w:tr>
      <w:tr w14:paraId="3129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4F75ED31">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5170B9D4">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64720DE8">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1705B706">
            <w:pPr>
              <w:widowControl/>
              <w:wordWrap w:val="0"/>
              <w:spacing w:line="480" w:lineRule="exact"/>
              <w:jc w:val="left"/>
              <w:textAlignment w:val="center"/>
              <w:rPr>
                <w:rFonts w:ascii="宋体" w:hAnsi="宋体" w:cs="仿宋_GB2312"/>
                <w:color w:val="auto"/>
                <w:kern w:val="0"/>
                <w:sz w:val="21"/>
                <w:szCs w:val="21"/>
              </w:rPr>
            </w:pPr>
          </w:p>
        </w:tc>
      </w:tr>
      <w:tr w14:paraId="04FB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70ABD060">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6C932F23">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01B020E">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77EF80A1">
            <w:pPr>
              <w:widowControl/>
              <w:wordWrap w:val="0"/>
              <w:spacing w:line="480" w:lineRule="exact"/>
              <w:jc w:val="left"/>
              <w:textAlignment w:val="center"/>
              <w:rPr>
                <w:rFonts w:ascii="宋体" w:hAnsi="宋体" w:cs="仿宋_GB2312"/>
                <w:color w:val="auto"/>
                <w:kern w:val="0"/>
                <w:sz w:val="21"/>
                <w:szCs w:val="21"/>
              </w:rPr>
            </w:pPr>
          </w:p>
        </w:tc>
      </w:tr>
      <w:tr w14:paraId="1EDB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0CACF88E">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4B9D94F6">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14F3D73F">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0683540D">
            <w:pPr>
              <w:widowControl/>
              <w:wordWrap w:val="0"/>
              <w:spacing w:line="480" w:lineRule="exact"/>
              <w:jc w:val="left"/>
              <w:textAlignment w:val="center"/>
              <w:rPr>
                <w:rFonts w:ascii="宋体" w:hAnsi="宋体" w:cs="仿宋_GB2312"/>
                <w:color w:val="auto"/>
                <w:kern w:val="0"/>
                <w:sz w:val="21"/>
                <w:szCs w:val="21"/>
              </w:rPr>
            </w:pPr>
          </w:p>
        </w:tc>
      </w:tr>
      <w:tr w14:paraId="09DD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71CFB4FE">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44AF0390">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0173CA53">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756813F7">
            <w:pPr>
              <w:widowControl/>
              <w:wordWrap w:val="0"/>
              <w:spacing w:line="480" w:lineRule="exact"/>
              <w:jc w:val="left"/>
              <w:textAlignment w:val="center"/>
              <w:rPr>
                <w:rFonts w:ascii="宋体" w:hAnsi="宋体" w:cs="仿宋_GB2312"/>
                <w:color w:val="auto"/>
                <w:kern w:val="0"/>
                <w:sz w:val="21"/>
                <w:szCs w:val="21"/>
              </w:rPr>
            </w:pPr>
          </w:p>
        </w:tc>
      </w:tr>
      <w:tr w14:paraId="0C05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0BE08BEA">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110D8C91">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6ACA3281">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6008648E">
            <w:pPr>
              <w:widowControl/>
              <w:wordWrap w:val="0"/>
              <w:spacing w:line="480" w:lineRule="exact"/>
              <w:jc w:val="left"/>
              <w:textAlignment w:val="center"/>
              <w:rPr>
                <w:rFonts w:ascii="宋体" w:hAnsi="宋体" w:cs="仿宋_GB2312"/>
                <w:color w:val="auto"/>
                <w:kern w:val="0"/>
                <w:sz w:val="21"/>
                <w:szCs w:val="21"/>
              </w:rPr>
            </w:pPr>
          </w:p>
        </w:tc>
      </w:tr>
      <w:tr w14:paraId="3D6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3E6F3D2E">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15F6F205">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307EB80C">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6440755E">
            <w:pPr>
              <w:widowControl/>
              <w:wordWrap w:val="0"/>
              <w:spacing w:line="480" w:lineRule="exact"/>
              <w:jc w:val="left"/>
              <w:textAlignment w:val="center"/>
              <w:rPr>
                <w:rFonts w:ascii="宋体" w:hAnsi="宋体" w:cs="仿宋_GB2312"/>
                <w:color w:val="auto"/>
                <w:kern w:val="0"/>
                <w:sz w:val="21"/>
                <w:szCs w:val="21"/>
              </w:rPr>
            </w:pPr>
          </w:p>
        </w:tc>
      </w:tr>
      <w:tr w14:paraId="0F2D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1D4C077C">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1E1ADDEE">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22E143A0">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1824291D">
            <w:pPr>
              <w:widowControl/>
              <w:wordWrap w:val="0"/>
              <w:spacing w:line="480" w:lineRule="exact"/>
              <w:jc w:val="left"/>
              <w:textAlignment w:val="center"/>
              <w:rPr>
                <w:rFonts w:ascii="宋体" w:hAnsi="宋体" w:cs="仿宋_GB2312"/>
                <w:color w:val="auto"/>
                <w:kern w:val="0"/>
                <w:sz w:val="21"/>
                <w:szCs w:val="21"/>
              </w:rPr>
            </w:pPr>
          </w:p>
        </w:tc>
      </w:tr>
      <w:tr w14:paraId="2B1E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6FC86E23">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4F7AABAE">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09655461">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20FFA7F5">
            <w:pPr>
              <w:widowControl/>
              <w:wordWrap w:val="0"/>
              <w:spacing w:line="480" w:lineRule="exact"/>
              <w:jc w:val="left"/>
              <w:textAlignment w:val="center"/>
              <w:rPr>
                <w:rFonts w:ascii="宋体" w:hAnsi="宋体" w:cs="仿宋_GB2312"/>
                <w:color w:val="auto"/>
                <w:kern w:val="0"/>
                <w:sz w:val="21"/>
                <w:szCs w:val="21"/>
              </w:rPr>
            </w:pPr>
          </w:p>
        </w:tc>
      </w:tr>
      <w:tr w14:paraId="046B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7B924A48">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7BFD81AB">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0B64173E">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6AFDEF9D">
            <w:pPr>
              <w:widowControl/>
              <w:wordWrap w:val="0"/>
              <w:spacing w:line="480" w:lineRule="exact"/>
              <w:jc w:val="left"/>
              <w:textAlignment w:val="center"/>
              <w:rPr>
                <w:rFonts w:ascii="宋体" w:hAnsi="宋体" w:cs="仿宋_GB2312"/>
                <w:color w:val="auto"/>
                <w:kern w:val="0"/>
                <w:sz w:val="21"/>
                <w:szCs w:val="21"/>
              </w:rPr>
            </w:pPr>
          </w:p>
        </w:tc>
      </w:tr>
      <w:tr w14:paraId="11A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723988D2">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1B8AF26B">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B9C2B56">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649A4DA9">
            <w:pPr>
              <w:widowControl/>
              <w:wordWrap w:val="0"/>
              <w:spacing w:line="480" w:lineRule="exact"/>
              <w:jc w:val="left"/>
              <w:textAlignment w:val="center"/>
              <w:rPr>
                <w:rFonts w:ascii="宋体" w:hAnsi="宋体" w:cs="仿宋_GB2312"/>
                <w:color w:val="auto"/>
                <w:kern w:val="0"/>
                <w:sz w:val="21"/>
                <w:szCs w:val="21"/>
              </w:rPr>
            </w:pPr>
          </w:p>
        </w:tc>
      </w:tr>
      <w:tr w14:paraId="386E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1A71994B">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7421A393">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2C93B817">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657EA6B9">
            <w:pPr>
              <w:widowControl/>
              <w:wordWrap w:val="0"/>
              <w:spacing w:line="480" w:lineRule="exact"/>
              <w:jc w:val="left"/>
              <w:textAlignment w:val="center"/>
              <w:rPr>
                <w:rFonts w:ascii="宋体" w:hAnsi="宋体" w:cs="仿宋_GB2312"/>
                <w:color w:val="auto"/>
                <w:kern w:val="0"/>
                <w:sz w:val="21"/>
                <w:szCs w:val="21"/>
              </w:rPr>
            </w:pPr>
          </w:p>
        </w:tc>
      </w:tr>
      <w:tr w14:paraId="4144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31E27E20">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5763CCED">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024E847B">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30034B25">
            <w:pPr>
              <w:widowControl/>
              <w:wordWrap w:val="0"/>
              <w:spacing w:line="480" w:lineRule="exact"/>
              <w:jc w:val="left"/>
              <w:textAlignment w:val="center"/>
              <w:rPr>
                <w:rFonts w:ascii="宋体" w:hAnsi="宋体" w:cs="仿宋_GB2312"/>
                <w:color w:val="auto"/>
                <w:kern w:val="0"/>
                <w:sz w:val="21"/>
                <w:szCs w:val="21"/>
              </w:rPr>
            </w:pPr>
          </w:p>
        </w:tc>
      </w:tr>
      <w:tr w14:paraId="0C81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33582D5F">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2EA4B9A6">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41A9B426">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41F83AFF">
            <w:pPr>
              <w:widowControl/>
              <w:wordWrap w:val="0"/>
              <w:spacing w:line="480" w:lineRule="exact"/>
              <w:jc w:val="left"/>
              <w:textAlignment w:val="center"/>
              <w:rPr>
                <w:rFonts w:ascii="宋体" w:hAnsi="宋体" w:cs="仿宋_GB2312"/>
                <w:color w:val="auto"/>
                <w:kern w:val="0"/>
                <w:sz w:val="21"/>
                <w:szCs w:val="21"/>
              </w:rPr>
            </w:pPr>
          </w:p>
        </w:tc>
      </w:tr>
      <w:tr w14:paraId="472F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1ADD31AF">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5CE17514">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09D28EB">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52907713">
            <w:pPr>
              <w:widowControl/>
              <w:wordWrap w:val="0"/>
              <w:spacing w:line="480" w:lineRule="exact"/>
              <w:jc w:val="left"/>
              <w:textAlignment w:val="center"/>
              <w:rPr>
                <w:rFonts w:ascii="宋体" w:hAnsi="宋体" w:cs="仿宋_GB2312"/>
                <w:color w:val="auto"/>
                <w:kern w:val="0"/>
                <w:sz w:val="21"/>
                <w:szCs w:val="21"/>
              </w:rPr>
            </w:pPr>
          </w:p>
        </w:tc>
      </w:tr>
      <w:tr w14:paraId="0367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74438FC2">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2D55E0D1">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B7964F3">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534F29F1">
            <w:pPr>
              <w:widowControl/>
              <w:wordWrap w:val="0"/>
              <w:spacing w:line="480" w:lineRule="exact"/>
              <w:jc w:val="left"/>
              <w:textAlignment w:val="center"/>
              <w:rPr>
                <w:rFonts w:ascii="宋体" w:hAnsi="宋体" w:cs="仿宋_GB2312"/>
                <w:color w:val="auto"/>
                <w:kern w:val="0"/>
                <w:sz w:val="21"/>
                <w:szCs w:val="21"/>
              </w:rPr>
            </w:pPr>
          </w:p>
        </w:tc>
      </w:tr>
      <w:tr w14:paraId="0139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261D381B">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02018ECB">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3E96A32">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3D734488">
            <w:pPr>
              <w:widowControl/>
              <w:wordWrap w:val="0"/>
              <w:spacing w:line="480" w:lineRule="exact"/>
              <w:jc w:val="left"/>
              <w:textAlignment w:val="center"/>
              <w:rPr>
                <w:rFonts w:ascii="宋体" w:hAnsi="宋体" w:cs="仿宋_GB2312"/>
                <w:color w:val="auto"/>
                <w:kern w:val="0"/>
                <w:sz w:val="21"/>
                <w:szCs w:val="21"/>
              </w:rPr>
            </w:pPr>
          </w:p>
        </w:tc>
      </w:tr>
      <w:tr w14:paraId="0A02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59CB47A2">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7CBF153E">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11CEB79">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695A7D70">
            <w:pPr>
              <w:widowControl/>
              <w:wordWrap w:val="0"/>
              <w:spacing w:line="480" w:lineRule="exact"/>
              <w:jc w:val="left"/>
              <w:textAlignment w:val="center"/>
              <w:rPr>
                <w:rFonts w:ascii="宋体" w:hAnsi="宋体" w:cs="仿宋_GB2312"/>
                <w:color w:val="auto"/>
                <w:kern w:val="0"/>
                <w:sz w:val="21"/>
                <w:szCs w:val="21"/>
              </w:rPr>
            </w:pPr>
          </w:p>
        </w:tc>
      </w:tr>
      <w:tr w14:paraId="2523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7E3847E8">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54C56A2A">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519DD67F">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2896A5DA">
            <w:pPr>
              <w:widowControl/>
              <w:wordWrap w:val="0"/>
              <w:spacing w:line="480" w:lineRule="exact"/>
              <w:jc w:val="left"/>
              <w:textAlignment w:val="center"/>
              <w:rPr>
                <w:rFonts w:ascii="宋体" w:hAnsi="宋体" w:cs="仿宋_GB2312"/>
                <w:color w:val="auto"/>
                <w:kern w:val="0"/>
                <w:sz w:val="21"/>
                <w:szCs w:val="21"/>
              </w:rPr>
            </w:pPr>
          </w:p>
        </w:tc>
      </w:tr>
      <w:tr w14:paraId="467C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1F09550F">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7872772D">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00020B2F">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4984BD97">
            <w:pPr>
              <w:widowControl/>
              <w:wordWrap w:val="0"/>
              <w:spacing w:line="480" w:lineRule="exact"/>
              <w:jc w:val="left"/>
              <w:textAlignment w:val="center"/>
              <w:rPr>
                <w:rFonts w:ascii="宋体" w:hAnsi="宋体" w:cs="仿宋_GB2312"/>
                <w:color w:val="auto"/>
                <w:kern w:val="0"/>
                <w:sz w:val="21"/>
                <w:szCs w:val="21"/>
              </w:rPr>
            </w:pPr>
          </w:p>
        </w:tc>
      </w:tr>
      <w:tr w14:paraId="4241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4" w:space="0"/>
              <w:left w:val="single" w:color="auto" w:sz="4" w:space="0"/>
              <w:bottom w:val="single" w:color="auto" w:sz="4" w:space="0"/>
              <w:right w:val="single" w:color="auto" w:sz="4" w:space="0"/>
            </w:tcBorders>
          </w:tcPr>
          <w:p w14:paraId="4D0F0C69">
            <w:pPr>
              <w:widowControl/>
              <w:wordWrap w:val="0"/>
              <w:spacing w:line="480" w:lineRule="exact"/>
              <w:jc w:val="left"/>
              <w:textAlignment w:val="center"/>
              <w:rPr>
                <w:rFonts w:ascii="宋体" w:hAnsi="宋体" w:cs="仿宋_GB2312"/>
                <w:color w:val="auto"/>
                <w:kern w:val="0"/>
                <w:sz w:val="21"/>
                <w:szCs w:val="21"/>
              </w:rPr>
            </w:pPr>
          </w:p>
        </w:tc>
        <w:tc>
          <w:tcPr>
            <w:tcW w:w="2409" w:type="dxa"/>
            <w:tcBorders>
              <w:top w:val="single" w:color="auto" w:sz="4" w:space="0"/>
              <w:left w:val="nil"/>
              <w:bottom w:val="single" w:color="auto" w:sz="4" w:space="0"/>
              <w:right w:val="single" w:color="auto" w:sz="4" w:space="0"/>
            </w:tcBorders>
          </w:tcPr>
          <w:p w14:paraId="0C939BAF">
            <w:pPr>
              <w:widowControl/>
              <w:wordWrap w:val="0"/>
              <w:spacing w:line="480" w:lineRule="exact"/>
              <w:jc w:val="left"/>
              <w:textAlignment w:val="center"/>
              <w:rPr>
                <w:rFonts w:ascii="宋体" w:hAnsi="宋体" w:cs="仿宋_GB2312"/>
                <w:color w:val="auto"/>
                <w:kern w:val="0"/>
                <w:sz w:val="21"/>
                <w:szCs w:val="21"/>
              </w:rPr>
            </w:pPr>
          </w:p>
        </w:tc>
        <w:tc>
          <w:tcPr>
            <w:tcW w:w="2268" w:type="dxa"/>
            <w:tcBorders>
              <w:top w:val="single" w:color="auto" w:sz="4" w:space="0"/>
              <w:left w:val="nil"/>
              <w:bottom w:val="single" w:color="auto" w:sz="4" w:space="0"/>
              <w:right w:val="single" w:color="auto" w:sz="4" w:space="0"/>
            </w:tcBorders>
          </w:tcPr>
          <w:p w14:paraId="3B56B343">
            <w:pPr>
              <w:widowControl/>
              <w:wordWrap w:val="0"/>
              <w:spacing w:line="480" w:lineRule="exact"/>
              <w:jc w:val="left"/>
              <w:textAlignment w:val="center"/>
              <w:rPr>
                <w:rFonts w:ascii="宋体" w:hAnsi="宋体" w:cs="仿宋_GB2312"/>
                <w:color w:val="auto"/>
                <w:kern w:val="0"/>
                <w:sz w:val="21"/>
                <w:szCs w:val="21"/>
              </w:rPr>
            </w:pPr>
          </w:p>
        </w:tc>
        <w:tc>
          <w:tcPr>
            <w:tcW w:w="2693" w:type="dxa"/>
            <w:tcBorders>
              <w:top w:val="single" w:color="auto" w:sz="4" w:space="0"/>
              <w:left w:val="nil"/>
              <w:bottom w:val="single" w:color="auto" w:sz="4" w:space="0"/>
              <w:right w:val="single" w:color="auto" w:sz="4" w:space="0"/>
            </w:tcBorders>
          </w:tcPr>
          <w:p w14:paraId="44D68A66">
            <w:pPr>
              <w:widowControl/>
              <w:wordWrap w:val="0"/>
              <w:spacing w:line="480" w:lineRule="exact"/>
              <w:jc w:val="left"/>
              <w:textAlignment w:val="center"/>
              <w:rPr>
                <w:rFonts w:ascii="宋体" w:hAnsi="宋体" w:cs="仿宋_GB2312"/>
                <w:color w:val="auto"/>
                <w:kern w:val="0"/>
                <w:sz w:val="21"/>
                <w:szCs w:val="21"/>
              </w:rPr>
            </w:pPr>
          </w:p>
        </w:tc>
      </w:tr>
    </w:tbl>
    <w:p w14:paraId="1AB2BB16">
      <w:pPr>
        <w:widowControl/>
        <w:wordWrap w:val="0"/>
        <w:spacing w:beforeLines="50" w:afterLines="50" w:line="480" w:lineRule="exact"/>
        <w:jc w:val="left"/>
        <w:textAlignment w:val="center"/>
        <w:rPr>
          <w:rFonts w:ascii="宋体" w:hAnsi="宋体" w:cs="仿宋_GB2312"/>
          <w:color w:val="auto"/>
          <w:kern w:val="0"/>
          <w:sz w:val="22"/>
        </w:rPr>
      </w:pPr>
    </w:p>
    <w:p w14:paraId="107D0DCD">
      <w:pPr>
        <w:widowControl/>
        <w:wordWrap w:val="0"/>
        <w:spacing w:beforeLines="50" w:afterLines="50" w:line="480" w:lineRule="exact"/>
        <w:jc w:val="left"/>
        <w:textAlignment w:val="center"/>
        <w:rPr>
          <w:rFonts w:ascii="宋体" w:hAnsi="宋体" w:cs="仿宋_GB2312"/>
          <w:color w:val="auto"/>
          <w:kern w:val="0"/>
          <w:sz w:val="22"/>
        </w:rPr>
      </w:pPr>
    </w:p>
    <w:p w14:paraId="577C20DD">
      <w:pPr>
        <w:widowControl/>
        <w:wordWrap w:val="0"/>
        <w:jc w:val="left"/>
        <w:rPr>
          <w:rFonts w:ascii="宋体" w:hAnsi="宋体" w:cs="仿宋_GB2312"/>
          <w:color w:val="auto"/>
          <w:kern w:val="0"/>
          <w:sz w:val="22"/>
        </w:rPr>
      </w:pPr>
      <w:r>
        <w:rPr>
          <w:rFonts w:hint="eastAsia" w:ascii="宋体" w:hAnsi="宋体" w:cs="仿宋_GB2312"/>
          <w:color w:val="auto"/>
          <w:kern w:val="0"/>
          <w:sz w:val="22"/>
        </w:rPr>
        <w:br w:type="page"/>
      </w:r>
    </w:p>
    <w:p w14:paraId="0F565768">
      <w:pPr>
        <w:keepNext/>
        <w:keepLines/>
        <w:widowControl/>
        <w:wordWrap w:val="0"/>
        <w:spacing w:line="360" w:lineRule="auto"/>
        <w:jc w:val="center"/>
        <w:outlineLvl w:val="1"/>
        <w:rPr>
          <w:rFonts w:ascii="Arial" w:hAnsi="Arial"/>
          <w:b/>
          <w:color w:val="auto"/>
          <w:sz w:val="24"/>
          <w:szCs w:val="32"/>
        </w:rPr>
      </w:pPr>
      <w:bookmarkStart w:id="871" w:name="_Toc204691615"/>
      <w:r>
        <w:rPr>
          <w:rFonts w:hint="eastAsia" w:ascii="Arial" w:hAnsi="Arial"/>
          <w:b/>
          <w:color w:val="auto"/>
          <w:sz w:val="24"/>
          <w:szCs w:val="32"/>
        </w:rPr>
        <w:t>七、项目管理机构</w:t>
      </w:r>
      <w:bookmarkEnd w:id="871"/>
    </w:p>
    <w:p w14:paraId="28DE7624">
      <w:pPr>
        <w:widowControl/>
        <w:wordWrap w:val="0"/>
        <w:spacing w:line="420" w:lineRule="exact"/>
        <w:jc w:val="center"/>
        <w:outlineLvl w:val="3"/>
        <w:rPr>
          <w:rFonts w:ascii="宋体" w:hAnsi="宋体" w:cs="仿宋_GB2312"/>
          <w:color w:val="auto"/>
          <w:sz w:val="24"/>
        </w:rPr>
      </w:pPr>
      <w:r>
        <w:rPr>
          <w:rFonts w:hint="eastAsia" w:ascii="宋体" w:hAnsi="宋体" w:cs="仿宋_GB2312"/>
          <w:color w:val="auto"/>
          <w:sz w:val="24"/>
        </w:rPr>
        <w:t>（一）项目管理机构组成表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08"/>
        <w:gridCol w:w="708"/>
        <w:gridCol w:w="975"/>
        <w:gridCol w:w="929"/>
        <w:gridCol w:w="934"/>
        <w:gridCol w:w="850"/>
        <w:gridCol w:w="1982"/>
        <w:gridCol w:w="707"/>
      </w:tblGrid>
      <w:tr w14:paraId="759D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vMerge w:val="restart"/>
            <w:tcBorders>
              <w:top w:val="single" w:color="auto" w:sz="4" w:space="0"/>
              <w:left w:val="single" w:color="auto" w:sz="4" w:space="0"/>
              <w:bottom w:val="single" w:color="auto" w:sz="4" w:space="0"/>
              <w:right w:val="single" w:color="auto" w:sz="4" w:space="0"/>
            </w:tcBorders>
            <w:vAlign w:val="center"/>
          </w:tcPr>
          <w:p w14:paraId="469B42B4">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职务</w:t>
            </w:r>
          </w:p>
        </w:tc>
        <w:tc>
          <w:tcPr>
            <w:tcW w:w="708" w:type="dxa"/>
            <w:vMerge w:val="restart"/>
            <w:tcBorders>
              <w:top w:val="single" w:color="auto" w:sz="4" w:space="0"/>
              <w:left w:val="nil"/>
              <w:bottom w:val="single" w:color="auto" w:sz="4" w:space="0"/>
              <w:right w:val="single" w:color="auto" w:sz="4" w:space="0"/>
            </w:tcBorders>
            <w:vAlign w:val="center"/>
          </w:tcPr>
          <w:p w14:paraId="332B93AD">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姓名</w:t>
            </w:r>
          </w:p>
        </w:tc>
        <w:tc>
          <w:tcPr>
            <w:tcW w:w="708" w:type="dxa"/>
            <w:vMerge w:val="restart"/>
            <w:tcBorders>
              <w:top w:val="single" w:color="auto" w:sz="4" w:space="0"/>
              <w:left w:val="nil"/>
              <w:bottom w:val="single" w:color="auto" w:sz="4" w:space="0"/>
              <w:right w:val="single" w:color="auto" w:sz="4" w:space="0"/>
            </w:tcBorders>
            <w:vAlign w:val="center"/>
          </w:tcPr>
          <w:p w14:paraId="412041FB">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12DE0A8A">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执业或职业资格证明</w:t>
            </w:r>
          </w:p>
        </w:tc>
        <w:tc>
          <w:tcPr>
            <w:tcW w:w="707" w:type="dxa"/>
            <w:vMerge w:val="restart"/>
            <w:tcBorders>
              <w:top w:val="single" w:color="auto" w:sz="4" w:space="0"/>
              <w:left w:val="nil"/>
              <w:bottom w:val="single" w:color="auto" w:sz="4" w:space="0"/>
              <w:right w:val="single" w:color="auto" w:sz="4" w:space="0"/>
            </w:tcBorders>
            <w:vAlign w:val="center"/>
          </w:tcPr>
          <w:p w14:paraId="3FDA3A14">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备注</w:t>
            </w:r>
          </w:p>
        </w:tc>
      </w:tr>
      <w:tr w14:paraId="174B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vMerge w:val="continue"/>
            <w:tcBorders>
              <w:top w:val="single" w:color="auto" w:sz="4" w:space="0"/>
              <w:left w:val="single" w:color="auto" w:sz="4" w:space="0"/>
              <w:bottom w:val="single" w:color="auto" w:sz="4" w:space="0"/>
              <w:right w:val="single" w:color="auto" w:sz="4" w:space="0"/>
            </w:tcBorders>
            <w:vAlign w:val="center"/>
          </w:tcPr>
          <w:p w14:paraId="2DBD224D">
            <w:pPr>
              <w:widowControl/>
              <w:wordWrap w:val="0"/>
              <w:jc w:val="left"/>
              <w:rPr>
                <w:rFonts w:ascii="宋体" w:hAnsi="宋体" w:cs="仿宋_GB2312"/>
                <w:color w:val="auto"/>
                <w:kern w:val="0"/>
                <w:sz w:val="21"/>
                <w:szCs w:val="21"/>
              </w:rPr>
            </w:pPr>
          </w:p>
        </w:tc>
        <w:tc>
          <w:tcPr>
            <w:tcW w:w="708" w:type="dxa"/>
            <w:vMerge w:val="continue"/>
            <w:tcBorders>
              <w:top w:val="single" w:color="auto" w:sz="4" w:space="0"/>
              <w:left w:val="nil"/>
              <w:bottom w:val="single" w:color="auto" w:sz="4" w:space="0"/>
              <w:right w:val="single" w:color="auto" w:sz="4" w:space="0"/>
            </w:tcBorders>
            <w:vAlign w:val="center"/>
          </w:tcPr>
          <w:p w14:paraId="5D9A7228">
            <w:pPr>
              <w:widowControl/>
              <w:wordWrap w:val="0"/>
              <w:jc w:val="left"/>
              <w:rPr>
                <w:rFonts w:ascii="宋体" w:hAnsi="宋体" w:cs="仿宋_GB2312"/>
                <w:color w:val="auto"/>
                <w:kern w:val="0"/>
                <w:sz w:val="21"/>
                <w:szCs w:val="21"/>
              </w:rPr>
            </w:pPr>
          </w:p>
        </w:tc>
        <w:tc>
          <w:tcPr>
            <w:tcW w:w="708" w:type="dxa"/>
            <w:vMerge w:val="continue"/>
            <w:tcBorders>
              <w:top w:val="single" w:color="auto" w:sz="4" w:space="0"/>
              <w:left w:val="nil"/>
              <w:bottom w:val="single" w:color="auto" w:sz="4" w:space="0"/>
              <w:right w:val="single" w:color="auto" w:sz="4" w:space="0"/>
            </w:tcBorders>
            <w:vAlign w:val="center"/>
          </w:tcPr>
          <w:p w14:paraId="3D9DDD16">
            <w:pPr>
              <w:widowControl/>
              <w:wordWrap w:val="0"/>
              <w:jc w:val="left"/>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3B815E33">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证书名称</w:t>
            </w:r>
          </w:p>
        </w:tc>
        <w:tc>
          <w:tcPr>
            <w:tcW w:w="929" w:type="dxa"/>
            <w:tcBorders>
              <w:top w:val="single" w:color="auto" w:sz="4" w:space="0"/>
              <w:left w:val="nil"/>
              <w:bottom w:val="single" w:color="auto" w:sz="4" w:space="0"/>
              <w:right w:val="single" w:color="auto" w:sz="4" w:space="0"/>
            </w:tcBorders>
            <w:vAlign w:val="center"/>
          </w:tcPr>
          <w:p w14:paraId="3C470E88">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级别</w:t>
            </w:r>
          </w:p>
        </w:tc>
        <w:tc>
          <w:tcPr>
            <w:tcW w:w="934" w:type="dxa"/>
            <w:tcBorders>
              <w:top w:val="single" w:color="auto" w:sz="4" w:space="0"/>
              <w:left w:val="nil"/>
              <w:bottom w:val="single" w:color="auto" w:sz="4" w:space="0"/>
              <w:right w:val="single" w:color="auto" w:sz="4" w:space="0"/>
            </w:tcBorders>
            <w:vAlign w:val="center"/>
          </w:tcPr>
          <w:p w14:paraId="26F9025A">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证号</w:t>
            </w:r>
          </w:p>
        </w:tc>
        <w:tc>
          <w:tcPr>
            <w:tcW w:w="850" w:type="dxa"/>
            <w:tcBorders>
              <w:top w:val="single" w:color="auto" w:sz="4" w:space="0"/>
              <w:left w:val="nil"/>
              <w:bottom w:val="single" w:color="auto" w:sz="4" w:space="0"/>
              <w:right w:val="single" w:color="auto" w:sz="4" w:space="0"/>
            </w:tcBorders>
            <w:vAlign w:val="center"/>
          </w:tcPr>
          <w:p w14:paraId="44695EF8">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专业</w:t>
            </w:r>
          </w:p>
        </w:tc>
        <w:tc>
          <w:tcPr>
            <w:tcW w:w="1982" w:type="dxa"/>
            <w:tcBorders>
              <w:top w:val="single" w:color="auto" w:sz="4" w:space="0"/>
              <w:left w:val="nil"/>
              <w:bottom w:val="single" w:color="auto" w:sz="4" w:space="0"/>
              <w:right w:val="single" w:color="auto" w:sz="4" w:space="0"/>
            </w:tcBorders>
            <w:vAlign w:val="center"/>
          </w:tcPr>
          <w:p w14:paraId="6F3768BA">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养老保险</w:t>
            </w:r>
          </w:p>
          <w:p w14:paraId="3F12670B">
            <w:pPr>
              <w:widowControl/>
              <w:wordWrap w:val="0"/>
              <w:spacing w:line="480" w:lineRule="exact"/>
              <w:jc w:val="center"/>
              <w:textAlignment w:val="center"/>
              <w:rPr>
                <w:rFonts w:ascii="宋体" w:hAnsi="宋体" w:cs="仿宋_GB2312"/>
                <w:color w:val="auto"/>
                <w:kern w:val="0"/>
                <w:sz w:val="21"/>
                <w:szCs w:val="21"/>
              </w:rPr>
            </w:pPr>
            <w:r>
              <w:rPr>
                <w:rFonts w:hint="eastAsia" w:ascii="宋体" w:hAnsi="宋体" w:cs="仿宋_GB2312"/>
                <w:color w:val="auto"/>
                <w:kern w:val="0"/>
                <w:sz w:val="21"/>
                <w:szCs w:val="21"/>
              </w:rPr>
              <w:t>（是否交纳）</w:t>
            </w:r>
          </w:p>
        </w:tc>
        <w:tc>
          <w:tcPr>
            <w:tcW w:w="707" w:type="dxa"/>
            <w:vMerge w:val="continue"/>
            <w:tcBorders>
              <w:top w:val="single" w:color="auto" w:sz="4" w:space="0"/>
              <w:left w:val="nil"/>
              <w:bottom w:val="single" w:color="auto" w:sz="4" w:space="0"/>
              <w:right w:val="single" w:color="auto" w:sz="4" w:space="0"/>
            </w:tcBorders>
            <w:vAlign w:val="center"/>
          </w:tcPr>
          <w:p w14:paraId="67373033">
            <w:pPr>
              <w:widowControl/>
              <w:wordWrap w:val="0"/>
              <w:jc w:val="left"/>
              <w:rPr>
                <w:rFonts w:ascii="宋体" w:hAnsi="宋体" w:cs="仿宋_GB2312"/>
                <w:color w:val="auto"/>
                <w:kern w:val="0"/>
                <w:sz w:val="21"/>
                <w:szCs w:val="21"/>
              </w:rPr>
            </w:pPr>
          </w:p>
        </w:tc>
      </w:tr>
      <w:tr w14:paraId="48FF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D741FCA">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7EBF4733">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0B1EC898">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593B341B">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48CE69E6">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3411B781">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465852CC">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0C473BFC">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0F2D32DE">
            <w:pPr>
              <w:widowControl/>
              <w:wordWrap w:val="0"/>
              <w:spacing w:line="480" w:lineRule="exact"/>
              <w:jc w:val="center"/>
              <w:textAlignment w:val="center"/>
              <w:rPr>
                <w:rFonts w:ascii="宋体" w:hAnsi="宋体" w:cs="仿宋_GB2312"/>
                <w:color w:val="auto"/>
                <w:kern w:val="0"/>
                <w:sz w:val="21"/>
                <w:szCs w:val="21"/>
              </w:rPr>
            </w:pPr>
          </w:p>
        </w:tc>
      </w:tr>
      <w:tr w14:paraId="4056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11AA0E45">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3E5765AD">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1CEDA513">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5664C365">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1C108CFD">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2ECCBBE0">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6A77F812">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4051AFBA">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4BC91492">
            <w:pPr>
              <w:widowControl/>
              <w:wordWrap w:val="0"/>
              <w:spacing w:line="480" w:lineRule="exact"/>
              <w:jc w:val="center"/>
              <w:textAlignment w:val="center"/>
              <w:rPr>
                <w:rFonts w:ascii="宋体" w:hAnsi="宋体" w:cs="仿宋_GB2312"/>
                <w:color w:val="auto"/>
                <w:kern w:val="0"/>
                <w:sz w:val="21"/>
                <w:szCs w:val="21"/>
              </w:rPr>
            </w:pPr>
          </w:p>
        </w:tc>
      </w:tr>
      <w:tr w14:paraId="5B84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4A45533">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73E7F994">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DC44B07">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443A019C">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124B0F60">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32F84626">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442355C7">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407AF316">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3D442483">
            <w:pPr>
              <w:widowControl/>
              <w:wordWrap w:val="0"/>
              <w:spacing w:line="480" w:lineRule="exact"/>
              <w:jc w:val="center"/>
              <w:textAlignment w:val="center"/>
              <w:rPr>
                <w:rFonts w:ascii="宋体" w:hAnsi="宋体" w:cs="仿宋_GB2312"/>
                <w:color w:val="auto"/>
                <w:kern w:val="0"/>
                <w:sz w:val="21"/>
                <w:szCs w:val="21"/>
              </w:rPr>
            </w:pPr>
          </w:p>
        </w:tc>
      </w:tr>
      <w:tr w14:paraId="6D7D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177ED2EB">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40059EC7">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1E27FFD5">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48207EA7">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75A3DDEA">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30F799A2">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1C199D66">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5240B89D">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46E1E07F">
            <w:pPr>
              <w:widowControl/>
              <w:wordWrap w:val="0"/>
              <w:spacing w:line="480" w:lineRule="exact"/>
              <w:jc w:val="center"/>
              <w:textAlignment w:val="center"/>
              <w:rPr>
                <w:rFonts w:ascii="宋体" w:hAnsi="宋体" w:cs="仿宋_GB2312"/>
                <w:color w:val="auto"/>
                <w:kern w:val="0"/>
                <w:sz w:val="21"/>
                <w:szCs w:val="21"/>
              </w:rPr>
            </w:pPr>
          </w:p>
        </w:tc>
      </w:tr>
      <w:tr w14:paraId="4B24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356D3CBF">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1479BFAA">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00FED66">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08F66E72">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552F3028">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6C70CFD7">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5E623178">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61B03F8C">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356D5DC1">
            <w:pPr>
              <w:widowControl/>
              <w:wordWrap w:val="0"/>
              <w:spacing w:line="480" w:lineRule="exact"/>
              <w:jc w:val="center"/>
              <w:textAlignment w:val="center"/>
              <w:rPr>
                <w:rFonts w:ascii="宋体" w:hAnsi="宋体" w:cs="仿宋_GB2312"/>
                <w:color w:val="auto"/>
                <w:kern w:val="0"/>
                <w:sz w:val="21"/>
                <w:szCs w:val="21"/>
              </w:rPr>
            </w:pPr>
          </w:p>
        </w:tc>
      </w:tr>
      <w:tr w14:paraId="4AE5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79E5A577">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214C96E7">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551783A">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40C8FC68">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64883356">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17E62821">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361B7F5B">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3946997F">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68CD01FD">
            <w:pPr>
              <w:widowControl/>
              <w:wordWrap w:val="0"/>
              <w:spacing w:line="480" w:lineRule="exact"/>
              <w:jc w:val="center"/>
              <w:textAlignment w:val="center"/>
              <w:rPr>
                <w:rFonts w:ascii="宋体" w:hAnsi="宋体" w:cs="仿宋_GB2312"/>
                <w:color w:val="auto"/>
                <w:kern w:val="0"/>
                <w:sz w:val="21"/>
                <w:szCs w:val="21"/>
              </w:rPr>
            </w:pPr>
          </w:p>
        </w:tc>
      </w:tr>
      <w:tr w14:paraId="386F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26607969">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67D00DA">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742C348">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1D536FB2">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4143CBAD">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7436C863">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3B4EE73C">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2B5E3033">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223EDB87">
            <w:pPr>
              <w:widowControl/>
              <w:wordWrap w:val="0"/>
              <w:spacing w:line="480" w:lineRule="exact"/>
              <w:jc w:val="center"/>
              <w:textAlignment w:val="center"/>
              <w:rPr>
                <w:rFonts w:ascii="宋体" w:hAnsi="宋体" w:cs="仿宋_GB2312"/>
                <w:color w:val="auto"/>
                <w:kern w:val="0"/>
                <w:sz w:val="21"/>
                <w:szCs w:val="21"/>
              </w:rPr>
            </w:pPr>
          </w:p>
        </w:tc>
      </w:tr>
      <w:tr w14:paraId="0B81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5D3F5A6">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383ECC42">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175ED874">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2857CA07">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3C1A78A1">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4322CE15">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3BA3292B">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7F3E146C">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708D8D51">
            <w:pPr>
              <w:widowControl/>
              <w:wordWrap w:val="0"/>
              <w:spacing w:line="480" w:lineRule="exact"/>
              <w:jc w:val="center"/>
              <w:textAlignment w:val="center"/>
              <w:rPr>
                <w:rFonts w:ascii="宋体" w:hAnsi="宋体" w:cs="仿宋_GB2312"/>
                <w:color w:val="auto"/>
                <w:kern w:val="0"/>
                <w:sz w:val="21"/>
                <w:szCs w:val="21"/>
              </w:rPr>
            </w:pPr>
          </w:p>
        </w:tc>
      </w:tr>
      <w:tr w14:paraId="1C75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47653F61">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00DFA331">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6A37AE7D">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1F6B65BB">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5056AA00">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3C5F23EF">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1ED8505B">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233E710A">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1CEFB43D">
            <w:pPr>
              <w:widowControl/>
              <w:wordWrap w:val="0"/>
              <w:spacing w:line="480" w:lineRule="exact"/>
              <w:jc w:val="center"/>
              <w:textAlignment w:val="center"/>
              <w:rPr>
                <w:rFonts w:ascii="宋体" w:hAnsi="宋体" w:cs="仿宋_GB2312"/>
                <w:color w:val="auto"/>
                <w:kern w:val="0"/>
                <w:sz w:val="21"/>
                <w:szCs w:val="21"/>
              </w:rPr>
            </w:pPr>
          </w:p>
        </w:tc>
      </w:tr>
      <w:tr w14:paraId="6526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7902E0F9">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B541B48">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2AE0920F">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04D4AA91">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455371FD">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3E0D0B93">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CBB72DB">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54944483">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201A87E3">
            <w:pPr>
              <w:widowControl/>
              <w:wordWrap w:val="0"/>
              <w:spacing w:line="480" w:lineRule="exact"/>
              <w:jc w:val="center"/>
              <w:textAlignment w:val="center"/>
              <w:rPr>
                <w:rFonts w:ascii="宋体" w:hAnsi="宋体" w:cs="仿宋_GB2312"/>
                <w:color w:val="auto"/>
                <w:kern w:val="0"/>
                <w:sz w:val="21"/>
                <w:szCs w:val="21"/>
              </w:rPr>
            </w:pPr>
          </w:p>
        </w:tc>
      </w:tr>
      <w:tr w14:paraId="7B92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7CA6D691">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778A75CE">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016981DD">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7D791828">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37804599">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49F7A51C">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7AE86DC3">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3CB27381">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102343CD">
            <w:pPr>
              <w:widowControl/>
              <w:wordWrap w:val="0"/>
              <w:spacing w:line="480" w:lineRule="exact"/>
              <w:jc w:val="center"/>
              <w:textAlignment w:val="center"/>
              <w:rPr>
                <w:rFonts w:ascii="宋体" w:hAnsi="宋体" w:cs="仿宋_GB2312"/>
                <w:color w:val="auto"/>
                <w:kern w:val="0"/>
                <w:sz w:val="21"/>
                <w:szCs w:val="21"/>
              </w:rPr>
            </w:pPr>
          </w:p>
        </w:tc>
      </w:tr>
      <w:tr w14:paraId="36E0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98D07F9">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7AF8A23A">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3C995C65">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0B2180A3">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7EE0FEC8">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297F7D83">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2C471526">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7A9AE2F8">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60C8202F">
            <w:pPr>
              <w:widowControl/>
              <w:wordWrap w:val="0"/>
              <w:spacing w:line="480" w:lineRule="exact"/>
              <w:jc w:val="center"/>
              <w:textAlignment w:val="center"/>
              <w:rPr>
                <w:rFonts w:ascii="宋体" w:hAnsi="宋体" w:cs="仿宋_GB2312"/>
                <w:color w:val="auto"/>
                <w:kern w:val="0"/>
                <w:sz w:val="21"/>
                <w:szCs w:val="21"/>
              </w:rPr>
            </w:pPr>
          </w:p>
        </w:tc>
      </w:tr>
      <w:tr w14:paraId="470A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AA40870">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3597E9C8">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619AB75A">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0EBD9857">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4FC3FC3C">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7CE34337">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40A13C5D">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6B806853">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71A02AC4">
            <w:pPr>
              <w:widowControl/>
              <w:wordWrap w:val="0"/>
              <w:spacing w:line="480" w:lineRule="exact"/>
              <w:jc w:val="center"/>
              <w:textAlignment w:val="center"/>
              <w:rPr>
                <w:rFonts w:ascii="宋体" w:hAnsi="宋体" w:cs="仿宋_GB2312"/>
                <w:color w:val="auto"/>
                <w:kern w:val="0"/>
                <w:sz w:val="21"/>
                <w:szCs w:val="21"/>
              </w:rPr>
            </w:pPr>
          </w:p>
        </w:tc>
      </w:tr>
      <w:tr w14:paraId="47C2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7A644AAF">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267CC086">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74628E8E">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778D0472">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4C798384">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147584CC">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1AB5AC1">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2910A3F6">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35FF7A7C">
            <w:pPr>
              <w:widowControl/>
              <w:wordWrap w:val="0"/>
              <w:spacing w:line="480" w:lineRule="exact"/>
              <w:jc w:val="center"/>
              <w:textAlignment w:val="center"/>
              <w:rPr>
                <w:rFonts w:ascii="宋体" w:hAnsi="宋体" w:cs="仿宋_GB2312"/>
                <w:color w:val="auto"/>
                <w:kern w:val="0"/>
                <w:sz w:val="21"/>
                <w:szCs w:val="21"/>
              </w:rPr>
            </w:pPr>
          </w:p>
        </w:tc>
      </w:tr>
      <w:tr w14:paraId="4521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1E32E3CB">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47C5FB45">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9BACFED">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2AA0CCB3">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0BC23A3C">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7A0C7376">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6FC35991">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3C8D46BD">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2B8C97D6">
            <w:pPr>
              <w:widowControl/>
              <w:wordWrap w:val="0"/>
              <w:spacing w:line="480" w:lineRule="exact"/>
              <w:jc w:val="center"/>
              <w:textAlignment w:val="center"/>
              <w:rPr>
                <w:rFonts w:ascii="宋体" w:hAnsi="宋体" w:cs="仿宋_GB2312"/>
                <w:color w:val="auto"/>
                <w:kern w:val="0"/>
                <w:sz w:val="21"/>
                <w:szCs w:val="21"/>
              </w:rPr>
            </w:pPr>
          </w:p>
        </w:tc>
      </w:tr>
      <w:tr w14:paraId="29E2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64029B88">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4EAF6233">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252CCBC3">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659B122D">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6EC527B2">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5E02C5FB">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3FFB1EDF">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6FB2E231">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2657642B">
            <w:pPr>
              <w:widowControl/>
              <w:wordWrap w:val="0"/>
              <w:spacing w:line="480" w:lineRule="exact"/>
              <w:jc w:val="center"/>
              <w:textAlignment w:val="center"/>
              <w:rPr>
                <w:rFonts w:ascii="宋体" w:hAnsi="宋体" w:cs="仿宋_GB2312"/>
                <w:color w:val="auto"/>
                <w:kern w:val="0"/>
                <w:sz w:val="21"/>
                <w:szCs w:val="21"/>
              </w:rPr>
            </w:pPr>
          </w:p>
        </w:tc>
      </w:tr>
      <w:tr w14:paraId="02E7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F549329">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6A29652">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4F453676">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2A97EF72">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4232814D">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3728287B">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11889482">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51F8F3C1">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60D8CC41">
            <w:pPr>
              <w:widowControl/>
              <w:wordWrap w:val="0"/>
              <w:spacing w:line="480" w:lineRule="exact"/>
              <w:jc w:val="center"/>
              <w:textAlignment w:val="center"/>
              <w:rPr>
                <w:rFonts w:ascii="宋体" w:hAnsi="宋体" w:cs="仿宋_GB2312"/>
                <w:color w:val="auto"/>
                <w:kern w:val="0"/>
                <w:sz w:val="21"/>
                <w:szCs w:val="21"/>
              </w:rPr>
            </w:pPr>
          </w:p>
        </w:tc>
      </w:tr>
      <w:tr w14:paraId="68DE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56774A01">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0AB10C09">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519421DF">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13DCDFBE">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5D57616B">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054E05A7">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0417B565">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76C8AF26">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5506BC59">
            <w:pPr>
              <w:widowControl/>
              <w:wordWrap w:val="0"/>
              <w:spacing w:line="480" w:lineRule="exact"/>
              <w:jc w:val="center"/>
              <w:textAlignment w:val="center"/>
              <w:rPr>
                <w:rFonts w:ascii="宋体" w:hAnsi="宋体" w:cs="仿宋_GB2312"/>
                <w:color w:val="auto"/>
                <w:kern w:val="0"/>
                <w:sz w:val="21"/>
                <w:szCs w:val="21"/>
              </w:rPr>
            </w:pPr>
          </w:p>
        </w:tc>
      </w:tr>
      <w:tr w14:paraId="13EE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12BE0134">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10424A62">
            <w:pPr>
              <w:widowControl/>
              <w:wordWrap w:val="0"/>
              <w:spacing w:line="480" w:lineRule="exact"/>
              <w:jc w:val="center"/>
              <w:textAlignment w:val="center"/>
              <w:rPr>
                <w:rFonts w:ascii="宋体" w:hAnsi="宋体" w:cs="仿宋_GB2312"/>
                <w:color w:val="auto"/>
                <w:kern w:val="0"/>
                <w:sz w:val="21"/>
                <w:szCs w:val="21"/>
              </w:rPr>
            </w:pPr>
          </w:p>
        </w:tc>
        <w:tc>
          <w:tcPr>
            <w:tcW w:w="708" w:type="dxa"/>
            <w:tcBorders>
              <w:top w:val="single" w:color="auto" w:sz="4" w:space="0"/>
              <w:left w:val="nil"/>
              <w:bottom w:val="single" w:color="auto" w:sz="4" w:space="0"/>
              <w:right w:val="single" w:color="auto" w:sz="4" w:space="0"/>
            </w:tcBorders>
            <w:vAlign w:val="center"/>
          </w:tcPr>
          <w:p w14:paraId="0D10C71F">
            <w:pPr>
              <w:widowControl/>
              <w:wordWrap w:val="0"/>
              <w:spacing w:line="480" w:lineRule="exact"/>
              <w:jc w:val="center"/>
              <w:textAlignment w:val="center"/>
              <w:rPr>
                <w:rFonts w:ascii="宋体" w:hAnsi="宋体" w:cs="仿宋_GB2312"/>
                <w:color w:val="auto"/>
                <w:kern w:val="0"/>
                <w:sz w:val="21"/>
                <w:szCs w:val="21"/>
              </w:rPr>
            </w:pPr>
          </w:p>
        </w:tc>
        <w:tc>
          <w:tcPr>
            <w:tcW w:w="975" w:type="dxa"/>
            <w:tcBorders>
              <w:top w:val="single" w:color="auto" w:sz="4" w:space="0"/>
              <w:left w:val="nil"/>
              <w:bottom w:val="single" w:color="auto" w:sz="4" w:space="0"/>
              <w:right w:val="single" w:color="auto" w:sz="4" w:space="0"/>
            </w:tcBorders>
            <w:vAlign w:val="center"/>
          </w:tcPr>
          <w:p w14:paraId="1E1214F4">
            <w:pPr>
              <w:widowControl/>
              <w:wordWrap w:val="0"/>
              <w:spacing w:line="480" w:lineRule="exact"/>
              <w:jc w:val="center"/>
              <w:textAlignment w:val="center"/>
              <w:rPr>
                <w:rFonts w:ascii="宋体" w:hAnsi="宋体" w:cs="仿宋_GB2312"/>
                <w:color w:val="auto"/>
                <w:kern w:val="0"/>
                <w:sz w:val="21"/>
                <w:szCs w:val="21"/>
              </w:rPr>
            </w:pPr>
          </w:p>
        </w:tc>
        <w:tc>
          <w:tcPr>
            <w:tcW w:w="929" w:type="dxa"/>
            <w:tcBorders>
              <w:top w:val="single" w:color="auto" w:sz="4" w:space="0"/>
              <w:left w:val="nil"/>
              <w:bottom w:val="single" w:color="auto" w:sz="4" w:space="0"/>
              <w:right w:val="single" w:color="auto" w:sz="4" w:space="0"/>
            </w:tcBorders>
            <w:vAlign w:val="center"/>
          </w:tcPr>
          <w:p w14:paraId="33EF99F3">
            <w:pPr>
              <w:widowControl/>
              <w:wordWrap w:val="0"/>
              <w:spacing w:line="480" w:lineRule="exact"/>
              <w:jc w:val="center"/>
              <w:textAlignment w:val="center"/>
              <w:rPr>
                <w:rFonts w:ascii="宋体" w:hAnsi="宋体" w:cs="仿宋_GB2312"/>
                <w:color w:val="auto"/>
                <w:kern w:val="0"/>
                <w:sz w:val="21"/>
                <w:szCs w:val="21"/>
              </w:rPr>
            </w:pPr>
          </w:p>
        </w:tc>
        <w:tc>
          <w:tcPr>
            <w:tcW w:w="934" w:type="dxa"/>
            <w:tcBorders>
              <w:top w:val="single" w:color="auto" w:sz="4" w:space="0"/>
              <w:left w:val="nil"/>
              <w:bottom w:val="single" w:color="auto" w:sz="4" w:space="0"/>
              <w:right w:val="single" w:color="auto" w:sz="4" w:space="0"/>
            </w:tcBorders>
            <w:vAlign w:val="center"/>
          </w:tcPr>
          <w:p w14:paraId="4A872DAF">
            <w:pPr>
              <w:widowControl/>
              <w:wordWrap w:val="0"/>
              <w:spacing w:line="480" w:lineRule="exact"/>
              <w:jc w:val="center"/>
              <w:textAlignment w:val="center"/>
              <w:rPr>
                <w:rFonts w:ascii="宋体" w:hAnsi="宋体" w:cs="仿宋_GB2312"/>
                <w:color w:val="auto"/>
                <w:kern w:val="0"/>
                <w:sz w:val="21"/>
                <w:szCs w:val="21"/>
              </w:rPr>
            </w:pPr>
          </w:p>
        </w:tc>
        <w:tc>
          <w:tcPr>
            <w:tcW w:w="850" w:type="dxa"/>
            <w:tcBorders>
              <w:top w:val="single" w:color="auto" w:sz="4" w:space="0"/>
              <w:left w:val="nil"/>
              <w:bottom w:val="single" w:color="auto" w:sz="4" w:space="0"/>
              <w:right w:val="single" w:color="auto" w:sz="4" w:space="0"/>
            </w:tcBorders>
            <w:vAlign w:val="center"/>
          </w:tcPr>
          <w:p w14:paraId="57C2A5F8">
            <w:pPr>
              <w:widowControl/>
              <w:wordWrap w:val="0"/>
              <w:spacing w:line="480" w:lineRule="exact"/>
              <w:jc w:val="center"/>
              <w:textAlignment w:val="center"/>
              <w:rPr>
                <w:rFonts w:ascii="宋体" w:hAnsi="宋体" w:cs="仿宋_GB2312"/>
                <w:color w:val="auto"/>
                <w:kern w:val="0"/>
                <w:sz w:val="21"/>
                <w:szCs w:val="21"/>
              </w:rPr>
            </w:pPr>
          </w:p>
        </w:tc>
        <w:tc>
          <w:tcPr>
            <w:tcW w:w="1982" w:type="dxa"/>
            <w:tcBorders>
              <w:top w:val="single" w:color="auto" w:sz="4" w:space="0"/>
              <w:left w:val="nil"/>
              <w:bottom w:val="single" w:color="auto" w:sz="4" w:space="0"/>
              <w:right w:val="single" w:color="auto" w:sz="4" w:space="0"/>
            </w:tcBorders>
            <w:vAlign w:val="center"/>
          </w:tcPr>
          <w:p w14:paraId="2A191E2E">
            <w:pPr>
              <w:widowControl/>
              <w:wordWrap w:val="0"/>
              <w:spacing w:line="480" w:lineRule="exact"/>
              <w:jc w:val="center"/>
              <w:textAlignment w:val="center"/>
              <w:rPr>
                <w:rFonts w:ascii="宋体" w:hAnsi="宋体" w:cs="仿宋_GB2312"/>
                <w:color w:val="auto"/>
                <w:kern w:val="0"/>
                <w:sz w:val="21"/>
                <w:szCs w:val="21"/>
              </w:rPr>
            </w:pPr>
          </w:p>
        </w:tc>
        <w:tc>
          <w:tcPr>
            <w:tcW w:w="707" w:type="dxa"/>
            <w:tcBorders>
              <w:top w:val="single" w:color="auto" w:sz="4" w:space="0"/>
              <w:left w:val="nil"/>
              <w:bottom w:val="single" w:color="auto" w:sz="4" w:space="0"/>
              <w:right w:val="single" w:color="auto" w:sz="4" w:space="0"/>
            </w:tcBorders>
            <w:vAlign w:val="center"/>
          </w:tcPr>
          <w:p w14:paraId="7DBA232F">
            <w:pPr>
              <w:widowControl/>
              <w:wordWrap w:val="0"/>
              <w:spacing w:line="480" w:lineRule="exact"/>
              <w:jc w:val="center"/>
              <w:textAlignment w:val="center"/>
              <w:rPr>
                <w:rFonts w:ascii="宋体" w:hAnsi="宋体" w:cs="仿宋_GB2312"/>
                <w:color w:val="auto"/>
                <w:kern w:val="0"/>
                <w:sz w:val="21"/>
                <w:szCs w:val="21"/>
              </w:rPr>
            </w:pPr>
          </w:p>
        </w:tc>
      </w:tr>
    </w:tbl>
    <w:p w14:paraId="2F38FE3E">
      <w:pPr>
        <w:widowControl/>
        <w:wordWrap w:val="0"/>
        <w:spacing w:beforeLines="50" w:afterLines="100" w:line="400" w:lineRule="exact"/>
        <w:jc w:val="left"/>
        <w:textAlignment w:val="center"/>
        <w:rPr>
          <w:rFonts w:ascii="宋体" w:hAnsi="宋体" w:cs="仿宋_GB2312"/>
          <w:color w:val="auto"/>
          <w:kern w:val="0"/>
          <w:sz w:val="22"/>
        </w:rPr>
      </w:pPr>
    </w:p>
    <w:p w14:paraId="101F047C">
      <w:pPr>
        <w:widowControl/>
        <w:wordWrap w:val="0"/>
        <w:spacing w:line="420" w:lineRule="exact"/>
        <w:jc w:val="center"/>
        <w:outlineLvl w:val="3"/>
        <w:rPr>
          <w:rFonts w:ascii="宋体" w:hAnsi="宋体" w:cs="仿宋_GB2312"/>
          <w:b/>
          <w:color w:val="auto"/>
          <w:sz w:val="21"/>
          <w:szCs w:val="21"/>
        </w:rPr>
      </w:pPr>
      <w:r>
        <w:rPr>
          <w:rFonts w:hint="eastAsia" w:ascii="Arial" w:hAnsi="Arial" w:cs="仿宋_GB2312"/>
          <w:b/>
          <w:color w:val="auto"/>
          <w:sz w:val="22"/>
          <w:szCs w:val="28"/>
        </w:rPr>
        <w:br w:type="page"/>
      </w:r>
      <w:r>
        <w:rPr>
          <w:rFonts w:hint="eastAsia" w:ascii="宋体" w:hAnsi="宋体" w:cs="仿宋_GB2312"/>
          <w:color w:val="auto"/>
          <w:sz w:val="21"/>
          <w:szCs w:val="21"/>
        </w:rPr>
        <w:t>（二）主要人员简历表</w:t>
      </w:r>
    </w:p>
    <w:p w14:paraId="680F0EAE">
      <w:pPr>
        <w:widowControl/>
        <w:wordWrap w:val="0"/>
        <w:spacing w:line="420" w:lineRule="exact"/>
        <w:outlineLvl w:val="3"/>
        <w:rPr>
          <w:rFonts w:ascii="宋体" w:hAnsi="宋体"/>
          <w:bCs/>
          <w:color w:val="auto"/>
          <w:sz w:val="21"/>
          <w:szCs w:val="21"/>
        </w:rPr>
      </w:pPr>
      <w:r>
        <w:rPr>
          <w:rFonts w:hint="eastAsia" w:ascii="宋体" w:hAnsi="宋体"/>
          <w:bCs/>
          <w:color w:val="auto"/>
          <w:sz w:val="21"/>
          <w:szCs w:val="21"/>
        </w:rPr>
        <w:t>1、项目经理简历表</w:t>
      </w:r>
    </w:p>
    <w:p w14:paraId="65B3B634">
      <w:pPr>
        <w:wordWrap w:val="0"/>
        <w:spacing w:line="420" w:lineRule="exact"/>
        <w:ind w:firstLine="424" w:firstLineChars="202"/>
        <w:jc w:val="left"/>
        <w:rPr>
          <w:rFonts w:ascii="宋体" w:hAnsi="宋体"/>
          <w:color w:val="auto"/>
          <w:sz w:val="21"/>
          <w:szCs w:val="21"/>
        </w:rPr>
      </w:pPr>
      <w:r>
        <w:rPr>
          <w:rFonts w:hint="eastAsia" w:ascii="宋体" w:hAnsi="宋体"/>
          <w:color w:val="auto"/>
          <w:sz w:val="21"/>
          <w:szCs w:val="21"/>
        </w:rPr>
        <w:t>项目经理应附注册建造师证、身份证、</w:t>
      </w:r>
      <w:r>
        <w:rPr>
          <w:rFonts w:hint="eastAsia" w:ascii="宋体" w:hAnsi="宋体" w:cs="宋体"/>
          <w:bCs/>
          <w:color w:val="auto"/>
          <w:sz w:val="21"/>
          <w:szCs w:val="21"/>
        </w:rPr>
        <w:t>安全生产考核合格证书、身份证、养老保险证明、管理过的项</w:t>
      </w:r>
      <w:r>
        <w:rPr>
          <w:rFonts w:hint="eastAsia" w:ascii="宋体" w:hAnsi="宋体" w:cs="宋体"/>
          <w:bCs/>
          <w:color w:val="auto"/>
          <w:sz w:val="21"/>
          <w:szCs w:val="21"/>
          <w:highlight w:val="none"/>
        </w:rPr>
        <w:t>目业绩附</w:t>
      </w:r>
      <w:r>
        <w:rPr>
          <w:rFonts w:hint="eastAsia" w:ascii="宋体" w:hAnsi="宋体" w:cs="宋体"/>
          <w:color w:val="auto"/>
          <w:kern w:val="0"/>
          <w:sz w:val="21"/>
          <w:szCs w:val="21"/>
          <w:highlight w:val="none"/>
        </w:rPr>
        <w:t>施工合同</w:t>
      </w:r>
      <w:r>
        <w:rPr>
          <w:rFonts w:hint="eastAsia" w:ascii="宋体" w:hAnsi="宋体" w:cs="宋体"/>
          <w:bCs/>
          <w:color w:val="auto"/>
          <w:sz w:val="21"/>
          <w:szCs w:val="21"/>
          <w:highlight w:val="none"/>
        </w:rPr>
        <w:t>原件扫描件；</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84"/>
        <w:gridCol w:w="851"/>
        <w:gridCol w:w="1134"/>
        <w:gridCol w:w="1418"/>
        <w:gridCol w:w="1984"/>
        <w:gridCol w:w="2126"/>
      </w:tblGrid>
      <w:tr w14:paraId="7C09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vAlign w:val="center"/>
          </w:tcPr>
          <w:p w14:paraId="37CD5BF0">
            <w:pPr>
              <w:wordWrap w:val="0"/>
              <w:jc w:val="center"/>
              <w:rPr>
                <w:rFonts w:ascii="宋体" w:hAnsi="宋体"/>
                <w:color w:val="auto"/>
                <w:sz w:val="21"/>
                <w:szCs w:val="21"/>
              </w:rPr>
            </w:pPr>
            <w:r>
              <w:rPr>
                <w:rFonts w:hint="eastAsia" w:ascii="宋体" w:hAnsi="宋体"/>
                <w:color w:val="auto"/>
                <w:sz w:val="21"/>
                <w:szCs w:val="21"/>
              </w:rPr>
              <w:t>姓名</w:t>
            </w:r>
          </w:p>
        </w:tc>
        <w:tc>
          <w:tcPr>
            <w:tcW w:w="1035" w:type="dxa"/>
            <w:gridSpan w:val="2"/>
            <w:vAlign w:val="center"/>
          </w:tcPr>
          <w:p w14:paraId="7CC9B770">
            <w:pPr>
              <w:wordWrap w:val="0"/>
              <w:jc w:val="center"/>
              <w:rPr>
                <w:rFonts w:ascii="宋体" w:hAnsi="宋体"/>
                <w:color w:val="auto"/>
                <w:sz w:val="21"/>
                <w:szCs w:val="21"/>
              </w:rPr>
            </w:pPr>
          </w:p>
        </w:tc>
        <w:tc>
          <w:tcPr>
            <w:tcW w:w="1134" w:type="dxa"/>
            <w:vAlign w:val="center"/>
          </w:tcPr>
          <w:p w14:paraId="139BB0B3">
            <w:pPr>
              <w:wordWrap w:val="0"/>
              <w:jc w:val="center"/>
              <w:rPr>
                <w:rFonts w:ascii="宋体" w:hAnsi="宋体"/>
                <w:color w:val="auto"/>
                <w:sz w:val="21"/>
                <w:szCs w:val="21"/>
              </w:rPr>
            </w:pPr>
            <w:r>
              <w:rPr>
                <w:rFonts w:hint="eastAsia" w:ascii="宋体" w:hAnsi="宋体"/>
                <w:color w:val="auto"/>
                <w:sz w:val="21"/>
                <w:szCs w:val="21"/>
              </w:rPr>
              <w:t>年龄</w:t>
            </w:r>
          </w:p>
        </w:tc>
        <w:tc>
          <w:tcPr>
            <w:tcW w:w="1418" w:type="dxa"/>
            <w:vAlign w:val="center"/>
          </w:tcPr>
          <w:p w14:paraId="33F38578">
            <w:pPr>
              <w:wordWrap w:val="0"/>
              <w:jc w:val="center"/>
              <w:rPr>
                <w:rFonts w:ascii="宋体" w:hAnsi="宋体"/>
                <w:color w:val="auto"/>
                <w:sz w:val="21"/>
                <w:szCs w:val="21"/>
              </w:rPr>
            </w:pPr>
          </w:p>
        </w:tc>
        <w:tc>
          <w:tcPr>
            <w:tcW w:w="1984" w:type="dxa"/>
            <w:vAlign w:val="center"/>
          </w:tcPr>
          <w:p w14:paraId="400D7FE7">
            <w:pPr>
              <w:wordWrap w:val="0"/>
              <w:jc w:val="center"/>
              <w:rPr>
                <w:rFonts w:ascii="宋体" w:hAnsi="宋体"/>
                <w:color w:val="auto"/>
                <w:sz w:val="21"/>
                <w:szCs w:val="21"/>
              </w:rPr>
            </w:pPr>
            <w:r>
              <w:rPr>
                <w:rFonts w:hint="eastAsia" w:ascii="宋体" w:hAnsi="宋体"/>
                <w:color w:val="auto"/>
                <w:sz w:val="21"/>
                <w:szCs w:val="21"/>
              </w:rPr>
              <w:t>学历</w:t>
            </w:r>
          </w:p>
        </w:tc>
        <w:tc>
          <w:tcPr>
            <w:tcW w:w="2126" w:type="dxa"/>
            <w:vAlign w:val="center"/>
          </w:tcPr>
          <w:p w14:paraId="781171FE">
            <w:pPr>
              <w:wordWrap w:val="0"/>
              <w:jc w:val="center"/>
              <w:rPr>
                <w:rFonts w:ascii="宋体" w:hAnsi="宋体"/>
                <w:color w:val="auto"/>
                <w:sz w:val="21"/>
                <w:szCs w:val="21"/>
              </w:rPr>
            </w:pPr>
          </w:p>
        </w:tc>
      </w:tr>
      <w:tr w14:paraId="00A1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vAlign w:val="center"/>
          </w:tcPr>
          <w:p w14:paraId="36BD9489">
            <w:pPr>
              <w:wordWrap w:val="0"/>
              <w:jc w:val="center"/>
              <w:rPr>
                <w:rFonts w:ascii="宋体" w:hAnsi="宋体"/>
                <w:color w:val="auto"/>
                <w:sz w:val="21"/>
                <w:szCs w:val="21"/>
              </w:rPr>
            </w:pPr>
            <w:r>
              <w:rPr>
                <w:rFonts w:hint="eastAsia" w:ascii="宋体" w:hAnsi="宋体"/>
                <w:color w:val="auto"/>
                <w:sz w:val="21"/>
                <w:szCs w:val="21"/>
              </w:rPr>
              <w:t>职称</w:t>
            </w:r>
          </w:p>
        </w:tc>
        <w:tc>
          <w:tcPr>
            <w:tcW w:w="1035" w:type="dxa"/>
            <w:gridSpan w:val="2"/>
            <w:vAlign w:val="center"/>
          </w:tcPr>
          <w:p w14:paraId="493E8E0F">
            <w:pPr>
              <w:wordWrap w:val="0"/>
              <w:jc w:val="center"/>
              <w:rPr>
                <w:rFonts w:ascii="宋体" w:hAnsi="宋体"/>
                <w:color w:val="auto"/>
                <w:sz w:val="21"/>
                <w:szCs w:val="21"/>
              </w:rPr>
            </w:pPr>
          </w:p>
        </w:tc>
        <w:tc>
          <w:tcPr>
            <w:tcW w:w="1134" w:type="dxa"/>
            <w:vAlign w:val="center"/>
          </w:tcPr>
          <w:p w14:paraId="68E51339">
            <w:pPr>
              <w:wordWrap w:val="0"/>
              <w:jc w:val="center"/>
              <w:rPr>
                <w:rFonts w:ascii="宋体" w:hAnsi="宋体"/>
                <w:color w:val="auto"/>
                <w:sz w:val="21"/>
                <w:szCs w:val="21"/>
              </w:rPr>
            </w:pPr>
            <w:r>
              <w:rPr>
                <w:rFonts w:hint="eastAsia" w:ascii="宋体" w:hAnsi="宋体"/>
                <w:color w:val="auto"/>
                <w:sz w:val="21"/>
                <w:szCs w:val="21"/>
              </w:rPr>
              <w:t>职务</w:t>
            </w:r>
          </w:p>
        </w:tc>
        <w:tc>
          <w:tcPr>
            <w:tcW w:w="1418" w:type="dxa"/>
            <w:vAlign w:val="center"/>
          </w:tcPr>
          <w:p w14:paraId="26D8EA7F">
            <w:pPr>
              <w:wordWrap w:val="0"/>
              <w:jc w:val="center"/>
              <w:rPr>
                <w:rFonts w:ascii="宋体" w:hAnsi="宋体"/>
                <w:color w:val="auto"/>
                <w:sz w:val="21"/>
                <w:szCs w:val="21"/>
              </w:rPr>
            </w:pPr>
          </w:p>
        </w:tc>
        <w:tc>
          <w:tcPr>
            <w:tcW w:w="1984" w:type="dxa"/>
            <w:vAlign w:val="center"/>
          </w:tcPr>
          <w:p w14:paraId="5019DC5C">
            <w:pPr>
              <w:wordWrap w:val="0"/>
              <w:jc w:val="center"/>
              <w:rPr>
                <w:rFonts w:ascii="宋体" w:hAnsi="宋体"/>
                <w:color w:val="auto"/>
                <w:sz w:val="21"/>
                <w:szCs w:val="21"/>
              </w:rPr>
            </w:pPr>
            <w:r>
              <w:rPr>
                <w:rFonts w:hint="eastAsia" w:ascii="宋体" w:hAnsi="宋体"/>
                <w:color w:val="auto"/>
                <w:sz w:val="21"/>
                <w:szCs w:val="21"/>
              </w:rPr>
              <w:t>拟在本工程任职</w:t>
            </w:r>
          </w:p>
        </w:tc>
        <w:tc>
          <w:tcPr>
            <w:tcW w:w="2126" w:type="dxa"/>
            <w:vAlign w:val="center"/>
          </w:tcPr>
          <w:p w14:paraId="17B359F1">
            <w:pPr>
              <w:wordWrap w:val="0"/>
              <w:jc w:val="center"/>
              <w:rPr>
                <w:rFonts w:ascii="宋体" w:hAnsi="宋体"/>
                <w:color w:val="auto"/>
                <w:sz w:val="21"/>
                <w:szCs w:val="21"/>
              </w:rPr>
            </w:pPr>
            <w:r>
              <w:rPr>
                <w:rFonts w:hint="eastAsia" w:ascii="宋体" w:hAnsi="宋体"/>
                <w:color w:val="auto"/>
                <w:sz w:val="21"/>
                <w:szCs w:val="21"/>
              </w:rPr>
              <w:t>项目经理</w:t>
            </w:r>
          </w:p>
        </w:tc>
      </w:tr>
      <w:tr w14:paraId="3768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61" w:type="dxa"/>
            <w:gridSpan w:val="4"/>
            <w:vAlign w:val="center"/>
          </w:tcPr>
          <w:p w14:paraId="4E75D739">
            <w:pPr>
              <w:wordWrap w:val="0"/>
              <w:jc w:val="center"/>
              <w:rPr>
                <w:rFonts w:ascii="宋体" w:hAnsi="宋体"/>
                <w:color w:val="auto"/>
                <w:sz w:val="21"/>
                <w:szCs w:val="21"/>
              </w:rPr>
            </w:pPr>
            <w:r>
              <w:rPr>
                <w:rFonts w:hint="eastAsia" w:ascii="宋体" w:hAnsi="宋体"/>
                <w:color w:val="auto"/>
                <w:sz w:val="21"/>
                <w:szCs w:val="21"/>
              </w:rPr>
              <w:t>注册建造师执业资格等级</w:t>
            </w:r>
          </w:p>
        </w:tc>
        <w:tc>
          <w:tcPr>
            <w:tcW w:w="1418" w:type="dxa"/>
            <w:vAlign w:val="center"/>
          </w:tcPr>
          <w:p w14:paraId="2EA7BA2E">
            <w:pPr>
              <w:wordWrap w:val="0"/>
              <w:jc w:val="center"/>
              <w:rPr>
                <w:rFonts w:ascii="宋体" w:hAnsi="宋体"/>
                <w:color w:val="auto"/>
                <w:sz w:val="21"/>
                <w:szCs w:val="21"/>
              </w:rPr>
            </w:pPr>
            <w:r>
              <w:rPr>
                <w:rFonts w:hint="eastAsia" w:ascii="宋体" w:hAnsi="宋体"/>
                <w:color w:val="auto"/>
                <w:sz w:val="21"/>
                <w:szCs w:val="21"/>
              </w:rPr>
              <w:t>级</w:t>
            </w:r>
          </w:p>
        </w:tc>
        <w:tc>
          <w:tcPr>
            <w:tcW w:w="1984" w:type="dxa"/>
            <w:vAlign w:val="center"/>
          </w:tcPr>
          <w:p w14:paraId="3E949567">
            <w:pPr>
              <w:wordWrap w:val="0"/>
              <w:jc w:val="center"/>
              <w:rPr>
                <w:rFonts w:ascii="宋体" w:hAnsi="宋体"/>
                <w:color w:val="auto"/>
                <w:sz w:val="21"/>
                <w:szCs w:val="21"/>
              </w:rPr>
            </w:pPr>
            <w:r>
              <w:rPr>
                <w:rFonts w:hint="eastAsia" w:ascii="宋体" w:hAnsi="宋体"/>
                <w:color w:val="auto"/>
                <w:sz w:val="21"/>
                <w:szCs w:val="21"/>
              </w:rPr>
              <w:t>建造师专业</w:t>
            </w:r>
          </w:p>
        </w:tc>
        <w:tc>
          <w:tcPr>
            <w:tcW w:w="2126" w:type="dxa"/>
            <w:vAlign w:val="center"/>
          </w:tcPr>
          <w:p w14:paraId="1E1B43CE">
            <w:pPr>
              <w:wordWrap w:val="0"/>
              <w:jc w:val="center"/>
              <w:rPr>
                <w:rFonts w:ascii="宋体" w:hAnsi="宋体"/>
                <w:color w:val="auto"/>
                <w:sz w:val="21"/>
                <w:szCs w:val="21"/>
              </w:rPr>
            </w:pPr>
          </w:p>
        </w:tc>
      </w:tr>
      <w:tr w14:paraId="0CD6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61" w:type="dxa"/>
            <w:gridSpan w:val="4"/>
            <w:vAlign w:val="center"/>
          </w:tcPr>
          <w:p w14:paraId="747D1D15">
            <w:pPr>
              <w:wordWrap w:val="0"/>
              <w:jc w:val="center"/>
              <w:rPr>
                <w:rFonts w:ascii="宋体" w:hAnsi="宋体"/>
                <w:color w:val="auto"/>
                <w:sz w:val="21"/>
                <w:szCs w:val="21"/>
              </w:rPr>
            </w:pPr>
            <w:r>
              <w:rPr>
                <w:rFonts w:hint="eastAsia" w:ascii="宋体" w:hAnsi="宋体"/>
                <w:color w:val="auto"/>
                <w:sz w:val="21"/>
                <w:szCs w:val="21"/>
              </w:rPr>
              <w:t>安全生产考核合格证书</w:t>
            </w:r>
          </w:p>
        </w:tc>
        <w:tc>
          <w:tcPr>
            <w:tcW w:w="5528" w:type="dxa"/>
            <w:gridSpan w:val="3"/>
            <w:vAlign w:val="center"/>
          </w:tcPr>
          <w:p w14:paraId="3D23E8EA">
            <w:pPr>
              <w:wordWrap w:val="0"/>
              <w:jc w:val="center"/>
              <w:rPr>
                <w:rFonts w:ascii="宋体" w:hAnsi="宋体"/>
                <w:color w:val="auto"/>
                <w:sz w:val="21"/>
                <w:szCs w:val="21"/>
              </w:rPr>
            </w:pPr>
          </w:p>
        </w:tc>
      </w:tr>
      <w:tr w14:paraId="7B8C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6" w:type="dxa"/>
            <w:gridSpan w:val="2"/>
            <w:vAlign w:val="center"/>
          </w:tcPr>
          <w:p w14:paraId="68E5AE15">
            <w:pPr>
              <w:wordWrap w:val="0"/>
              <w:jc w:val="center"/>
              <w:rPr>
                <w:rFonts w:ascii="宋体" w:hAnsi="宋体"/>
                <w:color w:val="auto"/>
                <w:sz w:val="21"/>
                <w:szCs w:val="21"/>
              </w:rPr>
            </w:pPr>
            <w:r>
              <w:rPr>
                <w:rFonts w:hint="eastAsia" w:ascii="宋体" w:hAnsi="宋体"/>
                <w:color w:val="auto"/>
                <w:sz w:val="21"/>
                <w:szCs w:val="21"/>
              </w:rPr>
              <w:t>毕业学校</w:t>
            </w:r>
          </w:p>
        </w:tc>
        <w:tc>
          <w:tcPr>
            <w:tcW w:w="7513" w:type="dxa"/>
            <w:gridSpan w:val="5"/>
            <w:vAlign w:val="center"/>
          </w:tcPr>
          <w:p w14:paraId="07399F9F">
            <w:pPr>
              <w:wordWrap w:val="0"/>
              <w:ind w:firstLine="840" w:firstLineChars="400"/>
              <w:jc w:val="left"/>
              <w:rPr>
                <w:rFonts w:ascii="宋体" w:hAnsi="宋体"/>
                <w:color w:val="auto"/>
                <w:sz w:val="21"/>
                <w:szCs w:val="21"/>
              </w:rPr>
            </w:pPr>
            <w:r>
              <w:rPr>
                <w:rFonts w:hint="eastAsia" w:ascii="宋体" w:hAnsi="宋体"/>
                <w:color w:val="auto"/>
                <w:sz w:val="21"/>
                <w:szCs w:val="21"/>
              </w:rPr>
              <w:t>年毕业于学校专业</w:t>
            </w:r>
          </w:p>
        </w:tc>
      </w:tr>
      <w:tr w14:paraId="51E5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9" w:type="dxa"/>
            <w:gridSpan w:val="7"/>
            <w:vAlign w:val="center"/>
          </w:tcPr>
          <w:p w14:paraId="20CDF5A8">
            <w:pPr>
              <w:wordWrap w:val="0"/>
              <w:jc w:val="center"/>
              <w:rPr>
                <w:rFonts w:ascii="宋体" w:hAnsi="宋体"/>
                <w:color w:val="auto"/>
                <w:sz w:val="21"/>
                <w:szCs w:val="21"/>
              </w:rPr>
            </w:pPr>
            <w:r>
              <w:rPr>
                <w:rFonts w:hint="eastAsia" w:ascii="宋体" w:hAnsi="宋体"/>
                <w:color w:val="auto"/>
                <w:sz w:val="21"/>
                <w:szCs w:val="21"/>
              </w:rPr>
              <w:t>主要工作经历</w:t>
            </w:r>
          </w:p>
        </w:tc>
      </w:tr>
      <w:tr w14:paraId="484C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vAlign w:val="center"/>
          </w:tcPr>
          <w:p w14:paraId="541FFC6E">
            <w:pPr>
              <w:wordWrap w:val="0"/>
              <w:jc w:val="center"/>
              <w:rPr>
                <w:rFonts w:ascii="宋体" w:hAnsi="宋体"/>
                <w:color w:val="auto"/>
                <w:sz w:val="21"/>
                <w:szCs w:val="21"/>
              </w:rPr>
            </w:pPr>
            <w:r>
              <w:rPr>
                <w:rFonts w:hint="eastAsia" w:ascii="宋体" w:hAnsi="宋体"/>
                <w:color w:val="auto"/>
                <w:sz w:val="21"/>
                <w:szCs w:val="21"/>
              </w:rPr>
              <w:t>时间</w:t>
            </w:r>
          </w:p>
        </w:tc>
        <w:tc>
          <w:tcPr>
            <w:tcW w:w="3587" w:type="dxa"/>
            <w:gridSpan w:val="4"/>
            <w:vAlign w:val="center"/>
          </w:tcPr>
          <w:p w14:paraId="2A88187E">
            <w:pPr>
              <w:wordWrap w:val="0"/>
              <w:jc w:val="center"/>
              <w:rPr>
                <w:rFonts w:ascii="宋体" w:hAnsi="宋体"/>
                <w:color w:val="auto"/>
                <w:sz w:val="21"/>
                <w:szCs w:val="21"/>
              </w:rPr>
            </w:pPr>
            <w:r>
              <w:rPr>
                <w:rFonts w:hint="eastAsia" w:ascii="宋体" w:hAnsi="宋体"/>
                <w:color w:val="auto"/>
                <w:sz w:val="21"/>
                <w:szCs w:val="21"/>
              </w:rPr>
              <w:t>参加过的类似项目名称</w:t>
            </w:r>
          </w:p>
        </w:tc>
        <w:tc>
          <w:tcPr>
            <w:tcW w:w="1984" w:type="dxa"/>
            <w:vAlign w:val="center"/>
          </w:tcPr>
          <w:p w14:paraId="41D45769">
            <w:pPr>
              <w:wordWrap w:val="0"/>
              <w:jc w:val="center"/>
              <w:rPr>
                <w:rFonts w:ascii="宋体" w:hAnsi="宋体"/>
                <w:color w:val="auto"/>
                <w:sz w:val="21"/>
                <w:szCs w:val="21"/>
              </w:rPr>
            </w:pPr>
            <w:r>
              <w:rPr>
                <w:rFonts w:hint="eastAsia" w:ascii="宋体" w:hAnsi="宋体"/>
                <w:color w:val="auto"/>
                <w:sz w:val="21"/>
                <w:szCs w:val="21"/>
              </w:rPr>
              <w:t>工程概况说明</w:t>
            </w:r>
          </w:p>
        </w:tc>
        <w:tc>
          <w:tcPr>
            <w:tcW w:w="2126" w:type="dxa"/>
            <w:vAlign w:val="center"/>
          </w:tcPr>
          <w:p w14:paraId="4B86DE39">
            <w:pPr>
              <w:wordWrap w:val="0"/>
              <w:jc w:val="center"/>
              <w:rPr>
                <w:rFonts w:ascii="宋体" w:hAnsi="宋体"/>
                <w:color w:val="auto"/>
                <w:sz w:val="21"/>
                <w:szCs w:val="21"/>
              </w:rPr>
            </w:pPr>
            <w:r>
              <w:rPr>
                <w:rFonts w:hint="eastAsia" w:ascii="宋体" w:hAnsi="宋体"/>
                <w:color w:val="auto"/>
                <w:sz w:val="21"/>
                <w:szCs w:val="21"/>
              </w:rPr>
              <w:t>发包人及</w:t>
            </w:r>
          </w:p>
          <w:p w14:paraId="7CF81AAA">
            <w:pPr>
              <w:wordWrap w:val="0"/>
              <w:jc w:val="center"/>
              <w:rPr>
                <w:rFonts w:ascii="宋体" w:hAnsi="宋体"/>
                <w:color w:val="auto"/>
                <w:sz w:val="21"/>
                <w:szCs w:val="21"/>
              </w:rPr>
            </w:pPr>
            <w:r>
              <w:rPr>
                <w:rFonts w:hint="eastAsia" w:ascii="宋体" w:hAnsi="宋体"/>
                <w:color w:val="auto"/>
                <w:sz w:val="21"/>
                <w:szCs w:val="21"/>
              </w:rPr>
              <w:t>联系电话</w:t>
            </w:r>
          </w:p>
        </w:tc>
      </w:tr>
      <w:tr w14:paraId="251B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2E30D8DD">
            <w:pPr>
              <w:wordWrap w:val="0"/>
              <w:jc w:val="center"/>
              <w:rPr>
                <w:rFonts w:ascii="宋体" w:hAnsi="宋体"/>
                <w:color w:val="auto"/>
                <w:sz w:val="21"/>
                <w:szCs w:val="21"/>
              </w:rPr>
            </w:pPr>
          </w:p>
        </w:tc>
        <w:tc>
          <w:tcPr>
            <w:tcW w:w="3587" w:type="dxa"/>
            <w:gridSpan w:val="4"/>
            <w:vAlign w:val="center"/>
          </w:tcPr>
          <w:p w14:paraId="0BC807E6">
            <w:pPr>
              <w:wordWrap w:val="0"/>
              <w:jc w:val="center"/>
              <w:rPr>
                <w:rFonts w:ascii="宋体" w:hAnsi="宋体"/>
                <w:color w:val="auto"/>
                <w:sz w:val="21"/>
                <w:szCs w:val="21"/>
              </w:rPr>
            </w:pPr>
          </w:p>
        </w:tc>
        <w:tc>
          <w:tcPr>
            <w:tcW w:w="1984" w:type="dxa"/>
            <w:vAlign w:val="center"/>
          </w:tcPr>
          <w:p w14:paraId="48C36312">
            <w:pPr>
              <w:wordWrap w:val="0"/>
              <w:jc w:val="center"/>
              <w:rPr>
                <w:rFonts w:ascii="宋体" w:hAnsi="宋体"/>
                <w:color w:val="auto"/>
                <w:sz w:val="21"/>
                <w:szCs w:val="21"/>
              </w:rPr>
            </w:pPr>
          </w:p>
        </w:tc>
        <w:tc>
          <w:tcPr>
            <w:tcW w:w="2126" w:type="dxa"/>
            <w:vAlign w:val="center"/>
          </w:tcPr>
          <w:p w14:paraId="587D9663">
            <w:pPr>
              <w:wordWrap w:val="0"/>
              <w:jc w:val="center"/>
              <w:rPr>
                <w:rFonts w:ascii="宋体" w:hAnsi="宋体"/>
                <w:color w:val="auto"/>
                <w:sz w:val="21"/>
                <w:szCs w:val="21"/>
              </w:rPr>
            </w:pPr>
          </w:p>
        </w:tc>
      </w:tr>
      <w:tr w14:paraId="200C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4B294B2A">
            <w:pPr>
              <w:wordWrap w:val="0"/>
              <w:jc w:val="center"/>
              <w:rPr>
                <w:rFonts w:ascii="宋体" w:hAnsi="宋体"/>
                <w:color w:val="auto"/>
                <w:sz w:val="21"/>
                <w:szCs w:val="21"/>
              </w:rPr>
            </w:pPr>
          </w:p>
        </w:tc>
        <w:tc>
          <w:tcPr>
            <w:tcW w:w="3587" w:type="dxa"/>
            <w:gridSpan w:val="4"/>
            <w:vAlign w:val="center"/>
          </w:tcPr>
          <w:p w14:paraId="12CDBBAB">
            <w:pPr>
              <w:wordWrap w:val="0"/>
              <w:jc w:val="center"/>
              <w:rPr>
                <w:rFonts w:ascii="宋体" w:hAnsi="宋体"/>
                <w:color w:val="auto"/>
                <w:sz w:val="21"/>
                <w:szCs w:val="21"/>
              </w:rPr>
            </w:pPr>
          </w:p>
        </w:tc>
        <w:tc>
          <w:tcPr>
            <w:tcW w:w="1984" w:type="dxa"/>
            <w:vAlign w:val="center"/>
          </w:tcPr>
          <w:p w14:paraId="459C7AA5">
            <w:pPr>
              <w:wordWrap w:val="0"/>
              <w:jc w:val="center"/>
              <w:rPr>
                <w:rFonts w:ascii="宋体" w:hAnsi="宋体"/>
                <w:color w:val="auto"/>
                <w:sz w:val="21"/>
                <w:szCs w:val="21"/>
              </w:rPr>
            </w:pPr>
          </w:p>
        </w:tc>
        <w:tc>
          <w:tcPr>
            <w:tcW w:w="2126" w:type="dxa"/>
            <w:vAlign w:val="center"/>
          </w:tcPr>
          <w:p w14:paraId="7869B666">
            <w:pPr>
              <w:wordWrap w:val="0"/>
              <w:jc w:val="center"/>
              <w:rPr>
                <w:rFonts w:ascii="宋体" w:hAnsi="宋体"/>
                <w:color w:val="auto"/>
                <w:sz w:val="21"/>
                <w:szCs w:val="21"/>
              </w:rPr>
            </w:pPr>
          </w:p>
        </w:tc>
      </w:tr>
      <w:tr w14:paraId="1D4A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7027A477">
            <w:pPr>
              <w:wordWrap w:val="0"/>
              <w:jc w:val="center"/>
              <w:rPr>
                <w:rFonts w:ascii="宋体" w:hAnsi="宋体"/>
                <w:color w:val="auto"/>
                <w:sz w:val="21"/>
                <w:szCs w:val="21"/>
              </w:rPr>
            </w:pPr>
          </w:p>
        </w:tc>
        <w:tc>
          <w:tcPr>
            <w:tcW w:w="3587" w:type="dxa"/>
            <w:gridSpan w:val="4"/>
            <w:vAlign w:val="center"/>
          </w:tcPr>
          <w:p w14:paraId="4D293EAE">
            <w:pPr>
              <w:wordWrap w:val="0"/>
              <w:jc w:val="center"/>
              <w:rPr>
                <w:rFonts w:ascii="宋体" w:hAnsi="宋体"/>
                <w:color w:val="auto"/>
                <w:sz w:val="21"/>
                <w:szCs w:val="21"/>
              </w:rPr>
            </w:pPr>
          </w:p>
        </w:tc>
        <w:tc>
          <w:tcPr>
            <w:tcW w:w="1984" w:type="dxa"/>
            <w:vAlign w:val="center"/>
          </w:tcPr>
          <w:p w14:paraId="415E1B24">
            <w:pPr>
              <w:wordWrap w:val="0"/>
              <w:jc w:val="center"/>
              <w:rPr>
                <w:rFonts w:ascii="宋体" w:hAnsi="宋体"/>
                <w:color w:val="auto"/>
                <w:sz w:val="21"/>
                <w:szCs w:val="21"/>
              </w:rPr>
            </w:pPr>
          </w:p>
        </w:tc>
        <w:tc>
          <w:tcPr>
            <w:tcW w:w="2126" w:type="dxa"/>
            <w:vAlign w:val="center"/>
          </w:tcPr>
          <w:p w14:paraId="50FB57F3">
            <w:pPr>
              <w:wordWrap w:val="0"/>
              <w:jc w:val="center"/>
              <w:rPr>
                <w:rFonts w:ascii="宋体" w:hAnsi="宋体"/>
                <w:color w:val="auto"/>
                <w:sz w:val="21"/>
                <w:szCs w:val="21"/>
              </w:rPr>
            </w:pPr>
          </w:p>
        </w:tc>
      </w:tr>
      <w:tr w14:paraId="2BAB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11BDB28A">
            <w:pPr>
              <w:wordWrap w:val="0"/>
              <w:jc w:val="center"/>
              <w:rPr>
                <w:rFonts w:ascii="宋体" w:hAnsi="宋体"/>
                <w:color w:val="auto"/>
                <w:sz w:val="21"/>
                <w:szCs w:val="21"/>
              </w:rPr>
            </w:pPr>
          </w:p>
        </w:tc>
        <w:tc>
          <w:tcPr>
            <w:tcW w:w="3587" w:type="dxa"/>
            <w:gridSpan w:val="4"/>
            <w:vAlign w:val="center"/>
          </w:tcPr>
          <w:p w14:paraId="0D28ED5D">
            <w:pPr>
              <w:wordWrap w:val="0"/>
              <w:jc w:val="center"/>
              <w:rPr>
                <w:rFonts w:ascii="宋体" w:hAnsi="宋体"/>
                <w:color w:val="auto"/>
                <w:sz w:val="21"/>
                <w:szCs w:val="21"/>
              </w:rPr>
            </w:pPr>
          </w:p>
        </w:tc>
        <w:tc>
          <w:tcPr>
            <w:tcW w:w="1984" w:type="dxa"/>
            <w:vAlign w:val="center"/>
          </w:tcPr>
          <w:p w14:paraId="59678576">
            <w:pPr>
              <w:wordWrap w:val="0"/>
              <w:jc w:val="center"/>
              <w:rPr>
                <w:rFonts w:ascii="宋体" w:hAnsi="宋体"/>
                <w:color w:val="auto"/>
                <w:sz w:val="21"/>
                <w:szCs w:val="21"/>
              </w:rPr>
            </w:pPr>
          </w:p>
        </w:tc>
        <w:tc>
          <w:tcPr>
            <w:tcW w:w="2126" w:type="dxa"/>
            <w:vAlign w:val="center"/>
          </w:tcPr>
          <w:p w14:paraId="480CCC0B">
            <w:pPr>
              <w:wordWrap w:val="0"/>
              <w:jc w:val="center"/>
              <w:rPr>
                <w:rFonts w:ascii="宋体" w:hAnsi="宋体"/>
                <w:color w:val="auto"/>
                <w:sz w:val="21"/>
                <w:szCs w:val="21"/>
              </w:rPr>
            </w:pPr>
          </w:p>
        </w:tc>
      </w:tr>
      <w:tr w14:paraId="50CE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6AF10350">
            <w:pPr>
              <w:wordWrap w:val="0"/>
              <w:jc w:val="center"/>
              <w:rPr>
                <w:rFonts w:ascii="宋体" w:hAnsi="宋体"/>
                <w:color w:val="auto"/>
                <w:sz w:val="21"/>
                <w:szCs w:val="21"/>
              </w:rPr>
            </w:pPr>
          </w:p>
        </w:tc>
        <w:tc>
          <w:tcPr>
            <w:tcW w:w="3587" w:type="dxa"/>
            <w:gridSpan w:val="4"/>
            <w:vAlign w:val="center"/>
          </w:tcPr>
          <w:p w14:paraId="34CB63EE">
            <w:pPr>
              <w:wordWrap w:val="0"/>
              <w:jc w:val="center"/>
              <w:rPr>
                <w:rFonts w:ascii="宋体" w:hAnsi="宋体"/>
                <w:color w:val="auto"/>
                <w:sz w:val="21"/>
                <w:szCs w:val="21"/>
              </w:rPr>
            </w:pPr>
          </w:p>
        </w:tc>
        <w:tc>
          <w:tcPr>
            <w:tcW w:w="1984" w:type="dxa"/>
            <w:vAlign w:val="center"/>
          </w:tcPr>
          <w:p w14:paraId="06E3119E">
            <w:pPr>
              <w:wordWrap w:val="0"/>
              <w:jc w:val="center"/>
              <w:rPr>
                <w:rFonts w:ascii="宋体" w:hAnsi="宋体"/>
                <w:color w:val="auto"/>
                <w:sz w:val="21"/>
                <w:szCs w:val="21"/>
              </w:rPr>
            </w:pPr>
          </w:p>
        </w:tc>
        <w:tc>
          <w:tcPr>
            <w:tcW w:w="2126" w:type="dxa"/>
            <w:vAlign w:val="center"/>
          </w:tcPr>
          <w:p w14:paraId="0C9A0678">
            <w:pPr>
              <w:wordWrap w:val="0"/>
              <w:jc w:val="center"/>
              <w:rPr>
                <w:rFonts w:ascii="宋体" w:hAnsi="宋体"/>
                <w:color w:val="auto"/>
                <w:sz w:val="21"/>
                <w:szCs w:val="21"/>
              </w:rPr>
            </w:pPr>
          </w:p>
        </w:tc>
      </w:tr>
      <w:tr w14:paraId="5A90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48449BCF">
            <w:pPr>
              <w:wordWrap w:val="0"/>
              <w:jc w:val="center"/>
              <w:rPr>
                <w:rFonts w:ascii="宋体" w:hAnsi="宋体"/>
                <w:color w:val="auto"/>
                <w:sz w:val="21"/>
                <w:szCs w:val="21"/>
              </w:rPr>
            </w:pPr>
          </w:p>
        </w:tc>
        <w:tc>
          <w:tcPr>
            <w:tcW w:w="3587" w:type="dxa"/>
            <w:gridSpan w:val="4"/>
            <w:vAlign w:val="center"/>
          </w:tcPr>
          <w:p w14:paraId="32DCBEDC">
            <w:pPr>
              <w:wordWrap w:val="0"/>
              <w:jc w:val="center"/>
              <w:rPr>
                <w:rFonts w:ascii="宋体" w:hAnsi="宋体"/>
                <w:color w:val="auto"/>
                <w:sz w:val="21"/>
                <w:szCs w:val="21"/>
              </w:rPr>
            </w:pPr>
          </w:p>
        </w:tc>
        <w:tc>
          <w:tcPr>
            <w:tcW w:w="1984" w:type="dxa"/>
            <w:vAlign w:val="center"/>
          </w:tcPr>
          <w:p w14:paraId="681507D2">
            <w:pPr>
              <w:wordWrap w:val="0"/>
              <w:jc w:val="center"/>
              <w:rPr>
                <w:rFonts w:ascii="宋体" w:hAnsi="宋体"/>
                <w:color w:val="auto"/>
                <w:sz w:val="21"/>
                <w:szCs w:val="21"/>
              </w:rPr>
            </w:pPr>
          </w:p>
        </w:tc>
        <w:tc>
          <w:tcPr>
            <w:tcW w:w="2126" w:type="dxa"/>
            <w:vAlign w:val="center"/>
          </w:tcPr>
          <w:p w14:paraId="242A0C61">
            <w:pPr>
              <w:wordWrap w:val="0"/>
              <w:jc w:val="center"/>
              <w:rPr>
                <w:rFonts w:ascii="宋体" w:hAnsi="宋体"/>
                <w:color w:val="auto"/>
                <w:sz w:val="21"/>
                <w:szCs w:val="21"/>
              </w:rPr>
            </w:pPr>
          </w:p>
        </w:tc>
      </w:tr>
      <w:tr w14:paraId="40F3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447C1AC5">
            <w:pPr>
              <w:wordWrap w:val="0"/>
              <w:jc w:val="center"/>
              <w:rPr>
                <w:rFonts w:ascii="宋体" w:hAnsi="宋体"/>
                <w:color w:val="auto"/>
                <w:sz w:val="21"/>
                <w:szCs w:val="21"/>
              </w:rPr>
            </w:pPr>
          </w:p>
        </w:tc>
        <w:tc>
          <w:tcPr>
            <w:tcW w:w="3587" w:type="dxa"/>
            <w:gridSpan w:val="4"/>
            <w:vAlign w:val="center"/>
          </w:tcPr>
          <w:p w14:paraId="12A2F690">
            <w:pPr>
              <w:wordWrap w:val="0"/>
              <w:jc w:val="center"/>
              <w:rPr>
                <w:rFonts w:ascii="宋体" w:hAnsi="宋体"/>
                <w:color w:val="auto"/>
                <w:sz w:val="21"/>
                <w:szCs w:val="21"/>
              </w:rPr>
            </w:pPr>
          </w:p>
        </w:tc>
        <w:tc>
          <w:tcPr>
            <w:tcW w:w="1984" w:type="dxa"/>
            <w:vAlign w:val="center"/>
          </w:tcPr>
          <w:p w14:paraId="7A137B06">
            <w:pPr>
              <w:wordWrap w:val="0"/>
              <w:jc w:val="center"/>
              <w:rPr>
                <w:rFonts w:ascii="宋体" w:hAnsi="宋体"/>
                <w:color w:val="auto"/>
                <w:sz w:val="21"/>
                <w:szCs w:val="21"/>
              </w:rPr>
            </w:pPr>
          </w:p>
        </w:tc>
        <w:tc>
          <w:tcPr>
            <w:tcW w:w="2126" w:type="dxa"/>
            <w:vAlign w:val="center"/>
          </w:tcPr>
          <w:p w14:paraId="3633B7BA">
            <w:pPr>
              <w:wordWrap w:val="0"/>
              <w:jc w:val="center"/>
              <w:rPr>
                <w:rFonts w:ascii="宋体" w:hAnsi="宋体"/>
                <w:color w:val="auto"/>
                <w:sz w:val="21"/>
                <w:szCs w:val="21"/>
              </w:rPr>
            </w:pPr>
          </w:p>
        </w:tc>
      </w:tr>
      <w:tr w14:paraId="329F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5285F42B">
            <w:pPr>
              <w:wordWrap w:val="0"/>
              <w:jc w:val="center"/>
              <w:rPr>
                <w:rFonts w:ascii="宋体" w:hAnsi="宋体"/>
                <w:color w:val="auto"/>
                <w:sz w:val="21"/>
                <w:szCs w:val="21"/>
              </w:rPr>
            </w:pPr>
          </w:p>
        </w:tc>
        <w:tc>
          <w:tcPr>
            <w:tcW w:w="3587" w:type="dxa"/>
            <w:gridSpan w:val="4"/>
            <w:vAlign w:val="center"/>
          </w:tcPr>
          <w:p w14:paraId="298DCEBE">
            <w:pPr>
              <w:wordWrap w:val="0"/>
              <w:jc w:val="center"/>
              <w:rPr>
                <w:rFonts w:ascii="宋体" w:hAnsi="宋体"/>
                <w:color w:val="auto"/>
                <w:sz w:val="21"/>
                <w:szCs w:val="21"/>
              </w:rPr>
            </w:pPr>
          </w:p>
        </w:tc>
        <w:tc>
          <w:tcPr>
            <w:tcW w:w="1984" w:type="dxa"/>
            <w:vAlign w:val="center"/>
          </w:tcPr>
          <w:p w14:paraId="4BF3A4EE">
            <w:pPr>
              <w:wordWrap w:val="0"/>
              <w:jc w:val="center"/>
              <w:rPr>
                <w:rFonts w:ascii="宋体" w:hAnsi="宋体"/>
                <w:color w:val="auto"/>
                <w:sz w:val="21"/>
                <w:szCs w:val="21"/>
              </w:rPr>
            </w:pPr>
          </w:p>
        </w:tc>
        <w:tc>
          <w:tcPr>
            <w:tcW w:w="2126" w:type="dxa"/>
            <w:vAlign w:val="center"/>
          </w:tcPr>
          <w:p w14:paraId="1F6E8821">
            <w:pPr>
              <w:wordWrap w:val="0"/>
              <w:jc w:val="center"/>
              <w:rPr>
                <w:rFonts w:ascii="宋体" w:hAnsi="宋体"/>
                <w:color w:val="auto"/>
                <w:sz w:val="21"/>
                <w:szCs w:val="21"/>
              </w:rPr>
            </w:pPr>
          </w:p>
        </w:tc>
      </w:tr>
      <w:tr w14:paraId="1F39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60785C0E">
            <w:pPr>
              <w:wordWrap w:val="0"/>
              <w:jc w:val="center"/>
              <w:rPr>
                <w:rFonts w:ascii="宋体" w:hAnsi="宋体"/>
                <w:color w:val="auto"/>
                <w:sz w:val="21"/>
                <w:szCs w:val="21"/>
              </w:rPr>
            </w:pPr>
          </w:p>
        </w:tc>
        <w:tc>
          <w:tcPr>
            <w:tcW w:w="3587" w:type="dxa"/>
            <w:gridSpan w:val="4"/>
            <w:vAlign w:val="center"/>
          </w:tcPr>
          <w:p w14:paraId="240AD936">
            <w:pPr>
              <w:wordWrap w:val="0"/>
              <w:jc w:val="center"/>
              <w:rPr>
                <w:rFonts w:ascii="宋体" w:hAnsi="宋体"/>
                <w:color w:val="auto"/>
                <w:sz w:val="21"/>
                <w:szCs w:val="21"/>
              </w:rPr>
            </w:pPr>
          </w:p>
        </w:tc>
        <w:tc>
          <w:tcPr>
            <w:tcW w:w="1984" w:type="dxa"/>
            <w:vAlign w:val="center"/>
          </w:tcPr>
          <w:p w14:paraId="219A2FBF">
            <w:pPr>
              <w:wordWrap w:val="0"/>
              <w:jc w:val="center"/>
              <w:rPr>
                <w:rFonts w:ascii="宋体" w:hAnsi="宋体"/>
                <w:color w:val="auto"/>
                <w:sz w:val="21"/>
                <w:szCs w:val="21"/>
              </w:rPr>
            </w:pPr>
          </w:p>
        </w:tc>
        <w:tc>
          <w:tcPr>
            <w:tcW w:w="2126" w:type="dxa"/>
            <w:vAlign w:val="center"/>
          </w:tcPr>
          <w:p w14:paraId="5B731225">
            <w:pPr>
              <w:wordWrap w:val="0"/>
              <w:jc w:val="center"/>
              <w:rPr>
                <w:rFonts w:ascii="宋体" w:hAnsi="宋体"/>
                <w:color w:val="auto"/>
                <w:sz w:val="21"/>
                <w:szCs w:val="21"/>
              </w:rPr>
            </w:pPr>
          </w:p>
        </w:tc>
      </w:tr>
      <w:tr w14:paraId="0735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vAlign w:val="center"/>
          </w:tcPr>
          <w:p w14:paraId="35BB6545">
            <w:pPr>
              <w:wordWrap w:val="0"/>
              <w:jc w:val="center"/>
              <w:rPr>
                <w:rFonts w:ascii="宋体" w:hAnsi="宋体"/>
                <w:color w:val="auto"/>
                <w:sz w:val="21"/>
                <w:szCs w:val="21"/>
              </w:rPr>
            </w:pPr>
          </w:p>
        </w:tc>
        <w:tc>
          <w:tcPr>
            <w:tcW w:w="3587" w:type="dxa"/>
            <w:gridSpan w:val="4"/>
            <w:vAlign w:val="center"/>
          </w:tcPr>
          <w:p w14:paraId="1140CB09">
            <w:pPr>
              <w:wordWrap w:val="0"/>
              <w:jc w:val="center"/>
              <w:rPr>
                <w:rFonts w:ascii="宋体" w:hAnsi="宋体"/>
                <w:color w:val="auto"/>
                <w:sz w:val="21"/>
                <w:szCs w:val="21"/>
              </w:rPr>
            </w:pPr>
          </w:p>
        </w:tc>
        <w:tc>
          <w:tcPr>
            <w:tcW w:w="1984" w:type="dxa"/>
            <w:vAlign w:val="center"/>
          </w:tcPr>
          <w:p w14:paraId="71BA039B">
            <w:pPr>
              <w:wordWrap w:val="0"/>
              <w:jc w:val="center"/>
              <w:rPr>
                <w:rFonts w:ascii="宋体" w:hAnsi="宋体"/>
                <w:color w:val="auto"/>
                <w:sz w:val="21"/>
                <w:szCs w:val="21"/>
              </w:rPr>
            </w:pPr>
          </w:p>
        </w:tc>
        <w:tc>
          <w:tcPr>
            <w:tcW w:w="2126" w:type="dxa"/>
            <w:vAlign w:val="center"/>
          </w:tcPr>
          <w:p w14:paraId="169C79EF">
            <w:pPr>
              <w:wordWrap w:val="0"/>
              <w:jc w:val="center"/>
              <w:rPr>
                <w:rFonts w:ascii="宋体" w:hAnsi="宋体"/>
                <w:color w:val="auto"/>
                <w:sz w:val="21"/>
                <w:szCs w:val="21"/>
              </w:rPr>
            </w:pPr>
          </w:p>
        </w:tc>
      </w:tr>
    </w:tbl>
    <w:p w14:paraId="577A2169">
      <w:pPr>
        <w:widowControl/>
        <w:wordWrap w:val="0"/>
        <w:jc w:val="left"/>
        <w:rPr>
          <w:rFonts w:ascii="宋体" w:hAnsi="宋体"/>
          <w:b/>
          <w:bCs/>
          <w:color w:val="auto"/>
          <w:sz w:val="21"/>
          <w:szCs w:val="21"/>
        </w:rPr>
      </w:pPr>
      <w:r>
        <w:rPr>
          <w:rFonts w:hint="eastAsia" w:ascii="宋体" w:hAnsi="宋体"/>
          <w:b/>
          <w:bCs/>
          <w:color w:val="auto"/>
          <w:sz w:val="21"/>
          <w:szCs w:val="21"/>
        </w:rPr>
        <w:br w:type="page"/>
      </w:r>
    </w:p>
    <w:p w14:paraId="67E9CBEA">
      <w:pPr>
        <w:wordWrap w:val="0"/>
        <w:spacing w:beforeLines="100" w:afterLines="100"/>
        <w:jc w:val="center"/>
        <w:rPr>
          <w:rFonts w:hint="eastAsia" w:ascii="宋体" w:hAnsi="宋体" w:eastAsia="宋体"/>
          <w:color w:val="auto"/>
          <w:sz w:val="21"/>
          <w:szCs w:val="21"/>
          <w:lang w:eastAsia="zh-CN"/>
        </w:rPr>
      </w:pPr>
      <w:bookmarkStart w:id="872" w:name="OLE_LINK16"/>
      <w:bookmarkStart w:id="873" w:name="OLE_LINK15"/>
      <w:r>
        <w:rPr>
          <w:rFonts w:hint="eastAsia" w:ascii="宋体" w:hAnsi="宋体"/>
          <w:color w:val="auto"/>
          <w:sz w:val="21"/>
          <w:szCs w:val="21"/>
        </w:rPr>
        <w:t>无在施建设工程承诺书</w:t>
      </w:r>
      <w:r>
        <w:rPr>
          <w:rFonts w:hint="eastAsia" w:ascii="宋体" w:hAnsi="宋体"/>
          <w:b/>
          <w:bCs/>
          <w:color w:val="auto"/>
          <w:sz w:val="21"/>
          <w:szCs w:val="21"/>
        </w:rPr>
        <w:t>（格式）</w:t>
      </w:r>
    </w:p>
    <w:bookmarkEnd w:id="872"/>
    <w:bookmarkEnd w:id="873"/>
    <w:p w14:paraId="17AE18CD">
      <w:pPr>
        <w:wordWrap w:val="0"/>
        <w:spacing w:afterLines="100" w:line="360" w:lineRule="auto"/>
        <w:ind w:firstLine="420" w:firstLineChars="200"/>
        <w:jc w:val="left"/>
        <w:rPr>
          <w:rFonts w:ascii="宋体" w:hAnsi="宋体"/>
          <w:color w:val="auto"/>
          <w:sz w:val="21"/>
          <w:szCs w:val="21"/>
        </w:rPr>
      </w:pPr>
      <w:bookmarkStart w:id="874" w:name="OLE_LINK12"/>
      <w:r>
        <w:rPr>
          <w:rFonts w:hint="eastAsia" w:ascii="宋体" w:hAnsi="宋体"/>
          <w:color w:val="auto"/>
          <w:sz w:val="21"/>
          <w:szCs w:val="21"/>
        </w:rPr>
        <w:t>（招标人名称）：</w:t>
      </w:r>
    </w:p>
    <w:p w14:paraId="42911AD7">
      <w:pPr>
        <w:wordWrap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我方在此声明，我方拟派往</w:t>
      </w:r>
      <w:bookmarkEnd w:id="874"/>
      <w:r>
        <w:rPr>
          <w:rFonts w:hint="eastAsia" w:ascii="宋体" w:hAnsi="宋体"/>
          <w:color w:val="auto"/>
          <w:sz w:val="21"/>
          <w:szCs w:val="21"/>
          <w:highlight w:val="none"/>
          <w:u w:val="single"/>
        </w:rPr>
        <w:t>（项目名称）</w:t>
      </w:r>
      <w:r>
        <w:rPr>
          <w:rFonts w:hint="eastAsia" w:ascii="宋体" w:hAnsi="宋体"/>
          <w:color w:val="auto"/>
          <w:sz w:val="21"/>
          <w:szCs w:val="21"/>
          <w:highlight w:val="none"/>
        </w:rPr>
        <w:t>（以下简称“本工程”）的项目经理</w:t>
      </w:r>
      <w:r>
        <w:rPr>
          <w:rFonts w:hint="eastAsia" w:ascii="宋体" w:hAnsi="宋体"/>
          <w:color w:val="auto"/>
          <w:sz w:val="21"/>
          <w:szCs w:val="21"/>
          <w:highlight w:val="none"/>
          <w:u w:val="single"/>
        </w:rPr>
        <w:t>（项目经理姓名）</w:t>
      </w:r>
      <w:r>
        <w:rPr>
          <w:rFonts w:hint="eastAsia" w:ascii="宋体" w:hAnsi="宋体"/>
          <w:color w:val="auto"/>
          <w:sz w:val="21"/>
          <w:szCs w:val="21"/>
          <w:highlight w:val="none"/>
        </w:rPr>
        <w:t>现阶段没有担任任何在施建设工程和新承接工程项目的项目经理。</w:t>
      </w:r>
    </w:p>
    <w:p w14:paraId="13F10B8A">
      <w:pPr>
        <w:wordWrap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我</w:t>
      </w:r>
      <w:bookmarkStart w:id="875" w:name="OLE_LINK14"/>
      <w:bookmarkStart w:id="876" w:name="OLE_LINK13"/>
      <w:r>
        <w:rPr>
          <w:rFonts w:hint="eastAsia" w:ascii="宋体" w:hAnsi="宋体"/>
          <w:color w:val="auto"/>
          <w:sz w:val="21"/>
          <w:szCs w:val="21"/>
          <w:highlight w:val="none"/>
        </w:rPr>
        <w:t>方保证上述</w:t>
      </w:r>
      <w:bookmarkEnd w:id="875"/>
      <w:bookmarkEnd w:id="876"/>
      <w:r>
        <w:rPr>
          <w:rFonts w:hint="eastAsia" w:ascii="宋体" w:hAnsi="宋体"/>
          <w:color w:val="auto"/>
          <w:sz w:val="21"/>
          <w:szCs w:val="21"/>
          <w:highlight w:val="none"/>
        </w:rPr>
        <w:t>信息的真实和准确，</w:t>
      </w:r>
      <w:bookmarkStart w:id="877" w:name="OLE_LINK31"/>
      <w:bookmarkStart w:id="878" w:name="OLE_LINK30"/>
      <w:r>
        <w:rPr>
          <w:rFonts w:hint="eastAsia" w:ascii="宋体" w:hAnsi="宋体"/>
          <w:color w:val="auto"/>
          <w:sz w:val="21"/>
          <w:szCs w:val="21"/>
          <w:highlight w:val="none"/>
        </w:rPr>
        <w:t>并愿意承担因我方就此弄虚作假所引起的一切法律后果。</w:t>
      </w:r>
    </w:p>
    <w:bookmarkEnd w:id="877"/>
    <w:bookmarkEnd w:id="878"/>
    <w:p w14:paraId="120FE437">
      <w:pPr>
        <w:wordWrap w:val="0"/>
        <w:spacing w:line="360" w:lineRule="auto"/>
        <w:ind w:firstLine="420" w:firstLineChars="200"/>
        <w:jc w:val="left"/>
        <w:rPr>
          <w:rFonts w:hint="eastAsia" w:ascii="宋体" w:hAnsi="宋体" w:eastAsia="宋体"/>
          <w:color w:val="auto"/>
          <w:sz w:val="21"/>
          <w:szCs w:val="21"/>
          <w:highlight w:val="none"/>
          <w:lang w:eastAsia="zh-CN"/>
        </w:rPr>
      </w:pPr>
    </w:p>
    <w:p w14:paraId="1EAF6B6C">
      <w:pPr>
        <w:wordWrap w:val="0"/>
        <w:spacing w:line="360" w:lineRule="auto"/>
        <w:ind w:firstLine="420" w:firstLineChars="200"/>
        <w:jc w:val="left"/>
        <w:rPr>
          <w:rFonts w:ascii="宋体" w:hAnsi="宋体"/>
          <w:color w:val="auto"/>
          <w:sz w:val="21"/>
          <w:szCs w:val="21"/>
          <w:highlight w:val="none"/>
        </w:rPr>
      </w:pPr>
    </w:p>
    <w:p w14:paraId="794869BC">
      <w:pPr>
        <w:wordWrap w:val="0"/>
        <w:spacing w:line="360" w:lineRule="auto"/>
        <w:ind w:firstLine="420" w:firstLineChars="200"/>
        <w:jc w:val="left"/>
        <w:rPr>
          <w:rFonts w:ascii="宋体" w:hAnsi="宋体"/>
          <w:color w:val="auto"/>
          <w:sz w:val="21"/>
          <w:szCs w:val="21"/>
          <w:highlight w:val="none"/>
        </w:rPr>
      </w:pPr>
      <w:bookmarkStart w:id="879" w:name="OLE_LINK39"/>
      <w:bookmarkStart w:id="880" w:name="OLE_LINK38"/>
      <w:r>
        <w:rPr>
          <w:rFonts w:hint="eastAsia" w:ascii="宋体" w:hAnsi="宋体"/>
          <w:color w:val="auto"/>
          <w:sz w:val="21"/>
          <w:szCs w:val="21"/>
          <w:highlight w:val="none"/>
        </w:rPr>
        <w:t>特此承诺！</w:t>
      </w:r>
    </w:p>
    <w:bookmarkEnd w:id="879"/>
    <w:bookmarkEnd w:id="880"/>
    <w:p w14:paraId="78B40E3A">
      <w:pPr>
        <w:wordWrap w:val="0"/>
        <w:spacing w:line="440" w:lineRule="exact"/>
        <w:ind w:firstLine="420" w:firstLineChars="200"/>
        <w:jc w:val="left"/>
        <w:rPr>
          <w:rFonts w:ascii="宋体" w:hAnsi="宋体"/>
          <w:color w:val="auto"/>
          <w:sz w:val="21"/>
          <w:szCs w:val="21"/>
        </w:rPr>
      </w:pPr>
    </w:p>
    <w:p w14:paraId="208FC279">
      <w:pPr>
        <w:wordWrap w:val="0"/>
        <w:spacing w:line="440" w:lineRule="exact"/>
        <w:ind w:firstLine="420" w:firstLineChars="200"/>
        <w:jc w:val="left"/>
        <w:rPr>
          <w:rFonts w:ascii="宋体" w:hAnsi="宋体"/>
          <w:color w:val="auto"/>
          <w:sz w:val="21"/>
          <w:szCs w:val="21"/>
        </w:rPr>
      </w:pPr>
    </w:p>
    <w:p w14:paraId="0AB943BE">
      <w:pPr>
        <w:wordWrap w:val="0"/>
        <w:spacing w:line="440" w:lineRule="exact"/>
        <w:ind w:firstLine="420" w:firstLineChars="200"/>
        <w:jc w:val="left"/>
        <w:rPr>
          <w:rFonts w:ascii="宋体" w:hAnsi="宋体"/>
          <w:color w:val="auto"/>
          <w:sz w:val="21"/>
          <w:szCs w:val="21"/>
        </w:rPr>
      </w:pPr>
    </w:p>
    <w:p w14:paraId="3F21409F">
      <w:pPr>
        <w:wordWrap w:val="0"/>
        <w:spacing w:line="440" w:lineRule="exact"/>
        <w:ind w:firstLine="420" w:firstLineChars="200"/>
        <w:jc w:val="left"/>
        <w:rPr>
          <w:rFonts w:ascii="宋体" w:hAnsi="宋体"/>
          <w:color w:val="auto"/>
          <w:sz w:val="21"/>
          <w:szCs w:val="21"/>
        </w:rPr>
      </w:pPr>
    </w:p>
    <w:p w14:paraId="73519FCE">
      <w:pPr>
        <w:wordWrap w:val="0"/>
        <w:spacing w:line="440" w:lineRule="exact"/>
        <w:ind w:firstLine="420" w:firstLineChars="200"/>
        <w:jc w:val="left"/>
        <w:rPr>
          <w:rFonts w:ascii="宋体" w:hAnsi="宋体"/>
          <w:color w:val="auto"/>
          <w:sz w:val="21"/>
          <w:szCs w:val="21"/>
        </w:rPr>
      </w:pPr>
    </w:p>
    <w:p w14:paraId="0199A455">
      <w:pPr>
        <w:wordWrap w:val="0"/>
        <w:spacing w:line="440" w:lineRule="exact"/>
        <w:ind w:firstLine="420" w:firstLineChars="200"/>
        <w:jc w:val="left"/>
        <w:rPr>
          <w:rFonts w:ascii="宋体" w:hAnsi="宋体"/>
          <w:color w:val="auto"/>
          <w:sz w:val="21"/>
          <w:szCs w:val="21"/>
        </w:rPr>
      </w:pPr>
    </w:p>
    <w:p w14:paraId="716B8FEB">
      <w:pPr>
        <w:wordWrap w:val="0"/>
        <w:spacing w:line="480" w:lineRule="exact"/>
        <w:ind w:right="600" w:firstLine="3158" w:firstLineChars="1504"/>
        <w:rPr>
          <w:rFonts w:ascii="宋体" w:hAnsi="宋体"/>
          <w:color w:val="auto"/>
          <w:sz w:val="21"/>
          <w:szCs w:val="21"/>
          <w:u w:val="none"/>
        </w:rPr>
      </w:pPr>
      <w:bookmarkStart w:id="881" w:name="OLE_LINK21"/>
      <w:bookmarkStart w:id="882" w:name="OLE_LINK54"/>
      <w:bookmarkStart w:id="883" w:name="OLE_LINK53"/>
      <w:r>
        <w:rPr>
          <w:rFonts w:hint="eastAsia" w:ascii="宋体" w:hAnsi="宋体"/>
          <w:color w:val="auto"/>
          <w:sz w:val="21"/>
          <w:szCs w:val="21"/>
          <w:u w:val="none"/>
        </w:rPr>
        <w:t>投标</w:t>
      </w:r>
      <w:r>
        <w:rPr>
          <w:rFonts w:hint="eastAsia" w:ascii="宋体" w:hAnsi="宋体"/>
          <w:color w:val="auto"/>
          <w:sz w:val="21"/>
          <w:szCs w:val="21"/>
          <w:u w:val="none"/>
          <w:lang w:val="en-US" w:eastAsia="zh-CN"/>
        </w:rPr>
        <w:t>人</w:t>
      </w:r>
      <w:r>
        <w:rPr>
          <w:rFonts w:hint="eastAsia" w:ascii="宋体" w:hAnsi="宋体"/>
          <w:color w:val="auto"/>
          <w:sz w:val="21"/>
          <w:szCs w:val="21"/>
          <w:u w:val="none"/>
        </w:rPr>
        <w:t>：（</w:t>
      </w:r>
      <w:r>
        <w:rPr>
          <w:rFonts w:hint="eastAsia" w:ascii="宋体" w:hAnsi="宋体" w:cs="宋体"/>
          <w:color w:val="auto"/>
          <w:szCs w:val="21"/>
        </w:rPr>
        <w:t>盖电子公章</w:t>
      </w:r>
      <w:r>
        <w:rPr>
          <w:rFonts w:hint="eastAsia" w:ascii="宋体" w:hAnsi="宋体"/>
          <w:color w:val="auto"/>
          <w:sz w:val="21"/>
          <w:szCs w:val="21"/>
          <w:u w:val="none"/>
        </w:rPr>
        <w:t>）</w:t>
      </w:r>
    </w:p>
    <w:p w14:paraId="142B4BA7">
      <w:pPr>
        <w:wordWrap w:val="0"/>
        <w:spacing w:line="480" w:lineRule="exact"/>
        <w:ind w:firstLine="3158" w:firstLineChars="1504"/>
        <w:rPr>
          <w:rFonts w:ascii="宋体" w:hAnsi="宋体"/>
          <w:color w:val="auto"/>
          <w:sz w:val="21"/>
          <w:szCs w:val="21"/>
          <w:u w:val="none"/>
        </w:rPr>
      </w:pPr>
      <w:r>
        <w:rPr>
          <w:rFonts w:hint="eastAsia" w:ascii="宋体" w:hAnsi="宋体"/>
          <w:color w:val="auto"/>
          <w:sz w:val="21"/>
          <w:szCs w:val="21"/>
          <w:u w:val="none"/>
        </w:rPr>
        <w:t>法定代表人：</w:t>
      </w:r>
      <w:r>
        <w:rPr>
          <w:rFonts w:hint="eastAsia" w:ascii="宋体" w:hAnsi="宋体"/>
          <w:b/>
          <w:color w:val="auto"/>
          <w:sz w:val="21"/>
          <w:szCs w:val="21"/>
          <w:u w:val="none"/>
        </w:rPr>
        <w:t>（</w:t>
      </w:r>
      <w:r>
        <w:rPr>
          <w:rFonts w:hint="eastAsia" w:ascii="宋体" w:hAnsi="宋体"/>
          <w:color w:val="auto"/>
          <w:sz w:val="21"/>
          <w:szCs w:val="21"/>
          <w:u w:val="none"/>
        </w:rPr>
        <w:t>电子签章）</w:t>
      </w:r>
    </w:p>
    <w:p w14:paraId="0D5CEEED">
      <w:pPr>
        <w:wordWrap w:val="0"/>
        <w:spacing w:line="360" w:lineRule="auto"/>
        <w:ind w:firstLine="531" w:firstLineChars="253"/>
        <w:jc w:val="center"/>
        <w:rPr>
          <w:rFonts w:ascii="宋体" w:hAnsi="宋体"/>
          <w:color w:val="auto"/>
          <w:sz w:val="21"/>
          <w:szCs w:val="21"/>
          <w:u w:val="single"/>
        </w:rPr>
      </w:pPr>
      <w:r>
        <w:rPr>
          <w:rFonts w:hint="eastAsia" w:ascii="宋体" w:hAnsi="宋体" w:cs="宋体"/>
          <w:bCs/>
          <w:color w:val="auto"/>
          <w:kern w:val="0"/>
          <w:sz w:val="21"/>
          <w:szCs w:val="21"/>
        </w:rPr>
        <w:t>年月日</w:t>
      </w:r>
    </w:p>
    <w:bookmarkEnd w:id="881"/>
    <w:p w14:paraId="4D8BFC87">
      <w:pPr>
        <w:wordWrap w:val="0"/>
        <w:spacing w:line="440" w:lineRule="exact"/>
        <w:jc w:val="right"/>
        <w:rPr>
          <w:rFonts w:ascii="宋体" w:hAnsi="宋体"/>
          <w:color w:val="auto"/>
          <w:sz w:val="21"/>
          <w:szCs w:val="21"/>
        </w:rPr>
      </w:pPr>
    </w:p>
    <w:bookmarkEnd w:id="882"/>
    <w:bookmarkEnd w:id="883"/>
    <w:p w14:paraId="7065659A">
      <w:pPr>
        <w:wordWrap w:val="0"/>
        <w:spacing w:line="440" w:lineRule="exact"/>
        <w:jc w:val="right"/>
        <w:rPr>
          <w:rFonts w:ascii="宋体" w:hAnsi="宋体"/>
          <w:color w:val="auto"/>
          <w:sz w:val="21"/>
          <w:szCs w:val="21"/>
        </w:rPr>
      </w:pPr>
    </w:p>
    <w:p w14:paraId="5529D501">
      <w:pPr>
        <w:wordWrap w:val="0"/>
        <w:spacing w:line="440" w:lineRule="exact"/>
        <w:jc w:val="right"/>
        <w:rPr>
          <w:rFonts w:ascii="宋体" w:hAnsi="宋体"/>
          <w:color w:val="auto"/>
          <w:sz w:val="21"/>
          <w:szCs w:val="21"/>
        </w:rPr>
      </w:pPr>
    </w:p>
    <w:p w14:paraId="5D989537">
      <w:pPr>
        <w:wordWrap w:val="0"/>
        <w:spacing w:line="440" w:lineRule="exact"/>
        <w:jc w:val="right"/>
        <w:rPr>
          <w:rFonts w:ascii="宋体" w:hAnsi="宋体"/>
          <w:color w:val="auto"/>
          <w:sz w:val="21"/>
          <w:szCs w:val="21"/>
        </w:rPr>
      </w:pPr>
    </w:p>
    <w:p w14:paraId="4BF14FA7">
      <w:pPr>
        <w:wordWrap w:val="0"/>
        <w:spacing w:line="440" w:lineRule="exact"/>
        <w:jc w:val="right"/>
        <w:rPr>
          <w:rFonts w:ascii="宋体" w:hAnsi="宋体"/>
          <w:color w:val="auto"/>
          <w:sz w:val="21"/>
          <w:szCs w:val="21"/>
        </w:rPr>
      </w:pPr>
    </w:p>
    <w:p w14:paraId="408916F2">
      <w:pPr>
        <w:wordWrap w:val="0"/>
        <w:spacing w:line="440" w:lineRule="exact"/>
        <w:jc w:val="right"/>
        <w:rPr>
          <w:rFonts w:ascii="宋体" w:hAnsi="宋体"/>
          <w:color w:val="auto"/>
          <w:sz w:val="21"/>
          <w:szCs w:val="21"/>
        </w:rPr>
      </w:pPr>
    </w:p>
    <w:p w14:paraId="56A0EC40">
      <w:pPr>
        <w:wordWrap w:val="0"/>
        <w:spacing w:line="440" w:lineRule="exact"/>
        <w:jc w:val="right"/>
        <w:rPr>
          <w:rFonts w:ascii="宋体" w:hAnsi="宋体"/>
          <w:color w:val="auto"/>
          <w:sz w:val="21"/>
          <w:szCs w:val="21"/>
        </w:rPr>
      </w:pPr>
    </w:p>
    <w:p w14:paraId="6CAFC404">
      <w:pPr>
        <w:widowControl/>
        <w:wordWrap w:val="0"/>
        <w:jc w:val="left"/>
        <w:rPr>
          <w:rFonts w:ascii="宋体" w:hAnsi="宋体"/>
          <w:color w:val="auto"/>
          <w:kern w:val="0"/>
          <w:sz w:val="21"/>
          <w:szCs w:val="21"/>
        </w:rPr>
      </w:pPr>
      <w:r>
        <w:rPr>
          <w:rFonts w:hint="eastAsia" w:ascii="宋体" w:hAnsi="宋体"/>
          <w:color w:val="auto"/>
          <w:kern w:val="0"/>
          <w:sz w:val="21"/>
          <w:szCs w:val="21"/>
        </w:rPr>
        <w:br w:type="page"/>
      </w:r>
    </w:p>
    <w:p w14:paraId="151D490B">
      <w:pPr>
        <w:keepNext/>
        <w:keepLines/>
        <w:wordWrap w:val="0"/>
        <w:spacing w:line="360" w:lineRule="auto"/>
        <w:jc w:val="left"/>
        <w:outlineLvl w:val="4"/>
        <w:rPr>
          <w:rFonts w:ascii="宋体" w:hAnsi="宋体"/>
          <w:bCs/>
          <w:color w:val="auto"/>
          <w:sz w:val="21"/>
          <w:szCs w:val="21"/>
        </w:rPr>
      </w:pPr>
      <w:r>
        <w:rPr>
          <w:rFonts w:hint="eastAsia" w:ascii="宋体" w:hAnsi="宋体"/>
          <w:bCs/>
          <w:color w:val="auto"/>
          <w:sz w:val="21"/>
          <w:szCs w:val="21"/>
        </w:rPr>
        <w:t>2、主要项目管理人员简历表</w:t>
      </w:r>
    </w:p>
    <w:p w14:paraId="4F43B1D9">
      <w:pPr>
        <w:keepNext/>
        <w:keepLines/>
        <w:wordWrap w:val="0"/>
        <w:spacing w:line="360" w:lineRule="auto"/>
        <w:ind w:firstLine="420" w:firstLineChars="200"/>
        <w:jc w:val="left"/>
        <w:outlineLvl w:val="4"/>
        <w:rPr>
          <w:rFonts w:ascii="宋体" w:hAnsi="宋体"/>
          <w:color w:val="auto"/>
          <w:sz w:val="21"/>
          <w:szCs w:val="21"/>
        </w:rPr>
      </w:pPr>
      <w:r>
        <w:rPr>
          <w:rFonts w:hint="eastAsia" w:ascii="宋体" w:hAnsi="宋体"/>
          <w:color w:val="auto"/>
          <w:sz w:val="21"/>
          <w:szCs w:val="21"/>
        </w:rPr>
        <w:t>技术负责人应附身份证、职称证、单位养老保险缴费证明等原件扫描件；</w:t>
      </w:r>
    </w:p>
    <w:p w14:paraId="27CF92EE">
      <w:pPr>
        <w:keepNext/>
        <w:keepLines/>
        <w:wordWrap w:val="0"/>
        <w:spacing w:line="360" w:lineRule="auto"/>
        <w:ind w:firstLine="420" w:firstLineChars="200"/>
        <w:jc w:val="left"/>
        <w:outlineLvl w:val="4"/>
        <w:rPr>
          <w:rFonts w:ascii="宋体" w:hAnsi="宋体"/>
          <w:b/>
          <w:bCs/>
          <w:color w:val="auto"/>
          <w:sz w:val="21"/>
          <w:szCs w:val="21"/>
        </w:rPr>
      </w:pPr>
      <w:r>
        <w:rPr>
          <w:rFonts w:hint="eastAsia" w:ascii="宋体" w:hAnsi="宋体"/>
          <w:color w:val="auto"/>
          <w:sz w:val="21"/>
          <w:szCs w:val="21"/>
        </w:rPr>
        <w:t>其他主要人员应附身份证、职称证（执业证或上岗证书）等原件扫描件。</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0"/>
        <w:gridCol w:w="4320"/>
      </w:tblGrid>
      <w:tr w14:paraId="6EED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640" w:type="dxa"/>
            <w:gridSpan w:val="2"/>
          </w:tcPr>
          <w:p w14:paraId="1B16F850">
            <w:pPr>
              <w:wordWrap w:val="0"/>
              <w:spacing w:line="640" w:lineRule="exact"/>
              <w:jc w:val="left"/>
              <w:rPr>
                <w:rFonts w:ascii="宋体" w:hAnsi="宋体"/>
                <w:color w:val="auto"/>
                <w:sz w:val="21"/>
                <w:szCs w:val="21"/>
              </w:rPr>
            </w:pPr>
            <w:r>
              <w:rPr>
                <w:rFonts w:hint="eastAsia" w:ascii="宋体" w:hAnsi="宋体"/>
                <w:color w:val="auto"/>
                <w:sz w:val="21"/>
                <w:szCs w:val="21"/>
              </w:rPr>
              <w:t>岗位名称</w:t>
            </w:r>
          </w:p>
        </w:tc>
      </w:tr>
      <w:tr w14:paraId="4289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4320" w:type="dxa"/>
          </w:tcPr>
          <w:p w14:paraId="1E4CD314">
            <w:pPr>
              <w:wordWrap w:val="0"/>
              <w:spacing w:line="640" w:lineRule="exact"/>
              <w:jc w:val="left"/>
              <w:rPr>
                <w:rFonts w:ascii="宋体" w:hAnsi="宋体"/>
                <w:color w:val="auto"/>
                <w:sz w:val="21"/>
                <w:szCs w:val="21"/>
              </w:rPr>
            </w:pPr>
            <w:r>
              <w:rPr>
                <w:rFonts w:hint="eastAsia" w:ascii="宋体" w:hAnsi="宋体"/>
                <w:color w:val="auto"/>
                <w:sz w:val="21"/>
                <w:szCs w:val="21"/>
              </w:rPr>
              <w:t>姓名</w:t>
            </w:r>
          </w:p>
        </w:tc>
        <w:tc>
          <w:tcPr>
            <w:tcW w:w="4320" w:type="dxa"/>
          </w:tcPr>
          <w:p w14:paraId="5FD4261D">
            <w:pPr>
              <w:wordWrap w:val="0"/>
              <w:spacing w:line="640" w:lineRule="exact"/>
              <w:jc w:val="left"/>
              <w:rPr>
                <w:rFonts w:ascii="宋体" w:hAnsi="宋体"/>
                <w:color w:val="auto"/>
                <w:sz w:val="21"/>
                <w:szCs w:val="21"/>
              </w:rPr>
            </w:pPr>
            <w:r>
              <w:rPr>
                <w:rFonts w:hint="eastAsia" w:ascii="宋体" w:hAnsi="宋体"/>
                <w:color w:val="auto"/>
                <w:sz w:val="21"/>
                <w:szCs w:val="21"/>
              </w:rPr>
              <w:t>年龄</w:t>
            </w:r>
          </w:p>
        </w:tc>
      </w:tr>
      <w:tr w14:paraId="1F29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320" w:type="dxa"/>
          </w:tcPr>
          <w:p w14:paraId="420844E8">
            <w:pPr>
              <w:wordWrap w:val="0"/>
              <w:spacing w:line="640" w:lineRule="exact"/>
              <w:jc w:val="left"/>
              <w:rPr>
                <w:rFonts w:ascii="宋体" w:hAnsi="宋体"/>
                <w:color w:val="auto"/>
                <w:sz w:val="21"/>
                <w:szCs w:val="21"/>
              </w:rPr>
            </w:pPr>
            <w:r>
              <w:rPr>
                <w:rFonts w:hint="eastAsia" w:ascii="宋体" w:hAnsi="宋体"/>
                <w:color w:val="auto"/>
                <w:sz w:val="21"/>
                <w:szCs w:val="21"/>
              </w:rPr>
              <w:t>性别</w:t>
            </w:r>
          </w:p>
        </w:tc>
        <w:tc>
          <w:tcPr>
            <w:tcW w:w="4320" w:type="dxa"/>
          </w:tcPr>
          <w:p w14:paraId="0E233E6C">
            <w:pPr>
              <w:wordWrap w:val="0"/>
              <w:spacing w:line="640" w:lineRule="exact"/>
              <w:jc w:val="left"/>
              <w:rPr>
                <w:rFonts w:ascii="宋体" w:hAnsi="宋体"/>
                <w:color w:val="auto"/>
                <w:sz w:val="21"/>
                <w:szCs w:val="21"/>
              </w:rPr>
            </w:pPr>
            <w:r>
              <w:rPr>
                <w:rFonts w:hint="eastAsia" w:ascii="宋体" w:hAnsi="宋体"/>
                <w:color w:val="auto"/>
                <w:sz w:val="21"/>
                <w:szCs w:val="21"/>
              </w:rPr>
              <w:t>毕业学校</w:t>
            </w:r>
          </w:p>
        </w:tc>
      </w:tr>
      <w:tr w14:paraId="7A9C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4320" w:type="dxa"/>
          </w:tcPr>
          <w:p w14:paraId="2AF7CE77">
            <w:pPr>
              <w:wordWrap w:val="0"/>
              <w:spacing w:line="640" w:lineRule="exact"/>
              <w:jc w:val="left"/>
              <w:rPr>
                <w:rFonts w:ascii="宋体" w:hAnsi="宋体"/>
                <w:color w:val="auto"/>
                <w:sz w:val="21"/>
                <w:szCs w:val="21"/>
              </w:rPr>
            </w:pPr>
            <w:r>
              <w:rPr>
                <w:rFonts w:hint="eastAsia" w:ascii="宋体" w:hAnsi="宋体"/>
                <w:color w:val="auto"/>
                <w:sz w:val="21"/>
                <w:szCs w:val="21"/>
              </w:rPr>
              <w:t>学历和专业</w:t>
            </w:r>
          </w:p>
        </w:tc>
        <w:tc>
          <w:tcPr>
            <w:tcW w:w="4320" w:type="dxa"/>
          </w:tcPr>
          <w:p w14:paraId="65B07E45">
            <w:pPr>
              <w:wordWrap w:val="0"/>
              <w:spacing w:line="640" w:lineRule="exact"/>
              <w:jc w:val="left"/>
              <w:rPr>
                <w:rFonts w:ascii="宋体" w:hAnsi="宋体"/>
                <w:color w:val="auto"/>
                <w:sz w:val="21"/>
                <w:szCs w:val="21"/>
              </w:rPr>
            </w:pPr>
            <w:r>
              <w:rPr>
                <w:rFonts w:hint="eastAsia" w:ascii="宋体" w:hAnsi="宋体"/>
                <w:color w:val="auto"/>
                <w:sz w:val="21"/>
                <w:szCs w:val="21"/>
              </w:rPr>
              <w:t>毕业时间</w:t>
            </w:r>
          </w:p>
        </w:tc>
      </w:tr>
      <w:tr w14:paraId="7C50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4320" w:type="dxa"/>
          </w:tcPr>
          <w:p w14:paraId="62A89D4C">
            <w:pPr>
              <w:wordWrap w:val="0"/>
              <w:spacing w:line="640" w:lineRule="exact"/>
              <w:jc w:val="left"/>
              <w:rPr>
                <w:rFonts w:ascii="宋体" w:hAnsi="宋体"/>
                <w:color w:val="auto"/>
                <w:sz w:val="21"/>
                <w:szCs w:val="21"/>
              </w:rPr>
            </w:pPr>
            <w:r>
              <w:rPr>
                <w:rFonts w:hint="eastAsia" w:ascii="宋体" w:hAnsi="宋体"/>
                <w:color w:val="auto"/>
                <w:sz w:val="21"/>
                <w:szCs w:val="21"/>
              </w:rPr>
              <w:t>拥有的执业资格</w:t>
            </w:r>
          </w:p>
        </w:tc>
        <w:tc>
          <w:tcPr>
            <w:tcW w:w="4320" w:type="dxa"/>
          </w:tcPr>
          <w:p w14:paraId="224AD8B6">
            <w:pPr>
              <w:wordWrap w:val="0"/>
              <w:spacing w:line="640" w:lineRule="exact"/>
              <w:jc w:val="left"/>
              <w:rPr>
                <w:rFonts w:ascii="宋体" w:hAnsi="宋体"/>
                <w:color w:val="auto"/>
                <w:sz w:val="21"/>
                <w:szCs w:val="21"/>
              </w:rPr>
            </w:pPr>
            <w:r>
              <w:rPr>
                <w:rFonts w:hint="eastAsia" w:ascii="宋体" w:hAnsi="宋体"/>
                <w:color w:val="auto"/>
                <w:sz w:val="21"/>
                <w:szCs w:val="21"/>
              </w:rPr>
              <w:t>专业职称</w:t>
            </w:r>
          </w:p>
        </w:tc>
      </w:tr>
      <w:tr w14:paraId="6266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320" w:type="dxa"/>
          </w:tcPr>
          <w:p w14:paraId="6BC2A24F">
            <w:pPr>
              <w:wordWrap w:val="0"/>
              <w:spacing w:line="640" w:lineRule="exact"/>
              <w:jc w:val="left"/>
              <w:rPr>
                <w:rFonts w:ascii="宋体" w:hAnsi="宋体"/>
                <w:color w:val="auto"/>
                <w:sz w:val="21"/>
                <w:szCs w:val="21"/>
              </w:rPr>
            </w:pPr>
            <w:r>
              <w:rPr>
                <w:rFonts w:hint="eastAsia" w:ascii="宋体" w:hAnsi="宋体"/>
                <w:color w:val="auto"/>
                <w:sz w:val="21"/>
                <w:szCs w:val="21"/>
              </w:rPr>
              <w:t>执业资格证书编号</w:t>
            </w:r>
          </w:p>
        </w:tc>
        <w:tc>
          <w:tcPr>
            <w:tcW w:w="4320" w:type="dxa"/>
          </w:tcPr>
          <w:p w14:paraId="539802B8">
            <w:pPr>
              <w:wordWrap w:val="0"/>
              <w:spacing w:line="640" w:lineRule="exact"/>
              <w:jc w:val="left"/>
              <w:rPr>
                <w:rFonts w:ascii="宋体" w:hAnsi="宋体"/>
                <w:color w:val="auto"/>
                <w:sz w:val="21"/>
                <w:szCs w:val="21"/>
              </w:rPr>
            </w:pPr>
            <w:r>
              <w:rPr>
                <w:rFonts w:hint="eastAsia" w:ascii="宋体" w:hAnsi="宋体"/>
                <w:color w:val="auto"/>
                <w:sz w:val="21"/>
                <w:szCs w:val="21"/>
              </w:rPr>
              <w:t>工作年限</w:t>
            </w:r>
          </w:p>
        </w:tc>
      </w:tr>
      <w:tr w14:paraId="0852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5" w:hRule="atLeast"/>
          <w:jc w:val="center"/>
        </w:trPr>
        <w:tc>
          <w:tcPr>
            <w:tcW w:w="8640" w:type="dxa"/>
            <w:gridSpan w:val="2"/>
          </w:tcPr>
          <w:p w14:paraId="4E10A6DD">
            <w:pPr>
              <w:wordWrap w:val="0"/>
              <w:jc w:val="left"/>
              <w:rPr>
                <w:rFonts w:ascii="宋体" w:hAnsi="宋体"/>
                <w:color w:val="auto"/>
                <w:sz w:val="21"/>
                <w:szCs w:val="21"/>
              </w:rPr>
            </w:pPr>
          </w:p>
          <w:p w14:paraId="01E80489">
            <w:pPr>
              <w:wordWrap w:val="0"/>
              <w:jc w:val="left"/>
              <w:rPr>
                <w:rFonts w:ascii="宋体" w:hAnsi="宋体"/>
                <w:color w:val="auto"/>
                <w:sz w:val="21"/>
                <w:szCs w:val="21"/>
              </w:rPr>
            </w:pPr>
          </w:p>
          <w:p w14:paraId="48C7FA1F">
            <w:pPr>
              <w:wordWrap w:val="0"/>
              <w:jc w:val="left"/>
              <w:rPr>
                <w:rFonts w:ascii="宋体" w:hAnsi="宋体"/>
                <w:color w:val="auto"/>
                <w:sz w:val="21"/>
                <w:szCs w:val="21"/>
              </w:rPr>
            </w:pPr>
          </w:p>
          <w:p w14:paraId="66E43B2D">
            <w:pPr>
              <w:wordWrap w:val="0"/>
              <w:jc w:val="left"/>
              <w:rPr>
                <w:rFonts w:ascii="宋体" w:hAnsi="宋体"/>
                <w:color w:val="auto"/>
                <w:sz w:val="21"/>
                <w:szCs w:val="21"/>
              </w:rPr>
            </w:pPr>
          </w:p>
          <w:p w14:paraId="6CE9FFCB">
            <w:pPr>
              <w:wordWrap w:val="0"/>
              <w:jc w:val="left"/>
              <w:rPr>
                <w:rFonts w:ascii="宋体" w:hAnsi="宋体"/>
                <w:color w:val="auto"/>
                <w:sz w:val="21"/>
                <w:szCs w:val="21"/>
              </w:rPr>
            </w:pPr>
            <w:r>
              <w:rPr>
                <w:rFonts w:hint="eastAsia" w:ascii="宋体" w:hAnsi="宋体"/>
                <w:color w:val="auto"/>
                <w:sz w:val="21"/>
                <w:szCs w:val="21"/>
              </w:rPr>
              <w:t>担</w:t>
            </w:r>
          </w:p>
          <w:p w14:paraId="7A527109">
            <w:pPr>
              <w:wordWrap w:val="0"/>
              <w:jc w:val="left"/>
              <w:rPr>
                <w:rFonts w:ascii="宋体" w:hAnsi="宋体"/>
                <w:color w:val="auto"/>
                <w:sz w:val="21"/>
                <w:szCs w:val="21"/>
              </w:rPr>
            </w:pPr>
            <w:r>
              <w:rPr>
                <w:rFonts w:hint="eastAsia" w:ascii="宋体" w:hAnsi="宋体"/>
                <w:color w:val="auto"/>
                <w:sz w:val="21"/>
                <w:szCs w:val="21"/>
              </w:rPr>
              <w:t>任</w:t>
            </w:r>
          </w:p>
          <w:p w14:paraId="05C0A736">
            <w:pPr>
              <w:wordWrap w:val="0"/>
              <w:jc w:val="left"/>
              <w:rPr>
                <w:rFonts w:ascii="宋体" w:hAnsi="宋体"/>
                <w:color w:val="auto"/>
                <w:sz w:val="21"/>
                <w:szCs w:val="21"/>
              </w:rPr>
            </w:pPr>
            <w:r>
              <w:rPr>
                <w:rFonts w:hint="eastAsia" w:ascii="宋体" w:hAnsi="宋体"/>
                <w:color w:val="auto"/>
                <w:sz w:val="21"/>
                <w:szCs w:val="21"/>
              </w:rPr>
              <w:t>的</w:t>
            </w:r>
          </w:p>
          <w:p w14:paraId="19D9CB3F">
            <w:pPr>
              <w:wordWrap w:val="0"/>
              <w:jc w:val="left"/>
              <w:rPr>
                <w:rFonts w:ascii="宋体" w:hAnsi="宋体"/>
                <w:color w:val="auto"/>
                <w:sz w:val="21"/>
                <w:szCs w:val="21"/>
              </w:rPr>
            </w:pPr>
            <w:r>
              <w:rPr>
                <w:rFonts w:hint="eastAsia" w:ascii="宋体" w:hAnsi="宋体"/>
                <w:color w:val="auto"/>
                <w:sz w:val="21"/>
                <w:szCs w:val="21"/>
              </w:rPr>
              <w:t>主</w:t>
            </w:r>
          </w:p>
          <w:p w14:paraId="46619C89">
            <w:pPr>
              <w:wordWrap w:val="0"/>
              <w:jc w:val="left"/>
              <w:rPr>
                <w:rFonts w:ascii="宋体" w:hAnsi="宋体"/>
                <w:color w:val="auto"/>
                <w:sz w:val="21"/>
                <w:szCs w:val="21"/>
              </w:rPr>
            </w:pPr>
            <w:r>
              <w:rPr>
                <w:rFonts w:hint="eastAsia" w:ascii="宋体" w:hAnsi="宋体"/>
                <w:color w:val="auto"/>
                <w:sz w:val="21"/>
                <w:szCs w:val="21"/>
              </w:rPr>
              <w:t>要</w:t>
            </w:r>
          </w:p>
          <w:p w14:paraId="799090DA">
            <w:pPr>
              <w:wordWrap w:val="0"/>
              <w:jc w:val="left"/>
              <w:rPr>
                <w:rFonts w:ascii="宋体" w:hAnsi="宋体"/>
                <w:color w:val="auto"/>
                <w:sz w:val="21"/>
                <w:szCs w:val="21"/>
              </w:rPr>
            </w:pPr>
            <w:r>
              <w:rPr>
                <w:rFonts w:hint="eastAsia" w:ascii="宋体" w:hAnsi="宋体"/>
                <w:color w:val="auto"/>
                <w:sz w:val="21"/>
                <w:szCs w:val="21"/>
              </w:rPr>
              <w:t>工</w:t>
            </w:r>
          </w:p>
          <w:p w14:paraId="533202A8">
            <w:pPr>
              <w:wordWrap w:val="0"/>
              <w:jc w:val="left"/>
              <w:rPr>
                <w:rFonts w:ascii="宋体" w:hAnsi="宋体"/>
                <w:color w:val="auto"/>
                <w:sz w:val="21"/>
                <w:szCs w:val="21"/>
              </w:rPr>
            </w:pPr>
            <w:r>
              <w:rPr>
                <w:rFonts w:hint="eastAsia" w:ascii="宋体" w:hAnsi="宋体"/>
                <w:color w:val="auto"/>
                <w:sz w:val="21"/>
                <w:szCs w:val="21"/>
              </w:rPr>
              <w:t>作</w:t>
            </w:r>
          </w:p>
          <w:p w14:paraId="73BA4D4D">
            <w:pPr>
              <w:wordWrap w:val="0"/>
              <w:jc w:val="left"/>
              <w:rPr>
                <w:rFonts w:ascii="宋体" w:hAnsi="宋体"/>
                <w:color w:val="auto"/>
                <w:sz w:val="21"/>
                <w:szCs w:val="21"/>
              </w:rPr>
            </w:pPr>
          </w:p>
        </w:tc>
      </w:tr>
    </w:tbl>
    <w:p w14:paraId="45623EF4">
      <w:pPr>
        <w:wordWrap w:val="0"/>
        <w:jc w:val="left"/>
        <w:rPr>
          <w:rFonts w:ascii="宋体" w:hAnsi="宋体"/>
          <w:color w:val="auto"/>
          <w:sz w:val="21"/>
          <w:szCs w:val="21"/>
        </w:rPr>
      </w:pPr>
    </w:p>
    <w:p w14:paraId="6495FFC9">
      <w:pPr>
        <w:wordWrap w:val="0"/>
        <w:jc w:val="left"/>
        <w:rPr>
          <w:rFonts w:ascii="宋体" w:hAnsi="宋体"/>
          <w:color w:val="auto"/>
          <w:sz w:val="21"/>
          <w:szCs w:val="21"/>
        </w:rPr>
      </w:pPr>
    </w:p>
    <w:p w14:paraId="1FE7D4A8">
      <w:pPr>
        <w:wordWrap w:val="0"/>
        <w:snapToGrid w:val="0"/>
        <w:spacing w:line="500" w:lineRule="exact"/>
        <w:ind w:firstLine="315" w:firstLineChars="150"/>
        <w:rPr>
          <w:rFonts w:ascii="宋体" w:hAnsi="宋体"/>
          <w:color w:val="auto"/>
          <w:sz w:val="21"/>
          <w:szCs w:val="21"/>
        </w:rPr>
      </w:pPr>
    </w:p>
    <w:p w14:paraId="1AD5871B">
      <w:pPr>
        <w:widowControl/>
        <w:wordWrap w:val="0"/>
        <w:jc w:val="left"/>
        <w:rPr>
          <w:rFonts w:ascii="Arial" w:hAnsi="Arial"/>
          <w:b/>
          <w:color w:val="auto"/>
          <w:sz w:val="21"/>
          <w:szCs w:val="21"/>
        </w:rPr>
      </w:pPr>
      <w:r>
        <w:rPr>
          <w:rFonts w:ascii="Arial" w:hAnsi="Arial"/>
          <w:b/>
          <w:color w:val="auto"/>
          <w:sz w:val="21"/>
          <w:szCs w:val="21"/>
        </w:rPr>
        <w:br w:type="page"/>
      </w:r>
    </w:p>
    <w:p w14:paraId="135926D1">
      <w:pPr>
        <w:widowControl/>
        <w:wordWrap w:val="0"/>
        <w:spacing w:line="420" w:lineRule="exact"/>
        <w:jc w:val="center"/>
        <w:outlineLvl w:val="3"/>
        <w:rPr>
          <w:rFonts w:ascii="宋体" w:hAnsi="宋体"/>
          <w:b/>
          <w:color w:val="auto"/>
          <w:sz w:val="21"/>
          <w:szCs w:val="21"/>
        </w:rPr>
      </w:pPr>
      <w:r>
        <w:rPr>
          <w:rFonts w:hint="eastAsia" w:ascii="宋体" w:hAnsi="宋体" w:cs="仿宋_GB2312"/>
          <w:color w:val="auto"/>
          <w:sz w:val="21"/>
          <w:szCs w:val="21"/>
        </w:rPr>
        <w:t>（三）拟派项目管理部组成人员承诺（格式）</w:t>
      </w:r>
    </w:p>
    <w:p w14:paraId="69B23002">
      <w:pPr>
        <w:widowControl/>
        <w:wordWrap w:val="0"/>
        <w:spacing w:line="520" w:lineRule="exact"/>
        <w:ind w:firstLine="420" w:firstLineChars="200"/>
        <w:jc w:val="left"/>
        <w:rPr>
          <w:rFonts w:ascii="宋体" w:hAnsi="宋体" w:cs="仿宋_GB2312"/>
          <w:color w:val="auto"/>
          <w:kern w:val="0"/>
          <w:sz w:val="21"/>
          <w:szCs w:val="21"/>
        </w:rPr>
      </w:pPr>
    </w:p>
    <w:p w14:paraId="726EFB3D">
      <w:pPr>
        <w:widowControl/>
        <w:wordWrap w:val="0"/>
        <w:spacing w:line="520" w:lineRule="exact"/>
        <w:ind w:firstLine="420" w:firstLineChars="200"/>
        <w:jc w:val="left"/>
        <w:rPr>
          <w:rFonts w:ascii="宋体" w:hAnsi="宋体" w:cs="仿宋_GB2312"/>
          <w:color w:val="auto"/>
          <w:kern w:val="0"/>
          <w:sz w:val="21"/>
          <w:szCs w:val="21"/>
        </w:rPr>
      </w:pPr>
      <w:r>
        <w:rPr>
          <w:rFonts w:hint="eastAsia" w:ascii="宋体" w:hAnsi="宋体" w:cs="仿宋_GB2312"/>
          <w:color w:val="auto"/>
          <w:kern w:val="0"/>
          <w:sz w:val="21"/>
          <w:szCs w:val="21"/>
        </w:rPr>
        <w:t>为确保本项目按质按量按期完成，我公司郑重承诺：</w:t>
      </w:r>
    </w:p>
    <w:p w14:paraId="7F59E58C">
      <w:pPr>
        <w:widowControl/>
        <w:wordWrap w:val="0"/>
        <w:spacing w:line="520" w:lineRule="exact"/>
        <w:ind w:firstLine="420" w:firstLineChars="200"/>
        <w:jc w:val="left"/>
        <w:rPr>
          <w:rFonts w:ascii="宋体" w:hAnsi="宋体" w:cs="仿宋_GB2312"/>
          <w:color w:val="auto"/>
          <w:kern w:val="0"/>
          <w:sz w:val="21"/>
          <w:szCs w:val="21"/>
        </w:rPr>
      </w:pPr>
      <w:r>
        <w:rPr>
          <w:rFonts w:hint="eastAsia" w:ascii="宋体" w:hAnsi="宋体" w:cs="仿宋_GB2312"/>
          <w:color w:val="auto"/>
          <w:kern w:val="0"/>
          <w:sz w:val="21"/>
          <w:szCs w:val="21"/>
        </w:rPr>
        <w:t>1、为本项目拟派项目经理、技术负责人具备工程相关工作经验</w:t>
      </w:r>
      <w:r>
        <w:rPr>
          <w:rFonts w:ascii="宋体" w:hAnsi="宋体" w:cs="仿宋_GB2312"/>
          <w:color w:val="auto"/>
          <w:kern w:val="0"/>
          <w:sz w:val="21"/>
          <w:szCs w:val="21"/>
        </w:rPr>
        <w:t>。</w:t>
      </w:r>
      <w:r>
        <w:rPr>
          <w:rFonts w:hint="eastAsia" w:ascii="宋体" w:hAnsi="宋体" w:cs="仿宋_GB2312"/>
          <w:color w:val="auto"/>
          <w:kern w:val="0"/>
          <w:sz w:val="21"/>
          <w:szCs w:val="21"/>
        </w:rPr>
        <w:t>拟派本项目的施工员、质量员、安全员、材料员、资料员均具备多年工程现场管理经验，能够满足工程管理需要。</w:t>
      </w:r>
    </w:p>
    <w:p w14:paraId="2CE98B7F">
      <w:pPr>
        <w:widowControl/>
        <w:wordWrap w:val="0"/>
        <w:spacing w:line="520" w:lineRule="exact"/>
        <w:ind w:firstLine="420" w:firstLineChars="200"/>
        <w:jc w:val="left"/>
        <w:rPr>
          <w:rFonts w:ascii="宋体" w:hAnsi="宋体" w:cs="仿宋_GB2312"/>
          <w:color w:val="auto"/>
          <w:kern w:val="0"/>
          <w:sz w:val="21"/>
          <w:szCs w:val="21"/>
        </w:rPr>
      </w:pPr>
      <w:r>
        <w:rPr>
          <w:rFonts w:hint="eastAsia" w:ascii="宋体" w:hAnsi="宋体" w:cs="仿宋_GB2312"/>
          <w:color w:val="auto"/>
          <w:kern w:val="0"/>
          <w:sz w:val="21"/>
          <w:szCs w:val="21"/>
        </w:rPr>
        <w:t>2、拟派本项目的施工员、质量员、安全员、材料员、资料员均为专职人员。</w:t>
      </w:r>
    </w:p>
    <w:p w14:paraId="401377C9">
      <w:pPr>
        <w:widowControl/>
        <w:wordWrap w:val="0"/>
        <w:spacing w:line="520" w:lineRule="exact"/>
        <w:ind w:firstLine="420" w:firstLineChars="200"/>
        <w:jc w:val="left"/>
        <w:rPr>
          <w:rFonts w:ascii="宋体" w:hAnsi="宋体" w:cs="仿宋_GB2312"/>
          <w:color w:val="auto"/>
          <w:kern w:val="0"/>
          <w:sz w:val="21"/>
          <w:szCs w:val="21"/>
        </w:rPr>
      </w:pPr>
      <w:r>
        <w:rPr>
          <w:rFonts w:hint="eastAsia" w:ascii="宋体" w:hAnsi="宋体" w:cs="仿宋_GB2312"/>
          <w:color w:val="auto"/>
          <w:kern w:val="0"/>
          <w:sz w:val="21"/>
          <w:szCs w:val="21"/>
        </w:rPr>
        <w:t>3、依据工程情况，按发包人的要求及时调整项目管理人员，确保工程顺利进行。</w:t>
      </w:r>
    </w:p>
    <w:p w14:paraId="6872D9B8">
      <w:pPr>
        <w:widowControl/>
        <w:wordWrap w:val="0"/>
        <w:spacing w:line="520" w:lineRule="exact"/>
        <w:ind w:firstLine="420" w:firstLineChars="200"/>
        <w:jc w:val="left"/>
        <w:rPr>
          <w:rFonts w:ascii="宋体" w:hAnsi="宋体" w:cs="仿宋_GB2312"/>
          <w:color w:val="auto"/>
          <w:kern w:val="0"/>
          <w:sz w:val="21"/>
          <w:szCs w:val="21"/>
        </w:rPr>
      </w:pPr>
    </w:p>
    <w:p w14:paraId="2F43F094">
      <w:pPr>
        <w:widowControl/>
        <w:wordWrap w:val="0"/>
        <w:spacing w:line="480" w:lineRule="exact"/>
        <w:ind w:firstLine="420" w:firstLineChars="200"/>
        <w:jc w:val="left"/>
        <w:textAlignment w:val="center"/>
        <w:rPr>
          <w:rFonts w:hint="eastAsia" w:ascii="宋体" w:hAnsi="宋体" w:eastAsia="宋体" w:cs="仿宋_GB2312"/>
          <w:color w:val="auto"/>
          <w:kern w:val="0"/>
          <w:sz w:val="21"/>
          <w:szCs w:val="21"/>
          <w:lang w:eastAsia="zh-CN"/>
        </w:rPr>
      </w:pPr>
      <w:r>
        <w:rPr>
          <w:rFonts w:hint="eastAsia" w:ascii="宋体" w:hAnsi="宋体" w:cs="仿宋_GB2312"/>
          <w:color w:val="auto"/>
          <w:kern w:val="0"/>
          <w:sz w:val="21"/>
          <w:szCs w:val="21"/>
        </w:rPr>
        <w:t>特此承诺</w:t>
      </w:r>
    </w:p>
    <w:p w14:paraId="332B86D1">
      <w:pPr>
        <w:widowControl/>
        <w:wordWrap w:val="0"/>
        <w:spacing w:line="480" w:lineRule="exact"/>
        <w:jc w:val="left"/>
        <w:textAlignment w:val="center"/>
        <w:rPr>
          <w:rFonts w:ascii="宋体" w:hAnsi="宋体" w:cs="仿宋_GB2312"/>
          <w:color w:val="auto"/>
          <w:kern w:val="0"/>
          <w:sz w:val="21"/>
          <w:szCs w:val="21"/>
        </w:rPr>
      </w:pPr>
    </w:p>
    <w:p w14:paraId="0C1125B3">
      <w:pPr>
        <w:wordWrap w:val="0"/>
        <w:spacing w:line="480" w:lineRule="exact"/>
        <w:ind w:right="600" w:firstLine="3158" w:firstLineChars="1504"/>
        <w:rPr>
          <w:rFonts w:ascii="宋体" w:hAnsi="宋体"/>
          <w:color w:val="auto"/>
          <w:sz w:val="21"/>
          <w:szCs w:val="21"/>
          <w:u w:val="single"/>
        </w:rPr>
      </w:pPr>
      <w:r>
        <w:rPr>
          <w:rFonts w:hint="eastAsia" w:ascii="宋体" w:hAnsi="宋体"/>
          <w:color w:val="auto"/>
          <w:sz w:val="21"/>
          <w:szCs w:val="21"/>
        </w:rPr>
        <w:t>投标</w:t>
      </w:r>
      <w:r>
        <w:rPr>
          <w:rFonts w:hint="eastAsia" w:ascii="宋体" w:hAnsi="宋体"/>
          <w:color w:val="auto"/>
          <w:sz w:val="21"/>
          <w:szCs w:val="21"/>
          <w:lang w:val="en-US" w:eastAsia="zh-CN"/>
        </w:rPr>
        <w:t>人</w:t>
      </w:r>
      <w:r>
        <w:rPr>
          <w:rFonts w:hint="eastAsia" w:ascii="宋体" w:hAnsi="宋体"/>
          <w:color w:val="auto"/>
          <w:sz w:val="21"/>
          <w:szCs w:val="21"/>
        </w:rPr>
        <w:t>：（</w:t>
      </w:r>
      <w:r>
        <w:rPr>
          <w:rFonts w:hint="eastAsia" w:ascii="宋体" w:hAnsi="宋体" w:cs="宋体"/>
          <w:color w:val="auto"/>
          <w:szCs w:val="21"/>
        </w:rPr>
        <w:t>盖电子公章</w:t>
      </w:r>
      <w:r>
        <w:rPr>
          <w:rFonts w:hint="eastAsia" w:ascii="宋体" w:hAnsi="宋体"/>
          <w:color w:val="auto"/>
          <w:sz w:val="21"/>
          <w:szCs w:val="21"/>
        </w:rPr>
        <w:t>）</w:t>
      </w:r>
    </w:p>
    <w:p w14:paraId="21D12E7C">
      <w:pPr>
        <w:wordWrap w:val="0"/>
        <w:spacing w:line="480" w:lineRule="exact"/>
        <w:ind w:firstLine="3158" w:firstLineChars="1504"/>
        <w:rPr>
          <w:rFonts w:ascii="宋体" w:hAnsi="宋体"/>
          <w:color w:val="auto"/>
          <w:sz w:val="21"/>
          <w:szCs w:val="21"/>
          <w:u w:val="single"/>
        </w:rPr>
      </w:pPr>
      <w:r>
        <w:rPr>
          <w:rFonts w:hint="eastAsia" w:ascii="宋体" w:hAnsi="宋体"/>
          <w:color w:val="auto"/>
          <w:sz w:val="21"/>
          <w:szCs w:val="21"/>
        </w:rPr>
        <w:t>法定代表人：</w:t>
      </w:r>
      <w:r>
        <w:rPr>
          <w:rFonts w:hint="eastAsia" w:ascii="宋体" w:hAnsi="宋体"/>
          <w:b/>
          <w:color w:val="auto"/>
          <w:sz w:val="21"/>
          <w:szCs w:val="21"/>
          <w:u w:val="none"/>
        </w:rPr>
        <w:t>（</w:t>
      </w:r>
      <w:r>
        <w:rPr>
          <w:rFonts w:hint="eastAsia" w:ascii="宋体" w:hAnsi="宋体"/>
          <w:color w:val="auto"/>
          <w:sz w:val="21"/>
          <w:szCs w:val="21"/>
          <w:u w:val="none"/>
        </w:rPr>
        <w:t>电子签章）</w:t>
      </w:r>
    </w:p>
    <w:p w14:paraId="1C535B5E">
      <w:pPr>
        <w:keepNext/>
        <w:keepLines/>
        <w:widowControl/>
        <w:wordWrap w:val="0"/>
        <w:spacing w:line="360" w:lineRule="auto"/>
        <w:jc w:val="center"/>
        <w:outlineLvl w:val="1"/>
        <w:rPr>
          <w:rFonts w:ascii="Arial" w:hAnsi="Arial"/>
          <w:b/>
          <w:color w:val="auto"/>
          <w:sz w:val="24"/>
          <w:szCs w:val="32"/>
        </w:rPr>
      </w:pPr>
      <w:r>
        <w:rPr>
          <w:rFonts w:hint="eastAsia" w:ascii="宋体" w:hAnsi="宋体" w:cs="宋体"/>
          <w:bCs/>
          <w:color w:val="auto"/>
          <w:kern w:val="0"/>
          <w:sz w:val="21"/>
          <w:szCs w:val="21"/>
        </w:rPr>
        <w:t>年月日</w:t>
      </w:r>
      <w:r>
        <w:rPr>
          <w:rFonts w:ascii="Arial" w:hAnsi="Arial"/>
          <w:b/>
          <w:color w:val="auto"/>
          <w:sz w:val="21"/>
          <w:szCs w:val="21"/>
        </w:rPr>
        <w:br w:type="page"/>
      </w:r>
      <w:bookmarkStart w:id="884" w:name="_Toc204691616"/>
      <w:r>
        <w:rPr>
          <w:rFonts w:hint="eastAsia" w:ascii="Arial" w:hAnsi="Arial"/>
          <w:b/>
          <w:color w:val="auto"/>
          <w:sz w:val="24"/>
          <w:szCs w:val="32"/>
        </w:rPr>
        <w:t>八、投标人基本情况资料</w:t>
      </w:r>
      <w:bookmarkEnd w:id="884"/>
    </w:p>
    <w:p w14:paraId="159DBF26">
      <w:pPr>
        <w:widowControl/>
        <w:wordWrap w:val="0"/>
        <w:spacing w:line="420" w:lineRule="exact"/>
        <w:jc w:val="center"/>
        <w:outlineLvl w:val="3"/>
        <w:rPr>
          <w:rFonts w:ascii="宋体" w:hAnsi="宋体" w:cs="仿宋_GB2312"/>
          <w:b/>
          <w:bCs/>
          <w:color w:val="auto"/>
          <w:sz w:val="24"/>
        </w:rPr>
      </w:pPr>
      <w:bookmarkStart w:id="885" w:name="_Toc392837523"/>
      <w:bookmarkEnd w:id="885"/>
      <w:bookmarkStart w:id="886" w:name="OLE_LINK57"/>
      <w:bookmarkStart w:id="887" w:name="OLE_LINK56"/>
      <w:bookmarkStart w:id="888" w:name="OLE_LINK58"/>
      <w:r>
        <w:rPr>
          <w:rFonts w:hint="eastAsia" w:ascii="宋体" w:hAnsi="宋体" w:cs="仿宋_GB2312"/>
          <w:b/>
          <w:bCs/>
          <w:color w:val="auto"/>
          <w:sz w:val="24"/>
        </w:rPr>
        <w:t>（一）投标人基本情况表</w:t>
      </w:r>
    </w:p>
    <w:bookmarkEnd w:id="886"/>
    <w:bookmarkEnd w:id="887"/>
    <w:bookmarkEnd w:id="888"/>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896"/>
        <w:gridCol w:w="1020"/>
        <w:gridCol w:w="992"/>
        <w:gridCol w:w="283"/>
        <w:gridCol w:w="195"/>
        <w:gridCol w:w="1246"/>
        <w:gridCol w:w="261"/>
        <w:gridCol w:w="709"/>
        <w:gridCol w:w="1416"/>
      </w:tblGrid>
      <w:tr w14:paraId="70D0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690EFC5A">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投标人名称</w:t>
            </w:r>
          </w:p>
        </w:tc>
        <w:tc>
          <w:tcPr>
            <w:tcW w:w="7018" w:type="dxa"/>
            <w:gridSpan w:val="9"/>
            <w:tcBorders>
              <w:top w:val="single" w:color="auto" w:sz="4" w:space="0"/>
              <w:left w:val="nil"/>
              <w:bottom w:val="single" w:color="auto" w:sz="4" w:space="0"/>
              <w:right w:val="single" w:color="auto" w:sz="4" w:space="0"/>
            </w:tcBorders>
            <w:vAlign w:val="center"/>
          </w:tcPr>
          <w:p w14:paraId="38956978">
            <w:pPr>
              <w:widowControl/>
              <w:wordWrap w:val="0"/>
              <w:jc w:val="center"/>
              <w:rPr>
                <w:rFonts w:ascii="宋体" w:hAnsi="宋体" w:cs="仿宋_GB2312"/>
                <w:color w:val="auto"/>
                <w:kern w:val="0"/>
                <w:sz w:val="21"/>
                <w:szCs w:val="21"/>
              </w:rPr>
            </w:pPr>
          </w:p>
        </w:tc>
      </w:tr>
      <w:tr w14:paraId="61C6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435147C3">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注册地址</w:t>
            </w:r>
          </w:p>
        </w:tc>
        <w:tc>
          <w:tcPr>
            <w:tcW w:w="3386" w:type="dxa"/>
            <w:gridSpan w:val="5"/>
            <w:tcBorders>
              <w:top w:val="single" w:color="auto" w:sz="4" w:space="0"/>
              <w:left w:val="nil"/>
              <w:bottom w:val="single" w:color="auto" w:sz="4" w:space="0"/>
              <w:right w:val="single" w:color="auto" w:sz="4" w:space="0"/>
            </w:tcBorders>
            <w:vAlign w:val="center"/>
          </w:tcPr>
          <w:p w14:paraId="3A9CC0B7">
            <w:pPr>
              <w:widowControl/>
              <w:wordWrap w:val="0"/>
              <w:jc w:val="center"/>
              <w:rPr>
                <w:rFonts w:ascii="宋体" w:hAnsi="宋体" w:cs="仿宋_GB2312"/>
                <w:color w:val="auto"/>
                <w:kern w:val="0"/>
                <w:sz w:val="21"/>
                <w:szCs w:val="21"/>
              </w:rPr>
            </w:pPr>
          </w:p>
        </w:tc>
        <w:tc>
          <w:tcPr>
            <w:tcW w:w="1246" w:type="dxa"/>
            <w:tcBorders>
              <w:top w:val="single" w:color="auto" w:sz="4" w:space="0"/>
              <w:left w:val="nil"/>
              <w:bottom w:val="single" w:color="auto" w:sz="4" w:space="0"/>
              <w:right w:val="single" w:color="auto" w:sz="4" w:space="0"/>
            </w:tcBorders>
            <w:vAlign w:val="center"/>
          </w:tcPr>
          <w:p w14:paraId="16C59418">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邮政编码</w:t>
            </w:r>
          </w:p>
        </w:tc>
        <w:tc>
          <w:tcPr>
            <w:tcW w:w="2386" w:type="dxa"/>
            <w:gridSpan w:val="3"/>
            <w:tcBorders>
              <w:top w:val="single" w:color="auto" w:sz="4" w:space="0"/>
              <w:left w:val="nil"/>
              <w:bottom w:val="single" w:color="auto" w:sz="4" w:space="0"/>
              <w:right w:val="single" w:color="auto" w:sz="4" w:space="0"/>
            </w:tcBorders>
            <w:vAlign w:val="center"/>
          </w:tcPr>
          <w:p w14:paraId="35EE11E6">
            <w:pPr>
              <w:widowControl/>
              <w:wordWrap w:val="0"/>
              <w:jc w:val="center"/>
              <w:rPr>
                <w:rFonts w:ascii="宋体" w:hAnsi="宋体" w:cs="仿宋_GB2312"/>
                <w:color w:val="auto"/>
                <w:kern w:val="0"/>
                <w:sz w:val="21"/>
                <w:szCs w:val="21"/>
              </w:rPr>
            </w:pPr>
          </w:p>
        </w:tc>
      </w:tr>
      <w:tr w14:paraId="033C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vMerge w:val="restart"/>
            <w:tcBorders>
              <w:top w:val="nil"/>
              <w:left w:val="single" w:color="auto" w:sz="4" w:space="0"/>
              <w:bottom w:val="single" w:color="auto" w:sz="4" w:space="0"/>
              <w:right w:val="single" w:color="auto" w:sz="4" w:space="0"/>
            </w:tcBorders>
            <w:vAlign w:val="center"/>
          </w:tcPr>
          <w:p w14:paraId="3D502D96">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联系方式</w:t>
            </w:r>
          </w:p>
        </w:tc>
        <w:tc>
          <w:tcPr>
            <w:tcW w:w="896" w:type="dxa"/>
            <w:tcBorders>
              <w:top w:val="single" w:color="auto" w:sz="4" w:space="0"/>
              <w:left w:val="nil"/>
              <w:bottom w:val="single" w:color="auto" w:sz="4" w:space="0"/>
              <w:right w:val="single" w:color="auto" w:sz="4" w:space="0"/>
            </w:tcBorders>
            <w:vAlign w:val="center"/>
          </w:tcPr>
          <w:p w14:paraId="5747BEB2">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联系人</w:t>
            </w:r>
          </w:p>
        </w:tc>
        <w:tc>
          <w:tcPr>
            <w:tcW w:w="2490" w:type="dxa"/>
            <w:gridSpan w:val="4"/>
            <w:tcBorders>
              <w:top w:val="single" w:color="auto" w:sz="4" w:space="0"/>
              <w:left w:val="nil"/>
              <w:bottom w:val="single" w:color="auto" w:sz="4" w:space="0"/>
              <w:right w:val="single" w:color="auto" w:sz="4" w:space="0"/>
            </w:tcBorders>
            <w:vAlign w:val="center"/>
          </w:tcPr>
          <w:p w14:paraId="0AF1CA35">
            <w:pPr>
              <w:widowControl/>
              <w:wordWrap w:val="0"/>
              <w:jc w:val="center"/>
              <w:rPr>
                <w:rFonts w:ascii="宋体" w:hAnsi="宋体" w:cs="仿宋_GB2312"/>
                <w:color w:val="auto"/>
                <w:kern w:val="0"/>
                <w:sz w:val="21"/>
                <w:szCs w:val="21"/>
              </w:rPr>
            </w:pPr>
          </w:p>
        </w:tc>
        <w:tc>
          <w:tcPr>
            <w:tcW w:w="1246" w:type="dxa"/>
            <w:tcBorders>
              <w:top w:val="single" w:color="auto" w:sz="4" w:space="0"/>
              <w:left w:val="nil"/>
              <w:bottom w:val="single" w:color="auto" w:sz="4" w:space="0"/>
              <w:right w:val="single" w:color="auto" w:sz="4" w:space="0"/>
            </w:tcBorders>
            <w:vAlign w:val="center"/>
          </w:tcPr>
          <w:p w14:paraId="42EF2EDC">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电话</w:t>
            </w:r>
          </w:p>
        </w:tc>
        <w:tc>
          <w:tcPr>
            <w:tcW w:w="2386" w:type="dxa"/>
            <w:gridSpan w:val="3"/>
            <w:tcBorders>
              <w:top w:val="single" w:color="auto" w:sz="4" w:space="0"/>
              <w:left w:val="nil"/>
              <w:bottom w:val="single" w:color="auto" w:sz="4" w:space="0"/>
              <w:right w:val="single" w:color="auto" w:sz="4" w:space="0"/>
            </w:tcBorders>
            <w:vAlign w:val="center"/>
          </w:tcPr>
          <w:p w14:paraId="0331DAB7">
            <w:pPr>
              <w:widowControl/>
              <w:wordWrap w:val="0"/>
              <w:jc w:val="center"/>
              <w:rPr>
                <w:rFonts w:ascii="宋体" w:hAnsi="宋体" w:cs="仿宋_GB2312"/>
                <w:color w:val="auto"/>
                <w:kern w:val="0"/>
                <w:sz w:val="21"/>
                <w:szCs w:val="21"/>
              </w:rPr>
            </w:pPr>
          </w:p>
        </w:tc>
      </w:tr>
      <w:tr w14:paraId="2992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vMerge w:val="continue"/>
            <w:tcBorders>
              <w:top w:val="nil"/>
              <w:left w:val="single" w:color="auto" w:sz="4" w:space="0"/>
              <w:bottom w:val="single" w:color="auto" w:sz="4" w:space="0"/>
              <w:right w:val="single" w:color="auto" w:sz="4" w:space="0"/>
            </w:tcBorders>
            <w:vAlign w:val="center"/>
          </w:tcPr>
          <w:p w14:paraId="0BB8D29F">
            <w:pPr>
              <w:widowControl/>
              <w:wordWrap w:val="0"/>
              <w:jc w:val="left"/>
              <w:rPr>
                <w:rFonts w:ascii="宋体" w:hAnsi="宋体" w:cs="仿宋_GB2312"/>
                <w:color w:val="auto"/>
                <w:kern w:val="0"/>
                <w:sz w:val="21"/>
                <w:szCs w:val="21"/>
              </w:rPr>
            </w:pPr>
          </w:p>
        </w:tc>
        <w:tc>
          <w:tcPr>
            <w:tcW w:w="896" w:type="dxa"/>
            <w:tcBorders>
              <w:top w:val="single" w:color="auto" w:sz="4" w:space="0"/>
              <w:left w:val="nil"/>
              <w:bottom w:val="single" w:color="auto" w:sz="4" w:space="0"/>
              <w:right w:val="single" w:color="auto" w:sz="4" w:space="0"/>
            </w:tcBorders>
            <w:vAlign w:val="center"/>
          </w:tcPr>
          <w:p w14:paraId="117F0927">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传真</w:t>
            </w:r>
          </w:p>
        </w:tc>
        <w:tc>
          <w:tcPr>
            <w:tcW w:w="2490" w:type="dxa"/>
            <w:gridSpan w:val="4"/>
            <w:tcBorders>
              <w:top w:val="single" w:color="auto" w:sz="4" w:space="0"/>
              <w:left w:val="nil"/>
              <w:bottom w:val="single" w:color="auto" w:sz="4" w:space="0"/>
              <w:right w:val="single" w:color="auto" w:sz="4" w:space="0"/>
            </w:tcBorders>
            <w:vAlign w:val="center"/>
          </w:tcPr>
          <w:p w14:paraId="7D7A7FD2">
            <w:pPr>
              <w:widowControl/>
              <w:wordWrap w:val="0"/>
              <w:jc w:val="center"/>
              <w:rPr>
                <w:rFonts w:ascii="宋体" w:hAnsi="宋体" w:cs="仿宋_GB2312"/>
                <w:color w:val="auto"/>
                <w:kern w:val="0"/>
                <w:sz w:val="21"/>
                <w:szCs w:val="21"/>
              </w:rPr>
            </w:pPr>
          </w:p>
        </w:tc>
        <w:tc>
          <w:tcPr>
            <w:tcW w:w="1246" w:type="dxa"/>
            <w:tcBorders>
              <w:top w:val="single" w:color="auto" w:sz="4" w:space="0"/>
              <w:left w:val="nil"/>
              <w:bottom w:val="single" w:color="auto" w:sz="4" w:space="0"/>
              <w:right w:val="single" w:color="auto" w:sz="4" w:space="0"/>
            </w:tcBorders>
            <w:vAlign w:val="center"/>
          </w:tcPr>
          <w:p w14:paraId="367EFCAC">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网址</w:t>
            </w:r>
          </w:p>
        </w:tc>
        <w:tc>
          <w:tcPr>
            <w:tcW w:w="2386" w:type="dxa"/>
            <w:gridSpan w:val="3"/>
            <w:tcBorders>
              <w:top w:val="single" w:color="auto" w:sz="4" w:space="0"/>
              <w:left w:val="nil"/>
              <w:bottom w:val="single" w:color="auto" w:sz="4" w:space="0"/>
              <w:right w:val="single" w:color="auto" w:sz="4" w:space="0"/>
            </w:tcBorders>
            <w:vAlign w:val="center"/>
          </w:tcPr>
          <w:p w14:paraId="680AA776">
            <w:pPr>
              <w:widowControl/>
              <w:wordWrap w:val="0"/>
              <w:jc w:val="center"/>
              <w:rPr>
                <w:rFonts w:ascii="宋体" w:hAnsi="宋体" w:cs="仿宋_GB2312"/>
                <w:color w:val="auto"/>
                <w:kern w:val="0"/>
                <w:sz w:val="21"/>
                <w:szCs w:val="21"/>
              </w:rPr>
            </w:pPr>
          </w:p>
        </w:tc>
      </w:tr>
      <w:tr w14:paraId="26A5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517AAF7">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组织机构</w:t>
            </w:r>
          </w:p>
        </w:tc>
        <w:tc>
          <w:tcPr>
            <w:tcW w:w="7018" w:type="dxa"/>
            <w:gridSpan w:val="9"/>
            <w:tcBorders>
              <w:top w:val="single" w:color="auto" w:sz="4" w:space="0"/>
              <w:left w:val="nil"/>
              <w:bottom w:val="single" w:color="auto" w:sz="4" w:space="0"/>
              <w:right w:val="single" w:color="auto" w:sz="4" w:space="0"/>
            </w:tcBorders>
            <w:vAlign w:val="center"/>
          </w:tcPr>
          <w:p w14:paraId="05512081">
            <w:pPr>
              <w:widowControl/>
              <w:wordWrap w:val="0"/>
              <w:jc w:val="center"/>
              <w:rPr>
                <w:rFonts w:ascii="宋体" w:hAnsi="宋体" w:cs="仿宋_GB2312"/>
                <w:color w:val="auto"/>
                <w:kern w:val="0"/>
                <w:sz w:val="21"/>
                <w:szCs w:val="21"/>
              </w:rPr>
            </w:pPr>
          </w:p>
        </w:tc>
      </w:tr>
      <w:tr w14:paraId="2266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5AC532CA">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法定代表人</w:t>
            </w:r>
          </w:p>
        </w:tc>
        <w:tc>
          <w:tcPr>
            <w:tcW w:w="896" w:type="dxa"/>
            <w:tcBorders>
              <w:top w:val="single" w:color="auto" w:sz="4" w:space="0"/>
              <w:left w:val="nil"/>
              <w:bottom w:val="single" w:color="auto" w:sz="4" w:space="0"/>
              <w:right w:val="single" w:color="auto" w:sz="4" w:space="0"/>
            </w:tcBorders>
            <w:vAlign w:val="center"/>
          </w:tcPr>
          <w:p w14:paraId="39E98EF9">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姓名</w:t>
            </w:r>
          </w:p>
        </w:tc>
        <w:tc>
          <w:tcPr>
            <w:tcW w:w="1020" w:type="dxa"/>
            <w:tcBorders>
              <w:top w:val="single" w:color="auto" w:sz="4" w:space="0"/>
              <w:left w:val="nil"/>
              <w:bottom w:val="single" w:color="auto" w:sz="4" w:space="0"/>
              <w:right w:val="single" w:color="auto" w:sz="4" w:space="0"/>
            </w:tcBorders>
            <w:vAlign w:val="center"/>
          </w:tcPr>
          <w:p w14:paraId="49C386CA">
            <w:pPr>
              <w:widowControl/>
              <w:wordWrap w:val="0"/>
              <w:jc w:val="center"/>
              <w:rPr>
                <w:rFonts w:ascii="宋体" w:hAnsi="宋体" w:cs="仿宋_GB2312"/>
                <w:color w:val="auto"/>
                <w:kern w:val="0"/>
                <w:sz w:val="21"/>
                <w:szCs w:val="21"/>
              </w:rPr>
            </w:pPr>
          </w:p>
        </w:tc>
        <w:tc>
          <w:tcPr>
            <w:tcW w:w="1275" w:type="dxa"/>
            <w:gridSpan w:val="2"/>
            <w:tcBorders>
              <w:top w:val="single" w:color="auto" w:sz="4" w:space="0"/>
              <w:left w:val="nil"/>
              <w:bottom w:val="single" w:color="auto" w:sz="4" w:space="0"/>
              <w:right w:val="single" w:color="auto" w:sz="4" w:space="0"/>
            </w:tcBorders>
            <w:vAlign w:val="center"/>
          </w:tcPr>
          <w:p w14:paraId="0FD4858F">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技术职称</w:t>
            </w:r>
          </w:p>
        </w:tc>
        <w:tc>
          <w:tcPr>
            <w:tcW w:w="1702" w:type="dxa"/>
            <w:gridSpan w:val="3"/>
            <w:tcBorders>
              <w:top w:val="single" w:color="auto" w:sz="4" w:space="0"/>
              <w:left w:val="nil"/>
              <w:bottom w:val="single" w:color="auto" w:sz="4" w:space="0"/>
              <w:right w:val="single" w:color="auto" w:sz="4" w:space="0"/>
            </w:tcBorders>
            <w:vAlign w:val="center"/>
          </w:tcPr>
          <w:p w14:paraId="5DCE3621">
            <w:pPr>
              <w:widowControl/>
              <w:wordWrap w:val="0"/>
              <w:jc w:val="center"/>
              <w:rPr>
                <w:rFonts w:ascii="宋体" w:hAnsi="宋体" w:cs="仿宋_GB2312"/>
                <w:color w:val="auto"/>
                <w:kern w:val="0"/>
                <w:sz w:val="21"/>
                <w:szCs w:val="21"/>
              </w:rPr>
            </w:pPr>
          </w:p>
        </w:tc>
        <w:tc>
          <w:tcPr>
            <w:tcW w:w="709" w:type="dxa"/>
            <w:tcBorders>
              <w:top w:val="single" w:color="auto" w:sz="4" w:space="0"/>
              <w:left w:val="nil"/>
              <w:bottom w:val="single" w:color="auto" w:sz="4" w:space="0"/>
              <w:right w:val="single" w:color="auto" w:sz="4" w:space="0"/>
            </w:tcBorders>
            <w:vAlign w:val="center"/>
          </w:tcPr>
          <w:p w14:paraId="2ACEA704">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电话</w:t>
            </w:r>
          </w:p>
        </w:tc>
        <w:tc>
          <w:tcPr>
            <w:tcW w:w="1416" w:type="dxa"/>
            <w:tcBorders>
              <w:top w:val="single" w:color="auto" w:sz="4" w:space="0"/>
              <w:left w:val="nil"/>
              <w:bottom w:val="single" w:color="auto" w:sz="4" w:space="0"/>
              <w:right w:val="single" w:color="auto" w:sz="4" w:space="0"/>
            </w:tcBorders>
            <w:vAlign w:val="center"/>
          </w:tcPr>
          <w:p w14:paraId="72397319">
            <w:pPr>
              <w:widowControl/>
              <w:wordWrap w:val="0"/>
              <w:jc w:val="center"/>
              <w:rPr>
                <w:rFonts w:ascii="宋体" w:hAnsi="宋体" w:cs="仿宋_GB2312"/>
                <w:color w:val="auto"/>
                <w:kern w:val="0"/>
                <w:sz w:val="21"/>
                <w:szCs w:val="21"/>
              </w:rPr>
            </w:pPr>
          </w:p>
        </w:tc>
      </w:tr>
      <w:tr w14:paraId="6826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79B92C61">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技术负责人</w:t>
            </w:r>
          </w:p>
        </w:tc>
        <w:tc>
          <w:tcPr>
            <w:tcW w:w="896" w:type="dxa"/>
            <w:tcBorders>
              <w:top w:val="single" w:color="auto" w:sz="4" w:space="0"/>
              <w:left w:val="nil"/>
              <w:bottom w:val="single" w:color="auto" w:sz="4" w:space="0"/>
              <w:right w:val="single" w:color="auto" w:sz="4" w:space="0"/>
            </w:tcBorders>
            <w:vAlign w:val="center"/>
          </w:tcPr>
          <w:p w14:paraId="3015346F">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姓名</w:t>
            </w:r>
          </w:p>
        </w:tc>
        <w:tc>
          <w:tcPr>
            <w:tcW w:w="1020" w:type="dxa"/>
            <w:tcBorders>
              <w:top w:val="single" w:color="auto" w:sz="4" w:space="0"/>
              <w:left w:val="nil"/>
              <w:bottom w:val="single" w:color="auto" w:sz="4" w:space="0"/>
              <w:right w:val="single" w:color="auto" w:sz="4" w:space="0"/>
            </w:tcBorders>
            <w:vAlign w:val="center"/>
          </w:tcPr>
          <w:p w14:paraId="11A2CA3F">
            <w:pPr>
              <w:widowControl/>
              <w:wordWrap w:val="0"/>
              <w:jc w:val="center"/>
              <w:rPr>
                <w:rFonts w:ascii="宋体" w:hAnsi="宋体" w:cs="仿宋_GB2312"/>
                <w:color w:val="auto"/>
                <w:kern w:val="0"/>
                <w:sz w:val="21"/>
                <w:szCs w:val="21"/>
              </w:rPr>
            </w:pPr>
          </w:p>
        </w:tc>
        <w:tc>
          <w:tcPr>
            <w:tcW w:w="1275" w:type="dxa"/>
            <w:gridSpan w:val="2"/>
            <w:tcBorders>
              <w:top w:val="single" w:color="auto" w:sz="4" w:space="0"/>
              <w:left w:val="nil"/>
              <w:bottom w:val="single" w:color="auto" w:sz="4" w:space="0"/>
              <w:right w:val="single" w:color="auto" w:sz="4" w:space="0"/>
            </w:tcBorders>
            <w:vAlign w:val="center"/>
          </w:tcPr>
          <w:p w14:paraId="4E44CD4F">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技术职称</w:t>
            </w:r>
          </w:p>
        </w:tc>
        <w:tc>
          <w:tcPr>
            <w:tcW w:w="1702" w:type="dxa"/>
            <w:gridSpan w:val="3"/>
            <w:tcBorders>
              <w:top w:val="single" w:color="auto" w:sz="4" w:space="0"/>
              <w:left w:val="nil"/>
              <w:bottom w:val="single" w:color="auto" w:sz="4" w:space="0"/>
              <w:right w:val="single" w:color="auto" w:sz="4" w:space="0"/>
            </w:tcBorders>
            <w:vAlign w:val="center"/>
          </w:tcPr>
          <w:p w14:paraId="49DA0D0E">
            <w:pPr>
              <w:widowControl/>
              <w:wordWrap w:val="0"/>
              <w:jc w:val="center"/>
              <w:rPr>
                <w:rFonts w:ascii="宋体" w:hAnsi="宋体" w:cs="仿宋_GB2312"/>
                <w:color w:val="auto"/>
                <w:kern w:val="0"/>
                <w:sz w:val="21"/>
                <w:szCs w:val="21"/>
              </w:rPr>
            </w:pPr>
          </w:p>
        </w:tc>
        <w:tc>
          <w:tcPr>
            <w:tcW w:w="709" w:type="dxa"/>
            <w:tcBorders>
              <w:top w:val="single" w:color="auto" w:sz="4" w:space="0"/>
              <w:left w:val="nil"/>
              <w:bottom w:val="single" w:color="auto" w:sz="4" w:space="0"/>
              <w:right w:val="single" w:color="auto" w:sz="4" w:space="0"/>
            </w:tcBorders>
            <w:vAlign w:val="center"/>
          </w:tcPr>
          <w:p w14:paraId="0D591906">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电话</w:t>
            </w:r>
          </w:p>
        </w:tc>
        <w:tc>
          <w:tcPr>
            <w:tcW w:w="1416" w:type="dxa"/>
            <w:tcBorders>
              <w:top w:val="single" w:color="auto" w:sz="4" w:space="0"/>
              <w:left w:val="nil"/>
              <w:bottom w:val="single" w:color="auto" w:sz="4" w:space="0"/>
              <w:right w:val="single" w:color="auto" w:sz="4" w:space="0"/>
            </w:tcBorders>
            <w:vAlign w:val="center"/>
          </w:tcPr>
          <w:p w14:paraId="423E2213">
            <w:pPr>
              <w:widowControl/>
              <w:wordWrap w:val="0"/>
              <w:jc w:val="center"/>
              <w:rPr>
                <w:rFonts w:ascii="宋体" w:hAnsi="宋体" w:cs="仿宋_GB2312"/>
                <w:color w:val="auto"/>
                <w:kern w:val="0"/>
                <w:sz w:val="21"/>
                <w:szCs w:val="21"/>
              </w:rPr>
            </w:pPr>
          </w:p>
        </w:tc>
      </w:tr>
      <w:tr w14:paraId="5282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2605A152">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成立时间</w:t>
            </w:r>
          </w:p>
        </w:tc>
        <w:tc>
          <w:tcPr>
            <w:tcW w:w="1916" w:type="dxa"/>
            <w:gridSpan w:val="2"/>
            <w:tcBorders>
              <w:top w:val="single" w:color="auto" w:sz="4" w:space="0"/>
              <w:left w:val="nil"/>
              <w:bottom w:val="single" w:color="auto" w:sz="4" w:space="0"/>
              <w:right w:val="single" w:color="auto" w:sz="4" w:space="0"/>
            </w:tcBorders>
            <w:vAlign w:val="center"/>
          </w:tcPr>
          <w:p w14:paraId="71309D66">
            <w:pPr>
              <w:widowControl/>
              <w:wordWrap w:val="0"/>
              <w:jc w:val="center"/>
              <w:rPr>
                <w:rFonts w:ascii="宋体" w:hAnsi="宋体" w:cs="仿宋_GB2312"/>
                <w:color w:val="auto"/>
                <w:kern w:val="0"/>
                <w:sz w:val="21"/>
                <w:szCs w:val="21"/>
              </w:rPr>
            </w:pPr>
          </w:p>
        </w:tc>
        <w:tc>
          <w:tcPr>
            <w:tcW w:w="5102" w:type="dxa"/>
            <w:gridSpan w:val="7"/>
            <w:tcBorders>
              <w:top w:val="single" w:color="auto" w:sz="4" w:space="0"/>
              <w:left w:val="nil"/>
              <w:bottom w:val="single" w:color="auto" w:sz="4" w:space="0"/>
              <w:right w:val="single" w:color="auto" w:sz="4" w:space="0"/>
            </w:tcBorders>
            <w:vAlign w:val="center"/>
          </w:tcPr>
          <w:p w14:paraId="08A65A83">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员工总人数：</w:t>
            </w:r>
          </w:p>
        </w:tc>
      </w:tr>
      <w:tr w14:paraId="15EE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3EDC03C">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企业资质等级</w:t>
            </w:r>
          </w:p>
        </w:tc>
        <w:tc>
          <w:tcPr>
            <w:tcW w:w="1916" w:type="dxa"/>
            <w:gridSpan w:val="2"/>
            <w:tcBorders>
              <w:top w:val="single" w:color="auto" w:sz="4" w:space="0"/>
              <w:left w:val="nil"/>
              <w:bottom w:val="single" w:color="auto" w:sz="4" w:space="0"/>
              <w:right w:val="single" w:color="auto" w:sz="4" w:space="0"/>
            </w:tcBorders>
            <w:vAlign w:val="center"/>
          </w:tcPr>
          <w:p w14:paraId="10966383">
            <w:pPr>
              <w:widowControl/>
              <w:wordWrap w:val="0"/>
              <w:jc w:val="center"/>
              <w:rPr>
                <w:rFonts w:ascii="宋体" w:hAnsi="宋体" w:cs="仿宋_GB2312"/>
                <w:color w:val="auto"/>
                <w:kern w:val="0"/>
                <w:sz w:val="21"/>
                <w:szCs w:val="21"/>
              </w:rPr>
            </w:pPr>
          </w:p>
        </w:tc>
        <w:tc>
          <w:tcPr>
            <w:tcW w:w="992" w:type="dxa"/>
            <w:vMerge w:val="restart"/>
            <w:tcBorders>
              <w:top w:val="single" w:color="auto" w:sz="4" w:space="0"/>
              <w:left w:val="nil"/>
              <w:bottom w:val="single" w:color="auto" w:sz="4" w:space="0"/>
              <w:right w:val="single" w:color="auto" w:sz="4" w:space="0"/>
            </w:tcBorders>
            <w:vAlign w:val="center"/>
          </w:tcPr>
          <w:p w14:paraId="4A0FDD05">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其中</w:t>
            </w:r>
          </w:p>
        </w:tc>
        <w:tc>
          <w:tcPr>
            <w:tcW w:w="1985" w:type="dxa"/>
            <w:gridSpan w:val="4"/>
            <w:tcBorders>
              <w:top w:val="single" w:color="auto" w:sz="4" w:space="0"/>
              <w:left w:val="nil"/>
              <w:bottom w:val="single" w:color="auto" w:sz="4" w:space="0"/>
              <w:right w:val="single" w:color="auto" w:sz="4" w:space="0"/>
            </w:tcBorders>
            <w:vAlign w:val="center"/>
          </w:tcPr>
          <w:p w14:paraId="7B7CCD7D">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项目经理</w:t>
            </w:r>
          </w:p>
        </w:tc>
        <w:tc>
          <w:tcPr>
            <w:tcW w:w="2125" w:type="dxa"/>
            <w:gridSpan w:val="2"/>
            <w:tcBorders>
              <w:top w:val="single" w:color="auto" w:sz="4" w:space="0"/>
              <w:left w:val="nil"/>
              <w:bottom w:val="single" w:color="auto" w:sz="4" w:space="0"/>
              <w:right w:val="single" w:color="auto" w:sz="4" w:space="0"/>
            </w:tcBorders>
            <w:vAlign w:val="center"/>
          </w:tcPr>
          <w:p w14:paraId="050E602B">
            <w:pPr>
              <w:widowControl/>
              <w:wordWrap w:val="0"/>
              <w:jc w:val="center"/>
              <w:rPr>
                <w:rFonts w:ascii="宋体" w:hAnsi="宋体" w:cs="仿宋_GB2312"/>
                <w:color w:val="auto"/>
                <w:kern w:val="0"/>
                <w:sz w:val="21"/>
                <w:szCs w:val="21"/>
              </w:rPr>
            </w:pPr>
          </w:p>
        </w:tc>
      </w:tr>
      <w:tr w14:paraId="6082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408C5C8">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营业执照号</w:t>
            </w:r>
          </w:p>
        </w:tc>
        <w:tc>
          <w:tcPr>
            <w:tcW w:w="1916" w:type="dxa"/>
            <w:gridSpan w:val="2"/>
            <w:tcBorders>
              <w:top w:val="single" w:color="auto" w:sz="4" w:space="0"/>
              <w:left w:val="nil"/>
              <w:bottom w:val="single" w:color="auto" w:sz="4" w:space="0"/>
              <w:right w:val="single" w:color="auto" w:sz="4" w:space="0"/>
            </w:tcBorders>
            <w:vAlign w:val="center"/>
          </w:tcPr>
          <w:p w14:paraId="4EAB6D0D">
            <w:pPr>
              <w:widowControl/>
              <w:wordWrap w:val="0"/>
              <w:jc w:val="center"/>
              <w:rPr>
                <w:rFonts w:ascii="宋体" w:hAnsi="宋体" w:cs="仿宋_GB2312"/>
                <w:color w:val="auto"/>
                <w:kern w:val="0"/>
                <w:sz w:val="21"/>
                <w:szCs w:val="21"/>
              </w:rPr>
            </w:pPr>
          </w:p>
        </w:tc>
        <w:tc>
          <w:tcPr>
            <w:tcW w:w="992" w:type="dxa"/>
            <w:vMerge w:val="continue"/>
            <w:tcBorders>
              <w:top w:val="single" w:color="auto" w:sz="4" w:space="0"/>
              <w:left w:val="nil"/>
              <w:bottom w:val="single" w:color="auto" w:sz="4" w:space="0"/>
              <w:right w:val="single" w:color="auto" w:sz="4" w:space="0"/>
            </w:tcBorders>
            <w:vAlign w:val="center"/>
          </w:tcPr>
          <w:p w14:paraId="121E45AF">
            <w:pPr>
              <w:widowControl/>
              <w:wordWrap w:val="0"/>
              <w:jc w:val="left"/>
              <w:rPr>
                <w:rFonts w:ascii="宋体" w:hAnsi="宋体" w:cs="仿宋_GB2312"/>
                <w:color w:val="auto"/>
                <w:kern w:val="0"/>
                <w:sz w:val="21"/>
                <w:szCs w:val="21"/>
              </w:rPr>
            </w:pPr>
          </w:p>
        </w:tc>
        <w:tc>
          <w:tcPr>
            <w:tcW w:w="1985" w:type="dxa"/>
            <w:gridSpan w:val="4"/>
            <w:tcBorders>
              <w:top w:val="single" w:color="auto" w:sz="4" w:space="0"/>
              <w:left w:val="nil"/>
              <w:bottom w:val="single" w:color="auto" w:sz="4" w:space="0"/>
              <w:right w:val="single" w:color="auto" w:sz="4" w:space="0"/>
            </w:tcBorders>
            <w:vAlign w:val="center"/>
          </w:tcPr>
          <w:p w14:paraId="22951128">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57621EDC">
            <w:pPr>
              <w:widowControl/>
              <w:wordWrap w:val="0"/>
              <w:jc w:val="center"/>
              <w:rPr>
                <w:rFonts w:ascii="宋体" w:hAnsi="宋体" w:cs="仿宋_GB2312"/>
                <w:color w:val="auto"/>
                <w:kern w:val="0"/>
                <w:sz w:val="21"/>
                <w:szCs w:val="21"/>
              </w:rPr>
            </w:pPr>
          </w:p>
        </w:tc>
      </w:tr>
      <w:tr w14:paraId="7F32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6DD8D8E0">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注册资金</w:t>
            </w:r>
          </w:p>
        </w:tc>
        <w:tc>
          <w:tcPr>
            <w:tcW w:w="1916" w:type="dxa"/>
            <w:gridSpan w:val="2"/>
            <w:tcBorders>
              <w:top w:val="single" w:color="auto" w:sz="4" w:space="0"/>
              <w:left w:val="nil"/>
              <w:bottom w:val="single" w:color="auto" w:sz="4" w:space="0"/>
              <w:right w:val="single" w:color="auto" w:sz="4" w:space="0"/>
            </w:tcBorders>
            <w:vAlign w:val="center"/>
          </w:tcPr>
          <w:p w14:paraId="41A0D5DA">
            <w:pPr>
              <w:widowControl/>
              <w:wordWrap w:val="0"/>
              <w:jc w:val="center"/>
              <w:rPr>
                <w:rFonts w:ascii="宋体" w:hAnsi="宋体" w:cs="仿宋_GB2312"/>
                <w:color w:val="auto"/>
                <w:kern w:val="0"/>
                <w:sz w:val="21"/>
                <w:szCs w:val="21"/>
              </w:rPr>
            </w:pPr>
          </w:p>
        </w:tc>
        <w:tc>
          <w:tcPr>
            <w:tcW w:w="992" w:type="dxa"/>
            <w:vMerge w:val="continue"/>
            <w:tcBorders>
              <w:top w:val="single" w:color="auto" w:sz="4" w:space="0"/>
              <w:left w:val="nil"/>
              <w:bottom w:val="single" w:color="auto" w:sz="4" w:space="0"/>
              <w:right w:val="single" w:color="auto" w:sz="4" w:space="0"/>
            </w:tcBorders>
            <w:vAlign w:val="center"/>
          </w:tcPr>
          <w:p w14:paraId="0D54AFDC">
            <w:pPr>
              <w:widowControl/>
              <w:wordWrap w:val="0"/>
              <w:jc w:val="left"/>
              <w:rPr>
                <w:rFonts w:ascii="宋体" w:hAnsi="宋体" w:cs="仿宋_GB2312"/>
                <w:color w:val="auto"/>
                <w:kern w:val="0"/>
                <w:sz w:val="21"/>
                <w:szCs w:val="21"/>
              </w:rPr>
            </w:pPr>
          </w:p>
        </w:tc>
        <w:tc>
          <w:tcPr>
            <w:tcW w:w="1985" w:type="dxa"/>
            <w:gridSpan w:val="4"/>
            <w:tcBorders>
              <w:top w:val="single" w:color="auto" w:sz="4" w:space="0"/>
              <w:left w:val="nil"/>
              <w:bottom w:val="single" w:color="auto" w:sz="4" w:space="0"/>
              <w:right w:val="single" w:color="auto" w:sz="4" w:space="0"/>
            </w:tcBorders>
            <w:vAlign w:val="center"/>
          </w:tcPr>
          <w:p w14:paraId="2D63A339">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4D62E568">
            <w:pPr>
              <w:widowControl/>
              <w:wordWrap w:val="0"/>
              <w:jc w:val="center"/>
              <w:rPr>
                <w:rFonts w:ascii="宋体" w:hAnsi="宋体" w:cs="仿宋_GB2312"/>
                <w:color w:val="auto"/>
                <w:kern w:val="0"/>
                <w:sz w:val="21"/>
                <w:szCs w:val="21"/>
              </w:rPr>
            </w:pPr>
          </w:p>
        </w:tc>
      </w:tr>
      <w:tr w14:paraId="6381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A075143">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开户银行</w:t>
            </w:r>
          </w:p>
        </w:tc>
        <w:tc>
          <w:tcPr>
            <w:tcW w:w="1916" w:type="dxa"/>
            <w:gridSpan w:val="2"/>
            <w:tcBorders>
              <w:top w:val="single" w:color="auto" w:sz="4" w:space="0"/>
              <w:left w:val="nil"/>
              <w:bottom w:val="single" w:color="auto" w:sz="4" w:space="0"/>
              <w:right w:val="single" w:color="auto" w:sz="4" w:space="0"/>
            </w:tcBorders>
            <w:vAlign w:val="center"/>
          </w:tcPr>
          <w:p w14:paraId="36BF9D96">
            <w:pPr>
              <w:widowControl/>
              <w:wordWrap w:val="0"/>
              <w:jc w:val="center"/>
              <w:rPr>
                <w:rFonts w:ascii="宋体" w:hAnsi="宋体" w:cs="仿宋_GB2312"/>
                <w:color w:val="auto"/>
                <w:kern w:val="0"/>
                <w:sz w:val="21"/>
                <w:szCs w:val="21"/>
              </w:rPr>
            </w:pPr>
          </w:p>
        </w:tc>
        <w:tc>
          <w:tcPr>
            <w:tcW w:w="992" w:type="dxa"/>
            <w:vMerge w:val="continue"/>
            <w:tcBorders>
              <w:top w:val="single" w:color="auto" w:sz="4" w:space="0"/>
              <w:left w:val="nil"/>
              <w:bottom w:val="single" w:color="auto" w:sz="4" w:space="0"/>
              <w:right w:val="single" w:color="auto" w:sz="4" w:space="0"/>
            </w:tcBorders>
            <w:vAlign w:val="center"/>
          </w:tcPr>
          <w:p w14:paraId="7540582A">
            <w:pPr>
              <w:widowControl/>
              <w:wordWrap w:val="0"/>
              <w:jc w:val="left"/>
              <w:rPr>
                <w:rFonts w:ascii="宋体" w:hAnsi="宋体" w:cs="仿宋_GB2312"/>
                <w:color w:val="auto"/>
                <w:kern w:val="0"/>
                <w:sz w:val="21"/>
                <w:szCs w:val="21"/>
              </w:rPr>
            </w:pPr>
          </w:p>
        </w:tc>
        <w:tc>
          <w:tcPr>
            <w:tcW w:w="1985" w:type="dxa"/>
            <w:gridSpan w:val="4"/>
            <w:tcBorders>
              <w:top w:val="single" w:color="auto" w:sz="4" w:space="0"/>
              <w:left w:val="nil"/>
              <w:bottom w:val="single" w:color="auto" w:sz="4" w:space="0"/>
              <w:right w:val="single" w:color="auto" w:sz="4" w:space="0"/>
            </w:tcBorders>
            <w:vAlign w:val="center"/>
          </w:tcPr>
          <w:p w14:paraId="7CE787B1">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15FFCBD5">
            <w:pPr>
              <w:widowControl/>
              <w:wordWrap w:val="0"/>
              <w:jc w:val="center"/>
              <w:rPr>
                <w:rFonts w:ascii="宋体" w:hAnsi="宋体" w:cs="仿宋_GB2312"/>
                <w:color w:val="auto"/>
                <w:kern w:val="0"/>
                <w:sz w:val="21"/>
                <w:szCs w:val="21"/>
              </w:rPr>
            </w:pPr>
          </w:p>
        </w:tc>
      </w:tr>
      <w:tr w14:paraId="30AC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D9B77D7">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账号</w:t>
            </w:r>
          </w:p>
        </w:tc>
        <w:tc>
          <w:tcPr>
            <w:tcW w:w="1916" w:type="dxa"/>
            <w:gridSpan w:val="2"/>
            <w:tcBorders>
              <w:top w:val="single" w:color="auto" w:sz="4" w:space="0"/>
              <w:left w:val="nil"/>
              <w:bottom w:val="single" w:color="auto" w:sz="4" w:space="0"/>
              <w:right w:val="single" w:color="auto" w:sz="4" w:space="0"/>
            </w:tcBorders>
            <w:vAlign w:val="center"/>
          </w:tcPr>
          <w:p w14:paraId="11EB290F">
            <w:pPr>
              <w:widowControl/>
              <w:wordWrap w:val="0"/>
              <w:jc w:val="center"/>
              <w:rPr>
                <w:rFonts w:ascii="宋体" w:hAnsi="宋体" w:cs="仿宋_GB2312"/>
                <w:color w:val="auto"/>
                <w:kern w:val="0"/>
                <w:sz w:val="21"/>
                <w:szCs w:val="21"/>
              </w:rPr>
            </w:pPr>
          </w:p>
        </w:tc>
        <w:tc>
          <w:tcPr>
            <w:tcW w:w="992" w:type="dxa"/>
            <w:vMerge w:val="continue"/>
            <w:tcBorders>
              <w:top w:val="single" w:color="auto" w:sz="4" w:space="0"/>
              <w:left w:val="nil"/>
              <w:bottom w:val="single" w:color="auto" w:sz="4" w:space="0"/>
              <w:right w:val="single" w:color="auto" w:sz="4" w:space="0"/>
            </w:tcBorders>
            <w:vAlign w:val="center"/>
          </w:tcPr>
          <w:p w14:paraId="2EEB5A25">
            <w:pPr>
              <w:widowControl/>
              <w:wordWrap w:val="0"/>
              <w:jc w:val="left"/>
              <w:rPr>
                <w:rFonts w:ascii="宋体" w:hAnsi="宋体" w:cs="仿宋_GB2312"/>
                <w:color w:val="auto"/>
                <w:kern w:val="0"/>
                <w:sz w:val="21"/>
                <w:szCs w:val="21"/>
              </w:rPr>
            </w:pPr>
          </w:p>
        </w:tc>
        <w:tc>
          <w:tcPr>
            <w:tcW w:w="1985" w:type="dxa"/>
            <w:gridSpan w:val="4"/>
            <w:tcBorders>
              <w:top w:val="single" w:color="auto" w:sz="4" w:space="0"/>
              <w:left w:val="nil"/>
              <w:bottom w:val="single" w:color="auto" w:sz="4" w:space="0"/>
              <w:right w:val="single" w:color="auto" w:sz="4" w:space="0"/>
            </w:tcBorders>
            <w:vAlign w:val="center"/>
          </w:tcPr>
          <w:p w14:paraId="155BBE4D">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技工</w:t>
            </w:r>
          </w:p>
        </w:tc>
        <w:tc>
          <w:tcPr>
            <w:tcW w:w="2125" w:type="dxa"/>
            <w:gridSpan w:val="2"/>
            <w:tcBorders>
              <w:top w:val="single" w:color="auto" w:sz="4" w:space="0"/>
              <w:left w:val="nil"/>
              <w:bottom w:val="single" w:color="auto" w:sz="4" w:space="0"/>
              <w:right w:val="single" w:color="auto" w:sz="4" w:space="0"/>
            </w:tcBorders>
            <w:vAlign w:val="center"/>
          </w:tcPr>
          <w:p w14:paraId="284A8DF3">
            <w:pPr>
              <w:widowControl/>
              <w:wordWrap w:val="0"/>
              <w:jc w:val="center"/>
              <w:rPr>
                <w:rFonts w:ascii="宋体" w:hAnsi="宋体" w:cs="仿宋_GB2312"/>
                <w:color w:val="auto"/>
                <w:kern w:val="0"/>
                <w:sz w:val="21"/>
                <w:szCs w:val="21"/>
              </w:rPr>
            </w:pPr>
          </w:p>
        </w:tc>
      </w:tr>
      <w:tr w14:paraId="5F5B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8E74144">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经营范围</w:t>
            </w:r>
          </w:p>
        </w:tc>
        <w:tc>
          <w:tcPr>
            <w:tcW w:w="7018" w:type="dxa"/>
            <w:gridSpan w:val="9"/>
            <w:tcBorders>
              <w:top w:val="single" w:color="auto" w:sz="4" w:space="0"/>
              <w:left w:val="nil"/>
              <w:bottom w:val="single" w:color="auto" w:sz="4" w:space="0"/>
              <w:right w:val="single" w:color="auto" w:sz="4" w:space="0"/>
            </w:tcBorders>
            <w:vAlign w:val="center"/>
          </w:tcPr>
          <w:p w14:paraId="056A1710">
            <w:pPr>
              <w:widowControl/>
              <w:wordWrap w:val="0"/>
              <w:jc w:val="center"/>
              <w:rPr>
                <w:rFonts w:ascii="宋体" w:hAnsi="宋体" w:cs="仿宋_GB2312"/>
                <w:color w:val="auto"/>
                <w:kern w:val="0"/>
                <w:sz w:val="21"/>
                <w:szCs w:val="21"/>
              </w:rPr>
            </w:pPr>
          </w:p>
        </w:tc>
      </w:tr>
      <w:tr w14:paraId="6D4D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5E544CCB">
            <w:pPr>
              <w:widowControl/>
              <w:wordWrap w:val="0"/>
              <w:jc w:val="center"/>
              <w:rPr>
                <w:rFonts w:ascii="宋体" w:hAnsi="宋体" w:cs="仿宋_GB2312"/>
                <w:color w:val="auto"/>
                <w:kern w:val="0"/>
                <w:sz w:val="21"/>
                <w:szCs w:val="21"/>
              </w:rPr>
            </w:pPr>
            <w:r>
              <w:rPr>
                <w:rFonts w:hint="eastAsia" w:ascii="宋体" w:hAnsi="宋体" w:cs="仿宋_GB2312"/>
                <w:color w:val="auto"/>
                <w:kern w:val="0"/>
                <w:sz w:val="21"/>
                <w:szCs w:val="21"/>
              </w:rPr>
              <w:t>备注</w:t>
            </w:r>
          </w:p>
        </w:tc>
        <w:tc>
          <w:tcPr>
            <w:tcW w:w="7018" w:type="dxa"/>
            <w:gridSpan w:val="9"/>
            <w:tcBorders>
              <w:top w:val="single" w:color="auto" w:sz="4" w:space="0"/>
              <w:left w:val="nil"/>
              <w:bottom w:val="single" w:color="auto" w:sz="4" w:space="0"/>
              <w:right w:val="single" w:color="auto" w:sz="4" w:space="0"/>
            </w:tcBorders>
            <w:vAlign w:val="center"/>
          </w:tcPr>
          <w:p w14:paraId="53CD79C3">
            <w:pPr>
              <w:widowControl/>
              <w:wordWrap w:val="0"/>
              <w:jc w:val="center"/>
              <w:rPr>
                <w:rFonts w:ascii="宋体" w:hAnsi="宋体" w:cs="仿宋_GB2312"/>
                <w:color w:val="auto"/>
                <w:kern w:val="0"/>
                <w:sz w:val="21"/>
                <w:szCs w:val="21"/>
              </w:rPr>
            </w:pPr>
          </w:p>
        </w:tc>
      </w:tr>
    </w:tbl>
    <w:p w14:paraId="04E5D347">
      <w:pPr>
        <w:widowControl/>
        <w:wordWrap w:val="0"/>
        <w:spacing w:line="440" w:lineRule="exact"/>
        <w:jc w:val="left"/>
        <w:rPr>
          <w:rFonts w:ascii="宋体" w:hAnsi="宋体" w:cs="仿宋_GB2312"/>
          <w:color w:val="auto"/>
          <w:kern w:val="0"/>
          <w:sz w:val="21"/>
          <w:szCs w:val="21"/>
        </w:rPr>
      </w:pPr>
      <w:r>
        <w:rPr>
          <w:rFonts w:hint="eastAsia" w:ascii="宋体" w:hAnsi="宋体" w:cs="仿宋_GB2312"/>
          <w:color w:val="auto"/>
          <w:kern w:val="0"/>
          <w:sz w:val="21"/>
          <w:szCs w:val="21"/>
        </w:rPr>
        <w:t>备注：本表后应附企业法人营业执照、企业资质证书、安全生产许可证等材料的原件扫描件。</w:t>
      </w:r>
    </w:p>
    <w:p w14:paraId="190B7F0F">
      <w:pPr>
        <w:widowControl/>
        <w:wordWrap w:val="0"/>
        <w:spacing w:line="420" w:lineRule="exact"/>
        <w:jc w:val="center"/>
        <w:outlineLvl w:val="3"/>
        <w:rPr>
          <w:rFonts w:ascii="宋体" w:hAnsi="宋体" w:cs="仿宋_GB2312"/>
          <w:color w:val="auto"/>
          <w:sz w:val="24"/>
          <w:highlight w:val="none"/>
        </w:rPr>
      </w:pPr>
      <w:r>
        <w:rPr>
          <w:rFonts w:hint="eastAsia" w:ascii="宋体" w:hAnsi="宋体" w:cs="仿宋_GB2312"/>
          <w:b/>
          <w:color w:val="auto"/>
          <w:sz w:val="24"/>
        </w:rPr>
        <w:br w:type="page"/>
      </w:r>
      <w:bookmarkStart w:id="889" w:name="_Toc392837524"/>
      <w:bookmarkEnd w:id="889"/>
      <w:r>
        <w:rPr>
          <w:rFonts w:hint="eastAsia" w:ascii="宋体" w:hAnsi="宋体" w:cs="仿宋_GB2312"/>
          <w:color w:val="auto"/>
          <w:sz w:val="24"/>
          <w:highlight w:val="none"/>
        </w:rPr>
        <w:t>（</w:t>
      </w:r>
      <w:r>
        <w:rPr>
          <w:rFonts w:hint="eastAsia" w:ascii="宋体" w:hAnsi="宋体" w:cs="仿宋_GB2312"/>
          <w:b/>
          <w:bCs/>
          <w:color w:val="auto"/>
          <w:sz w:val="24"/>
          <w:highlight w:val="none"/>
        </w:rPr>
        <w:t>二）近年财务状况表</w:t>
      </w:r>
    </w:p>
    <w:p w14:paraId="70AC378D">
      <w:pPr>
        <w:widowControl/>
        <w:wordWrap w:val="0"/>
        <w:spacing w:line="520" w:lineRule="exact"/>
        <w:ind w:firstLine="420" w:firstLineChars="200"/>
        <w:jc w:val="left"/>
        <w:rPr>
          <w:rFonts w:ascii="宋体" w:hAnsi="宋体" w:cs="仿宋_GB2312"/>
          <w:color w:val="auto"/>
          <w:kern w:val="0"/>
          <w:sz w:val="21"/>
          <w:szCs w:val="21"/>
          <w:highlight w:val="none"/>
        </w:rPr>
      </w:pPr>
      <w:bookmarkStart w:id="890" w:name="OLE_LINK90"/>
      <w:r>
        <w:rPr>
          <w:rFonts w:hint="eastAsia" w:ascii="宋体" w:hAnsi="宋体" w:cs="仿宋_GB2312"/>
          <w:color w:val="auto"/>
          <w:kern w:val="0"/>
          <w:sz w:val="21"/>
          <w:szCs w:val="21"/>
          <w:highlight w:val="none"/>
        </w:rPr>
        <w:t>备注：具体要求见投标人须知表。</w:t>
      </w:r>
    </w:p>
    <w:bookmarkEnd w:id="890"/>
    <w:p w14:paraId="39F4EEB6">
      <w:pPr>
        <w:widowControl/>
        <w:wordWrap w:val="0"/>
        <w:spacing w:line="420" w:lineRule="exact"/>
        <w:jc w:val="center"/>
        <w:outlineLvl w:val="3"/>
        <w:rPr>
          <w:rFonts w:ascii="宋体" w:hAnsi="宋体" w:cs="仿宋_GB2312"/>
          <w:b/>
          <w:bCs/>
          <w:color w:val="auto"/>
          <w:sz w:val="24"/>
        </w:rPr>
      </w:pPr>
      <w:r>
        <w:rPr>
          <w:rFonts w:hint="eastAsia" w:ascii="宋体" w:hAnsi="宋体" w:cs="仿宋_GB2312"/>
          <w:b/>
          <w:color w:val="auto"/>
          <w:sz w:val="24"/>
        </w:rPr>
        <w:br w:type="page"/>
      </w:r>
      <w:bookmarkStart w:id="891" w:name="_Toc392837525"/>
      <w:bookmarkEnd w:id="891"/>
      <w:r>
        <w:rPr>
          <w:rFonts w:hint="eastAsia" w:ascii="宋体" w:hAnsi="宋体" w:cs="仿宋_GB2312"/>
          <w:b/>
          <w:bCs/>
          <w:color w:val="auto"/>
          <w:sz w:val="24"/>
        </w:rPr>
        <w:t>（三）近年发生的诉讼和仲裁情况</w:t>
      </w:r>
    </w:p>
    <w:p w14:paraId="0DD68EB3">
      <w:pPr>
        <w:widowControl/>
        <w:wordWrap w:val="0"/>
        <w:jc w:val="left"/>
        <w:rPr>
          <w:rFonts w:ascii="宋体" w:hAnsi="宋体" w:cs="仿宋_GB2312"/>
          <w:color w:val="auto"/>
          <w:kern w:val="0"/>
          <w:sz w:val="24"/>
        </w:rPr>
      </w:pPr>
    </w:p>
    <w:p w14:paraId="5F2F5BD6">
      <w:pPr>
        <w:widowControl/>
        <w:wordWrap w:val="0"/>
        <w:spacing w:line="360" w:lineRule="auto"/>
        <w:ind w:left="720" w:hanging="630" w:hangingChars="300"/>
        <w:jc w:val="left"/>
        <w:rPr>
          <w:rFonts w:ascii="宋体" w:hAnsi="宋体" w:cs="仿宋_GB2312"/>
          <w:color w:val="auto"/>
          <w:kern w:val="0"/>
          <w:sz w:val="21"/>
          <w:szCs w:val="21"/>
        </w:rPr>
      </w:pPr>
      <w:r>
        <w:rPr>
          <w:rFonts w:hint="eastAsia" w:ascii="宋体" w:hAnsi="宋体" w:cs="仿宋_GB2312"/>
          <w:color w:val="auto"/>
          <w:kern w:val="0"/>
          <w:sz w:val="21"/>
          <w:szCs w:val="21"/>
        </w:rPr>
        <w:t>说明：近年发生的诉讼和仲裁情况仅限于投标人败诉的，且与履行施工承包合同有关的案件，不包括调解结案以及未裁决的仲裁或未终审判决的诉讼。</w:t>
      </w:r>
    </w:p>
    <w:p w14:paraId="759CDB0D">
      <w:pPr>
        <w:widowControl/>
        <w:wordWrap w:val="0"/>
        <w:spacing w:line="480" w:lineRule="exact"/>
        <w:jc w:val="left"/>
        <w:textAlignment w:val="center"/>
        <w:rPr>
          <w:rFonts w:ascii="宋体" w:hAnsi="宋体" w:cs="仿宋_GB2312"/>
          <w:color w:val="auto"/>
          <w:kern w:val="0"/>
          <w:sz w:val="24"/>
        </w:rPr>
      </w:pPr>
    </w:p>
    <w:p w14:paraId="0015759E">
      <w:pPr>
        <w:widowControl/>
        <w:wordWrap w:val="0"/>
        <w:spacing w:line="480" w:lineRule="exact"/>
        <w:jc w:val="left"/>
        <w:textAlignment w:val="center"/>
        <w:rPr>
          <w:rFonts w:ascii="宋体" w:hAnsi="宋体" w:cs="仿宋_GB2312"/>
          <w:color w:val="auto"/>
          <w:kern w:val="0"/>
          <w:sz w:val="24"/>
        </w:rPr>
      </w:pPr>
    </w:p>
    <w:p w14:paraId="488E9E17">
      <w:pPr>
        <w:widowControl/>
        <w:wordWrap w:val="0"/>
        <w:spacing w:line="480" w:lineRule="exact"/>
        <w:jc w:val="center"/>
        <w:textAlignment w:val="center"/>
        <w:rPr>
          <w:rFonts w:ascii="宋体" w:hAnsi="宋体" w:cs="仿宋_GB2312"/>
          <w:color w:val="auto"/>
          <w:kern w:val="0"/>
          <w:sz w:val="24"/>
        </w:rPr>
      </w:pPr>
    </w:p>
    <w:p w14:paraId="1E6A4809">
      <w:pPr>
        <w:widowControl/>
        <w:wordWrap w:val="0"/>
        <w:spacing w:line="480" w:lineRule="exact"/>
        <w:jc w:val="left"/>
        <w:textAlignment w:val="center"/>
        <w:rPr>
          <w:rFonts w:ascii="宋体" w:hAnsi="宋体" w:cs="仿宋_GB2312"/>
          <w:color w:val="auto"/>
          <w:kern w:val="0"/>
          <w:sz w:val="24"/>
        </w:rPr>
      </w:pPr>
    </w:p>
    <w:p w14:paraId="48D2DB72">
      <w:pPr>
        <w:widowControl/>
        <w:wordWrap w:val="0"/>
        <w:spacing w:line="480" w:lineRule="exact"/>
        <w:jc w:val="left"/>
        <w:textAlignment w:val="center"/>
        <w:rPr>
          <w:rFonts w:ascii="宋体" w:hAnsi="宋体" w:cs="仿宋_GB2312"/>
          <w:color w:val="auto"/>
          <w:kern w:val="0"/>
          <w:sz w:val="24"/>
        </w:rPr>
      </w:pPr>
    </w:p>
    <w:p w14:paraId="0AE784D3">
      <w:pPr>
        <w:widowControl/>
        <w:wordWrap w:val="0"/>
        <w:spacing w:line="480" w:lineRule="exact"/>
        <w:jc w:val="left"/>
        <w:textAlignment w:val="center"/>
        <w:rPr>
          <w:rFonts w:ascii="宋体" w:hAnsi="宋体" w:cs="仿宋_GB2312"/>
          <w:color w:val="auto"/>
          <w:kern w:val="0"/>
          <w:sz w:val="24"/>
        </w:rPr>
      </w:pPr>
    </w:p>
    <w:p w14:paraId="6B3DE555">
      <w:pPr>
        <w:widowControl/>
        <w:wordWrap w:val="0"/>
        <w:spacing w:line="480" w:lineRule="exact"/>
        <w:jc w:val="left"/>
        <w:textAlignment w:val="center"/>
        <w:rPr>
          <w:rFonts w:ascii="宋体" w:hAnsi="宋体" w:cs="仿宋_GB2312"/>
          <w:color w:val="auto"/>
          <w:kern w:val="0"/>
          <w:sz w:val="24"/>
        </w:rPr>
      </w:pPr>
    </w:p>
    <w:p w14:paraId="1BD02703">
      <w:pPr>
        <w:widowControl/>
        <w:wordWrap w:val="0"/>
        <w:spacing w:line="480" w:lineRule="exact"/>
        <w:jc w:val="left"/>
        <w:textAlignment w:val="center"/>
        <w:rPr>
          <w:rFonts w:ascii="宋体" w:hAnsi="宋体" w:cs="仿宋_GB2312"/>
          <w:color w:val="auto"/>
          <w:kern w:val="0"/>
          <w:sz w:val="24"/>
        </w:rPr>
      </w:pPr>
    </w:p>
    <w:p w14:paraId="092A5DDF">
      <w:pPr>
        <w:widowControl/>
        <w:wordWrap w:val="0"/>
        <w:spacing w:line="480" w:lineRule="exact"/>
        <w:jc w:val="left"/>
        <w:textAlignment w:val="center"/>
        <w:rPr>
          <w:rFonts w:ascii="宋体" w:hAnsi="宋体" w:cs="仿宋_GB2312"/>
          <w:color w:val="auto"/>
          <w:kern w:val="0"/>
          <w:sz w:val="24"/>
        </w:rPr>
      </w:pPr>
    </w:p>
    <w:p w14:paraId="0BDE4848">
      <w:pPr>
        <w:widowControl/>
        <w:wordWrap w:val="0"/>
        <w:spacing w:line="480" w:lineRule="exact"/>
        <w:jc w:val="left"/>
        <w:textAlignment w:val="center"/>
        <w:rPr>
          <w:rFonts w:ascii="宋体" w:hAnsi="宋体" w:cs="仿宋_GB2312"/>
          <w:color w:val="auto"/>
          <w:kern w:val="0"/>
          <w:sz w:val="24"/>
        </w:rPr>
      </w:pPr>
    </w:p>
    <w:p w14:paraId="248BE412">
      <w:pPr>
        <w:widowControl/>
        <w:wordWrap w:val="0"/>
        <w:spacing w:line="480" w:lineRule="exact"/>
        <w:jc w:val="left"/>
        <w:textAlignment w:val="center"/>
        <w:rPr>
          <w:rFonts w:ascii="宋体" w:hAnsi="宋体" w:cs="仿宋_GB2312"/>
          <w:color w:val="auto"/>
          <w:kern w:val="0"/>
          <w:sz w:val="24"/>
        </w:rPr>
      </w:pPr>
    </w:p>
    <w:p w14:paraId="3ADFD9A0">
      <w:pPr>
        <w:widowControl/>
        <w:wordWrap w:val="0"/>
        <w:spacing w:line="480" w:lineRule="exact"/>
        <w:jc w:val="left"/>
        <w:textAlignment w:val="center"/>
        <w:rPr>
          <w:rFonts w:ascii="宋体" w:hAnsi="宋体" w:cs="仿宋_GB2312"/>
          <w:color w:val="auto"/>
          <w:kern w:val="0"/>
          <w:sz w:val="24"/>
        </w:rPr>
      </w:pPr>
    </w:p>
    <w:p w14:paraId="76375AAF">
      <w:pPr>
        <w:widowControl/>
        <w:wordWrap w:val="0"/>
        <w:spacing w:line="480" w:lineRule="exact"/>
        <w:jc w:val="left"/>
        <w:textAlignment w:val="center"/>
        <w:rPr>
          <w:rFonts w:ascii="宋体" w:hAnsi="宋体" w:cs="仿宋_GB2312"/>
          <w:color w:val="auto"/>
          <w:kern w:val="0"/>
          <w:sz w:val="24"/>
        </w:rPr>
      </w:pPr>
    </w:p>
    <w:p w14:paraId="2579594E">
      <w:pPr>
        <w:widowControl/>
        <w:wordWrap w:val="0"/>
        <w:spacing w:line="480" w:lineRule="exact"/>
        <w:jc w:val="left"/>
        <w:textAlignment w:val="center"/>
        <w:rPr>
          <w:rFonts w:ascii="宋体" w:hAnsi="宋体" w:cs="仿宋_GB2312"/>
          <w:color w:val="auto"/>
          <w:kern w:val="0"/>
          <w:sz w:val="24"/>
        </w:rPr>
      </w:pPr>
    </w:p>
    <w:p w14:paraId="1F610521">
      <w:pPr>
        <w:widowControl/>
        <w:wordWrap w:val="0"/>
        <w:spacing w:line="480" w:lineRule="exact"/>
        <w:jc w:val="left"/>
        <w:textAlignment w:val="center"/>
        <w:rPr>
          <w:rFonts w:ascii="宋体" w:hAnsi="宋体" w:cs="仿宋_GB2312"/>
          <w:color w:val="auto"/>
          <w:kern w:val="0"/>
          <w:sz w:val="24"/>
        </w:rPr>
      </w:pPr>
    </w:p>
    <w:p w14:paraId="385DAA2A">
      <w:pPr>
        <w:widowControl/>
        <w:wordWrap w:val="0"/>
        <w:spacing w:line="480" w:lineRule="exact"/>
        <w:jc w:val="left"/>
        <w:textAlignment w:val="center"/>
        <w:rPr>
          <w:rFonts w:ascii="宋体" w:hAnsi="宋体" w:cs="仿宋_GB2312"/>
          <w:color w:val="auto"/>
          <w:kern w:val="0"/>
          <w:sz w:val="24"/>
        </w:rPr>
      </w:pPr>
    </w:p>
    <w:p w14:paraId="63650AAE">
      <w:pPr>
        <w:widowControl/>
        <w:wordWrap w:val="0"/>
        <w:spacing w:line="480" w:lineRule="exact"/>
        <w:jc w:val="left"/>
        <w:textAlignment w:val="center"/>
        <w:rPr>
          <w:rFonts w:ascii="宋体" w:hAnsi="宋体" w:cs="仿宋_GB2312"/>
          <w:color w:val="auto"/>
          <w:kern w:val="0"/>
          <w:sz w:val="24"/>
        </w:rPr>
      </w:pPr>
    </w:p>
    <w:p w14:paraId="2008355F">
      <w:pPr>
        <w:widowControl/>
        <w:wordWrap w:val="0"/>
        <w:spacing w:line="480" w:lineRule="exact"/>
        <w:jc w:val="left"/>
        <w:textAlignment w:val="center"/>
        <w:rPr>
          <w:rFonts w:ascii="宋体" w:hAnsi="宋体" w:cs="仿宋_GB2312"/>
          <w:color w:val="auto"/>
          <w:kern w:val="0"/>
          <w:sz w:val="24"/>
        </w:rPr>
      </w:pPr>
    </w:p>
    <w:p w14:paraId="57FDB941">
      <w:pPr>
        <w:widowControl/>
        <w:wordWrap w:val="0"/>
        <w:spacing w:line="480" w:lineRule="exact"/>
        <w:jc w:val="left"/>
        <w:textAlignment w:val="center"/>
        <w:rPr>
          <w:rFonts w:ascii="宋体" w:hAnsi="宋体" w:cs="仿宋_GB2312"/>
          <w:color w:val="auto"/>
          <w:kern w:val="0"/>
          <w:sz w:val="24"/>
        </w:rPr>
      </w:pPr>
    </w:p>
    <w:p w14:paraId="3D9BB6F3">
      <w:pPr>
        <w:widowControl/>
        <w:wordWrap w:val="0"/>
        <w:spacing w:line="480" w:lineRule="exact"/>
        <w:jc w:val="left"/>
        <w:textAlignment w:val="center"/>
        <w:rPr>
          <w:rFonts w:ascii="宋体" w:hAnsi="宋体" w:cs="仿宋_GB2312"/>
          <w:color w:val="auto"/>
          <w:kern w:val="0"/>
          <w:sz w:val="24"/>
        </w:rPr>
      </w:pPr>
    </w:p>
    <w:p w14:paraId="41611F7C">
      <w:pPr>
        <w:widowControl/>
        <w:wordWrap w:val="0"/>
        <w:spacing w:line="480" w:lineRule="exact"/>
        <w:jc w:val="left"/>
        <w:textAlignment w:val="center"/>
        <w:rPr>
          <w:rFonts w:ascii="宋体" w:hAnsi="宋体" w:cs="仿宋_GB2312"/>
          <w:color w:val="auto"/>
          <w:kern w:val="0"/>
          <w:sz w:val="24"/>
        </w:rPr>
      </w:pPr>
    </w:p>
    <w:p w14:paraId="2230926F">
      <w:pPr>
        <w:widowControl/>
        <w:wordWrap w:val="0"/>
        <w:spacing w:line="480" w:lineRule="exact"/>
        <w:jc w:val="left"/>
        <w:textAlignment w:val="center"/>
        <w:rPr>
          <w:rFonts w:ascii="宋体" w:hAnsi="宋体" w:cs="仿宋_GB2312"/>
          <w:color w:val="auto"/>
          <w:kern w:val="0"/>
          <w:sz w:val="24"/>
        </w:rPr>
      </w:pPr>
    </w:p>
    <w:p w14:paraId="569FD604">
      <w:pPr>
        <w:widowControl/>
        <w:wordWrap w:val="0"/>
        <w:spacing w:line="480" w:lineRule="exact"/>
        <w:jc w:val="left"/>
        <w:textAlignment w:val="center"/>
        <w:rPr>
          <w:rFonts w:ascii="宋体" w:hAnsi="宋体" w:cs="仿宋_GB2312"/>
          <w:color w:val="auto"/>
          <w:kern w:val="0"/>
          <w:sz w:val="24"/>
        </w:rPr>
      </w:pPr>
    </w:p>
    <w:p w14:paraId="3F522C56">
      <w:pPr>
        <w:keepNext/>
        <w:keepLines/>
        <w:widowControl/>
        <w:wordWrap w:val="0"/>
        <w:spacing w:line="360" w:lineRule="auto"/>
        <w:jc w:val="center"/>
        <w:outlineLvl w:val="1"/>
        <w:rPr>
          <w:rFonts w:ascii="宋体" w:hAnsi="宋体"/>
          <w:b/>
          <w:color w:val="auto"/>
          <w:sz w:val="24"/>
        </w:rPr>
      </w:pPr>
      <w:bookmarkStart w:id="892" w:name="_Toc27811"/>
    </w:p>
    <w:p w14:paraId="6CCBF469">
      <w:pPr>
        <w:widowControl/>
        <w:wordWrap w:val="0"/>
        <w:jc w:val="left"/>
        <w:rPr>
          <w:rFonts w:ascii="宋体" w:hAnsi="宋体"/>
          <w:b/>
          <w:color w:val="auto"/>
          <w:sz w:val="24"/>
        </w:rPr>
      </w:pPr>
      <w:r>
        <w:rPr>
          <w:rFonts w:ascii="宋体" w:hAnsi="宋体"/>
          <w:b/>
          <w:color w:val="auto"/>
          <w:sz w:val="24"/>
        </w:rPr>
        <w:br w:type="page"/>
      </w:r>
    </w:p>
    <w:p w14:paraId="3FC5CFC1">
      <w:pPr>
        <w:keepNext/>
        <w:keepLines/>
        <w:widowControl/>
        <w:wordWrap w:val="0"/>
        <w:spacing w:line="360" w:lineRule="auto"/>
        <w:jc w:val="center"/>
        <w:outlineLvl w:val="1"/>
        <w:rPr>
          <w:rFonts w:ascii="宋体" w:hAnsi="宋体"/>
          <w:b/>
          <w:color w:val="auto"/>
          <w:sz w:val="24"/>
        </w:rPr>
      </w:pPr>
      <w:bookmarkStart w:id="893" w:name="_Toc204691619"/>
      <w:r>
        <w:rPr>
          <w:rFonts w:hint="eastAsia" w:ascii="宋体" w:hAnsi="宋体"/>
          <w:b/>
          <w:color w:val="auto"/>
          <w:sz w:val="24"/>
        </w:rPr>
        <w:t>九、投标人认为需要提供的其他材料</w:t>
      </w:r>
      <w:bookmarkEnd w:id="892"/>
      <w:bookmarkEnd w:id="893"/>
    </w:p>
    <w:p w14:paraId="3FBE17E5">
      <w:pPr>
        <w:widowControl/>
        <w:wordWrap w:val="0"/>
        <w:spacing w:line="420" w:lineRule="exact"/>
        <w:jc w:val="center"/>
        <w:outlineLvl w:val="3"/>
        <w:rPr>
          <w:rFonts w:ascii="宋体" w:hAnsi="宋体" w:cs="仿宋_GB2312"/>
          <w:color w:val="auto"/>
          <w:sz w:val="24"/>
        </w:rPr>
      </w:pPr>
    </w:p>
    <w:p w14:paraId="53538846">
      <w:pPr>
        <w:wordWrap w:val="0"/>
        <w:adjustRightInd w:val="0"/>
        <w:snapToGrid w:val="0"/>
        <w:spacing w:line="480" w:lineRule="exact"/>
        <w:jc w:val="center"/>
        <w:rPr>
          <w:rFonts w:ascii="宋体" w:hAnsi="宋体"/>
          <w:b/>
          <w:color w:val="auto"/>
          <w:sz w:val="24"/>
        </w:rPr>
      </w:pPr>
      <w:r>
        <w:rPr>
          <w:rFonts w:hint="eastAsia" w:ascii="宋体" w:hAnsi="宋体"/>
          <w:b/>
          <w:color w:val="auto"/>
          <w:sz w:val="24"/>
          <w:lang w:eastAsia="zh-CN"/>
        </w:rPr>
        <w:t>（</w:t>
      </w:r>
      <w:r>
        <w:rPr>
          <w:rFonts w:hint="eastAsia" w:ascii="宋体" w:hAnsi="宋体"/>
          <w:b/>
          <w:color w:val="auto"/>
          <w:sz w:val="24"/>
          <w:lang w:val="en-US" w:eastAsia="zh-CN"/>
        </w:rPr>
        <w:t>一）</w:t>
      </w:r>
      <w:r>
        <w:rPr>
          <w:rFonts w:ascii="宋体" w:hAnsi="宋体"/>
          <w:b/>
          <w:color w:val="auto"/>
          <w:sz w:val="24"/>
        </w:rPr>
        <w:t>农民工工资支付承诺书</w:t>
      </w:r>
    </w:p>
    <w:p w14:paraId="2E60D630">
      <w:pPr>
        <w:wordWrap w:val="0"/>
        <w:spacing w:line="480" w:lineRule="exact"/>
        <w:ind w:firstLine="480" w:firstLineChars="200"/>
        <w:rPr>
          <w:rFonts w:ascii="宋体" w:hAnsi="宋体"/>
          <w:color w:val="auto"/>
          <w:sz w:val="24"/>
        </w:rPr>
      </w:pPr>
    </w:p>
    <w:p w14:paraId="1804DE7F">
      <w:pPr>
        <w:widowControl/>
        <w:wordWrap w:val="0"/>
        <w:spacing w:line="480" w:lineRule="exact"/>
        <w:ind w:firstLine="420" w:firstLineChars="200"/>
        <w:jc w:val="left"/>
        <w:textAlignment w:val="center"/>
        <w:rPr>
          <w:rFonts w:hint="eastAsia" w:ascii="宋体" w:hAnsi="宋体"/>
          <w:color w:val="auto"/>
          <w:sz w:val="21"/>
          <w:szCs w:val="21"/>
        </w:rPr>
      </w:pPr>
      <w:r>
        <w:rPr>
          <w:rFonts w:hint="eastAsia" w:ascii="宋体" w:hAnsi="宋体"/>
          <w:color w:val="auto"/>
          <w:sz w:val="21"/>
          <w:szCs w:val="21"/>
        </w:rPr>
        <w:t>致:</w:t>
      </w:r>
      <w:r>
        <w:rPr>
          <w:rFonts w:hint="eastAsia" w:ascii="宋体" w:hAnsi="宋体"/>
          <w:color w:val="auto"/>
          <w:sz w:val="21"/>
          <w:szCs w:val="21"/>
          <w:u w:val="single"/>
        </w:rPr>
        <w:t>(填写招标人名称):</w:t>
      </w:r>
    </w:p>
    <w:p w14:paraId="0474C6FD">
      <w:pPr>
        <w:widowControl/>
        <w:wordWrap w:val="0"/>
        <w:spacing w:line="480" w:lineRule="exact"/>
        <w:ind w:firstLine="420" w:firstLineChars="200"/>
        <w:jc w:val="left"/>
        <w:textAlignment w:val="center"/>
        <w:rPr>
          <w:rFonts w:hint="eastAsia" w:ascii="宋体" w:hAnsi="宋体"/>
          <w:color w:val="auto"/>
          <w:sz w:val="21"/>
          <w:szCs w:val="21"/>
          <w:highlight w:val="none"/>
        </w:rPr>
      </w:pPr>
      <w:r>
        <w:rPr>
          <w:rFonts w:hint="eastAsia" w:ascii="宋体" w:hAnsi="宋体"/>
          <w:color w:val="auto"/>
          <w:sz w:val="21"/>
          <w:szCs w:val="21"/>
        </w:rPr>
        <w:t>我</w:t>
      </w:r>
      <w:r>
        <w:rPr>
          <w:rFonts w:hint="eastAsia" w:ascii="宋体" w:hAnsi="宋体"/>
          <w:color w:val="auto"/>
          <w:sz w:val="21"/>
          <w:szCs w:val="21"/>
          <w:highlight w:val="none"/>
        </w:rPr>
        <w:t>公司</w:t>
      </w:r>
      <w:r>
        <w:rPr>
          <w:rFonts w:hint="eastAsia" w:ascii="宋体" w:hAnsi="宋体"/>
          <w:color w:val="auto"/>
          <w:sz w:val="21"/>
          <w:szCs w:val="21"/>
          <w:highlight w:val="none"/>
          <w:u w:val="single"/>
        </w:rPr>
        <w:t>(公司名称)</w:t>
      </w:r>
      <w:r>
        <w:rPr>
          <w:rFonts w:hint="eastAsia" w:ascii="宋体" w:hAnsi="宋体"/>
          <w:color w:val="auto"/>
          <w:sz w:val="21"/>
          <w:szCs w:val="21"/>
          <w:highlight w:val="none"/>
        </w:rPr>
        <w:t>承诺遵守《保障农民工工资支付条例》，且未被列入尚在执行期的拖欠农民工工资黑名单。</w:t>
      </w:r>
    </w:p>
    <w:p w14:paraId="3B74064D">
      <w:pPr>
        <w:widowControl/>
        <w:wordWrap w:val="0"/>
        <w:spacing w:line="480" w:lineRule="exact"/>
        <w:ind w:firstLine="420" w:firstLineChars="200"/>
        <w:jc w:val="left"/>
        <w:textAlignment w:val="center"/>
        <w:rPr>
          <w:rFonts w:hint="eastAsia" w:ascii="宋体" w:hAnsi="宋体"/>
          <w:color w:val="auto"/>
          <w:sz w:val="21"/>
          <w:szCs w:val="21"/>
        </w:rPr>
      </w:pPr>
      <w:bookmarkStart w:id="894" w:name="OLE_LINK68"/>
      <w:bookmarkStart w:id="895" w:name="OLE_LINK67"/>
      <w:r>
        <w:rPr>
          <w:rFonts w:hint="eastAsia" w:ascii="宋体" w:hAnsi="宋体"/>
          <w:color w:val="auto"/>
          <w:sz w:val="21"/>
          <w:szCs w:val="21"/>
          <w:highlight w:val="none"/>
        </w:rPr>
        <w:t>若</w:t>
      </w:r>
      <w:bookmarkEnd w:id="894"/>
      <w:bookmarkEnd w:id="895"/>
      <w:r>
        <w:rPr>
          <w:rFonts w:hint="eastAsia" w:ascii="宋体" w:hAnsi="宋体"/>
          <w:color w:val="auto"/>
          <w:sz w:val="21"/>
          <w:szCs w:val="21"/>
          <w:highlight w:val="none"/>
        </w:rPr>
        <w:t>我公司本次招投标中标后，我公司将及时、足额按规定向人力资源社会保障行政部门提交农民工工资保证金</w:t>
      </w:r>
      <w:r>
        <w:rPr>
          <w:rFonts w:hint="eastAsia" w:ascii="宋体" w:hAnsi="宋体"/>
          <w:color w:val="auto"/>
          <w:sz w:val="21"/>
          <w:szCs w:val="21"/>
        </w:rPr>
        <w:t>，详见(关于印发《河南省工程建设领域农民工工资保证金实施办法》的通知豫人社规(2022)4号)。若本建设工程项目中出现拖欠农民工工资情况，可由人力资源社会保障行政部门从工资保证金中先予划支。</w:t>
      </w:r>
    </w:p>
    <w:p w14:paraId="03F73DA3">
      <w:pPr>
        <w:widowControl/>
        <w:wordWrap w:val="0"/>
        <w:spacing w:line="480" w:lineRule="exact"/>
        <w:ind w:firstLine="420" w:firstLineChars="200"/>
        <w:jc w:val="left"/>
        <w:textAlignment w:val="center"/>
        <w:rPr>
          <w:rFonts w:hint="eastAsia" w:ascii="宋体" w:hAnsi="宋体"/>
          <w:color w:val="auto"/>
          <w:sz w:val="21"/>
          <w:szCs w:val="21"/>
        </w:rPr>
      </w:pPr>
      <w:r>
        <w:rPr>
          <w:rFonts w:hint="eastAsia" w:ascii="宋体" w:hAnsi="宋体"/>
          <w:color w:val="auto"/>
          <w:sz w:val="21"/>
          <w:szCs w:val="21"/>
        </w:rPr>
        <w:t>若招标人发现我公司存在以上情况，招标人有权取消我单位投标资格或中标资格、拒签或提前终止合同，并向有关建设主管部门上报作进一步处罚:同时我单位自愿接受招标人要求赔偿的相应损失并承担由此带来的一切法律责任。</w:t>
      </w:r>
    </w:p>
    <w:p w14:paraId="10EC94E8">
      <w:pPr>
        <w:widowControl/>
        <w:wordWrap w:val="0"/>
        <w:spacing w:line="480" w:lineRule="exact"/>
        <w:ind w:firstLine="420" w:firstLineChars="200"/>
        <w:jc w:val="left"/>
        <w:textAlignment w:val="center"/>
        <w:rPr>
          <w:rFonts w:ascii="宋体" w:hAnsi="宋体" w:cs="仿宋_GB2312"/>
          <w:color w:val="auto"/>
          <w:kern w:val="0"/>
          <w:sz w:val="21"/>
          <w:szCs w:val="21"/>
        </w:rPr>
      </w:pPr>
      <w:r>
        <w:rPr>
          <w:rFonts w:hint="eastAsia" w:ascii="宋体" w:hAnsi="宋体"/>
          <w:color w:val="auto"/>
          <w:sz w:val="21"/>
          <w:szCs w:val="21"/>
        </w:rPr>
        <w:t>特此承诺。</w:t>
      </w:r>
    </w:p>
    <w:p w14:paraId="63E15B45">
      <w:pPr>
        <w:wordWrap w:val="0"/>
        <w:spacing w:line="480" w:lineRule="exact"/>
        <w:ind w:right="600" w:firstLine="3158" w:firstLineChars="1504"/>
        <w:rPr>
          <w:rFonts w:ascii="宋体" w:hAnsi="宋体"/>
          <w:color w:val="auto"/>
          <w:sz w:val="21"/>
          <w:szCs w:val="21"/>
          <w:u w:val="single"/>
        </w:rPr>
      </w:pPr>
      <w:r>
        <w:rPr>
          <w:rFonts w:hint="eastAsia" w:ascii="宋体" w:hAnsi="宋体"/>
          <w:color w:val="auto"/>
          <w:sz w:val="21"/>
          <w:szCs w:val="21"/>
        </w:rPr>
        <w:t>投标</w:t>
      </w:r>
      <w:r>
        <w:rPr>
          <w:rFonts w:hint="eastAsia" w:ascii="宋体" w:hAnsi="宋体"/>
          <w:color w:val="auto"/>
          <w:sz w:val="21"/>
          <w:szCs w:val="21"/>
          <w:lang w:val="en-US" w:eastAsia="zh-CN"/>
        </w:rPr>
        <w:t>人</w:t>
      </w:r>
      <w:r>
        <w:rPr>
          <w:rFonts w:hint="eastAsia" w:ascii="宋体" w:hAnsi="宋体"/>
          <w:color w:val="auto"/>
          <w:sz w:val="21"/>
          <w:szCs w:val="21"/>
        </w:rPr>
        <w:t>：（</w:t>
      </w:r>
      <w:r>
        <w:rPr>
          <w:rFonts w:hint="eastAsia" w:ascii="宋体" w:hAnsi="宋体" w:cs="宋体"/>
          <w:color w:val="auto"/>
          <w:szCs w:val="21"/>
        </w:rPr>
        <w:t>盖电子公章</w:t>
      </w:r>
      <w:r>
        <w:rPr>
          <w:rFonts w:hint="eastAsia" w:ascii="宋体" w:hAnsi="宋体"/>
          <w:color w:val="auto"/>
          <w:sz w:val="21"/>
          <w:szCs w:val="21"/>
        </w:rPr>
        <w:t>）</w:t>
      </w:r>
    </w:p>
    <w:p w14:paraId="6367D8AC">
      <w:pPr>
        <w:wordWrap w:val="0"/>
        <w:spacing w:line="480" w:lineRule="exact"/>
        <w:ind w:firstLine="3158" w:firstLineChars="1504"/>
        <w:rPr>
          <w:rFonts w:ascii="宋体" w:hAnsi="宋体"/>
          <w:color w:val="auto"/>
          <w:sz w:val="21"/>
          <w:szCs w:val="21"/>
          <w:u w:val="single"/>
        </w:rPr>
      </w:pPr>
      <w:r>
        <w:rPr>
          <w:rFonts w:hint="eastAsia" w:ascii="宋体" w:hAnsi="宋体"/>
          <w:color w:val="auto"/>
          <w:sz w:val="21"/>
          <w:szCs w:val="21"/>
        </w:rPr>
        <w:t>法定代表人：</w:t>
      </w:r>
      <w:r>
        <w:rPr>
          <w:rFonts w:hint="eastAsia" w:ascii="宋体" w:hAnsi="宋体"/>
          <w:b/>
          <w:color w:val="auto"/>
          <w:sz w:val="21"/>
          <w:szCs w:val="21"/>
        </w:rPr>
        <w:t>（</w:t>
      </w:r>
      <w:r>
        <w:rPr>
          <w:rFonts w:hint="eastAsia" w:ascii="宋体" w:hAnsi="宋体"/>
          <w:color w:val="auto"/>
          <w:sz w:val="21"/>
          <w:szCs w:val="21"/>
        </w:rPr>
        <w:t>电子签章）</w:t>
      </w:r>
    </w:p>
    <w:p w14:paraId="4AE507D6">
      <w:pPr>
        <w:wordWrap w:val="0"/>
        <w:spacing w:line="480" w:lineRule="exact"/>
        <w:ind w:firstLine="3578" w:firstLineChars="1704"/>
        <w:rPr>
          <w:rFonts w:ascii="宋体" w:hAnsi="宋体"/>
          <w:color w:val="auto"/>
          <w:sz w:val="21"/>
          <w:szCs w:val="21"/>
          <w:u w:val="single"/>
        </w:rPr>
      </w:pPr>
      <w:r>
        <w:rPr>
          <w:rFonts w:hint="eastAsia" w:ascii="宋体" w:hAnsi="宋体"/>
          <w:color w:val="auto"/>
          <w:sz w:val="21"/>
          <w:szCs w:val="21"/>
        </w:rPr>
        <w:t>年</w:t>
      </w:r>
      <w:r>
        <w:rPr>
          <w:rFonts w:hint="eastAsia" w:ascii="宋体" w:hAnsi="宋体"/>
          <w:color w:val="auto"/>
          <w:sz w:val="21"/>
          <w:szCs w:val="21"/>
          <w:lang w:val="en-US" w:eastAsia="zh-CN"/>
        </w:rPr>
        <w:t xml:space="preserve">  </w:t>
      </w:r>
      <w:r>
        <w:rPr>
          <w:rFonts w:hint="eastAsia" w:ascii="宋体" w:hAnsi="宋体"/>
          <w:color w:val="auto"/>
          <w:sz w:val="21"/>
          <w:szCs w:val="21"/>
        </w:rPr>
        <w:t>月</w:t>
      </w:r>
      <w:r>
        <w:rPr>
          <w:rFonts w:hint="eastAsia" w:ascii="宋体" w:hAnsi="宋体"/>
          <w:color w:val="auto"/>
          <w:sz w:val="21"/>
          <w:szCs w:val="21"/>
          <w:lang w:val="en-US" w:eastAsia="zh-CN"/>
        </w:rPr>
        <w:t xml:space="preserve">  </w:t>
      </w:r>
      <w:r>
        <w:rPr>
          <w:rFonts w:hint="eastAsia" w:ascii="宋体" w:hAnsi="宋体"/>
          <w:color w:val="auto"/>
          <w:sz w:val="21"/>
          <w:szCs w:val="21"/>
        </w:rPr>
        <w:t>日</w:t>
      </w:r>
    </w:p>
    <w:p w14:paraId="44475FFD">
      <w:pPr>
        <w:wordWrap w:val="0"/>
        <w:spacing w:line="360" w:lineRule="auto"/>
        <w:ind w:firstLine="607" w:firstLineChars="253"/>
        <w:jc w:val="right"/>
        <w:rPr>
          <w:rFonts w:ascii="宋体" w:hAnsi="宋体"/>
          <w:color w:val="auto"/>
          <w:sz w:val="24"/>
          <w:u w:val="single"/>
        </w:rPr>
      </w:pPr>
    </w:p>
    <w:p w14:paraId="2BE2780C">
      <w:pPr>
        <w:widowControl/>
        <w:wordWrap w:val="0"/>
        <w:spacing w:line="480" w:lineRule="exact"/>
        <w:ind w:firstLine="480" w:firstLineChars="200"/>
        <w:jc w:val="left"/>
        <w:textAlignment w:val="center"/>
        <w:rPr>
          <w:rFonts w:ascii="宋体" w:hAnsi="宋体" w:cs="仿宋_GB2312"/>
          <w:color w:val="auto"/>
          <w:kern w:val="0"/>
          <w:sz w:val="24"/>
        </w:rPr>
      </w:pPr>
    </w:p>
    <w:p w14:paraId="09CF223B">
      <w:pPr>
        <w:widowControl/>
        <w:wordWrap w:val="0"/>
        <w:spacing w:line="480" w:lineRule="exact"/>
        <w:jc w:val="left"/>
        <w:textAlignment w:val="center"/>
        <w:rPr>
          <w:rFonts w:ascii="宋体" w:hAnsi="宋体" w:cs="仿宋_GB2312"/>
          <w:color w:val="auto"/>
          <w:kern w:val="0"/>
          <w:sz w:val="24"/>
        </w:rPr>
      </w:pPr>
    </w:p>
    <w:p w14:paraId="299AB9F2">
      <w:pPr>
        <w:widowControl/>
        <w:wordWrap w:val="0"/>
        <w:jc w:val="left"/>
        <w:rPr>
          <w:b/>
          <w:color w:val="auto"/>
          <w:sz w:val="28"/>
          <w:szCs w:val="28"/>
        </w:rPr>
      </w:pPr>
      <w:bookmarkStart w:id="896" w:name="_Toc466566730"/>
      <w:bookmarkStart w:id="897" w:name="_Toc466566820"/>
    </w:p>
    <w:p w14:paraId="364D353C">
      <w:pPr>
        <w:widowControl/>
        <w:jc w:val="left"/>
        <w:rPr>
          <w:rFonts w:ascii="宋体" w:hAnsi="宋体" w:cs="宋体"/>
          <w:b/>
          <w:bCs/>
          <w:color w:val="auto"/>
          <w:kern w:val="0"/>
          <w:sz w:val="24"/>
          <w:lang w:val="zh-CN" w:bidi="zh-CN"/>
        </w:rPr>
      </w:pPr>
      <w:r>
        <w:rPr>
          <w:rFonts w:ascii="宋体" w:hAnsi="宋体" w:cs="宋体"/>
          <w:b/>
          <w:bCs/>
          <w:color w:val="auto"/>
          <w:kern w:val="0"/>
          <w:sz w:val="24"/>
          <w:lang w:val="zh-CN" w:bidi="zh-CN"/>
        </w:rPr>
        <w:br w:type="page"/>
      </w:r>
    </w:p>
    <w:p w14:paraId="15970570">
      <w:pPr>
        <w:widowControl/>
        <w:wordWrap w:val="0"/>
        <w:jc w:val="center"/>
        <w:rPr>
          <w:rFonts w:ascii="宋体" w:hAnsi="宋体" w:cs="宋体"/>
          <w:b/>
          <w:bCs/>
          <w:color w:val="auto"/>
          <w:kern w:val="0"/>
          <w:sz w:val="24"/>
          <w:lang w:val="zh-CN" w:bidi="zh-CN"/>
        </w:rPr>
      </w:pPr>
      <w:r>
        <w:rPr>
          <w:rFonts w:hint="eastAsia" w:ascii="宋体" w:hAnsi="宋体" w:cs="宋体"/>
          <w:b/>
          <w:bCs/>
          <w:color w:val="auto"/>
          <w:kern w:val="0"/>
          <w:sz w:val="24"/>
          <w:lang w:val="zh-CN" w:bidi="zh-CN"/>
        </w:rPr>
        <w:t>（</w:t>
      </w:r>
      <w:r>
        <w:rPr>
          <w:rFonts w:hint="eastAsia" w:ascii="宋体" w:hAnsi="宋体" w:cs="宋体"/>
          <w:b/>
          <w:bCs/>
          <w:color w:val="auto"/>
          <w:kern w:val="0"/>
          <w:sz w:val="24"/>
          <w:lang w:val="en-US" w:bidi="zh-CN"/>
        </w:rPr>
        <w:t>二）</w:t>
      </w:r>
      <w:r>
        <w:rPr>
          <w:rFonts w:hint="eastAsia" w:ascii="宋体" w:hAnsi="宋体" w:cs="宋体"/>
          <w:b/>
          <w:bCs/>
          <w:color w:val="auto"/>
          <w:kern w:val="0"/>
          <w:sz w:val="24"/>
          <w:lang w:val="zh-CN" w:bidi="zh-CN"/>
        </w:rPr>
        <w:t>全省房屋建筑和市政基础设施工程项目</w:t>
      </w:r>
    </w:p>
    <w:p w14:paraId="699CD211">
      <w:pPr>
        <w:widowControl/>
        <w:wordWrap w:val="0"/>
        <w:jc w:val="center"/>
        <w:rPr>
          <w:rFonts w:ascii="宋体" w:hAnsi="宋体" w:cs="宋体"/>
          <w:b/>
          <w:bCs/>
          <w:color w:val="auto"/>
          <w:kern w:val="0"/>
          <w:sz w:val="24"/>
          <w:lang w:val="zh-CN" w:bidi="zh-CN"/>
        </w:rPr>
      </w:pPr>
      <w:r>
        <w:rPr>
          <w:rFonts w:hint="eastAsia" w:ascii="宋体" w:hAnsi="宋体" w:cs="宋体"/>
          <w:b/>
          <w:bCs/>
          <w:color w:val="auto"/>
          <w:kern w:val="0"/>
          <w:sz w:val="24"/>
          <w:lang w:val="zh-CN" w:bidi="zh-CN"/>
        </w:rPr>
        <w:t>招标投标活动承诺书</w:t>
      </w:r>
    </w:p>
    <w:p w14:paraId="615F5C1C">
      <w:pPr>
        <w:widowControl/>
        <w:wordWrap w:val="0"/>
        <w:jc w:val="center"/>
        <w:rPr>
          <w:rFonts w:ascii="宋体" w:hAnsi="宋体" w:cs="仿宋_GB2312"/>
          <w:color w:val="auto"/>
          <w:kern w:val="0"/>
          <w:sz w:val="24"/>
        </w:rPr>
      </w:pPr>
    </w:p>
    <w:p w14:paraId="26934A5A">
      <w:pPr>
        <w:widowControl/>
        <w:wordWrap w:val="0"/>
        <w:spacing w:line="580" w:lineRule="exact"/>
        <w:ind w:firstLine="411" w:firstLineChars="196"/>
        <w:jc w:val="left"/>
        <w:rPr>
          <w:rFonts w:ascii="宋体" w:hAnsi="宋体" w:cs="仿宋_GB2312"/>
          <w:color w:val="auto"/>
          <w:kern w:val="0"/>
          <w:sz w:val="21"/>
          <w:szCs w:val="21"/>
        </w:rPr>
      </w:pPr>
      <w:r>
        <w:rPr>
          <w:rFonts w:hint="eastAsia" w:ascii="宋体" w:hAnsi="宋体" w:cs="仿宋_GB2312"/>
          <w:color w:val="auto"/>
          <w:kern w:val="0"/>
          <w:sz w:val="21"/>
          <w:szCs w:val="21"/>
        </w:rPr>
        <w:t>我单位承诺</w:t>
      </w:r>
      <w:r>
        <w:rPr>
          <w:rFonts w:hint="eastAsia" w:ascii="宋体" w:hAnsi="宋体" w:cs="仿宋_GB2312"/>
          <w:color w:val="auto"/>
          <w:kern w:val="0"/>
          <w:sz w:val="21"/>
          <w:szCs w:val="21"/>
          <w:highlight w:val="none"/>
        </w:rPr>
        <w:t>，在</w:t>
      </w:r>
      <w:bookmarkStart w:id="898" w:name="OLE_LINK89"/>
      <w:bookmarkStart w:id="899" w:name="OLE_LINK87"/>
      <w:bookmarkStart w:id="900" w:name="OLE_LINK88"/>
      <w:r>
        <w:rPr>
          <w:rFonts w:hint="eastAsia" w:ascii="宋体" w:hAnsi="宋体" w:cs="仿宋_GB2312"/>
          <w:color w:val="auto"/>
          <w:kern w:val="0"/>
          <w:sz w:val="21"/>
          <w:szCs w:val="21"/>
          <w:highlight w:val="none"/>
          <w:u w:val="single"/>
        </w:rPr>
        <w:t>（项目名称）</w:t>
      </w:r>
      <w:bookmarkEnd w:id="898"/>
      <w:bookmarkEnd w:id="899"/>
      <w:bookmarkEnd w:id="900"/>
      <w:r>
        <w:rPr>
          <w:rFonts w:hint="eastAsia" w:ascii="宋体" w:hAnsi="宋体" w:cs="仿宋_GB2312"/>
          <w:color w:val="auto"/>
          <w:kern w:val="0"/>
          <w:sz w:val="21"/>
          <w:szCs w:val="21"/>
          <w:highlight w:val="none"/>
        </w:rPr>
        <w:t>项</w:t>
      </w:r>
      <w:r>
        <w:rPr>
          <w:rFonts w:hint="eastAsia" w:ascii="宋体" w:hAnsi="宋体" w:cs="仿宋_GB2312"/>
          <w:color w:val="auto"/>
          <w:kern w:val="0"/>
          <w:sz w:val="21"/>
          <w:szCs w:val="21"/>
        </w:rPr>
        <w:t>目招投标活动中，自觉遵守《中华人民共和国招标投标法》、《中华人民共和国招标投标法实施条例》、河南省实施《中华人民共和国招标投标法》办法等招标投标相关法律、法规和制度规定，如有违反，愿承担相关法律责任。</w:t>
      </w:r>
    </w:p>
    <w:p w14:paraId="566C9020">
      <w:pPr>
        <w:widowControl/>
        <w:wordWrap w:val="0"/>
        <w:jc w:val="left"/>
        <w:rPr>
          <w:rFonts w:ascii="宋体" w:hAnsi="宋体" w:cs="仿宋_GB2312"/>
          <w:color w:val="auto"/>
          <w:kern w:val="0"/>
          <w:sz w:val="21"/>
          <w:szCs w:val="21"/>
        </w:rPr>
      </w:pPr>
    </w:p>
    <w:p w14:paraId="2A274A76">
      <w:pPr>
        <w:widowControl/>
        <w:wordWrap w:val="0"/>
        <w:spacing w:line="360" w:lineRule="auto"/>
        <w:jc w:val="left"/>
        <w:rPr>
          <w:rFonts w:ascii="宋体" w:hAnsi="宋体" w:cs="仿宋_GB2312"/>
          <w:color w:val="auto"/>
          <w:kern w:val="0"/>
          <w:sz w:val="21"/>
          <w:szCs w:val="21"/>
        </w:rPr>
      </w:pPr>
    </w:p>
    <w:p w14:paraId="48F3625C">
      <w:pPr>
        <w:widowControl/>
        <w:wordWrap w:val="0"/>
        <w:spacing w:line="240" w:lineRule="exact"/>
        <w:jc w:val="left"/>
        <w:rPr>
          <w:rFonts w:ascii="宋体" w:hAnsi="宋体" w:cs="仿宋_GB2312"/>
          <w:color w:val="auto"/>
          <w:kern w:val="0"/>
          <w:sz w:val="21"/>
          <w:szCs w:val="21"/>
        </w:rPr>
      </w:pPr>
    </w:p>
    <w:p w14:paraId="3A50D793">
      <w:pPr>
        <w:widowControl/>
        <w:wordWrap w:val="0"/>
        <w:jc w:val="left"/>
        <w:rPr>
          <w:rFonts w:ascii="宋体" w:hAnsi="宋体" w:cs="仿宋_GB2312"/>
          <w:color w:val="auto"/>
          <w:kern w:val="0"/>
          <w:sz w:val="21"/>
          <w:szCs w:val="21"/>
        </w:rPr>
      </w:pPr>
    </w:p>
    <w:p w14:paraId="4868255B">
      <w:pPr>
        <w:widowControl/>
        <w:wordWrap w:val="0"/>
        <w:jc w:val="left"/>
        <w:rPr>
          <w:rFonts w:ascii="宋体" w:hAnsi="宋体" w:cs="仿宋_GB2312"/>
          <w:color w:val="auto"/>
          <w:kern w:val="0"/>
          <w:sz w:val="21"/>
          <w:szCs w:val="21"/>
        </w:rPr>
      </w:pPr>
    </w:p>
    <w:p w14:paraId="3857D9B0">
      <w:pPr>
        <w:wordWrap w:val="0"/>
        <w:spacing w:line="480" w:lineRule="exact"/>
        <w:ind w:right="600" w:firstLine="3158" w:firstLineChars="1504"/>
        <w:rPr>
          <w:rFonts w:ascii="宋体" w:hAnsi="宋体"/>
          <w:color w:val="auto"/>
          <w:sz w:val="21"/>
          <w:szCs w:val="21"/>
          <w:u w:val="single"/>
        </w:rPr>
      </w:pPr>
      <w:r>
        <w:rPr>
          <w:rFonts w:hint="eastAsia" w:ascii="宋体" w:hAnsi="宋体"/>
          <w:color w:val="auto"/>
          <w:sz w:val="21"/>
          <w:szCs w:val="21"/>
          <w:lang w:val="en-US" w:eastAsia="zh-CN"/>
        </w:rPr>
        <w:t>承诺人</w:t>
      </w:r>
      <w:r>
        <w:rPr>
          <w:rFonts w:hint="eastAsia" w:ascii="宋体" w:hAnsi="宋体"/>
          <w:color w:val="auto"/>
          <w:sz w:val="21"/>
          <w:szCs w:val="21"/>
        </w:rPr>
        <w:t>：（</w:t>
      </w:r>
      <w:r>
        <w:rPr>
          <w:rFonts w:hint="eastAsia" w:ascii="宋体" w:hAnsi="宋体" w:cs="宋体"/>
          <w:color w:val="auto"/>
          <w:szCs w:val="21"/>
        </w:rPr>
        <w:t>盖电子公章</w:t>
      </w:r>
      <w:r>
        <w:rPr>
          <w:rFonts w:hint="eastAsia" w:ascii="宋体" w:hAnsi="宋体"/>
          <w:color w:val="auto"/>
          <w:sz w:val="21"/>
          <w:szCs w:val="21"/>
        </w:rPr>
        <w:t>）</w:t>
      </w:r>
    </w:p>
    <w:p w14:paraId="2DEEF587">
      <w:pPr>
        <w:wordWrap w:val="0"/>
        <w:spacing w:line="480" w:lineRule="exact"/>
        <w:ind w:firstLine="3158" w:firstLineChars="1504"/>
        <w:rPr>
          <w:rFonts w:ascii="宋体" w:hAnsi="宋体"/>
          <w:color w:val="auto"/>
          <w:sz w:val="21"/>
          <w:szCs w:val="21"/>
          <w:u w:val="single"/>
        </w:rPr>
      </w:pPr>
      <w:r>
        <w:rPr>
          <w:rFonts w:hint="eastAsia" w:ascii="宋体" w:hAnsi="宋体"/>
          <w:color w:val="auto"/>
          <w:sz w:val="21"/>
          <w:szCs w:val="21"/>
        </w:rPr>
        <w:t>法定代表人：</w:t>
      </w:r>
      <w:r>
        <w:rPr>
          <w:rFonts w:hint="eastAsia" w:ascii="宋体" w:hAnsi="宋体" w:cs="宋体"/>
          <w:color w:val="auto"/>
          <w:szCs w:val="21"/>
        </w:rPr>
        <w:t>（电子</w:t>
      </w:r>
      <w:r>
        <w:rPr>
          <w:rFonts w:hint="eastAsia" w:ascii="宋体" w:hAnsi="宋体" w:cs="宋体"/>
          <w:color w:val="auto"/>
          <w:szCs w:val="21"/>
          <w:lang w:val="en-US" w:eastAsia="zh-CN"/>
        </w:rPr>
        <w:t>签</w:t>
      </w:r>
      <w:r>
        <w:rPr>
          <w:rFonts w:hint="eastAsia" w:ascii="宋体" w:hAnsi="宋体" w:cs="宋体"/>
          <w:color w:val="auto"/>
          <w:szCs w:val="21"/>
        </w:rPr>
        <w:t>章）</w:t>
      </w:r>
    </w:p>
    <w:p w14:paraId="0A3DA67D">
      <w:pPr>
        <w:widowControl/>
        <w:wordWrap w:val="0"/>
        <w:spacing w:line="360" w:lineRule="auto"/>
        <w:ind w:firstLine="3150" w:firstLineChars="1500"/>
        <w:jc w:val="left"/>
        <w:rPr>
          <w:rFonts w:hint="eastAsia" w:ascii="宋体" w:hAnsi="宋体" w:eastAsia="宋体" w:cs="仿宋_GB2312"/>
          <w:color w:val="auto"/>
          <w:kern w:val="0"/>
          <w:sz w:val="21"/>
          <w:szCs w:val="21"/>
          <w:lang w:eastAsia="zh-CN"/>
        </w:rPr>
      </w:pPr>
      <w:r>
        <w:rPr>
          <w:rFonts w:hint="eastAsia" w:ascii="宋体" w:hAnsi="宋体" w:cs="仿宋_GB2312"/>
          <w:color w:val="auto"/>
          <w:kern w:val="0"/>
          <w:sz w:val="21"/>
          <w:szCs w:val="21"/>
        </w:rPr>
        <w:t>联系电话：</w:t>
      </w:r>
    </w:p>
    <w:p w14:paraId="607F676D">
      <w:pPr>
        <w:wordWrap w:val="0"/>
        <w:spacing w:line="480" w:lineRule="exact"/>
        <w:ind w:firstLine="5048" w:firstLineChars="2404"/>
        <w:rPr>
          <w:rFonts w:ascii="宋体" w:hAnsi="宋体"/>
          <w:color w:val="auto"/>
          <w:sz w:val="21"/>
          <w:szCs w:val="21"/>
          <w:u w:val="single"/>
        </w:rPr>
      </w:pPr>
      <w:r>
        <w:rPr>
          <w:rFonts w:hint="eastAsia" w:ascii="宋体" w:hAnsi="宋体"/>
          <w:color w:val="auto"/>
          <w:sz w:val="21"/>
          <w:szCs w:val="21"/>
        </w:rPr>
        <w:t>年</w:t>
      </w:r>
      <w:r>
        <w:rPr>
          <w:rFonts w:hint="eastAsia" w:ascii="宋体" w:hAnsi="宋体"/>
          <w:color w:val="auto"/>
          <w:sz w:val="21"/>
          <w:szCs w:val="21"/>
          <w:lang w:val="en-US" w:eastAsia="zh-CN"/>
        </w:rPr>
        <w:t xml:space="preserve">  </w:t>
      </w:r>
      <w:r>
        <w:rPr>
          <w:rFonts w:hint="eastAsia" w:ascii="宋体" w:hAnsi="宋体"/>
          <w:color w:val="auto"/>
          <w:sz w:val="21"/>
          <w:szCs w:val="21"/>
        </w:rPr>
        <w:t>月</w:t>
      </w:r>
      <w:r>
        <w:rPr>
          <w:rFonts w:hint="eastAsia" w:ascii="宋体" w:hAnsi="宋体"/>
          <w:color w:val="auto"/>
          <w:sz w:val="21"/>
          <w:szCs w:val="21"/>
          <w:lang w:val="en-US" w:eastAsia="zh-CN"/>
        </w:rPr>
        <w:t xml:space="preserve">  </w:t>
      </w:r>
      <w:r>
        <w:rPr>
          <w:rFonts w:hint="eastAsia" w:ascii="宋体" w:hAnsi="宋体"/>
          <w:color w:val="auto"/>
          <w:sz w:val="21"/>
          <w:szCs w:val="21"/>
        </w:rPr>
        <w:t>日</w:t>
      </w:r>
    </w:p>
    <w:p w14:paraId="4B31CD32">
      <w:pPr>
        <w:widowControl/>
        <w:wordWrap w:val="0"/>
        <w:ind w:firstLine="3240" w:firstLineChars="1350"/>
        <w:jc w:val="left"/>
        <w:rPr>
          <w:rFonts w:ascii="宋体" w:hAnsi="宋体" w:cs="仿宋_GB2312"/>
          <w:color w:val="auto"/>
          <w:kern w:val="0"/>
          <w:sz w:val="24"/>
        </w:rPr>
      </w:pPr>
    </w:p>
    <w:p w14:paraId="62591878">
      <w:pPr>
        <w:widowControl/>
        <w:wordWrap w:val="0"/>
        <w:spacing w:line="480" w:lineRule="exact"/>
        <w:jc w:val="center"/>
        <w:textAlignment w:val="center"/>
        <w:rPr>
          <w:rFonts w:ascii="宋体" w:hAnsi="宋体" w:cs="仿宋_GB2312"/>
          <w:b/>
          <w:color w:val="auto"/>
          <w:kern w:val="0"/>
          <w:sz w:val="24"/>
        </w:rPr>
      </w:pPr>
    </w:p>
    <w:p w14:paraId="253B3CF6">
      <w:pPr>
        <w:widowControl/>
        <w:wordWrap w:val="0"/>
        <w:spacing w:line="480" w:lineRule="exact"/>
        <w:jc w:val="center"/>
        <w:textAlignment w:val="center"/>
        <w:rPr>
          <w:rFonts w:ascii="宋体" w:hAnsi="宋体" w:cs="仿宋_GB2312"/>
          <w:b/>
          <w:color w:val="auto"/>
          <w:kern w:val="0"/>
          <w:sz w:val="24"/>
        </w:rPr>
      </w:pPr>
    </w:p>
    <w:bookmarkEnd w:id="896"/>
    <w:bookmarkEnd w:id="897"/>
    <w:p w14:paraId="63B43AF4">
      <w:pPr>
        <w:widowControl/>
        <w:wordWrap w:val="0"/>
        <w:jc w:val="center"/>
        <w:rPr>
          <w:rFonts w:ascii="宋体" w:hAnsi="宋体" w:cs="宋体"/>
          <w:b/>
          <w:iCs/>
          <w:color w:val="auto"/>
          <w:sz w:val="24"/>
        </w:rPr>
      </w:pPr>
      <w:r>
        <w:rPr>
          <w:rFonts w:ascii="宋体" w:hAnsi="宋体" w:cs="仿宋_GB2312"/>
          <w:color w:val="auto"/>
          <w:kern w:val="0"/>
          <w:sz w:val="24"/>
        </w:rPr>
        <w:br w:type="page"/>
      </w:r>
    </w:p>
    <w:p w14:paraId="052EBC8E">
      <w:pPr>
        <w:wordWrap w:val="0"/>
        <w:autoSpaceDE w:val="0"/>
        <w:autoSpaceDN w:val="0"/>
        <w:spacing w:before="30" w:line="480" w:lineRule="exact"/>
        <w:ind w:right="833"/>
        <w:jc w:val="center"/>
        <w:outlineLvl w:val="2"/>
        <w:rPr>
          <w:rFonts w:ascii="宋体" w:hAnsi="宋体" w:cs="宋体"/>
          <w:b/>
          <w:bCs/>
          <w:color w:val="auto"/>
          <w:kern w:val="0"/>
          <w:sz w:val="24"/>
          <w:lang w:val="zh-CN" w:bidi="zh-CN"/>
        </w:rPr>
      </w:pPr>
      <w:bookmarkStart w:id="901" w:name="_Toc204639289"/>
      <w:bookmarkStart w:id="902" w:name="_Toc160723023"/>
      <w:bookmarkStart w:id="903" w:name="_Toc204691621"/>
      <w:bookmarkStart w:id="904" w:name="_Toc180919767"/>
      <w:bookmarkStart w:id="905" w:name="_Toc204639081"/>
      <w:bookmarkStart w:id="906" w:name="_Toc191031471"/>
      <w:r>
        <w:rPr>
          <w:rFonts w:hint="eastAsia" w:ascii="宋体" w:hAnsi="宋体" w:cs="宋体"/>
          <w:b/>
          <w:bCs/>
          <w:color w:val="auto"/>
          <w:kern w:val="0"/>
          <w:sz w:val="24"/>
          <w:lang w:val="zh-CN" w:bidi="zh-CN"/>
        </w:rPr>
        <w:t>（三）</w:t>
      </w:r>
      <w:r>
        <w:rPr>
          <w:rFonts w:ascii="宋体" w:hAnsi="宋体" w:cs="宋体"/>
          <w:b/>
          <w:bCs/>
          <w:color w:val="auto"/>
          <w:kern w:val="0"/>
          <w:sz w:val="24"/>
          <w:lang w:val="zh-CN" w:bidi="zh-CN"/>
        </w:rPr>
        <w:t>投标人廉洁自律承诺书</w:t>
      </w:r>
      <w:bookmarkEnd w:id="901"/>
      <w:bookmarkEnd w:id="902"/>
      <w:bookmarkEnd w:id="903"/>
      <w:bookmarkEnd w:id="904"/>
      <w:bookmarkEnd w:id="905"/>
      <w:bookmarkEnd w:id="906"/>
    </w:p>
    <w:p w14:paraId="47A86783">
      <w:pPr>
        <w:tabs>
          <w:tab w:val="left" w:pos="7570"/>
        </w:tabs>
        <w:wordWrap w:val="0"/>
        <w:spacing w:after="120" w:line="480" w:lineRule="exact"/>
        <w:ind w:firstLine="420"/>
        <w:jc w:val="left"/>
        <w:rPr>
          <w:rFonts w:ascii="宋体" w:hAnsi="宋体"/>
          <w:color w:val="auto"/>
          <w:sz w:val="21"/>
          <w:szCs w:val="21"/>
        </w:rPr>
      </w:pPr>
    </w:p>
    <w:p w14:paraId="15D769FF">
      <w:pPr>
        <w:tabs>
          <w:tab w:val="left" w:pos="7570"/>
        </w:tabs>
        <w:wordWrap w:val="0"/>
        <w:spacing w:after="120" w:line="480" w:lineRule="exact"/>
        <w:ind w:firstLine="420"/>
        <w:jc w:val="left"/>
        <w:rPr>
          <w:rFonts w:ascii="宋体" w:hAnsi="宋体"/>
          <w:color w:val="auto"/>
          <w:kern w:val="0"/>
          <w:sz w:val="21"/>
          <w:szCs w:val="21"/>
        </w:rPr>
      </w:pPr>
      <w:r>
        <w:rPr>
          <w:rFonts w:ascii="宋体" w:hAnsi="宋体"/>
          <w:color w:val="auto"/>
          <w:sz w:val="21"/>
          <w:szCs w:val="21"/>
        </w:rPr>
        <w:t>为了保护国家利益、社会公共利益和公共资源交易当事人的合法权益，确保公共资源交易活动公平、公正、公开，我（单位）在</w:t>
      </w:r>
      <w:r>
        <w:rPr>
          <w:rFonts w:ascii="宋体" w:hAnsi="宋体"/>
          <w:color w:val="auto"/>
          <w:kern w:val="0"/>
          <w:sz w:val="21"/>
          <w:szCs w:val="21"/>
          <w:u w:val="single"/>
        </w:rPr>
        <w:tab/>
      </w:r>
      <w:r>
        <w:rPr>
          <w:rFonts w:ascii="宋体" w:hAnsi="宋体"/>
          <w:color w:val="auto"/>
          <w:kern w:val="0"/>
          <w:sz w:val="21"/>
          <w:szCs w:val="21"/>
        </w:rPr>
        <w:t>项目</w:t>
      </w:r>
      <w:r>
        <w:rPr>
          <w:rFonts w:ascii="宋体" w:hAnsi="宋体"/>
          <w:color w:val="auto"/>
          <w:spacing w:val="-14"/>
          <w:kern w:val="0"/>
          <w:sz w:val="21"/>
          <w:szCs w:val="21"/>
        </w:rPr>
        <w:t>交</w:t>
      </w:r>
      <w:r>
        <w:rPr>
          <w:rFonts w:ascii="宋体" w:hAnsi="宋体"/>
          <w:color w:val="auto"/>
          <w:kern w:val="0"/>
          <w:sz w:val="21"/>
          <w:szCs w:val="21"/>
        </w:rPr>
        <w:t>易活动中承诺如下事项：</w:t>
      </w:r>
    </w:p>
    <w:p w14:paraId="753A5F2F">
      <w:pPr>
        <w:wordWrap w:val="0"/>
        <w:spacing w:after="120" w:line="480" w:lineRule="exact"/>
        <w:ind w:firstLine="314"/>
        <w:jc w:val="left"/>
        <w:rPr>
          <w:rFonts w:ascii="宋体" w:hAnsi="宋体"/>
          <w:color w:val="auto"/>
          <w:kern w:val="0"/>
          <w:sz w:val="21"/>
          <w:szCs w:val="21"/>
        </w:rPr>
      </w:pPr>
      <w:r>
        <w:rPr>
          <w:rFonts w:ascii="宋体" w:hAnsi="宋体"/>
          <w:color w:val="auto"/>
          <w:w w:val="95"/>
          <w:kern w:val="0"/>
          <w:sz w:val="21"/>
          <w:szCs w:val="21"/>
        </w:rPr>
        <w:t>一、</w:t>
      </w:r>
      <w:r>
        <w:rPr>
          <w:rFonts w:ascii="宋体" w:hAnsi="宋体"/>
          <w:color w:val="auto"/>
          <w:kern w:val="0"/>
          <w:sz w:val="21"/>
          <w:szCs w:val="21"/>
        </w:rPr>
        <w:t>严格执行招投标、政府采购等各项法律、规章、制度、操作规程和办事程序，主动接受相关部门和社会的监督。</w:t>
      </w:r>
    </w:p>
    <w:p w14:paraId="59D3E3B8">
      <w:pPr>
        <w:wordWrap w:val="0"/>
        <w:spacing w:after="120" w:line="480" w:lineRule="exact"/>
        <w:ind w:firstLine="420"/>
        <w:jc w:val="left"/>
        <w:rPr>
          <w:rFonts w:ascii="宋体" w:hAnsi="宋体"/>
          <w:color w:val="auto"/>
          <w:kern w:val="0"/>
          <w:sz w:val="21"/>
          <w:szCs w:val="21"/>
        </w:rPr>
      </w:pPr>
      <w:r>
        <w:rPr>
          <w:rFonts w:ascii="宋体" w:hAnsi="宋体"/>
          <w:color w:val="auto"/>
          <w:w w:val="95"/>
          <w:kern w:val="0"/>
          <w:sz w:val="21"/>
          <w:szCs w:val="21"/>
        </w:rPr>
        <w:t>二、</w:t>
      </w:r>
      <w:r>
        <w:rPr>
          <w:rFonts w:ascii="宋体" w:hAnsi="宋体"/>
          <w:color w:val="auto"/>
          <w:kern w:val="0"/>
          <w:sz w:val="21"/>
          <w:szCs w:val="21"/>
        </w:rPr>
        <w:t>不与招标人、代理机构串通投标；不与其他投标人相互串通报价，不排挤其他投标人的公平竞争。</w:t>
      </w:r>
    </w:p>
    <w:p w14:paraId="73940F5B">
      <w:pPr>
        <w:wordWrap w:val="0"/>
        <w:spacing w:after="120" w:line="480" w:lineRule="exact"/>
        <w:ind w:firstLine="420"/>
        <w:jc w:val="left"/>
        <w:rPr>
          <w:rFonts w:ascii="宋体" w:hAnsi="宋体"/>
          <w:color w:val="auto"/>
          <w:kern w:val="0"/>
          <w:sz w:val="21"/>
          <w:szCs w:val="21"/>
        </w:rPr>
      </w:pPr>
      <w:r>
        <w:rPr>
          <w:rFonts w:ascii="宋体" w:hAnsi="宋体"/>
          <w:color w:val="auto"/>
          <w:w w:val="95"/>
          <w:kern w:val="0"/>
          <w:sz w:val="21"/>
          <w:szCs w:val="21"/>
        </w:rPr>
        <w:t>三、</w:t>
      </w:r>
      <w:r>
        <w:rPr>
          <w:rFonts w:ascii="宋体" w:hAnsi="宋体"/>
          <w:color w:val="auto"/>
          <w:kern w:val="0"/>
          <w:sz w:val="21"/>
          <w:szCs w:val="21"/>
        </w:rPr>
        <w:t>不向招标代理机构、评委和招标单位人员进行任何形式的商业贿赂以谋取交易、中标机会。</w:t>
      </w:r>
    </w:p>
    <w:p w14:paraId="64968EA0">
      <w:pPr>
        <w:wordWrap w:val="0"/>
        <w:spacing w:after="120" w:line="480" w:lineRule="exact"/>
        <w:ind w:firstLine="420"/>
        <w:jc w:val="left"/>
        <w:rPr>
          <w:rFonts w:ascii="宋体" w:hAnsi="宋体"/>
          <w:color w:val="auto"/>
          <w:kern w:val="0"/>
          <w:sz w:val="21"/>
          <w:szCs w:val="21"/>
        </w:rPr>
      </w:pPr>
      <w:r>
        <w:rPr>
          <w:rFonts w:ascii="宋体" w:hAnsi="宋体"/>
          <w:color w:val="auto"/>
          <w:kern w:val="0"/>
          <w:sz w:val="21"/>
          <w:szCs w:val="21"/>
        </w:rPr>
        <w:t>四、不以低于成本的报价竞标，不以他人名义投标或者以其他方式弄虚作假骗取投标、中标，不转包和违法分包。不以投诉为名排挤竞争对手，不进行虚假、恶意投诉，阻碍招标投标活动的正常进行。</w:t>
      </w:r>
    </w:p>
    <w:p w14:paraId="35439815">
      <w:pPr>
        <w:wordWrap w:val="0"/>
        <w:spacing w:after="120" w:line="480" w:lineRule="exact"/>
        <w:ind w:firstLine="420"/>
        <w:jc w:val="left"/>
        <w:rPr>
          <w:rFonts w:ascii="宋体" w:hAnsi="宋体"/>
          <w:color w:val="auto"/>
          <w:kern w:val="0"/>
          <w:sz w:val="21"/>
          <w:szCs w:val="21"/>
        </w:rPr>
      </w:pPr>
      <w:r>
        <w:rPr>
          <w:rFonts w:ascii="宋体" w:hAnsi="宋体"/>
          <w:color w:val="auto"/>
          <w:kern w:val="0"/>
          <w:sz w:val="21"/>
          <w:szCs w:val="21"/>
        </w:rPr>
        <w:t>五、中标后无正当理由，不得拒绝签订合同，不得擅自改变招标文件内容签订合同，不拒绝履行合同。</w:t>
      </w:r>
    </w:p>
    <w:p w14:paraId="34EEC1B9">
      <w:pPr>
        <w:wordWrap w:val="0"/>
        <w:spacing w:after="120" w:line="480" w:lineRule="exact"/>
        <w:ind w:firstLine="420"/>
        <w:jc w:val="left"/>
        <w:rPr>
          <w:rFonts w:ascii="宋体" w:hAnsi="宋体"/>
          <w:color w:val="auto"/>
          <w:kern w:val="0"/>
          <w:sz w:val="21"/>
          <w:szCs w:val="21"/>
        </w:rPr>
      </w:pPr>
      <w:r>
        <w:rPr>
          <w:rFonts w:ascii="宋体" w:hAnsi="宋体"/>
          <w:color w:val="auto"/>
          <w:kern w:val="0"/>
          <w:sz w:val="21"/>
          <w:szCs w:val="21"/>
        </w:rPr>
        <w:t>六、违反上述承诺或有其他违法违规行为，愿意没收投标保证金，并按照国家法律、法规和相应规章制度规定接受处罚。</w:t>
      </w:r>
    </w:p>
    <w:p w14:paraId="764DCBC1">
      <w:pPr>
        <w:tabs>
          <w:tab w:val="left" w:pos="7781"/>
          <w:tab w:val="left" w:pos="8304"/>
        </w:tabs>
        <w:wordWrap w:val="0"/>
        <w:spacing w:after="120" w:line="480" w:lineRule="exact"/>
        <w:ind w:left="4524" w:right="801" w:hanging="104"/>
        <w:jc w:val="left"/>
        <w:rPr>
          <w:rFonts w:ascii="宋体" w:hAnsi="宋体"/>
          <w:color w:val="auto"/>
          <w:kern w:val="0"/>
          <w:sz w:val="21"/>
          <w:szCs w:val="21"/>
        </w:rPr>
      </w:pPr>
    </w:p>
    <w:p w14:paraId="5008C8CD">
      <w:pPr>
        <w:wordWrap w:val="0"/>
        <w:spacing w:line="480" w:lineRule="exact"/>
        <w:ind w:right="480"/>
        <w:jc w:val="right"/>
        <w:rPr>
          <w:rFonts w:ascii="宋体" w:hAnsi="宋体"/>
          <w:color w:val="auto"/>
          <w:sz w:val="21"/>
          <w:szCs w:val="21"/>
        </w:rPr>
      </w:pPr>
      <w:r>
        <w:rPr>
          <w:rFonts w:hint="eastAsia" w:ascii="宋体" w:hAnsi="宋体"/>
          <w:color w:val="auto"/>
          <w:sz w:val="21"/>
          <w:szCs w:val="21"/>
        </w:rPr>
        <w:t>投标人：</w:t>
      </w:r>
      <w:r>
        <w:rPr>
          <w:rFonts w:hint="eastAsia" w:ascii="宋体" w:hAnsi="宋体" w:cs="宋体"/>
          <w:bCs/>
          <w:color w:val="auto"/>
          <w:kern w:val="0"/>
          <w:sz w:val="21"/>
          <w:szCs w:val="21"/>
        </w:rPr>
        <w:t>（</w:t>
      </w:r>
      <w:r>
        <w:rPr>
          <w:rFonts w:hint="eastAsia" w:ascii="宋体" w:hAnsi="宋体" w:cs="宋体"/>
          <w:color w:val="auto"/>
          <w:szCs w:val="21"/>
        </w:rPr>
        <w:t>盖电子公章</w:t>
      </w:r>
      <w:r>
        <w:rPr>
          <w:rFonts w:hint="eastAsia" w:ascii="宋体" w:hAnsi="宋体" w:cs="宋体"/>
          <w:bCs/>
          <w:color w:val="auto"/>
          <w:kern w:val="0"/>
          <w:sz w:val="21"/>
          <w:szCs w:val="21"/>
        </w:rPr>
        <w:t>）</w:t>
      </w:r>
    </w:p>
    <w:p w14:paraId="5550583B">
      <w:pPr>
        <w:wordWrap w:val="0"/>
        <w:spacing w:line="480" w:lineRule="exact"/>
        <w:jc w:val="right"/>
        <w:rPr>
          <w:rFonts w:ascii="宋体" w:hAnsi="宋体"/>
          <w:color w:val="auto"/>
          <w:sz w:val="21"/>
          <w:szCs w:val="21"/>
        </w:rPr>
      </w:pPr>
      <w:r>
        <w:rPr>
          <w:rFonts w:hint="eastAsia" w:ascii="宋体" w:hAnsi="宋体"/>
          <w:color w:val="auto"/>
          <w:sz w:val="21"/>
          <w:szCs w:val="21"/>
        </w:rPr>
        <w:t>法定代表人：（法人签章）</w:t>
      </w:r>
    </w:p>
    <w:p w14:paraId="721347F4">
      <w:pPr>
        <w:wordWrap w:val="0"/>
        <w:adjustRightInd w:val="0"/>
        <w:snapToGrid w:val="0"/>
        <w:spacing w:afterLines="50" w:line="480" w:lineRule="exact"/>
        <w:ind w:right="420"/>
        <w:jc w:val="right"/>
        <w:rPr>
          <w:rFonts w:ascii="宋体" w:hAnsi="宋体"/>
          <w:color w:val="auto"/>
          <w:sz w:val="21"/>
          <w:szCs w:val="21"/>
        </w:rPr>
      </w:pPr>
      <w:r>
        <w:rPr>
          <w:rFonts w:hint="eastAsia" w:ascii="宋体" w:hAnsi="宋体"/>
          <w:color w:val="auto"/>
          <w:sz w:val="21"/>
          <w:szCs w:val="21"/>
        </w:rPr>
        <w:t>年</w:t>
      </w:r>
      <w:r>
        <w:rPr>
          <w:rFonts w:hint="eastAsia" w:ascii="宋体" w:hAnsi="宋体"/>
          <w:color w:val="auto"/>
          <w:sz w:val="21"/>
          <w:szCs w:val="21"/>
          <w:lang w:val="en-US" w:eastAsia="zh-CN"/>
        </w:rPr>
        <w:t xml:space="preserve">  </w:t>
      </w:r>
      <w:r>
        <w:rPr>
          <w:rFonts w:hint="eastAsia" w:ascii="宋体" w:hAnsi="宋体"/>
          <w:color w:val="auto"/>
          <w:sz w:val="21"/>
          <w:szCs w:val="21"/>
        </w:rPr>
        <w:t>月</w:t>
      </w:r>
      <w:r>
        <w:rPr>
          <w:rFonts w:hint="eastAsia" w:ascii="宋体" w:hAnsi="宋体"/>
          <w:color w:val="auto"/>
          <w:sz w:val="21"/>
          <w:szCs w:val="21"/>
          <w:lang w:val="en-US" w:eastAsia="zh-CN"/>
        </w:rPr>
        <w:t xml:space="preserve">  </w:t>
      </w:r>
      <w:r>
        <w:rPr>
          <w:rFonts w:hint="eastAsia" w:ascii="宋体" w:hAnsi="宋体"/>
          <w:color w:val="auto"/>
          <w:sz w:val="21"/>
          <w:szCs w:val="21"/>
        </w:rPr>
        <w:t>日</w:t>
      </w:r>
    </w:p>
    <w:p w14:paraId="2D32AAE2">
      <w:pPr>
        <w:widowControl/>
        <w:jc w:val="left"/>
        <w:rPr>
          <w:rFonts w:ascii="宋体" w:hAnsi="宋体"/>
          <w:color w:val="auto"/>
          <w:sz w:val="24"/>
        </w:rPr>
      </w:pPr>
      <w:r>
        <w:rPr>
          <w:rFonts w:ascii="宋体" w:hAnsi="宋体"/>
          <w:color w:val="auto"/>
          <w:sz w:val="24"/>
        </w:rPr>
        <w:br w:type="page"/>
      </w:r>
    </w:p>
    <w:p w14:paraId="333C1157">
      <w:pPr>
        <w:wordWrap w:val="0"/>
        <w:adjustRightInd w:val="0"/>
        <w:snapToGrid w:val="0"/>
        <w:spacing w:afterLines="50" w:line="480" w:lineRule="exact"/>
        <w:ind w:right="420"/>
        <w:jc w:val="center"/>
        <w:rPr>
          <w:rFonts w:hint="default" w:ascii="宋体" w:hAnsi="宋体" w:eastAsia="宋体"/>
          <w:color w:val="auto"/>
          <w:sz w:val="24"/>
          <w:lang w:val="en-US" w:eastAsia="zh-CN"/>
        </w:rPr>
      </w:pPr>
      <w:r>
        <w:rPr>
          <w:rFonts w:hint="eastAsia" w:ascii="宋体" w:hAnsi="宋体" w:cs="宋体"/>
          <w:b/>
          <w:bCs/>
          <w:color w:val="auto"/>
          <w:kern w:val="0"/>
          <w:sz w:val="24"/>
          <w:lang w:val="zh-CN" w:eastAsia="zh-CN" w:bidi="zh-CN"/>
        </w:rPr>
        <w:t>（</w:t>
      </w:r>
      <w:r>
        <w:rPr>
          <w:rFonts w:hint="eastAsia" w:ascii="宋体" w:hAnsi="宋体" w:cs="宋体"/>
          <w:b/>
          <w:bCs/>
          <w:color w:val="auto"/>
          <w:kern w:val="0"/>
          <w:sz w:val="24"/>
          <w:lang w:val="en-US" w:eastAsia="zh-CN" w:bidi="zh-CN"/>
        </w:rPr>
        <w:t>四）</w:t>
      </w:r>
      <w:r>
        <w:rPr>
          <w:rFonts w:hint="eastAsia" w:ascii="宋体" w:hAnsi="宋体" w:cs="宋体"/>
          <w:b/>
          <w:bCs/>
          <w:color w:val="auto"/>
          <w:kern w:val="0"/>
          <w:sz w:val="24"/>
          <w:lang w:val="zh-CN" w:bidi="zh-CN"/>
        </w:rPr>
        <w:t>其他资料</w:t>
      </w:r>
    </w:p>
    <w:p w14:paraId="056EE553">
      <w:pPr>
        <w:spacing w:line="360" w:lineRule="auto"/>
        <w:rPr>
          <w:rFonts w:ascii="宋体" w:hAnsi="宋体" w:cs="宋体"/>
          <w:color w:val="auto"/>
        </w:rPr>
      </w:pPr>
      <w:r>
        <w:rPr>
          <w:rFonts w:hint="eastAsia" w:ascii="宋体" w:hAnsi="宋体" w:cs="宋体"/>
          <w:color w:val="auto"/>
        </w:rPr>
        <w:t>投标人认为需要提交的其他资料</w:t>
      </w:r>
      <w:r>
        <w:rPr>
          <w:rFonts w:ascii="宋体" w:hAnsi="宋体" w:cs="宋体"/>
          <w:color w:val="auto"/>
        </w:rPr>
        <w:t>…</w:t>
      </w:r>
      <w:r>
        <w:rPr>
          <w:rFonts w:hint="eastAsia" w:ascii="宋体" w:hAnsi="宋体" w:cs="宋体"/>
          <w:color w:val="auto"/>
        </w:rPr>
        <w:t>.</w:t>
      </w:r>
    </w:p>
    <w:p w14:paraId="3C746A0A">
      <w:pPr>
        <w:spacing w:line="360" w:lineRule="auto"/>
        <w:rPr>
          <w:rFonts w:ascii="宋体" w:hAnsi="宋体" w:cs="宋体"/>
          <w:color w:val="auto"/>
          <w:sz w:val="24"/>
        </w:rPr>
      </w:pPr>
    </w:p>
    <w:p w14:paraId="077FC51B">
      <w:pPr>
        <w:spacing w:line="360" w:lineRule="auto"/>
        <w:rPr>
          <w:rFonts w:ascii="宋体" w:hAnsi="宋体" w:cs="宋体"/>
          <w:color w:val="auto"/>
        </w:rPr>
      </w:pPr>
    </w:p>
    <w:p w14:paraId="08A9FBAE">
      <w:pPr>
        <w:pStyle w:val="8"/>
        <w:spacing w:line="360" w:lineRule="auto"/>
        <w:rPr>
          <w:color w:val="auto"/>
        </w:rPr>
      </w:pP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1396C">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87E01">
    <w:pPr>
      <w:pStyle w:val="13"/>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73BD79">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773BD79">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2529B">
    <w:pPr>
      <w:pBdr>
        <w:top w:val="single" w:color="auto" w:sz="4" w:space="1"/>
      </w:pBdr>
      <w:tabs>
        <w:tab w:val="center" w:pos="4819"/>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0A001E">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lEV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npRFaNwIAAG8EAAAOAAAAAAAAAAEAIAAAAB8BAABkcnMvZTJvRG9jLnht&#10;bFBLBQYAAAAABgAGAFkBAADIBQAAAAA=&#10;">
              <v:fill on="f" focussize="0,0"/>
              <v:stroke on="f" weight="0.5pt"/>
              <v:imagedata o:title=""/>
              <o:lock v:ext="edit" aspectratio="f"/>
              <v:textbox inset="0mm,0mm,0mm,0mm" style="mso-fit-shape-to-text:t;">
                <w:txbxContent>
                  <w:p w14:paraId="520A001E">
                    <w:pPr>
                      <w:pStyle w:val="13"/>
                    </w:pPr>
                    <w:r>
                      <w:fldChar w:fldCharType="begin"/>
                    </w:r>
                    <w:r>
                      <w:instrText xml:space="preserve"> PAGE  \* MERGEFORMAT </w:instrText>
                    </w:r>
                    <w:r>
                      <w:fldChar w:fldCharType="separate"/>
                    </w:r>
                    <w:r>
                      <w:t>20</w:t>
                    </w:r>
                    <w:r>
                      <w:fldChar w:fldCharType="end"/>
                    </w:r>
                  </w:p>
                </w:txbxContent>
              </v:textbox>
            </v:shape>
          </w:pict>
        </mc:Fallback>
      </mc:AlternateContent>
    </w:r>
    <w:r>
      <w:rPr>
        <w:sz w:val="18"/>
        <w:szCs w:val="18"/>
      </w:rPr>
      <mc:AlternateContent>
        <mc:Choice Requires="wps">
          <w:drawing>
            <wp:anchor distT="0" distB="0" distL="114300" distR="114300" simplePos="0" relativeHeight="251661312" behindDoc="0" locked="0" layoutInCell="1" allowOverlap="1">
              <wp:simplePos x="0" y="0"/>
              <wp:positionH relativeFrom="margin">
                <wp:posOffset>3614420</wp:posOffset>
              </wp:positionH>
              <wp:positionV relativeFrom="paragraph">
                <wp:posOffset>96520</wp:posOffset>
              </wp:positionV>
              <wp:extent cx="114935" cy="131445"/>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6B500B">
                          <w:pPr>
                            <w:rPr>
                              <w:kern w:val="0"/>
                              <w:sz w:val="20"/>
                              <w:szCs w:val="20"/>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left:284.6pt;margin-top:7.6pt;height:10.35pt;width:9.05pt;mso-position-horizontal-relative:margin;mso-wrap-style:none;z-index:251661312;mso-width-relative:page;mso-height-relative:page;" filled="f" stroked="f" coordsize="21600,21600" o:gfxdata="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dJWjptcAAAAJAQAADwAAAAAAAAABACAAAAAiAAAAZHJzL2Rvd25y&#10;ZXYueG1sUEsBAhQAFAAAAAgAh07iQJz/qz84AgAAbwQAAA4AAAAAAAAAAQAgAAAAJgEAAGRycy9l&#10;Mm9Eb2MueG1sUEsFBgAAAAAGAAYAWQEAANAFAAAAAA==&#10;">
              <v:fill on="f" focussize="0,0"/>
              <v:stroke on="f" weight="0.5pt"/>
              <v:imagedata o:title=""/>
              <o:lock v:ext="edit" aspectratio="f"/>
              <v:textbox inset="0mm,0mm,0mm,0mm" style="mso-fit-shape-to-text:t;">
                <w:txbxContent>
                  <w:p w14:paraId="486B500B">
                    <w:pPr>
                      <w:rPr>
                        <w:kern w:val="0"/>
                        <w:sz w:val="20"/>
                        <w:szCs w:val="20"/>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5A4F0">
    <w:pPr>
      <w:pStyle w:val="1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EBF634">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1EAA4AgAAbw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lXUQADgCAABvBAAADgAAAAAAAAABACAAAAAfAQAAZHJzL2Uyb0RvYy54&#10;bWxQSwUGAAAAAAYABgBZAQAAyQUAAAAA&#10;">
              <v:fill on="f" focussize="0,0"/>
              <v:stroke on="f" weight="0.5pt"/>
              <v:imagedata o:title=""/>
              <o:lock v:ext="edit" aspectratio="f"/>
              <v:textbox inset="0mm,0mm,0mm,0mm" style="mso-fit-shape-to-text:t;">
                <w:txbxContent>
                  <w:p w14:paraId="6EEBF634">
                    <w:pPr>
                      <w:pStyle w:val="1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2E60">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A2580">
                          <w:pPr>
                            <w:pStyle w:val="13"/>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8A2580">
                    <w:pPr>
                      <w:pStyle w:val="13"/>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11C28">
    <w:pPr>
      <w:spacing w:line="169" w:lineRule="auto"/>
      <w:ind w:left="4334"/>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74320" cy="211455"/>
              <wp:effectExtent l="0" t="0" r="0" b="0"/>
              <wp:wrapNone/>
              <wp:docPr id="4" name="文本框 1"/>
              <wp:cNvGraphicFramePr/>
              <a:graphic xmlns:a="http://schemas.openxmlformats.org/drawingml/2006/main">
                <a:graphicData uri="http://schemas.microsoft.com/office/word/2010/wordprocessingShape">
                  <wps:wsp>
                    <wps:cNvSpPr txBox="1"/>
                    <wps:spPr>
                      <a:xfrm>
                        <a:off x="0" y="0"/>
                        <a:ext cx="274320" cy="211455"/>
                      </a:xfrm>
                      <a:prstGeom prst="rect">
                        <a:avLst/>
                      </a:prstGeom>
                      <a:noFill/>
                      <a:ln w="6350">
                        <a:noFill/>
                      </a:ln>
                    </wps:spPr>
                    <wps:txbx>
                      <w:txbxContent>
                        <w:p w14:paraId="1498A788">
                          <w:pPr>
                            <w:pStyle w:val="13"/>
                          </w:pPr>
                          <w:r>
                            <w:fldChar w:fldCharType="begin"/>
                          </w:r>
                          <w:r>
                            <w:instrText xml:space="preserve"> PAGE  \* MERGEFORMAT </w:instrText>
                          </w:r>
                          <w:r>
                            <w:fldChar w:fldCharType="separate"/>
                          </w:r>
                          <w:r>
                            <w:t>107</w:t>
                          </w:r>
                          <w:r>
                            <w:fldChar w:fldCharType="end"/>
                          </w:r>
                        </w:p>
                      </w:txbxContent>
                    </wps:txbx>
                    <wps:bodyPr lIns="0" tIns="0" rIns="0" bIns="0" upright="1"/>
                  </wps:wsp>
                </a:graphicData>
              </a:graphic>
            </wp:anchor>
          </w:drawing>
        </mc:Choice>
        <mc:Fallback>
          <w:pict>
            <v:shape id="文本框 1" o:spid="_x0000_s1026" o:spt="202" type="#_x0000_t202" style="position:absolute;left:0pt;margin-top:0pt;height:16.65pt;width:21.6pt;mso-position-horizontal:center;mso-position-horizontal-relative:margin;z-index:251660288;mso-width-relative:page;mso-height-relative:page;" filled="f" stroked="f" coordsize="21600,21600" o:gfxdata="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ZWKptMAAAADAQAADwAAAAAAAAABACAAAAAiAAAAZHJzL2Rvd25yZXYueG1sUEsB&#10;AhQAFAAAAAgAh07iQP0zL3vBAQAAegMAAA4AAAAAAAAAAQAgAAAAIgEAAGRycy9lMm9Eb2MueG1s&#10;UEsFBgAAAAAGAAYAWQEAAFUFAAAAAA==&#10;">
              <v:fill on="f" focussize="0,0"/>
              <v:stroke on="f" weight="0.5pt"/>
              <v:imagedata o:title=""/>
              <o:lock v:ext="edit" aspectratio="f"/>
              <v:textbox inset="0mm,0mm,0mm,0mm">
                <w:txbxContent>
                  <w:p w14:paraId="1498A788">
                    <w:pPr>
                      <w:pStyle w:val="13"/>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92AF1">
    <w:pPr>
      <w:pStyle w:val="16"/>
      <w:pBdr>
        <w:bottom w:val="none" w:color="auto" w:sz="0" w:space="1"/>
      </w:pBdr>
      <w:tabs>
        <w:tab w:val="left" w:pos="4880"/>
        <w:tab w:val="clear" w:pos="4153"/>
      </w:tabs>
      <w:jc w:val="both"/>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2734C"/>
    <w:multiLevelType w:val="singleLevel"/>
    <w:tmpl w:val="94B2734C"/>
    <w:lvl w:ilvl="0" w:tentative="0">
      <w:start w:val="5"/>
      <w:numFmt w:val="decimal"/>
      <w:suff w:val="nothing"/>
      <w:lvlText w:val="%1、"/>
      <w:lvlJc w:val="left"/>
    </w:lvl>
  </w:abstractNum>
  <w:abstractNum w:abstractNumId="1">
    <w:nsid w:val="95C51BCB"/>
    <w:multiLevelType w:val="singleLevel"/>
    <w:tmpl w:val="95C51BCB"/>
    <w:lvl w:ilvl="0" w:tentative="0">
      <w:start w:val="1"/>
      <w:numFmt w:val="decimal"/>
      <w:suff w:val="nothing"/>
      <w:lvlText w:val="（%1）"/>
      <w:lvlJc w:val="left"/>
    </w:lvl>
  </w:abstractNum>
  <w:abstractNum w:abstractNumId="2">
    <w:nsid w:val="A51C22B6"/>
    <w:multiLevelType w:val="singleLevel"/>
    <w:tmpl w:val="A51C22B6"/>
    <w:lvl w:ilvl="0" w:tentative="0">
      <w:start w:val="2"/>
      <w:numFmt w:val="chineseCounting"/>
      <w:suff w:val="nothing"/>
      <w:lvlText w:val="（%1）"/>
      <w:lvlJc w:val="left"/>
      <w:pPr>
        <w:ind w:left="0" w:firstLine="0"/>
      </w:pPr>
    </w:lvl>
  </w:abstractNum>
  <w:abstractNum w:abstractNumId="3">
    <w:nsid w:val="0053208E"/>
    <w:multiLevelType w:val="multilevel"/>
    <w:tmpl w:val="0053208E"/>
    <w:lvl w:ilvl="0" w:tentative="0">
      <w:start w:val="1"/>
      <w:numFmt w:val="chineseCountingThousand"/>
      <w:pStyle w:val="37"/>
      <w:lvlText w:val="第%1章　"/>
      <w:lvlJc w:val="left"/>
      <w:pPr>
        <w:tabs>
          <w:tab w:val="left" w:pos="1440"/>
        </w:tabs>
        <w:ind w:left="720" w:hanging="720"/>
      </w:pPr>
      <w:rPr>
        <w:rFonts w:hint="eastAsia"/>
        <w:sz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3C09771"/>
    <w:multiLevelType w:val="multilevel"/>
    <w:tmpl w:val="23C09771"/>
    <w:lvl w:ilvl="0" w:tentative="0">
      <w:start w:val="1"/>
      <w:numFmt w:val="decimal"/>
      <w:lvlText w:val="%1．"/>
      <w:lvlJc w:val="left"/>
      <w:pPr>
        <w:tabs>
          <w:tab w:val="left" w:pos="825"/>
        </w:tabs>
        <w:ind w:left="332" w:hanging="227"/>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0"/>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D4E"/>
    <w:rsid w:val="000051F4"/>
    <w:rsid w:val="0002494F"/>
    <w:rsid w:val="000419E4"/>
    <w:rsid w:val="00050C3D"/>
    <w:rsid w:val="0006458B"/>
    <w:rsid w:val="00092850"/>
    <w:rsid w:val="00094F31"/>
    <w:rsid w:val="000B7D28"/>
    <w:rsid w:val="001111EE"/>
    <w:rsid w:val="0011677D"/>
    <w:rsid w:val="00135135"/>
    <w:rsid w:val="0014007E"/>
    <w:rsid w:val="0015034D"/>
    <w:rsid w:val="0016311F"/>
    <w:rsid w:val="00163D8D"/>
    <w:rsid w:val="00172A27"/>
    <w:rsid w:val="001801A4"/>
    <w:rsid w:val="00191A17"/>
    <w:rsid w:val="001C37E2"/>
    <w:rsid w:val="001D4253"/>
    <w:rsid w:val="002216EA"/>
    <w:rsid w:val="002235CA"/>
    <w:rsid w:val="00225378"/>
    <w:rsid w:val="00234AE6"/>
    <w:rsid w:val="00250921"/>
    <w:rsid w:val="00254963"/>
    <w:rsid w:val="00265091"/>
    <w:rsid w:val="002D503A"/>
    <w:rsid w:val="002E478E"/>
    <w:rsid w:val="003015B6"/>
    <w:rsid w:val="00305605"/>
    <w:rsid w:val="00324A58"/>
    <w:rsid w:val="00340F7E"/>
    <w:rsid w:val="00344402"/>
    <w:rsid w:val="0035507A"/>
    <w:rsid w:val="00357311"/>
    <w:rsid w:val="00363C7A"/>
    <w:rsid w:val="00374D6B"/>
    <w:rsid w:val="003831F6"/>
    <w:rsid w:val="0038725C"/>
    <w:rsid w:val="003A277C"/>
    <w:rsid w:val="003B03EA"/>
    <w:rsid w:val="003B269C"/>
    <w:rsid w:val="003C7EDE"/>
    <w:rsid w:val="003D0404"/>
    <w:rsid w:val="003F0F6F"/>
    <w:rsid w:val="003F4C5A"/>
    <w:rsid w:val="0042151A"/>
    <w:rsid w:val="00422AC8"/>
    <w:rsid w:val="004353F4"/>
    <w:rsid w:val="00475C97"/>
    <w:rsid w:val="00481283"/>
    <w:rsid w:val="004812C4"/>
    <w:rsid w:val="0048341C"/>
    <w:rsid w:val="004854D8"/>
    <w:rsid w:val="00487450"/>
    <w:rsid w:val="004A3849"/>
    <w:rsid w:val="004B3CE5"/>
    <w:rsid w:val="004C1B9C"/>
    <w:rsid w:val="004E3B95"/>
    <w:rsid w:val="004E43BF"/>
    <w:rsid w:val="00535E7A"/>
    <w:rsid w:val="005648D3"/>
    <w:rsid w:val="00571A91"/>
    <w:rsid w:val="005835BF"/>
    <w:rsid w:val="005924C7"/>
    <w:rsid w:val="005A0B01"/>
    <w:rsid w:val="005B21E2"/>
    <w:rsid w:val="005B3702"/>
    <w:rsid w:val="005B582C"/>
    <w:rsid w:val="005C437C"/>
    <w:rsid w:val="005D1629"/>
    <w:rsid w:val="005D2854"/>
    <w:rsid w:val="005D7DAB"/>
    <w:rsid w:val="005E6C5F"/>
    <w:rsid w:val="00667B66"/>
    <w:rsid w:val="00670172"/>
    <w:rsid w:val="00677782"/>
    <w:rsid w:val="00686AF5"/>
    <w:rsid w:val="00690ED0"/>
    <w:rsid w:val="00693457"/>
    <w:rsid w:val="006A56FF"/>
    <w:rsid w:val="006B0FA3"/>
    <w:rsid w:val="006F3324"/>
    <w:rsid w:val="00723B4C"/>
    <w:rsid w:val="00733510"/>
    <w:rsid w:val="00741E15"/>
    <w:rsid w:val="00751236"/>
    <w:rsid w:val="00767D45"/>
    <w:rsid w:val="007736C3"/>
    <w:rsid w:val="00774F06"/>
    <w:rsid w:val="00781983"/>
    <w:rsid w:val="007858B6"/>
    <w:rsid w:val="007C14EB"/>
    <w:rsid w:val="007C6A32"/>
    <w:rsid w:val="007D5FDF"/>
    <w:rsid w:val="007F62EE"/>
    <w:rsid w:val="00801FD2"/>
    <w:rsid w:val="0081508A"/>
    <w:rsid w:val="00827B70"/>
    <w:rsid w:val="008338A2"/>
    <w:rsid w:val="008344E7"/>
    <w:rsid w:val="00852BE6"/>
    <w:rsid w:val="00852ED9"/>
    <w:rsid w:val="008646C7"/>
    <w:rsid w:val="00870B25"/>
    <w:rsid w:val="00885AF7"/>
    <w:rsid w:val="008B105B"/>
    <w:rsid w:val="008F6BE0"/>
    <w:rsid w:val="008F7A80"/>
    <w:rsid w:val="00906786"/>
    <w:rsid w:val="00911719"/>
    <w:rsid w:val="00925A06"/>
    <w:rsid w:val="00932281"/>
    <w:rsid w:val="0094110A"/>
    <w:rsid w:val="009A38A6"/>
    <w:rsid w:val="009C337D"/>
    <w:rsid w:val="00A423AF"/>
    <w:rsid w:val="00A47BF3"/>
    <w:rsid w:val="00A47FA6"/>
    <w:rsid w:val="00A52F0B"/>
    <w:rsid w:val="00A961CC"/>
    <w:rsid w:val="00B11AC5"/>
    <w:rsid w:val="00B16447"/>
    <w:rsid w:val="00B20233"/>
    <w:rsid w:val="00B26129"/>
    <w:rsid w:val="00B349DF"/>
    <w:rsid w:val="00B561ED"/>
    <w:rsid w:val="00B67A63"/>
    <w:rsid w:val="00B729C9"/>
    <w:rsid w:val="00BB051E"/>
    <w:rsid w:val="00BD1CE3"/>
    <w:rsid w:val="00BE1A68"/>
    <w:rsid w:val="00BF1F28"/>
    <w:rsid w:val="00C211B2"/>
    <w:rsid w:val="00C22778"/>
    <w:rsid w:val="00C33494"/>
    <w:rsid w:val="00C36A92"/>
    <w:rsid w:val="00C45F32"/>
    <w:rsid w:val="00C577CB"/>
    <w:rsid w:val="00C65AB7"/>
    <w:rsid w:val="00C7201E"/>
    <w:rsid w:val="00C733E1"/>
    <w:rsid w:val="00C76835"/>
    <w:rsid w:val="00C8173B"/>
    <w:rsid w:val="00C94B81"/>
    <w:rsid w:val="00CB4B24"/>
    <w:rsid w:val="00CC62A2"/>
    <w:rsid w:val="00CC6326"/>
    <w:rsid w:val="00CD00DC"/>
    <w:rsid w:val="00D36353"/>
    <w:rsid w:val="00D600B5"/>
    <w:rsid w:val="00D63A99"/>
    <w:rsid w:val="00D91385"/>
    <w:rsid w:val="00DC30DD"/>
    <w:rsid w:val="00DD563B"/>
    <w:rsid w:val="00DE2591"/>
    <w:rsid w:val="00DF6003"/>
    <w:rsid w:val="00E04C69"/>
    <w:rsid w:val="00E10AA4"/>
    <w:rsid w:val="00E1611F"/>
    <w:rsid w:val="00E32219"/>
    <w:rsid w:val="00E33849"/>
    <w:rsid w:val="00E33E9D"/>
    <w:rsid w:val="00EA40E8"/>
    <w:rsid w:val="00EA5C2A"/>
    <w:rsid w:val="00EB6183"/>
    <w:rsid w:val="00EC26F6"/>
    <w:rsid w:val="00EC66CC"/>
    <w:rsid w:val="00EE11F5"/>
    <w:rsid w:val="00EE282F"/>
    <w:rsid w:val="00EE7F40"/>
    <w:rsid w:val="00F06BEB"/>
    <w:rsid w:val="00F260CE"/>
    <w:rsid w:val="00F33CD9"/>
    <w:rsid w:val="00F34427"/>
    <w:rsid w:val="00F354F9"/>
    <w:rsid w:val="00F35D3B"/>
    <w:rsid w:val="00F36398"/>
    <w:rsid w:val="00F36DE0"/>
    <w:rsid w:val="00F73A93"/>
    <w:rsid w:val="00F7505B"/>
    <w:rsid w:val="00F76C70"/>
    <w:rsid w:val="00F83BC4"/>
    <w:rsid w:val="00F846DE"/>
    <w:rsid w:val="00FB611E"/>
    <w:rsid w:val="00FC03E7"/>
    <w:rsid w:val="01097591"/>
    <w:rsid w:val="01141CCC"/>
    <w:rsid w:val="01260E98"/>
    <w:rsid w:val="016814B1"/>
    <w:rsid w:val="017641DF"/>
    <w:rsid w:val="01C81F50"/>
    <w:rsid w:val="01EE5E5A"/>
    <w:rsid w:val="0205194E"/>
    <w:rsid w:val="020E3E06"/>
    <w:rsid w:val="023575E5"/>
    <w:rsid w:val="024E68F9"/>
    <w:rsid w:val="026236B3"/>
    <w:rsid w:val="02707155"/>
    <w:rsid w:val="02787C0D"/>
    <w:rsid w:val="027F4844"/>
    <w:rsid w:val="029E162E"/>
    <w:rsid w:val="02AB3D4B"/>
    <w:rsid w:val="02B521B4"/>
    <w:rsid w:val="02BD75DA"/>
    <w:rsid w:val="02C80459"/>
    <w:rsid w:val="02CB7F49"/>
    <w:rsid w:val="036F6B27"/>
    <w:rsid w:val="03A16947"/>
    <w:rsid w:val="04117BDE"/>
    <w:rsid w:val="043B0914"/>
    <w:rsid w:val="046C3066"/>
    <w:rsid w:val="04842AA6"/>
    <w:rsid w:val="048D195A"/>
    <w:rsid w:val="04912ACD"/>
    <w:rsid w:val="04AE7B23"/>
    <w:rsid w:val="04B30C95"/>
    <w:rsid w:val="04B844FD"/>
    <w:rsid w:val="04CB6B5E"/>
    <w:rsid w:val="04EC63C7"/>
    <w:rsid w:val="058645FB"/>
    <w:rsid w:val="05E25CD6"/>
    <w:rsid w:val="06085010"/>
    <w:rsid w:val="063B3638"/>
    <w:rsid w:val="064A387B"/>
    <w:rsid w:val="0673611E"/>
    <w:rsid w:val="069F5975"/>
    <w:rsid w:val="06D3561E"/>
    <w:rsid w:val="06F1581B"/>
    <w:rsid w:val="06F76D0A"/>
    <w:rsid w:val="07084B8A"/>
    <w:rsid w:val="071D689A"/>
    <w:rsid w:val="07373DFF"/>
    <w:rsid w:val="0781151E"/>
    <w:rsid w:val="078D7EC3"/>
    <w:rsid w:val="07B62F76"/>
    <w:rsid w:val="07B74F40"/>
    <w:rsid w:val="07C35693"/>
    <w:rsid w:val="07C733D5"/>
    <w:rsid w:val="08000695"/>
    <w:rsid w:val="08220AE3"/>
    <w:rsid w:val="086329D2"/>
    <w:rsid w:val="08E51639"/>
    <w:rsid w:val="08FA3AA8"/>
    <w:rsid w:val="09075084"/>
    <w:rsid w:val="09385C0D"/>
    <w:rsid w:val="095311BC"/>
    <w:rsid w:val="09750C0F"/>
    <w:rsid w:val="098F7F23"/>
    <w:rsid w:val="0993046C"/>
    <w:rsid w:val="09AD65FB"/>
    <w:rsid w:val="09C53944"/>
    <w:rsid w:val="09CF031F"/>
    <w:rsid w:val="09F4422A"/>
    <w:rsid w:val="09FC6C3A"/>
    <w:rsid w:val="0A026946"/>
    <w:rsid w:val="0A115D4C"/>
    <w:rsid w:val="0A252635"/>
    <w:rsid w:val="0A3B7763"/>
    <w:rsid w:val="0A3E36F7"/>
    <w:rsid w:val="0A4C1970"/>
    <w:rsid w:val="0A573575"/>
    <w:rsid w:val="0A83110A"/>
    <w:rsid w:val="0A872F8E"/>
    <w:rsid w:val="0AAC68B2"/>
    <w:rsid w:val="0AB90398"/>
    <w:rsid w:val="0AEF28D0"/>
    <w:rsid w:val="0B114967"/>
    <w:rsid w:val="0B3D39AE"/>
    <w:rsid w:val="0B8B64C8"/>
    <w:rsid w:val="0BE66D31"/>
    <w:rsid w:val="0BE856C8"/>
    <w:rsid w:val="0BF70001"/>
    <w:rsid w:val="0C122745"/>
    <w:rsid w:val="0C1464BD"/>
    <w:rsid w:val="0C4363E5"/>
    <w:rsid w:val="0C6236CC"/>
    <w:rsid w:val="0C85560D"/>
    <w:rsid w:val="0CB832EC"/>
    <w:rsid w:val="0CE642FD"/>
    <w:rsid w:val="0D4234FE"/>
    <w:rsid w:val="0D6E42F3"/>
    <w:rsid w:val="0D86333C"/>
    <w:rsid w:val="0DA90E87"/>
    <w:rsid w:val="0DCE6B40"/>
    <w:rsid w:val="0DEB14A0"/>
    <w:rsid w:val="0E147405"/>
    <w:rsid w:val="0E1E7AC7"/>
    <w:rsid w:val="0E443110"/>
    <w:rsid w:val="0E9F0367"/>
    <w:rsid w:val="0EB2020F"/>
    <w:rsid w:val="0EBB3568"/>
    <w:rsid w:val="0ED42CE4"/>
    <w:rsid w:val="0F0E7B3C"/>
    <w:rsid w:val="0F1D38DB"/>
    <w:rsid w:val="0F601A19"/>
    <w:rsid w:val="0F64775C"/>
    <w:rsid w:val="0F655282"/>
    <w:rsid w:val="0F957915"/>
    <w:rsid w:val="0FE233BE"/>
    <w:rsid w:val="103F5AD3"/>
    <w:rsid w:val="104D77F9"/>
    <w:rsid w:val="107C6D27"/>
    <w:rsid w:val="10857989"/>
    <w:rsid w:val="10A83678"/>
    <w:rsid w:val="10BF3F75"/>
    <w:rsid w:val="10CF355A"/>
    <w:rsid w:val="10CF6E57"/>
    <w:rsid w:val="10D10E21"/>
    <w:rsid w:val="10FF2D88"/>
    <w:rsid w:val="11020FDA"/>
    <w:rsid w:val="110F36F7"/>
    <w:rsid w:val="11317B11"/>
    <w:rsid w:val="11706C95"/>
    <w:rsid w:val="11DA1F57"/>
    <w:rsid w:val="11F272A1"/>
    <w:rsid w:val="12210792"/>
    <w:rsid w:val="12261CD0"/>
    <w:rsid w:val="12502219"/>
    <w:rsid w:val="125735A8"/>
    <w:rsid w:val="12696E37"/>
    <w:rsid w:val="126A32DB"/>
    <w:rsid w:val="1294435A"/>
    <w:rsid w:val="12CB1A8F"/>
    <w:rsid w:val="12FE3A23"/>
    <w:rsid w:val="13482EF0"/>
    <w:rsid w:val="137A57A0"/>
    <w:rsid w:val="13AA5959"/>
    <w:rsid w:val="13E23345"/>
    <w:rsid w:val="13EB3329"/>
    <w:rsid w:val="14294AD0"/>
    <w:rsid w:val="142E20E6"/>
    <w:rsid w:val="14531B4D"/>
    <w:rsid w:val="1465434D"/>
    <w:rsid w:val="14787805"/>
    <w:rsid w:val="149F4D92"/>
    <w:rsid w:val="14DB04C0"/>
    <w:rsid w:val="14F43330"/>
    <w:rsid w:val="152271C7"/>
    <w:rsid w:val="154C4F1A"/>
    <w:rsid w:val="15876DE1"/>
    <w:rsid w:val="15AC6074"/>
    <w:rsid w:val="15B50D11"/>
    <w:rsid w:val="15D46CBD"/>
    <w:rsid w:val="15ED7C1A"/>
    <w:rsid w:val="16057523"/>
    <w:rsid w:val="160E3029"/>
    <w:rsid w:val="16262886"/>
    <w:rsid w:val="1647748F"/>
    <w:rsid w:val="16583648"/>
    <w:rsid w:val="165F6ECF"/>
    <w:rsid w:val="16711C62"/>
    <w:rsid w:val="16F81065"/>
    <w:rsid w:val="17375756"/>
    <w:rsid w:val="176C3078"/>
    <w:rsid w:val="17B2302E"/>
    <w:rsid w:val="17BD20FF"/>
    <w:rsid w:val="17BE2E6C"/>
    <w:rsid w:val="17CE60BA"/>
    <w:rsid w:val="17D631C0"/>
    <w:rsid w:val="17D86F39"/>
    <w:rsid w:val="17E86A50"/>
    <w:rsid w:val="180715CC"/>
    <w:rsid w:val="183B3024"/>
    <w:rsid w:val="183C72F7"/>
    <w:rsid w:val="18414071"/>
    <w:rsid w:val="185C1918"/>
    <w:rsid w:val="18622CA6"/>
    <w:rsid w:val="189D5A8C"/>
    <w:rsid w:val="18A94431"/>
    <w:rsid w:val="19481E9C"/>
    <w:rsid w:val="19924EC5"/>
    <w:rsid w:val="19A370D2"/>
    <w:rsid w:val="19AF7825"/>
    <w:rsid w:val="19B27315"/>
    <w:rsid w:val="19FA13E8"/>
    <w:rsid w:val="1A3A4F8B"/>
    <w:rsid w:val="1A543E14"/>
    <w:rsid w:val="1A6F650A"/>
    <w:rsid w:val="1A8962C8"/>
    <w:rsid w:val="1A951111"/>
    <w:rsid w:val="1AB71087"/>
    <w:rsid w:val="1AD339E7"/>
    <w:rsid w:val="1AEC602D"/>
    <w:rsid w:val="1B4D72F6"/>
    <w:rsid w:val="1B970EB9"/>
    <w:rsid w:val="1C2633D9"/>
    <w:rsid w:val="1C381D54"/>
    <w:rsid w:val="1C6E39C8"/>
    <w:rsid w:val="1C7B268B"/>
    <w:rsid w:val="1C876837"/>
    <w:rsid w:val="1CBC0BD7"/>
    <w:rsid w:val="1CC926C9"/>
    <w:rsid w:val="1CCE090A"/>
    <w:rsid w:val="1CDC4DD5"/>
    <w:rsid w:val="1CE1661E"/>
    <w:rsid w:val="1CF163A7"/>
    <w:rsid w:val="1CF33ECD"/>
    <w:rsid w:val="1CF75960"/>
    <w:rsid w:val="1D0F240B"/>
    <w:rsid w:val="1D100F23"/>
    <w:rsid w:val="1D104289"/>
    <w:rsid w:val="1D1A3B4F"/>
    <w:rsid w:val="1D28626C"/>
    <w:rsid w:val="1D594678"/>
    <w:rsid w:val="1D69418F"/>
    <w:rsid w:val="1D7C2913"/>
    <w:rsid w:val="1D8D4321"/>
    <w:rsid w:val="1D9456B0"/>
    <w:rsid w:val="1DAF24EA"/>
    <w:rsid w:val="1E1C7453"/>
    <w:rsid w:val="1E222CBC"/>
    <w:rsid w:val="1E3824DF"/>
    <w:rsid w:val="1E53676B"/>
    <w:rsid w:val="1E7B6870"/>
    <w:rsid w:val="1E9D0594"/>
    <w:rsid w:val="1EDD6BE3"/>
    <w:rsid w:val="1EEC0F4D"/>
    <w:rsid w:val="1F234F3D"/>
    <w:rsid w:val="1F5823ED"/>
    <w:rsid w:val="1F5F1CED"/>
    <w:rsid w:val="1F95570F"/>
    <w:rsid w:val="1F9A4AD4"/>
    <w:rsid w:val="1F9F20EA"/>
    <w:rsid w:val="1FA94D17"/>
    <w:rsid w:val="1FD77AD6"/>
    <w:rsid w:val="200A3A07"/>
    <w:rsid w:val="20476A09"/>
    <w:rsid w:val="205904EB"/>
    <w:rsid w:val="20774BB2"/>
    <w:rsid w:val="20997FF6"/>
    <w:rsid w:val="20B31B12"/>
    <w:rsid w:val="20B322F1"/>
    <w:rsid w:val="20DD75F5"/>
    <w:rsid w:val="20EE157B"/>
    <w:rsid w:val="20F326ED"/>
    <w:rsid w:val="20F630F8"/>
    <w:rsid w:val="20F75A0D"/>
    <w:rsid w:val="21115269"/>
    <w:rsid w:val="2120725A"/>
    <w:rsid w:val="21775D8D"/>
    <w:rsid w:val="21837244"/>
    <w:rsid w:val="21983295"/>
    <w:rsid w:val="21B31E7D"/>
    <w:rsid w:val="21EE238E"/>
    <w:rsid w:val="220646A2"/>
    <w:rsid w:val="2208041A"/>
    <w:rsid w:val="221F7512"/>
    <w:rsid w:val="22252D7A"/>
    <w:rsid w:val="22477195"/>
    <w:rsid w:val="22F55755"/>
    <w:rsid w:val="2316310D"/>
    <w:rsid w:val="232C638A"/>
    <w:rsid w:val="23986540"/>
    <w:rsid w:val="23ED1676"/>
    <w:rsid w:val="23F13E30"/>
    <w:rsid w:val="24066BDB"/>
    <w:rsid w:val="241412F8"/>
    <w:rsid w:val="243472A5"/>
    <w:rsid w:val="243E45C7"/>
    <w:rsid w:val="24572F93"/>
    <w:rsid w:val="24575689"/>
    <w:rsid w:val="249064A5"/>
    <w:rsid w:val="24A87727"/>
    <w:rsid w:val="24C85D59"/>
    <w:rsid w:val="24CE3110"/>
    <w:rsid w:val="24DB5972"/>
    <w:rsid w:val="25227A45"/>
    <w:rsid w:val="25237319"/>
    <w:rsid w:val="254554E2"/>
    <w:rsid w:val="259049AF"/>
    <w:rsid w:val="25A42208"/>
    <w:rsid w:val="25B3069D"/>
    <w:rsid w:val="25E42F4C"/>
    <w:rsid w:val="26061115"/>
    <w:rsid w:val="2677791D"/>
    <w:rsid w:val="26946721"/>
    <w:rsid w:val="269E5ADA"/>
    <w:rsid w:val="26AD333E"/>
    <w:rsid w:val="26AF07EB"/>
    <w:rsid w:val="26C34DC2"/>
    <w:rsid w:val="26FC7E22"/>
    <w:rsid w:val="27007912"/>
    <w:rsid w:val="273564F5"/>
    <w:rsid w:val="274E2D73"/>
    <w:rsid w:val="276E301C"/>
    <w:rsid w:val="278246BD"/>
    <w:rsid w:val="27963AF1"/>
    <w:rsid w:val="279B3ADF"/>
    <w:rsid w:val="27C60B5C"/>
    <w:rsid w:val="27FC457D"/>
    <w:rsid w:val="280E2503"/>
    <w:rsid w:val="281F026C"/>
    <w:rsid w:val="282938C6"/>
    <w:rsid w:val="28341F69"/>
    <w:rsid w:val="28A644E9"/>
    <w:rsid w:val="28E53263"/>
    <w:rsid w:val="28F129DA"/>
    <w:rsid w:val="292D1953"/>
    <w:rsid w:val="293814DA"/>
    <w:rsid w:val="29387837"/>
    <w:rsid w:val="295403E9"/>
    <w:rsid w:val="295D1AE5"/>
    <w:rsid w:val="297D524A"/>
    <w:rsid w:val="29915199"/>
    <w:rsid w:val="29A24CB1"/>
    <w:rsid w:val="29B50E88"/>
    <w:rsid w:val="29BF3AB4"/>
    <w:rsid w:val="29EE439A"/>
    <w:rsid w:val="29F3375E"/>
    <w:rsid w:val="29FD638B"/>
    <w:rsid w:val="2A180B51"/>
    <w:rsid w:val="2A2102CB"/>
    <w:rsid w:val="2AAE58D7"/>
    <w:rsid w:val="2AB63109"/>
    <w:rsid w:val="2AB949A8"/>
    <w:rsid w:val="2ADF2178"/>
    <w:rsid w:val="2AF27EBA"/>
    <w:rsid w:val="2AF552B4"/>
    <w:rsid w:val="2B0B4AD7"/>
    <w:rsid w:val="2B1B2F6C"/>
    <w:rsid w:val="2B4029D3"/>
    <w:rsid w:val="2B595843"/>
    <w:rsid w:val="2B710DDE"/>
    <w:rsid w:val="2B786611"/>
    <w:rsid w:val="2B876854"/>
    <w:rsid w:val="2B97636B"/>
    <w:rsid w:val="2B9B51FD"/>
    <w:rsid w:val="2BF04150"/>
    <w:rsid w:val="2C38583A"/>
    <w:rsid w:val="2C805328"/>
    <w:rsid w:val="2CBE44F7"/>
    <w:rsid w:val="2D4E44CD"/>
    <w:rsid w:val="2D5664DE"/>
    <w:rsid w:val="2D9C5EBB"/>
    <w:rsid w:val="2DB651CE"/>
    <w:rsid w:val="2DBB4593"/>
    <w:rsid w:val="2DD23FD6"/>
    <w:rsid w:val="2DE27D71"/>
    <w:rsid w:val="2E13617D"/>
    <w:rsid w:val="2E1B14D5"/>
    <w:rsid w:val="2E1D3215"/>
    <w:rsid w:val="2E41718E"/>
    <w:rsid w:val="2E5549E7"/>
    <w:rsid w:val="2E5C3FC8"/>
    <w:rsid w:val="2E6B5FB9"/>
    <w:rsid w:val="2E6C3ADF"/>
    <w:rsid w:val="2E7A61FC"/>
    <w:rsid w:val="2E9106D8"/>
    <w:rsid w:val="2EA15E7F"/>
    <w:rsid w:val="2EB931C8"/>
    <w:rsid w:val="2ED7364E"/>
    <w:rsid w:val="2EE23DA1"/>
    <w:rsid w:val="2EE713B8"/>
    <w:rsid w:val="2F0361F1"/>
    <w:rsid w:val="2F1C1884"/>
    <w:rsid w:val="2F234AE5"/>
    <w:rsid w:val="2F305968"/>
    <w:rsid w:val="2F631C4A"/>
    <w:rsid w:val="3002294D"/>
    <w:rsid w:val="30073ABF"/>
    <w:rsid w:val="303D3985"/>
    <w:rsid w:val="304E10F5"/>
    <w:rsid w:val="306C7DC6"/>
    <w:rsid w:val="30872E52"/>
    <w:rsid w:val="309612E7"/>
    <w:rsid w:val="31136126"/>
    <w:rsid w:val="31264419"/>
    <w:rsid w:val="3163566D"/>
    <w:rsid w:val="31AB491E"/>
    <w:rsid w:val="31C27DC2"/>
    <w:rsid w:val="31D43E75"/>
    <w:rsid w:val="31F97D80"/>
    <w:rsid w:val="320D7387"/>
    <w:rsid w:val="322A59BC"/>
    <w:rsid w:val="32333292"/>
    <w:rsid w:val="32516F41"/>
    <w:rsid w:val="325A6A70"/>
    <w:rsid w:val="326E1DA1"/>
    <w:rsid w:val="328A09D8"/>
    <w:rsid w:val="32B75C71"/>
    <w:rsid w:val="32EC4C19"/>
    <w:rsid w:val="32F02F31"/>
    <w:rsid w:val="32FB3538"/>
    <w:rsid w:val="3301513E"/>
    <w:rsid w:val="3330332D"/>
    <w:rsid w:val="33386686"/>
    <w:rsid w:val="337C6572"/>
    <w:rsid w:val="33AA7583"/>
    <w:rsid w:val="33B45D0C"/>
    <w:rsid w:val="33B65F28"/>
    <w:rsid w:val="33D068BE"/>
    <w:rsid w:val="33F22CD8"/>
    <w:rsid w:val="33F845D8"/>
    <w:rsid w:val="340824FC"/>
    <w:rsid w:val="34384B8F"/>
    <w:rsid w:val="346E6803"/>
    <w:rsid w:val="34896330"/>
    <w:rsid w:val="34913616"/>
    <w:rsid w:val="34B1049E"/>
    <w:rsid w:val="34B14942"/>
    <w:rsid w:val="34DD5737"/>
    <w:rsid w:val="35040F15"/>
    <w:rsid w:val="352B64A2"/>
    <w:rsid w:val="353B412C"/>
    <w:rsid w:val="353D61D5"/>
    <w:rsid w:val="35441312"/>
    <w:rsid w:val="3558300F"/>
    <w:rsid w:val="35632CFB"/>
    <w:rsid w:val="35951B6D"/>
    <w:rsid w:val="35CF1523"/>
    <w:rsid w:val="35E36D7D"/>
    <w:rsid w:val="35F25212"/>
    <w:rsid w:val="360F1920"/>
    <w:rsid w:val="36257395"/>
    <w:rsid w:val="363B0967"/>
    <w:rsid w:val="36533E98"/>
    <w:rsid w:val="366559E4"/>
    <w:rsid w:val="36716136"/>
    <w:rsid w:val="369B1405"/>
    <w:rsid w:val="369F4814"/>
    <w:rsid w:val="36A4475E"/>
    <w:rsid w:val="36E42DAC"/>
    <w:rsid w:val="37076F11"/>
    <w:rsid w:val="37294C63"/>
    <w:rsid w:val="373A0C1E"/>
    <w:rsid w:val="374B4BD9"/>
    <w:rsid w:val="375515B4"/>
    <w:rsid w:val="37695060"/>
    <w:rsid w:val="37B00EE0"/>
    <w:rsid w:val="37C3281C"/>
    <w:rsid w:val="37E07290"/>
    <w:rsid w:val="37F60FE9"/>
    <w:rsid w:val="37FE1C4C"/>
    <w:rsid w:val="387463B2"/>
    <w:rsid w:val="3890696E"/>
    <w:rsid w:val="38966328"/>
    <w:rsid w:val="38D34E86"/>
    <w:rsid w:val="38E76B84"/>
    <w:rsid w:val="39111E53"/>
    <w:rsid w:val="392E030F"/>
    <w:rsid w:val="39455658"/>
    <w:rsid w:val="395B4E7C"/>
    <w:rsid w:val="39825B8D"/>
    <w:rsid w:val="39D023E3"/>
    <w:rsid w:val="39FD5F33"/>
    <w:rsid w:val="3A127C30"/>
    <w:rsid w:val="3A221203"/>
    <w:rsid w:val="3A3E7FFA"/>
    <w:rsid w:val="3A634ABC"/>
    <w:rsid w:val="3AF15A98"/>
    <w:rsid w:val="3AF17846"/>
    <w:rsid w:val="3AF53629"/>
    <w:rsid w:val="3B331C0C"/>
    <w:rsid w:val="3B365BA1"/>
    <w:rsid w:val="3B4200A1"/>
    <w:rsid w:val="3B443E1A"/>
    <w:rsid w:val="3B5B1163"/>
    <w:rsid w:val="3B822B94"/>
    <w:rsid w:val="3BAA1E25"/>
    <w:rsid w:val="3BD57167"/>
    <w:rsid w:val="3C236125"/>
    <w:rsid w:val="3C2E5C16"/>
    <w:rsid w:val="3C333E8E"/>
    <w:rsid w:val="3C7A0A20"/>
    <w:rsid w:val="3CA06AA4"/>
    <w:rsid w:val="3CA64660"/>
    <w:rsid w:val="3CCF005B"/>
    <w:rsid w:val="3D0A2E41"/>
    <w:rsid w:val="3D235CB1"/>
    <w:rsid w:val="3D714C6E"/>
    <w:rsid w:val="3D7D6168"/>
    <w:rsid w:val="3D972952"/>
    <w:rsid w:val="3DAC214A"/>
    <w:rsid w:val="3DB72FC9"/>
    <w:rsid w:val="3DE90CA8"/>
    <w:rsid w:val="3DF02037"/>
    <w:rsid w:val="3DFC4E7F"/>
    <w:rsid w:val="3E3363C7"/>
    <w:rsid w:val="3E5F540E"/>
    <w:rsid w:val="3E720C9E"/>
    <w:rsid w:val="3E7257BE"/>
    <w:rsid w:val="3E7A2248"/>
    <w:rsid w:val="3E8D1F7B"/>
    <w:rsid w:val="3EC3774B"/>
    <w:rsid w:val="3ECC2AA4"/>
    <w:rsid w:val="3EFC4A0B"/>
    <w:rsid w:val="3F23468E"/>
    <w:rsid w:val="3FAF1A7E"/>
    <w:rsid w:val="3FCD7DB3"/>
    <w:rsid w:val="3FD16214"/>
    <w:rsid w:val="3FE8335F"/>
    <w:rsid w:val="3FEF631E"/>
    <w:rsid w:val="40161AFD"/>
    <w:rsid w:val="401763BB"/>
    <w:rsid w:val="402266F3"/>
    <w:rsid w:val="402E150B"/>
    <w:rsid w:val="408178BE"/>
    <w:rsid w:val="40CA3013"/>
    <w:rsid w:val="40CB28E7"/>
    <w:rsid w:val="40E439A9"/>
    <w:rsid w:val="4105229D"/>
    <w:rsid w:val="41055DF9"/>
    <w:rsid w:val="41272213"/>
    <w:rsid w:val="41304E2E"/>
    <w:rsid w:val="414803DC"/>
    <w:rsid w:val="414D154E"/>
    <w:rsid w:val="41621B6F"/>
    <w:rsid w:val="41A43864"/>
    <w:rsid w:val="41CC6917"/>
    <w:rsid w:val="41D824C3"/>
    <w:rsid w:val="41E33C60"/>
    <w:rsid w:val="41F540C0"/>
    <w:rsid w:val="42213106"/>
    <w:rsid w:val="422B7AE1"/>
    <w:rsid w:val="42451F7B"/>
    <w:rsid w:val="42497F67"/>
    <w:rsid w:val="425A2175"/>
    <w:rsid w:val="42894808"/>
    <w:rsid w:val="42B51AA1"/>
    <w:rsid w:val="42B75819"/>
    <w:rsid w:val="42C817D4"/>
    <w:rsid w:val="43056584"/>
    <w:rsid w:val="43104F29"/>
    <w:rsid w:val="435E5C94"/>
    <w:rsid w:val="438374A9"/>
    <w:rsid w:val="438E0B0B"/>
    <w:rsid w:val="43AA0EDA"/>
    <w:rsid w:val="43C71A8C"/>
    <w:rsid w:val="43D47D05"/>
    <w:rsid w:val="44145484"/>
    <w:rsid w:val="44325EE6"/>
    <w:rsid w:val="443D355C"/>
    <w:rsid w:val="44613C8E"/>
    <w:rsid w:val="44676DCB"/>
    <w:rsid w:val="448434D9"/>
    <w:rsid w:val="449C4CC6"/>
    <w:rsid w:val="44A92F3F"/>
    <w:rsid w:val="44CD30D2"/>
    <w:rsid w:val="44E1092B"/>
    <w:rsid w:val="44F73DA4"/>
    <w:rsid w:val="452627E2"/>
    <w:rsid w:val="45493897"/>
    <w:rsid w:val="456652D4"/>
    <w:rsid w:val="459260C9"/>
    <w:rsid w:val="45B002FD"/>
    <w:rsid w:val="45C953D0"/>
    <w:rsid w:val="45D719C4"/>
    <w:rsid w:val="45FB3C6E"/>
    <w:rsid w:val="45FB5A1D"/>
    <w:rsid w:val="462460EE"/>
    <w:rsid w:val="464E0242"/>
    <w:rsid w:val="469C7200"/>
    <w:rsid w:val="46DA3884"/>
    <w:rsid w:val="473C2CE2"/>
    <w:rsid w:val="47486A40"/>
    <w:rsid w:val="4754657A"/>
    <w:rsid w:val="47857C94"/>
    <w:rsid w:val="478A52AA"/>
    <w:rsid w:val="47BE31A6"/>
    <w:rsid w:val="47E524E0"/>
    <w:rsid w:val="47F65A55"/>
    <w:rsid w:val="4826706B"/>
    <w:rsid w:val="482A4397"/>
    <w:rsid w:val="48AE4FC8"/>
    <w:rsid w:val="48BF5427"/>
    <w:rsid w:val="49575660"/>
    <w:rsid w:val="498521CD"/>
    <w:rsid w:val="49902920"/>
    <w:rsid w:val="49B605D8"/>
    <w:rsid w:val="49FB333D"/>
    <w:rsid w:val="4A062BE2"/>
    <w:rsid w:val="4A192915"/>
    <w:rsid w:val="4A7B3E66"/>
    <w:rsid w:val="4A90349E"/>
    <w:rsid w:val="4AB10DA0"/>
    <w:rsid w:val="4AEA6060"/>
    <w:rsid w:val="4B0A4F36"/>
    <w:rsid w:val="4B2E419E"/>
    <w:rsid w:val="4B3D2633"/>
    <w:rsid w:val="4B441C14"/>
    <w:rsid w:val="4B49722A"/>
    <w:rsid w:val="4B5A31E5"/>
    <w:rsid w:val="4B5B2554"/>
    <w:rsid w:val="4B661B8A"/>
    <w:rsid w:val="4BA12BC2"/>
    <w:rsid w:val="4BA426B2"/>
    <w:rsid w:val="4BAB3A41"/>
    <w:rsid w:val="4C39104D"/>
    <w:rsid w:val="4C7B78B7"/>
    <w:rsid w:val="4C9B1D07"/>
    <w:rsid w:val="4CD62D3F"/>
    <w:rsid w:val="4CE76CFB"/>
    <w:rsid w:val="4CFD5ADD"/>
    <w:rsid w:val="4D714816"/>
    <w:rsid w:val="4D7E765F"/>
    <w:rsid w:val="4D810EFD"/>
    <w:rsid w:val="4D9D273D"/>
    <w:rsid w:val="4DBF1A60"/>
    <w:rsid w:val="4E3A10AC"/>
    <w:rsid w:val="4E3C3076"/>
    <w:rsid w:val="4E413B3A"/>
    <w:rsid w:val="4E422B8B"/>
    <w:rsid w:val="4E7E368F"/>
    <w:rsid w:val="4E931E55"/>
    <w:rsid w:val="4ED60DD5"/>
    <w:rsid w:val="4EEC23A6"/>
    <w:rsid w:val="4EF31987"/>
    <w:rsid w:val="4EFA6E6F"/>
    <w:rsid w:val="4EFB4CDF"/>
    <w:rsid w:val="4F244236"/>
    <w:rsid w:val="4F4F373F"/>
    <w:rsid w:val="4F583EE0"/>
    <w:rsid w:val="4F672375"/>
    <w:rsid w:val="4F7725B8"/>
    <w:rsid w:val="4FC005BC"/>
    <w:rsid w:val="4FD35314"/>
    <w:rsid w:val="4FDD70F8"/>
    <w:rsid w:val="4FF27E90"/>
    <w:rsid w:val="504306EC"/>
    <w:rsid w:val="50574197"/>
    <w:rsid w:val="50593A6B"/>
    <w:rsid w:val="507408A5"/>
    <w:rsid w:val="50744D49"/>
    <w:rsid w:val="50C07F8E"/>
    <w:rsid w:val="50DD28EE"/>
    <w:rsid w:val="51025EB1"/>
    <w:rsid w:val="512A201D"/>
    <w:rsid w:val="51312C3A"/>
    <w:rsid w:val="513B13C3"/>
    <w:rsid w:val="513E7BC5"/>
    <w:rsid w:val="514E3406"/>
    <w:rsid w:val="51A258E6"/>
    <w:rsid w:val="51B226BB"/>
    <w:rsid w:val="51CF7D67"/>
    <w:rsid w:val="51E8779D"/>
    <w:rsid w:val="51EB4B97"/>
    <w:rsid w:val="52302EF2"/>
    <w:rsid w:val="52495D62"/>
    <w:rsid w:val="5253098E"/>
    <w:rsid w:val="525F10E1"/>
    <w:rsid w:val="52635075"/>
    <w:rsid w:val="52943481"/>
    <w:rsid w:val="52C8137C"/>
    <w:rsid w:val="52CF270B"/>
    <w:rsid w:val="52DB51E3"/>
    <w:rsid w:val="52DD411B"/>
    <w:rsid w:val="52F12681"/>
    <w:rsid w:val="53E41BA5"/>
    <w:rsid w:val="54444A33"/>
    <w:rsid w:val="545804DE"/>
    <w:rsid w:val="54622AD8"/>
    <w:rsid w:val="54680721"/>
    <w:rsid w:val="5492579E"/>
    <w:rsid w:val="54B83A09"/>
    <w:rsid w:val="54FC355F"/>
    <w:rsid w:val="551E5284"/>
    <w:rsid w:val="553B5E36"/>
    <w:rsid w:val="555962BC"/>
    <w:rsid w:val="55A734CB"/>
    <w:rsid w:val="55B94FAC"/>
    <w:rsid w:val="55F34962"/>
    <w:rsid w:val="56044479"/>
    <w:rsid w:val="562C5B54"/>
    <w:rsid w:val="562E599A"/>
    <w:rsid w:val="563C6C65"/>
    <w:rsid w:val="56460CB2"/>
    <w:rsid w:val="56485000"/>
    <w:rsid w:val="564D4072"/>
    <w:rsid w:val="5697709C"/>
    <w:rsid w:val="56B440F1"/>
    <w:rsid w:val="56C8194B"/>
    <w:rsid w:val="56F95FA8"/>
    <w:rsid w:val="57074DB4"/>
    <w:rsid w:val="5728063B"/>
    <w:rsid w:val="5745370B"/>
    <w:rsid w:val="57504512"/>
    <w:rsid w:val="578266F6"/>
    <w:rsid w:val="578E4942"/>
    <w:rsid w:val="57A73A9C"/>
    <w:rsid w:val="57CA524F"/>
    <w:rsid w:val="57F64296"/>
    <w:rsid w:val="58432AF9"/>
    <w:rsid w:val="58656EF5"/>
    <w:rsid w:val="58670D41"/>
    <w:rsid w:val="5878114F"/>
    <w:rsid w:val="58AA6296"/>
    <w:rsid w:val="58BE3005"/>
    <w:rsid w:val="58C20FD6"/>
    <w:rsid w:val="58E81E30"/>
    <w:rsid w:val="58EE7C8A"/>
    <w:rsid w:val="58EF418F"/>
    <w:rsid w:val="58FD3402"/>
    <w:rsid w:val="59103135"/>
    <w:rsid w:val="592B4413"/>
    <w:rsid w:val="5935330C"/>
    <w:rsid w:val="594B039A"/>
    <w:rsid w:val="59603256"/>
    <w:rsid w:val="59613991"/>
    <w:rsid w:val="599A5A6C"/>
    <w:rsid w:val="59AA17DC"/>
    <w:rsid w:val="59AD307A"/>
    <w:rsid w:val="59C16B4B"/>
    <w:rsid w:val="59F667B9"/>
    <w:rsid w:val="5A0A4028"/>
    <w:rsid w:val="5A19415E"/>
    <w:rsid w:val="5A6776CD"/>
    <w:rsid w:val="5A851901"/>
    <w:rsid w:val="5A8B33BB"/>
    <w:rsid w:val="5A9568E5"/>
    <w:rsid w:val="5AD20FEA"/>
    <w:rsid w:val="5B12599C"/>
    <w:rsid w:val="5B215ACE"/>
    <w:rsid w:val="5B345801"/>
    <w:rsid w:val="5B7B51DE"/>
    <w:rsid w:val="5B8816A9"/>
    <w:rsid w:val="5B9E2C7A"/>
    <w:rsid w:val="5BBB7CD0"/>
    <w:rsid w:val="5BC43B46"/>
    <w:rsid w:val="5BC776FE"/>
    <w:rsid w:val="5C515F3F"/>
    <w:rsid w:val="5C6F35B2"/>
    <w:rsid w:val="5CAE513F"/>
    <w:rsid w:val="5D066D29"/>
    <w:rsid w:val="5D107BA8"/>
    <w:rsid w:val="5D375134"/>
    <w:rsid w:val="5D443CF5"/>
    <w:rsid w:val="5D5850AB"/>
    <w:rsid w:val="5D8A5BAC"/>
    <w:rsid w:val="5D8A795A"/>
    <w:rsid w:val="5D8D11F8"/>
    <w:rsid w:val="5DC0337C"/>
    <w:rsid w:val="5DE52DE2"/>
    <w:rsid w:val="5DFB0858"/>
    <w:rsid w:val="5E2D6537"/>
    <w:rsid w:val="5E437B09"/>
    <w:rsid w:val="5E4F4700"/>
    <w:rsid w:val="5E543AC4"/>
    <w:rsid w:val="5E56541B"/>
    <w:rsid w:val="5E5C2A50"/>
    <w:rsid w:val="5E714676"/>
    <w:rsid w:val="5EB41A42"/>
    <w:rsid w:val="5EBD78BB"/>
    <w:rsid w:val="5EE27322"/>
    <w:rsid w:val="5F0813F1"/>
    <w:rsid w:val="5F463D55"/>
    <w:rsid w:val="5F7563E8"/>
    <w:rsid w:val="5F8E7B88"/>
    <w:rsid w:val="5FBA3DFB"/>
    <w:rsid w:val="5FDF5FE4"/>
    <w:rsid w:val="5FE85258"/>
    <w:rsid w:val="601F077A"/>
    <w:rsid w:val="602A2D2E"/>
    <w:rsid w:val="60395667"/>
    <w:rsid w:val="6045400C"/>
    <w:rsid w:val="60471B32"/>
    <w:rsid w:val="6048238E"/>
    <w:rsid w:val="606C3347"/>
    <w:rsid w:val="60842179"/>
    <w:rsid w:val="60B371C8"/>
    <w:rsid w:val="60E43825"/>
    <w:rsid w:val="612105D5"/>
    <w:rsid w:val="617E77D6"/>
    <w:rsid w:val="61B256D1"/>
    <w:rsid w:val="61ED04B8"/>
    <w:rsid w:val="61FA4982"/>
    <w:rsid w:val="6211064A"/>
    <w:rsid w:val="62223716"/>
    <w:rsid w:val="624004A9"/>
    <w:rsid w:val="624B7E29"/>
    <w:rsid w:val="62546789"/>
    <w:rsid w:val="627806C9"/>
    <w:rsid w:val="629D3C8C"/>
    <w:rsid w:val="62C90504"/>
    <w:rsid w:val="630755A9"/>
    <w:rsid w:val="630F7A42"/>
    <w:rsid w:val="632A1297"/>
    <w:rsid w:val="634E76CA"/>
    <w:rsid w:val="63716EC6"/>
    <w:rsid w:val="637F3E60"/>
    <w:rsid w:val="63972DD1"/>
    <w:rsid w:val="63A728E8"/>
    <w:rsid w:val="63B15515"/>
    <w:rsid w:val="63C11BFC"/>
    <w:rsid w:val="63C123CC"/>
    <w:rsid w:val="63E15DFA"/>
    <w:rsid w:val="64144421"/>
    <w:rsid w:val="64664551"/>
    <w:rsid w:val="649E1F3D"/>
    <w:rsid w:val="649F2317"/>
    <w:rsid w:val="64B40E46"/>
    <w:rsid w:val="64ED68B8"/>
    <w:rsid w:val="65332685"/>
    <w:rsid w:val="654A79CF"/>
    <w:rsid w:val="65752C9E"/>
    <w:rsid w:val="659F7D1B"/>
    <w:rsid w:val="65D57BE0"/>
    <w:rsid w:val="65DC0F6F"/>
    <w:rsid w:val="6603474E"/>
    <w:rsid w:val="66124991"/>
    <w:rsid w:val="664A237C"/>
    <w:rsid w:val="665B4DD0"/>
    <w:rsid w:val="66855163"/>
    <w:rsid w:val="66961C35"/>
    <w:rsid w:val="66A31A8D"/>
    <w:rsid w:val="66C8504F"/>
    <w:rsid w:val="66E83943"/>
    <w:rsid w:val="66EA0BEC"/>
    <w:rsid w:val="673152EA"/>
    <w:rsid w:val="67395F4D"/>
    <w:rsid w:val="6747066A"/>
    <w:rsid w:val="67743BB7"/>
    <w:rsid w:val="678418BE"/>
    <w:rsid w:val="678A67A9"/>
    <w:rsid w:val="67AC671F"/>
    <w:rsid w:val="67C63C85"/>
    <w:rsid w:val="67F51E74"/>
    <w:rsid w:val="680D3662"/>
    <w:rsid w:val="68555008"/>
    <w:rsid w:val="68706245"/>
    <w:rsid w:val="687E455F"/>
    <w:rsid w:val="689A52B4"/>
    <w:rsid w:val="68A67612"/>
    <w:rsid w:val="68C87588"/>
    <w:rsid w:val="68D66149"/>
    <w:rsid w:val="68DC4DE2"/>
    <w:rsid w:val="69054339"/>
    <w:rsid w:val="69147A74"/>
    <w:rsid w:val="691C06A3"/>
    <w:rsid w:val="6938470E"/>
    <w:rsid w:val="69690D6B"/>
    <w:rsid w:val="69886D18"/>
    <w:rsid w:val="69935DE8"/>
    <w:rsid w:val="69AC27EB"/>
    <w:rsid w:val="69AE2C22"/>
    <w:rsid w:val="69C52D24"/>
    <w:rsid w:val="69D65CD5"/>
    <w:rsid w:val="69F858D1"/>
    <w:rsid w:val="6A327690"/>
    <w:rsid w:val="6A334ED5"/>
    <w:rsid w:val="6A36790F"/>
    <w:rsid w:val="6A5E63F6"/>
    <w:rsid w:val="6A7774B8"/>
    <w:rsid w:val="6A9C6193"/>
    <w:rsid w:val="6AC02C0D"/>
    <w:rsid w:val="6ACD42B6"/>
    <w:rsid w:val="6ADA17F5"/>
    <w:rsid w:val="6AE54422"/>
    <w:rsid w:val="6AE70DEF"/>
    <w:rsid w:val="6AFB3C45"/>
    <w:rsid w:val="6B0C63F2"/>
    <w:rsid w:val="6B4156A7"/>
    <w:rsid w:val="6B6B1A74"/>
    <w:rsid w:val="6B6F1F3D"/>
    <w:rsid w:val="6B7E4876"/>
    <w:rsid w:val="6BA8544F"/>
    <w:rsid w:val="6BAC4F3F"/>
    <w:rsid w:val="6BDD2BFA"/>
    <w:rsid w:val="6C262F44"/>
    <w:rsid w:val="6C846928"/>
    <w:rsid w:val="6C867514"/>
    <w:rsid w:val="6C9854C4"/>
    <w:rsid w:val="6D321474"/>
    <w:rsid w:val="6D4A4A10"/>
    <w:rsid w:val="6D6514DD"/>
    <w:rsid w:val="6DC76061"/>
    <w:rsid w:val="6DC845E1"/>
    <w:rsid w:val="6E0948CB"/>
    <w:rsid w:val="6E0D584D"/>
    <w:rsid w:val="6E0E213F"/>
    <w:rsid w:val="6E184B0E"/>
    <w:rsid w:val="6E6935B8"/>
    <w:rsid w:val="6E69536A"/>
    <w:rsid w:val="6E8C1058"/>
    <w:rsid w:val="6EB02F99"/>
    <w:rsid w:val="6EB505AF"/>
    <w:rsid w:val="6ED4053D"/>
    <w:rsid w:val="6F1B24A2"/>
    <w:rsid w:val="6F6D49E6"/>
    <w:rsid w:val="6F8306AD"/>
    <w:rsid w:val="6F846384"/>
    <w:rsid w:val="6F9603E0"/>
    <w:rsid w:val="6F983FDB"/>
    <w:rsid w:val="6FAD572A"/>
    <w:rsid w:val="6FB10D76"/>
    <w:rsid w:val="70052E70"/>
    <w:rsid w:val="70082960"/>
    <w:rsid w:val="702A0B29"/>
    <w:rsid w:val="70467D61"/>
    <w:rsid w:val="705B0349"/>
    <w:rsid w:val="70785D38"/>
    <w:rsid w:val="70904E30"/>
    <w:rsid w:val="70C17F34"/>
    <w:rsid w:val="70DC62C7"/>
    <w:rsid w:val="71431EA2"/>
    <w:rsid w:val="7159141D"/>
    <w:rsid w:val="717E6854"/>
    <w:rsid w:val="7196154D"/>
    <w:rsid w:val="719646C8"/>
    <w:rsid w:val="719E532A"/>
    <w:rsid w:val="71BE777B"/>
    <w:rsid w:val="71D647F6"/>
    <w:rsid w:val="72361A07"/>
    <w:rsid w:val="72646574"/>
    <w:rsid w:val="7278201F"/>
    <w:rsid w:val="72D134DE"/>
    <w:rsid w:val="72EA1002"/>
    <w:rsid w:val="72EF689F"/>
    <w:rsid w:val="72FF707C"/>
    <w:rsid w:val="73216213"/>
    <w:rsid w:val="733B0D05"/>
    <w:rsid w:val="733C1AB7"/>
    <w:rsid w:val="73560FCF"/>
    <w:rsid w:val="739C0A08"/>
    <w:rsid w:val="73AB01D2"/>
    <w:rsid w:val="73B40357"/>
    <w:rsid w:val="73B452D9"/>
    <w:rsid w:val="73EF00BF"/>
    <w:rsid w:val="746000ED"/>
    <w:rsid w:val="747476E7"/>
    <w:rsid w:val="7476433D"/>
    <w:rsid w:val="749869A9"/>
    <w:rsid w:val="749E5641"/>
    <w:rsid w:val="74A964C0"/>
    <w:rsid w:val="74CD4709"/>
    <w:rsid w:val="74F27BE3"/>
    <w:rsid w:val="74FA4F6E"/>
    <w:rsid w:val="750B717B"/>
    <w:rsid w:val="7533222E"/>
    <w:rsid w:val="753A35BC"/>
    <w:rsid w:val="754A7097"/>
    <w:rsid w:val="755E374E"/>
    <w:rsid w:val="757F5473"/>
    <w:rsid w:val="75812F99"/>
    <w:rsid w:val="75B07D22"/>
    <w:rsid w:val="75C86E1A"/>
    <w:rsid w:val="75E25E85"/>
    <w:rsid w:val="75E4177A"/>
    <w:rsid w:val="75FE283B"/>
    <w:rsid w:val="761D53B8"/>
    <w:rsid w:val="763B583E"/>
    <w:rsid w:val="763E532E"/>
    <w:rsid w:val="766052A4"/>
    <w:rsid w:val="768E1E11"/>
    <w:rsid w:val="769D3E02"/>
    <w:rsid w:val="76C07AF1"/>
    <w:rsid w:val="76C51891"/>
    <w:rsid w:val="76D9013E"/>
    <w:rsid w:val="76DD06A3"/>
    <w:rsid w:val="76E77774"/>
    <w:rsid w:val="76EB7264"/>
    <w:rsid w:val="76F073CD"/>
    <w:rsid w:val="770519A8"/>
    <w:rsid w:val="7707077E"/>
    <w:rsid w:val="775A1CF3"/>
    <w:rsid w:val="779046B9"/>
    <w:rsid w:val="77B17819"/>
    <w:rsid w:val="77CB1A93"/>
    <w:rsid w:val="77DC3815"/>
    <w:rsid w:val="781629BD"/>
    <w:rsid w:val="782642CC"/>
    <w:rsid w:val="788C05D2"/>
    <w:rsid w:val="789E20B4"/>
    <w:rsid w:val="78A70F68"/>
    <w:rsid w:val="790C526F"/>
    <w:rsid w:val="791A5BDE"/>
    <w:rsid w:val="79273E57"/>
    <w:rsid w:val="792F71B0"/>
    <w:rsid w:val="793D7B1F"/>
    <w:rsid w:val="796E1A86"/>
    <w:rsid w:val="79764DDF"/>
    <w:rsid w:val="798C63B0"/>
    <w:rsid w:val="79AE4579"/>
    <w:rsid w:val="7A04063C"/>
    <w:rsid w:val="7A092C03"/>
    <w:rsid w:val="7A173ECC"/>
    <w:rsid w:val="7A1A39BC"/>
    <w:rsid w:val="7A3A2795"/>
    <w:rsid w:val="7A4D1061"/>
    <w:rsid w:val="7A9D6AC7"/>
    <w:rsid w:val="7AA240DD"/>
    <w:rsid w:val="7AEC35AA"/>
    <w:rsid w:val="7AF16E13"/>
    <w:rsid w:val="7B116B6D"/>
    <w:rsid w:val="7B136D89"/>
    <w:rsid w:val="7B1E128A"/>
    <w:rsid w:val="7B203254"/>
    <w:rsid w:val="7B256ABC"/>
    <w:rsid w:val="7B2D67C2"/>
    <w:rsid w:val="7B66335D"/>
    <w:rsid w:val="7B7517F2"/>
    <w:rsid w:val="7B87251F"/>
    <w:rsid w:val="7BAE6AB2"/>
    <w:rsid w:val="7BB0282A"/>
    <w:rsid w:val="7BE2675B"/>
    <w:rsid w:val="7BE44D35"/>
    <w:rsid w:val="7BE81FC4"/>
    <w:rsid w:val="7BF2699E"/>
    <w:rsid w:val="7C296138"/>
    <w:rsid w:val="7C367375"/>
    <w:rsid w:val="7C7F3FAA"/>
    <w:rsid w:val="7C956304"/>
    <w:rsid w:val="7CA26617"/>
    <w:rsid w:val="7CCF0A8E"/>
    <w:rsid w:val="7D027725"/>
    <w:rsid w:val="7D0746CC"/>
    <w:rsid w:val="7D5947FB"/>
    <w:rsid w:val="7DC67931"/>
    <w:rsid w:val="7DE632A9"/>
    <w:rsid w:val="7DEA3E2D"/>
    <w:rsid w:val="7DF96F41"/>
    <w:rsid w:val="7E2B6198"/>
    <w:rsid w:val="7E2F76E3"/>
    <w:rsid w:val="7E4935A6"/>
    <w:rsid w:val="7E633B84"/>
    <w:rsid w:val="7E805638"/>
    <w:rsid w:val="7E8D27D7"/>
    <w:rsid w:val="7EFA5662"/>
    <w:rsid w:val="7F2C666B"/>
    <w:rsid w:val="7F323556"/>
    <w:rsid w:val="7F8D1710"/>
    <w:rsid w:val="7FB14DC3"/>
    <w:rsid w:val="7FC00B62"/>
    <w:rsid w:val="7FC05006"/>
    <w:rsid w:val="7FF169B4"/>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5" w:lineRule="auto"/>
      <w:outlineLvl w:val="1"/>
    </w:pPr>
    <w:rPr>
      <w:rFonts w:ascii="Arial" w:hAnsi="Arial" w:eastAsia="黑体"/>
      <w:b/>
      <w:kern w:val="0"/>
      <w:sz w:val="36"/>
      <w:szCs w:val="20"/>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line="372" w:lineRule="auto"/>
      <w:outlineLvl w:val="3"/>
    </w:pPr>
    <w:rPr>
      <w:rFonts w:ascii="Cambria" w:hAnsi="Cambria"/>
      <w:b/>
      <w:bCs/>
      <w:sz w:val="28"/>
      <w:szCs w:val="28"/>
    </w:rPr>
  </w:style>
  <w:style w:type="paragraph" w:styleId="5">
    <w:name w:val="heading 5"/>
    <w:basedOn w:val="1"/>
    <w:next w:val="1"/>
    <w:qFormat/>
    <w:uiPriority w:val="0"/>
    <w:pPr>
      <w:keepNext/>
      <w:keepLines/>
      <w:spacing w:line="372"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pPr>
      <w:spacing w:line="360" w:lineRule="auto"/>
      <w:ind w:firstLine="420" w:firstLineChars="200"/>
    </w:pPr>
    <w:rPr>
      <w:rFonts w:ascii="Cambria" w:hAnsi="Cambria" w:eastAsia="黑体"/>
      <w:sz w:val="20"/>
      <w:szCs w:val="20"/>
    </w:rPr>
  </w:style>
  <w:style w:type="paragraph" w:styleId="7">
    <w:name w:val="annotation text"/>
    <w:basedOn w:val="1"/>
    <w:qFormat/>
    <w:uiPriority w:val="0"/>
    <w:pPr>
      <w:jc w:val="left"/>
    </w:pPr>
  </w:style>
  <w:style w:type="paragraph" w:styleId="8">
    <w:name w:val="Body Text"/>
    <w:basedOn w:val="1"/>
    <w:link w:val="54"/>
    <w:qFormat/>
    <w:uiPriority w:val="99"/>
    <w:pPr>
      <w:spacing w:after="120"/>
    </w:pPr>
  </w:style>
  <w:style w:type="paragraph" w:styleId="9">
    <w:name w:val="Body Text Indent"/>
    <w:basedOn w:val="1"/>
    <w:qFormat/>
    <w:uiPriority w:val="99"/>
    <w:pPr>
      <w:spacing w:after="120"/>
      <w:ind w:left="420" w:leftChars="200"/>
    </w:pPr>
  </w:style>
  <w:style w:type="paragraph" w:styleId="10">
    <w:name w:val="toc 3"/>
    <w:basedOn w:val="1"/>
    <w:next w:val="1"/>
    <w:qFormat/>
    <w:uiPriority w:val="39"/>
    <w:pPr>
      <w:ind w:left="840" w:leftChars="400"/>
    </w:pPr>
  </w:style>
  <w:style w:type="paragraph" w:styleId="11">
    <w:name w:val="Plain Text"/>
    <w:basedOn w:val="1"/>
    <w:unhideWhenUsed/>
    <w:qFormat/>
    <w:uiPriority w:val="0"/>
    <w:rPr>
      <w:rFonts w:ascii="宋体" w:hAnsi="宋体"/>
      <w:kern w:val="0"/>
      <w:sz w:val="20"/>
      <w:szCs w:val="28"/>
    </w:rPr>
  </w:style>
  <w:style w:type="paragraph" w:styleId="12">
    <w:name w:val="Balloon Text"/>
    <w:basedOn w:val="1"/>
    <w:link w:val="53"/>
    <w:qFormat/>
    <w:uiPriority w:val="0"/>
    <w:rPr>
      <w:sz w:val="18"/>
      <w:szCs w:val="18"/>
    </w:rPr>
  </w:style>
  <w:style w:type="paragraph" w:styleId="13">
    <w:name w:val="footer"/>
    <w:basedOn w:val="1"/>
    <w:next w:val="14"/>
    <w:qFormat/>
    <w:uiPriority w:val="0"/>
    <w:pPr>
      <w:tabs>
        <w:tab w:val="center" w:pos="4153"/>
        <w:tab w:val="right" w:pos="8306"/>
      </w:tabs>
      <w:snapToGrid w:val="0"/>
      <w:jc w:val="left"/>
    </w:pPr>
    <w:rPr>
      <w:sz w:val="18"/>
      <w:szCs w:val="18"/>
    </w:rPr>
  </w:style>
  <w:style w:type="paragraph" w:styleId="14">
    <w:name w:val="Normal (Web)"/>
    <w:basedOn w:val="1"/>
    <w:qFormat/>
    <w:uiPriority w:val="99"/>
    <w:pPr>
      <w:spacing w:before="100" w:beforeAutospacing="1" w:after="100" w:afterAutospacing="1"/>
      <w:jc w:val="left"/>
    </w:pPr>
    <w:rPr>
      <w:kern w:val="0"/>
      <w:sz w:val="24"/>
    </w:rPr>
  </w:style>
  <w:style w:type="paragraph" w:styleId="15">
    <w:name w:val="envelope return"/>
    <w:basedOn w:val="1"/>
    <w:qFormat/>
    <w:uiPriority w:val="0"/>
    <w:pPr>
      <w:snapToGrid w:val="0"/>
    </w:pPr>
    <w:rPr>
      <w:rFonts w:ascii="Arial" w:hAnsi="Arial"/>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2"/>
    <w:basedOn w:val="1"/>
    <w:next w:val="1"/>
    <w:qFormat/>
    <w:uiPriority w:val="39"/>
    <w:pPr>
      <w:ind w:left="420" w:leftChars="200"/>
    </w:pPr>
  </w:style>
  <w:style w:type="paragraph" w:styleId="19">
    <w:name w:val="Body Text 2"/>
    <w:basedOn w:val="1"/>
    <w:qFormat/>
    <w:uiPriority w:val="99"/>
    <w:pPr>
      <w:spacing w:line="480" w:lineRule="auto"/>
    </w:pPr>
  </w:style>
  <w:style w:type="paragraph" w:styleId="20">
    <w:name w:val="Body Text First Indent"/>
    <w:basedOn w:val="1"/>
    <w:next w:val="21"/>
    <w:qFormat/>
    <w:uiPriority w:val="99"/>
    <w:pPr>
      <w:ind w:firstLine="420" w:firstLineChars="100"/>
    </w:pPr>
  </w:style>
  <w:style w:type="paragraph" w:styleId="21">
    <w:name w:val="Body Text First Indent 2"/>
    <w:basedOn w:val="9"/>
    <w:next w:val="1"/>
    <w:qFormat/>
    <w:uiPriority w:val="99"/>
    <w:pPr>
      <w:ind w:firstLine="420" w:firstLineChars="200"/>
    </w:pPr>
    <w:rPr>
      <w:kern w:val="0"/>
      <w:sz w:val="20"/>
      <w:szCs w:val="20"/>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style>
  <w:style w:type="character" w:styleId="26">
    <w:name w:val="FollowedHyperlink"/>
    <w:basedOn w:val="24"/>
    <w:qFormat/>
    <w:uiPriority w:val="0"/>
    <w:rPr>
      <w:color w:val="333333"/>
      <w:u w:val="none"/>
    </w:rPr>
  </w:style>
  <w:style w:type="character" w:styleId="27">
    <w:name w:val="Emphasis"/>
    <w:basedOn w:val="24"/>
    <w:qFormat/>
    <w:uiPriority w:val="0"/>
  </w:style>
  <w:style w:type="character" w:styleId="28">
    <w:name w:val="HTML Definition"/>
    <w:basedOn w:val="24"/>
    <w:qFormat/>
    <w:uiPriority w:val="0"/>
  </w:style>
  <w:style w:type="character" w:styleId="29">
    <w:name w:val="HTML Typewriter"/>
    <w:basedOn w:val="24"/>
    <w:qFormat/>
    <w:uiPriority w:val="0"/>
    <w:rPr>
      <w:rFonts w:hint="default" w:ascii="monospace" w:hAnsi="monospace" w:eastAsia="monospace" w:cs="monospace"/>
      <w:sz w:val="20"/>
    </w:rPr>
  </w:style>
  <w:style w:type="character" w:styleId="30">
    <w:name w:val="HTML Acronym"/>
    <w:basedOn w:val="24"/>
    <w:qFormat/>
    <w:uiPriority w:val="0"/>
  </w:style>
  <w:style w:type="character" w:styleId="31">
    <w:name w:val="HTML Variable"/>
    <w:basedOn w:val="24"/>
    <w:qFormat/>
    <w:uiPriority w:val="0"/>
  </w:style>
  <w:style w:type="character" w:styleId="32">
    <w:name w:val="Hyperlink"/>
    <w:basedOn w:val="24"/>
    <w:qFormat/>
    <w:uiPriority w:val="99"/>
    <w:rPr>
      <w:color w:val="333333"/>
      <w:u w:val="none"/>
    </w:rPr>
  </w:style>
  <w:style w:type="character" w:styleId="33">
    <w:name w:val="HTML Code"/>
    <w:basedOn w:val="24"/>
    <w:qFormat/>
    <w:uiPriority w:val="0"/>
    <w:rPr>
      <w:rFonts w:hint="default" w:ascii="monospace" w:hAnsi="monospace" w:eastAsia="monospace" w:cs="monospace"/>
      <w:sz w:val="20"/>
    </w:rPr>
  </w:style>
  <w:style w:type="character" w:styleId="34">
    <w:name w:val="HTML Cite"/>
    <w:basedOn w:val="24"/>
    <w:qFormat/>
    <w:uiPriority w:val="0"/>
  </w:style>
  <w:style w:type="character" w:styleId="35">
    <w:name w:val="HTML Keyboard"/>
    <w:basedOn w:val="24"/>
    <w:qFormat/>
    <w:uiPriority w:val="0"/>
    <w:rPr>
      <w:rFonts w:hint="default" w:ascii="monospace" w:hAnsi="monospace" w:eastAsia="monospace" w:cs="monospace"/>
      <w:sz w:val="20"/>
    </w:rPr>
  </w:style>
  <w:style w:type="character" w:styleId="36">
    <w:name w:val="HTML Sample"/>
    <w:basedOn w:val="24"/>
    <w:qFormat/>
    <w:uiPriority w:val="0"/>
    <w:rPr>
      <w:rFonts w:ascii="monospace" w:hAnsi="monospace" w:eastAsia="monospace" w:cs="monospace"/>
    </w:rPr>
  </w:style>
  <w:style w:type="paragraph" w:customStyle="1" w:styleId="37">
    <w:name w:val="正文文本 21"/>
    <w:basedOn w:val="1"/>
    <w:qFormat/>
    <w:uiPriority w:val="0"/>
    <w:pPr>
      <w:widowControl/>
      <w:numPr>
        <w:ilvl w:val="0"/>
        <w:numId w:val="1"/>
      </w:numPr>
      <w:spacing w:beforeLines="50" w:line="336" w:lineRule="auto"/>
      <w:ind w:left="0" w:firstLine="0"/>
    </w:pPr>
    <w:rPr>
      <w:rFonts w:eastAsia="仿宋_GB2312" w:cs="仿宋"/>
      <w:kern w:val="0"/>
      <w:szCs w:val="20"/>
      <w:lang w:eastAsia="en-US"/>
    </w:rPr>
  </w:style>
  <w:style w:type="paragraph" w:customStyle="1" w:styleId="38">
    <w:name w:val="无间隔1"/>
    <w:basedOn w:val="39"/>
    <w:next w:val="40"/>
    <w:qFormat/>
    <w:uiPriority w:val="1"/>
    <w:pPr>
      <w:spacing w:line="400" w:lineRule="exact"/>
      <w:ind w:firstLine="420" w:firstLineChars="200"/>
    </w:pPr>
    <w:rPr>
      <w:sz w:val="24"/>
    </w:rPr>
  </w:style>
  <w:style w:type="paragraph" w:customStyle="1" w:styleId="39">
    <w:name w:val="正文_1"/>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41">
    <w:name w:val="样式 标题 2 + Times New Roman 四号 非加粗 段前: 5 磅 段后: 0 磅 行距: 固定值 20..."/>
    <w:basedOn w:val="2"/>
    <w:qFormat/>
    <w:uiPriority w:val="99"/>
    <w:pPr>
      <w:spacing w:before="100" w:after="0" w:line="400" w:lineRule="exact"/>
    </w:pPr>
    <w:rPr>
      <w:rFonts w:ascii="Times New Roman" w:hAnsi="Times New Roman"/>
      <w:sz w:val="28"/>
      <w:szCs w:val="28"/>
    </w:rPr>
  </w:style>
  <w:style w:type="paragraph" w:customStyle="1" w:styleId="42">
    <w:name w:val="样式 标题 3 + (中文) 黑体 小四 非加粗 段前: 7.8 磅 段后: 0 磅 行距: 固定值 20 磅"/>
    <w:basedOn w:val="3"/>
    <w:next w:val="1"/>
    <w:qFormat/>
    <w:uiPriority w:val="0"/>
    <w:pPr>
      <w:spacing w:before="0" w:after="0" w:line="400" w:lineRule="exact"/>
    </w:pPr>
    <w:rPr>
      <w:rFonts w:eastAsia="黑体" w:cs="宋体"/>
      <w:b w:val="0"/>
      <w:bCs w:val="0"/>
      <w:sz w:val="24"/>
      <w:szCs w:val="20"/>
    </w:rPr>
  </w:style>
  <w:style w:type="paragraph" w:customStyle="1" w:styleId="43">
    <w:name w:val="Table Text"/>
    <w:basedOn w:val="1"/>
    <w:semiHidden/>
    <w:qFormat/>
    <w:uiPriority w:val="0"/>
    <w:rPr>
      <w:rFonts w:ascii="宋体" w:hAnsi="宋体" w:cs="宋体"/>
      <w:sz w:val="20"/>
      <w:szCs w:val="20"/>
      <w:lang w:eastAsia="en-US"/>
    </w:rPr>
  </w:style>
  <w:style w:type="character" w:customStyle="1" w:styleId="44">
    <w:name w:val="font01"/>
    <w:basedOn w:val="24"/>
    <w:qFormat/>
    <w:uiPriority w:val="0"/>
    <w:rPr>
      <w:rFonts w:hint="default" w:ascii="Cambria" w:hAnsi="Cambria" w:eastAsia="Cambria" w:cs="Cambria"/>
      <w:color w:val="191919"/>
      <w:sz w:val="24"/>
      <w:szCs w:val="24"/>
      <w:u w:val="none"/>
      <w:vertAlign w:val="subscript"/>
    </w:rPr>
  </w:style>
  <w:style w:type="character" w:customStyle="1" w:styleId="45">
    <w:name w:val="font21"/>
    <w:basedOn w:val="24"/>
    <w:qFormat/>
    <w:uiPriority w:val="0"/>
    <w:rPr>
      <w:rFonts w:hint="eastAsia" w:ascii="宋体" w:hAnsi="宋体" w:eastAsia="宋体" w:cs="宋体"/>
      <w:color w:val="191919"/>
      <w:sz w:val="21"/>
      <w:szCs w:val="21"/>
      <w:u w:val="none"/>
    </w:rPr>
  </w:style>
  <w:style w:type="character" w:customStyle="1" w:styleId="46">
    <w:name w:val="font31"/>
    <w:basedOn w:val="24"/>
    <w:qFormat/>
    <w:uiPriority w:val="0"/>
    <w:rPr>
      <w:rFonts w:hint="default" w:ascii="Cambria" w:hAnsi="Cambria" w:eastAsia="Cambria" w:cs="Cambria"/>
      <w:color w:val="191919"/>
      <w:sz w:val="24"/>
      <w:szCs w:val="24"/>
      <w:u w:val="none"/>
    </w:rPr>
  </w:style>
  <w:style w:type="character" w:customStyle="1" w:styleId="47">
    <w:name w:val="font61"/>
    <w:basedOn w:val="24"/>
    <w:qFormat/>
    <w:uiPriority w:val="0"/>
    <w:rPr>
      <w:rFonts w:hint="default" w:ascii="Cambria" w:hAnsi="Cambria" w:eastAsia="Cambria" w:cs="Cambria"/>
      <w:color w:val="191919"/>
      <w:sz w:val="21"/>
      <w:szCs w:val="21"/>
      <w:u w:val="none"/>
    </w:rPr>
  </w:style>
  <w:style w:type="table" w:customStyle="1" w:styleId="48">
    <w:name w:val="Table Normal"/>
    <w:unhideWhenUsed/>
    <w:qFormat/>
    <w:uiPriority w:val="0"/>
    <w:tblPr>
      <w:tblCellMar>
        <w:top w:w="0" w:type="dxa"/>
        <w:left w:w="0" w:type="dxa"/>
        <w:bottom w:w="0" w:type="dxa"/>
        <w:right w:w="0" w:type="dxa"/>
      </w:tblCellMar>
    </w:tblPr>
  </w:style>
  <w:style w:type="paragraph" w:styleId="49">
    <w:name w:val="List Paragraph"/>
    <w:basedOn w:val="1"/>
    <w:qFormat/>
    <w:uiPriority w:val="99"/>
    <w:pPr>
      <w:ind w:firstLine="420" w:firstLineChars="200"/>
    </w:pPr>
  </w:style>
  <w:style w:type="character" w:customStyle="1" w:styleId="50">
    <w:name w:val="无"/>
    <w:qFormat/>
    <w:uiPriority w:val="0"/>
    <w:rPr>
      <w:lang w:val="zh-TW" w:eastAsia="zh-TW"/>
    </w:rPr>
  </w:style>
  <w:style w:type="paragraph" w:customStyle="1" w:styleId="51">
    <w:name w:val="Default"/>
    <w:basedOn w:val="11"/>
    <w:next w:val="52"/>
    <w:qFormat/>
    <w:uiPriority w:val="0"/>
    <w:pPr>
      <w:autoSpaceDE w:val="0"/>
      <w:autoSpaceDN w:val="0"/>
      <w:adjustRightInd w:val="0"/>
    </w:pPr>
    <w:rPr>
      <w:rFonts w:hAnsi="Calibri" w:cs="宋体"/>
      <w:color w:val="000000"/>
      <w:sz w:val="24"/>
      <w:szCs w:val="24"/>
    </w:rPr>
  </w:style>
  <w:style w:type="paragraph" w:customStyle="1" w:styleId="52">
    <w:name w:val="大标题"/>
    <w:basedOn w:val="1"/>
    <w:next w:val="21"/>
    <w:qFormat/>
    <w:uiPriority w:val="0"/>
    <w:pPr>
      <w:jc w:val="center"/>
    </w:pPr>
    <w:rPr>
      <w:rFonts w:ascii="Arial" w:hAnsi="Arial"/>
      <w:b/>
      <w:sz w:val="28"/>
    </w:rPr>
  </w:style>
  <w:style w:type="character" w:customStyle="1" w:styleId="53">
    <w:name w:val="批注框文本 Char"/>
    <w:basedOn w:val="24"/>
    <w:link w:val="12"/>
    <w:qFormat/>
    <w:uiPriority w:val="0"/>
    <w:rPr>
      <w:kern w:val="2"/>
      <w:sz w:val="18"/>
      <w:szCs w:val="18"/>
    </w:rPr>
  </w:style>
  <w:style w:type="character" w:customStyle="1" w:styleId="54">
    <w:name w:val="正文文本 Char"/>
    <w:basedOn w:val="24"/>
    <w:link w:val="8"/>
    <w:qFormat/>
    <w:uiPriority w:val="99"/>
    <w:rPr>
      <w:kern w:val="2"/>
      <w:sz w:val="21"/>
      <w:szCs w:val="24"/>
    </w:rPr>
  </w:style>
  <w:style w:type="character" w:customStyle="1" w:styleId="55">
    <w:name w:val="hover"/>
    <w:basedOn w:val="24"/>
    <w:qFormat/>
    <w:uiPriority w:val="0"/>
    <w:rPr>
      <w:color w:val="2590EB"/>
    </w:rPr>
  </w:style>
  <w:style w:type="character" w:customStyle="1" w:styleId="56">
    <w:name w:val="hover1"/>
    <w:basedOn w:val="24"/>
    <w:qFormat/>
    <w:uiPriority w:val="0"/>
    <w:rPr>
      <w:color w:val="2590EB"/>
    </w:rPr>
  </w:style>
  <w:style w:type="character" w:customStyle="1" w:styleId="57">
    <w:name w:val="hover2"/>
    <w:basedOn w:val="24"/>
    <w:qFormat/>
    <w:uiPriority w:val="0"/>
  </w:style>
  <w:style w:type="character" w:customStyle="1" w:styleId="58">
    <w:name w:val="mini-outputtext1"/>
    <w:basedOn w:val="2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97</Pages>
  <Words>31603</Words>
  <Characters>33945</Characters>
  <Lines>418</Lines>
  <Paragraphs>117</Paragraphs>
  <TotalTime>0</TotalTime>
  <ScaleCrop>false</ScaleCrop>
  <LinksUpToDate>false</LinksUpToDate>
  <CharactersWithSpaces>34610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2025-04-24T08:14:00Z</dcterms:created>
  <dc:creator>Administrator</dc:creator>
  <cp:lastModifiedBy>佳</cp:lastModifiedBy>
  <cp:lastPrinted>2026-02-27T08:36:00Z</cp:lastPrinted>
  <dcterms:modified xsi:type="dcterms:W3CDTF">2026-08-14T15:02:31Z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eyJoZGlkIjoiZDJmNWViZjBhMjI3Nzk0ODJjMTRjZDc1ZDdjNWNhNDgiLCJ1c2VySWQiOiI3MjM3NDYzMzQifQ==</vt:lpwstr>
  </property>
  <property fmtid="{D5CDD505-2E9C-101B-9397-08002B2CF9AE}" pid="4" name="ICV">
    <vt:lpwstr>9F52003E1B994C75AA68F06B7F10E117_13</vt:lpwstr>
  </property>
</Properties>
</file>