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2AF6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auto"/>
          <w:sz w:val="40"/>
          <w:szCs w:val="40"/>
          <w:highlight w:val="none"/>
          <w:lang w:val="en-US" w:eastAsia="zh-CN"/>
        </w:rPr>
      </w:pPr>
    </w:p>
    <w:p w14:paraId="6A868C6C">
      <w:pPr>
        <w:tabs>
          <w:tab w:val="left" w:pos="1842"/>
          <w:tab w:val="center" w:pos="4199"/>
        </w:tabs>
        <w:spacing w:line="360" w:lineRule="auto"/>
        <w:jc w:val="center"/>
        <w:rPr>
          <w:rFonts w:hint="eastAsia" w:ascii="宋体" w:hAnsi="宋体" w:eastAsia="宋体" w:cs="宋体"/>
          <w:b/>
          <w:bCs/>
          <w:color w:val="auto"/>
          <w:spacing w:val="120"/>
          <w:sz w:val="84"/>
          <w:szCs w:val="84"/>
          <w:highlight w:val="none"/>
          <w:lang w:eastAsia="zh-CN"/>
        </w:rPr>
      </w:pPr>
      <w:r>
        <w:rPr>
          <w:rFonts w:hint="eastAsia"/>
          <w:b/>
          <w:bCs/>
          <w:color w:val="auto"/>
          <w:sz w:val="40"/>
          <w:szCs w:val="40"/>
          <w:highlight w:val="none"/>
          <w:lang w:val="en-US" w:eastAsia="zh-CN"/>
        </w:rPr>
        <w:t>荥阳市民政局荥阳市殡葬事务服务中心惠民殡葬用品采购项目</w:t>
      </w:r>
    </w:p>
    <w:p w14:paraId="1AD36343">
      <w:pPr>
        <w:tabs>
          <w:tab w:val="left" w:pos="1842"/>
          <w:tab w:val="center" w:pos="4199"/>
        </w:tabs>
        <w:spacing w:line="360" w:lineRule="auto"/>
        <w:jc w:val="center"/>
        <w:rPr>
          <w:rFonts w:hint="eastAsia" w:ascii="宋体" w:hAnsi="宋体" w:eastAsia="宋体" w:cs="宋体"/>
          <w:b/>
          <w:bCs/>
          <w:color w:val="auto"/>
          <w:spacing w:val="120"/>
          <w:sz w:val="72"/>
          <w:szCs w:val="72"/>
          <w:highlight w:val="none"/>
        </w:rPr>
      </w:pPr>
    </w:p>
    <w:p w14:paraId="4F7A0A1A">
      <w:pPr>
        <w:tabs>
          <w:tab w:val="left" w:pos="1842"/>
          <w:tab w:val="center" w:pos="4199"/>
        </w:tabs>
        <w:spacing w:line="360" w:lineRule="auto"/>
        <w:jc w:val="center"/>
        <w:rPr>
          <w:rFonts w:hint="eastAsia" w:ascii="宋体" w:hAnsi="宋体" w:eastAsia="宋体" w:cs="宋体"/>
          <w:color w:val="auto"/>
          <w:spacing w:val="120"/>
          <w:sz w:val="60"/>
          <w:szCs w:val="60"/>
          <w:highlight w:val="none"/>
        </w:rPr>
      </w:pPr>
      <w:r>
        <w:rPr>
          <w:rFonts w:hint="eastAsia" w:ascii="宋体" w:hAnsi="宋体" w:eastAsia="宋体" w:cs="宋体"/>
          <w:b/>
          <w:bCs/>
          <w:color w:val="auto"/>
          <w:spacing w:val="120"/>
          <w:sz w:val="72"/>
          <w:szCs w:val="72"/>
          <w:highlight w:val="none"/>
        </w:rPr>
        <w:t>磋商文件</w:t>
      </w:r>
    </w:p>
    <w:p w14:paraId="3496DF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8"/>
          <w:szCs w:val="18"/>
          <w:highlight w:val="none"/>
          <w:lang w:val="en-US" w:eastAsia="zh-CN"/>
        </w:rPr>
      </w:pPr>
      <w:r>
        <w:rPr>
          <w:rFonts w:hint="eastAsia" w:ascii="宋体" w:hAnsi="宋体" w:eastAsia="宋体" w:cs="宋体"/>
          <w:b/>
          <w:bCs/>
          <w:color w:val="auto"/>
          <w:sz w:val="28"/>
          <w:szCs w:val="18"/>
          <w:highlight w:val="none"/>
          <w:lang w:eastAsia="zh-CN"/>
        </w:rPr>
        <w:t>采购项目编号：</w:t>
      </w:r>
      <w:r>
        <w:rPr>
          <w:rFonts w:hint="eastAsia" w:ascii="宋体" w:hAnsi="宋体" w:eastAsia="宋体" w:cs="宋体"/>
          <w:b/>
          <w:bCs/>
          <w:color w:val="auto"/>
          <w:sz w:val="28"/>
          <w:szCs w:val="18"/>
          <w:highlight w:val="none"/>
          <w:lang w:val="en-US" w:eastAsia="zh-CN"/>
        </w:rPr>
        <w:t>荥财磋商-2026-9</w:t>
      </w:r>
    </w:p>
    <w:p w14:paraId="66CDC753">
      <w:pPr>
        <w:spacing w:line="360"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drawing>
          <wp:anchor distT="0" distB="0" distL="114300" distR="114300" simplePos="0" relativeHeight="251659264" behindDoc="0" locked="0" layoutInCell="1" allowOverlap="1">
            <wp:simplePos x="0" y="0"/>
            <wp:positionH relativeFrom="column">
              <wp:posOffset>1017905</wp:posOffset>
            </wp:positionH>
            <wp:positionV relativeFrom="paragraph">
              <wp:posOffset>223520</wp:posOffset>
            </wp:positionV>
            <wp:extent cx="2973705" cy="2137410"/>
            <wp:effectExtent l="0" t="0" r="17145" b="15240"/>
            <wp:wrapNone/>
            <wp:docPr id="4" name="Picture 2" descr="河南联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河南联达"/>
                    <pic:cNvPicPr>
                      <a:picLocks noChangeAspect="1" noChangeArrowheads="1"/>
                    </pic:cNvPicPr>
                  </pic:nvPicPr>
                  <pic:blipFill>
                    <a:blip r:embed="rId12" cstate="print"/>
                    <a:stretch>
                      <a:fillRect/>
                    </a:stretch>
                  </pic:blipFill>
                  <pic:spPr>
                    <a:xfrm>
                      <a:off x="0" y="0"/>
                      <a:ext cx="2973705" cy="2137410"/>
                    </a:xfrm>
                    <a:prstGeom prst="rect">
                      <a:avLst/>
                    </a:prstGeom>
                    <a:noFill/>
                    <a:ln w="9525">
                      <a:noFill/>
                      <a:miter lim="800000"/>
                      <a:headEnd/>
                      <a:tailEnd/>
                    </a:ln>
                  </pic:spPr>
                </pic:pic>
              </a:graphicData>
            </a:graphic>
          </wp:anchor>
        </w:drawing>
      </w:r>
    </w:p>
    <w:p w14:paraId="08C9296B">
      <w:pPr>
        <w:tabs>
          <w:tab w:val="left" w:pos="2835"/>
        </w:tabs>
        <w:spacing w:line="360" w:lineRule="auto"/>
        <w:jc w:val="center"/>
        <w:rPr>
          <w:rFonts w:hint="eastAsia" w:ascii="宋体" w:hAnsi="宋体" w:eastAsia="宋体" w:cs="宋体"/>
          <w:color w:val="auto"/>
          <w:sz w:val="28"/>
          <w:highlight w:val="none"/>
        </w:rPr>
      </w:pPr>
    </w:p>
    <w:p w14:paraId="27C4DB70">
      <w:pPr>
        <w:spacing w:line="360" w:lineRule="auto"/>
        <w:rPr>
          <w:rFonts w:hint="eastAsia" w:ascii="宋体" w:hAnsi="宋体" w:eastAsia="宋体" w:cs="宋体"/>
          <w:color w:val="auto"/>
          <w:sz w:val="32"/>
          <w:szCs w:val="36"/>
          <w:highlight w:val="none"/>
        </w:rPr>
      </w:pPr>
    </w:p>
    <w:p w14:paraId="64ACE385">
      <w:pPr>
        <w:spacing w:line="360" w:lineRule="auto"/>
        <w:ind w:firstLine="1120" w:firstLineChars="350"/>
        <w:rPr>
          <w:rFonts w:hint="eastAsia" w:ascii="宋体" w:hAnsi="宋体" w:eastAsia="宋体" w:cs="宋体"/>
          <w:color w:val="auto"/>
          <w:sz w:val="32"/>
          <w:szCs w:val="36"/>
          <w:highlight w:val="none"/>
        </w:rPr>
      </w:pPr>
    </w:p>
    <w:p w14:paraId="0E35A47F">
      <w:pPr>
        <w:spacing w:line="360" w:lineRule="auto"/>
        <w:ind w:firstLine="1120" w:firstLineChars="350"/>
        <w:rPr>
          <w:rFonts w:hint="eastAsia" w:ascii="宋体" w:hAnsi="宋体" w:eastAsia="宋体" w:cs="宋体"/>
          <w:color w:val="auto"/>
          <w:sz w:val="32"/>
          <w:szCs w:val="36"/>
          <w:highlight w:val="none"/>
        </w:rPr>
      </w:pPr>
    </w:p>
    <w:p w14:paraId="5AE49E78">
      <w:pPr>
        <w:pStyle w:val="11"/>
        <w:rPr>
          <w:rFonts w:hint="eastAsia" w:ascii="宋体" w:hAnsi="宋体" w:eastAsia="宋体" w:cs="宋体"/>
          <w:b/>
          <w:color w:val="auto"/>
          <w:sz w:val="32"/>
          <w:szCs w:val="36"/>
          <w:highlight w:val="none"/>
        </w:rPr>
      </w:pPr>
    </w:p>
    <w:p w14:paraId="64C5CA37">
      <w:pPr>
        <w:tabs>
          <w:tab w:val="left" w:pos="1122"/>
        </w:tabs>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b/>
      </w:r>
    </w:p>
    <w:p w14:paraId="023FD169">
      <w:pPr>
        <w:spacing w:line="360" w:lineRule="auto"/>
        <w:ind w:firstLine="1124" w:firstLineChars="350"/>
        <w:rPr>
          <w:rFonts w:hint="eastAsia" w:ascii="宋体" w:hAnsi="宋体" w:eastAsia="宋体" w:cs="宋体"/>
          <w:b/>
          <w:color w:val="auto"/>
          <w:sz w:val="32"/>
          <w:szCs w:val="36"/>
          <w:highlight w:val="none"/>
        </w:rPr>
      </w:pPr>
    </w:p>
    <w:p w14:paraId="7FDE4346">
      <w:pPr>
        <w:spacing w:line="360" w:lineRule="auto"/>
        <w:ind w:firstLine="389" w:firstLineChars="100"/>
        <w:rPr>
          <w:rFonts w:hint="eastAsia" w:ascii="宋体" w:hAnsi="宋体" w:eastAsia="宋体" w:cs="宋体"/>
          <w:b/>
          <w:color w:val="auto"/>
          <w:spacing w:val="14"/>
          <w:sz w:val="36"/>
          <w:szCs w:val="36"/>
          <w:highlight w:val="none"/>
        </w:rPr>
      </w:pPr>
      <w:r>
        <w:rPr>
          <w:rFonts w:hint="eastAsia" w:ascii="宋体" w:hAnsi="宋体" w:eastAsia="宋体" w:cs="宋体"/>
          <w:b/>
          <w:color w:val="auto"/>
          <w:spacing w:val="14"/>
          <w:sz w:val="36"/>
          <w:szCs w:val="36"/>
          <w:highlight w:val="none"/>
          <w:lang w:eastAsia="zh-CN"/>
        </w:rPr>
        <w:t>采</w:t>
      </w:r>
      <w:r>
        <w:rPr>
          <w:rFonts w:hint="eastAsia" w:ascii="宋体" w:hAnsi="宋体" w:eastAsia="宋体" w:cs="宋体"/>
          <w:b/>
          <w:color w:val="auto"/>
          <w:spacing w:val="14"/>
          <w:sz w:val="36"/>
          <w:szCs w:val="36"/>
          <w:highlight w:val="none"/>
          <w:lang w:val="en-US" w:eastAsia="zh-CN"/>
        </w:rPr>
        <w:t xml:space="preserve"> </w:t>
      </w:r>
      <w:r>
        <w:rPr>
          <w:rFonts w:hint="eastAsia" w:ascii="宋体" w:hAnsi="宋体" w:eastAsia="宋体" w:cs="宋体"/>
          <w:b/>
          <w:color w:val="auto"/>
          <w:spacing w:val="14"/>
          <w:sz w:val="36"/>
          <w:szCs w:val="36"/>
          <w:highlight w:val="none"/>
          <w:lang w:eastAsia="zh-CN"/>
        </w:rPr>
        <w:t>购</w:t>
      </w:r>
      <w:r>
        <w:rPr>
          <w:rFonts w:hint="eastAsia" w:ascii="宋体" w:hAnsi="宋体" w:eastAsia="宋体" w:cs="宋体"/>
          <w:b/>
          <w:color w:val="auto"/>
          <w:spacing w:val="14"/>
          <w:sz w:val="36"/>
          <w:szCs w:val="36"/>
          <w:highlight w:val="none"/>
        </w:rPr>
        <w:t xml:space="preserve"> 人：</w:t>
      </w:r>
      <w:r>
        <w:rPr>
          <w:rFonts w:hint="eastAsia" w:ascii="宋体" w:hAnsi="宋体" w:cs="宋体"/>
          <w:b/>
          <w:color w:val="auto"/>
          <w:spacing w:val="14"/>
          <w:kern w:val="0"/>
          <w:sz w:val="36"/>
          <w:szCs w:val="36"/>
          <w:highlight w:val="none"/>
          <w:lang w:val="en-US" w:eastAsia="zh-CN" w:bidi="ar-SA"/>
        </w:rPr>
        <w:t>荥阳市民政局</w:t>
      </w:r>
    </w:p>
    <w:p w14:paraId="1714229B">
      <w:pPr>
        <w:spacing w:line="360" w:lineRule="auto"/>
        <w:ind w:firstLine="389" w:firstLineChars="100"/>
        <w:rPr>
          <w:rFonts w:hint="eastAsia" w:ascii="宋体" w:hAnsi="宋体" w:eastAsia="宋体" w:cs="宋体"/>
          <w:color w:val="auto"/>
          <w:spacing w:val="14"/>
          <w:kern w:val="0"/>
          <w:sz w:val="36"/>
          <w:szCs w:val="36"/>
          <w:highlight w:val="none"/>
          <w:lang w:eastAsia="zh-CN"/>
        </w:rPr>
      </w:pPr>
      <w:r>
        <w:rPr>
          <w:rFonts w:hint="eastAsia" w:ascii="宋体" w:hAnsi="宋体" w:eastAsia="宋体" w:cs="宋体"/>
          <w:b/>
          <w:color w:val="auto"/>
          <w:spacing w:val="14"/>
          <w:sz w:val="36"/>
          <w:szCs w:val="36"/>
          <w:highlight w:val="none"/>
        </w:rPr>
        <w:t>代理</w:t>
      </w:r>
      <w:r>
        <w:rPr>
          <w:rFonts w:hint="eastAsia" w:ascii="宋体" w:hAnsi="宋体" w:eastAsia="宋体" w:cs="宋体"/>
          <w:b/>
          <w:color w:val="auto"/>
          <w:spacing w:val="14"/>
          <w:sz w:val="36"/>
          <w:szCs w:val="36"/>
          <w:highlight w:val="none"/>
          <w:lang w:eastAsia="zh-CN"/>
        </w:rPr>
        <w:t>机构</w:t>
      </w:r>
      <w:r>
        <w:rPr>
          <w:rFonts w:hint="eastAsia" w:ascii="宋体" w:hAnsi="宋体" w:eastAsia="宋体" w:cs="宋体"/>
          <w:b/>
          <w:color w:val="auto"/>
          <w:spacing w:val="14"/>
          <w:sz w:val="36"/>
          <w:szCs w:val="36"/>
          <w:highlight w:val="none"/>
        </w:rPr>
        <w:t>：</w:t>
      </w:r>
      <w:r>
        <w:rPr>
          <w:rFonts w:hint="eastAsia" w:ascii="宋体" w:hAnsi="宋体" w:cs="宋体"/>
          <w:b/>
          <w:color w:val="auto"/>
          <w:spacing w:val="14"/>
          <w:sz w:val="36"/>
          <w:szCs w:val="36"/>
          <w:highlight w:val="none"/>
          <w:lang w:eastAsia="zh-CN"/>
        </w:rPr>
        <w:t>河南联达工程管理有限公司</w:t>
      </w:r>
    </w:p>
    <w:p w14:paraId="69CC0126">
      <w:pPr>
        <w:ind w:firstLine="389" w:firstLineChars="100"/>
        <w:rPr>
          <w:rFonts w:hint="eastAsia" w:ascii="宋体" w:hAnsi="宋体" w:eastAsia="宋体" w:cs="宋体"/>
          <w:color w:val="auto"/>
          <w:highlight w:val="none"/>
          <w:lang w:eastAsia="zh-CN"/>
        </w:rPr>
      </w:pPr>
      <w:r>
        <w:rPr>
          <w:rFonts w:hint="eastAsia" w:ascii="宋体" w:hAnsi="宋体" w:cs="宋体"/>
          <w:b/>
          <w:color w:val="auto"/>
          <w:spacing w:val="14"/>
          <w:sz w:val="36"/>
          <w:szCs w:val="36"/>
          <w:highlight w:val="none"/>
          <w:lang w:eastAsia="zh-CN"/>
        </w:rPr>
        <w:t>日</w:t>
      </w:r>
      <w:r>
        <w:rPr>
          <w:rFonts w:hint="eastAsia" w:ascii="宋体" w:hAnsi="宋体" w:cs="宋体"/>
          <w:b/>
          <w:color w:val="auto"/>
          <w:spacing w:val="14"/>
          <w:sz w:val="36"/>
          <w:szCs w:val="36"/>
          <w:highlight w:val="none"/>
          <w:lang w:val="en-US" w:eastAsia="zh-CN"/>
        </w:rPr>
        <w:t xml:space="preserve">    </w:t>
      </w:r>
      <w:r>
        <w:rPr>
          <w:rFonts w:hint="eastAsia" w:ascii="宋体" w:hAnsi="宋体" w:cs="宋体"/>
          <w:b/>
          <w:color w:val="auto"/>
          <w:spacing w:val="14"/>
          <w:sz w:val="36"/>
          <w:szCs w:val="36"/>
          <w:highlight w:val="none"/>
          <w:lang w:eastAsia="zh-CN"/>
        </w:rPr>
        <w:t>期</w:t>
      </w:r>
      <w:r>
        <w:rPr>
          <w:rFonts w:hint="eastAsia" w:ascii="宋体" w:hAnsi="宋体" w:eastAsia="宋体" w:cs="宋体"/>
          <w:b/>
          <w:color w:val="auto"/>
          <w:spacing w:val="14"/>
          <w:sz w:val="36"/>
          <w:szCs w:val="36"/>
          <w:highlight w:val="none"/>
        </w:rPr>
        <w:t>：</w:t>
      </w:r>
      <w:r>
        <w:rPr>
          <w:rFonts w:hint="eastAsia" w:ascii="宋体" w:hAnsi="宋体" w:eastAsia="宋体" w:cs="宋体"/>
          <w:b/>
          <w:color w:val="auto"/>
          <w:spacing w:val="14"/>
          <w:sz w:val="36"/>
          <w:szCs w:val="36"/>
          <w:highlight w:val="none"/>
          <w:lang w:eastAsia="zh-CN"/>
        </w:rPr>
        <w:t>二〇二</w:t>
      </w:r>
      <w:r>
        <w:rPr>
          <w:rFonts w:hint="eastAsia" w:ascii="宋体" w:hAnsi="宋体" w:cs="宋体"/>
          <w:b/>
          <w:color w:val="auto"/>
          <w:spacing w:val="14"/>
          <w:sz w:val="36"/>
          <w:szCs w:val="36"/>
          <w:highlight w:val="none"/>
          <w:lang w:val="en-US" w:eastAsia="zh-CN"/>
        </w:rPr>
        <w:t>六</w:t>
      </w:r>
      <w:r>
        <w:rPr>
          <w:rFonts w:hint="eastAsia" w:ascii="宋体" w:hAnsi="宋体" w:eastAsia="宋体" w:cs="宋体"/>
          <w:b/>
          <w:color w:val="auto"/>
          <w:spacing w:val="14"/>
          <w:sz w:val="36"/>
          <w:szCs w:val="36"/>
          <w:highlight w:val="none"/>
          <w:lang w:eastAsia="zh-CN"/>
        </w:rPr>
        <w:t>年</w:t>
      </w:r>
      <w:r>
        <w:rPr>
          <w:rFonts w:hint="eastAsia" w:ascii="宋体" w:hAnsi="宋体" w:cs="宋体"/>
          <w:b/>
          <w:color w:val="auto"/>
          <w:spacing w:val="14"/>
          <w:sz w:val="36"/>
          <w:szCs w:val="36"/>
          <w:highlight w:val="none"/>
          <w:lang w:val="en-US" w:eastAsia="zh-CN"/>
        </w:rPr>
        <w:t>四</w:t>
      </w:r>
      <w:r>
        <w:rPr>
          <w:rFonts w:hint="eastAsia" w:ascii="宋体" w:hAnsi="宋体" w:eastAsia="宋体" w:cs="宋体"/>
          <w:b/>
          <w:color w:val="auto"/>
          <w:spacing w:val="14"/>
          <w:sz w:val="36"/>
          <w:szCs w:val="36"/>
          <w:highlight w:val="none"/>
          <w:lang w:eastAsia="zh-CN"/>
        </w:rPr>
        <w:t>月</w:t>
      </w:r>
      <w:r>
        <w:rPr>
          <w:rFonts w:hint="eastAsia" w:ascii="宋体" w:hAnsi="宋体" w:cs="宋体"/>
          <w:b/>
          <w:color w:val="auto"/>
          <w:spacing w:val="14"/>
          <w:sz w:val="36"/>
          <w:szCs w:val="36"/>
          <w:highlight w:val="none"/>
          <w:lang w:eastAsia="zh-CN"/>
        </w:rPr>
        <w:t xml:space="preserve"> </w:t>
      </w:r>
    </w:p>
    <w:p w14:paraId="69CEFE5A">
      <w:pPr>
        <w:jc w:val="center"/>
        <w:rPr>
          <w:rFonts w:hint="eastAsia" w:ascii="宋体" w:hAnsi="宋体" w:eastAsia="宋体" w:cs="宋体"/>
          <w:b/>
          <w:color w:val="auto"/>
          <w:sz w:val="36"/>
          <w:szCs w:val="36"/>
          <w:highlight w:val="none"/>
        </w:rPr>
        <w:sectPr>
          <w:footerReference r:id="rId5" w:type="first"/>
          <w:headerReference r:id="rId3" w:type="default"/>
          <w:footerReference r:id="rId4"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4ADEB4BB">
      <w:pPr>
        <w:tabs>
          <w:tab w:val="left" w:pos="3528"/>
          <w:tab w:val="center" w:pos="4453"/>
        </w:tabs>
        <w:jc w:val="left"/>
        <w:rPr>
          <w:rFonts w:hint="eastAsia" w:ascii="宋体" w:hAnsi="宋体" w:eastAsia="宋体" w:cs="宋体"/>
          <w:b/>
          <w:color w:val="auto"/>
          <w:sz w:val="36"/>
          <w:szCs w:val="36"/>
          <w:highlight w:val="none"/>
          <w:lang w:eastAsia="zh-CN"/>
        </w:rPr>
      </w:pPr>
    </w:p>
    <w:p w14:paraId="4989D54A">
      <w:pPr>
        <w:tabs>
          <w:tab w:val="left" w:pos="3528"/>
          <w:tab w:val="center" w:pos="4453"/>
        </w:tabs>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ab/>
      </w:r>
      <w:r>
        <w:rPr>
          <w:rFonts w:hint="eastAsia" w:ascii="宋体" w:hAnsi="宋体" w:eastAsia="宋体" w:cs="宋体"/>
          <w:b/>
          <w:color w:val="auto"/>
          <w:sz w:val="36"/>
          <w:szCs w:val="36"/>
          <w:highlight w:val="none"/>
        </w:rPr>
        <w:t xml:space="preserve"> 目  </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录</w:t>
      </w:r>
    </w:p>
    <w:p w14:paraId="5E36FC41">
      <w:pPr>
        <w:pStyle w:val="2"/>
        <w:rPr>
          <w:rFonts w:hint="eastAsia" w:ascii="宋体" w:hAnsi="宋体" w:eastAsia="宋体" w:cs="宋体"/>
          <w:color w:val="auto"/>
          <w:highlight w:val="none"/>
        </w:rPr>
      </w:pPr>
    </w:p>
    <w:p w14:paraId="30A9F411">
      <w:pPr>
        <w:pStyle w:val="2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36"/>
          <w:highlight w:val="none"/>
        </w:rPr>
      </w:pPr>
      <w:bookmarkStart w:id="0" w:name="_Toc277235214"/>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\z</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_Toc25109 </w:instrText>
      </w:r>
      <w:r>
        <w:rPr>
          <w:rFonts w:hint="eastAsia" w:ascii="宋体" w:hAnsi="宋体" w:eastAsia="宋体" w:cs="宋体"/>
          <w:color w:val="auto"/>
          <w:sz w:val="28"/>
          <w:szCs w:val="40"/>
          <w:highlight w:val="none"/>
        </w:rPr>
        <w:fldChar w:fldCharType="separate"/>
      </w:r>
      <w:r>
        <w:rPr>
          <w:rFonts w:hint="eastAsia" w:ascii="宋体" w:hAnsi="宋体" w:eastAsia="宋体" w:cs="宋体"/>
          <w:bCs/>
          <w:color w:val="auto"/>
          <w:sz w:val="28"/>
          <w:szCs w:val="48"/>
          <w:highlight w:val="none"/>
        </w:rPr>
        <w:t>第一章  竞争性磋商公告</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_Toc25109 \h </w:instrText>
      </w:r>
      <w:r>
        <w:rPr>
          <w:color w:val="auto"/>
          <w:sz w:val="28"/>
          <w:szCs w:val="36"/>
          <w:highlight w:val="none"/>
        </w:rPr>
        <w:fldChar w:fldCharType="separate"/>
      </w:r>
      <w:r>
        <w:rPr>
          <w:color w:val="auto"/>
          <w:sz w:val="28"/>
          <w:szCs w:val="36"/>
          <w:highlight w:val="none"/>
        </w:rPr>
        <w:t>- 1 -</w:t>
      </w:r>
      <w:r>
        <w:rPr>
          <w:color w:val="auto"/>
          <w:sz w:val="28"/>
          <w:szCs w:val="36"/>
          <w:highlight w:val="none"/>
        </w:rPr>
        <w:fldChar w:fldCharType="end"/>
      </w:r>
      <w:r>
        <w:rPr>
          <w:rFonts w:hint="eastAsia" w:ascii="宋体" w:hAnsi="宋体" w:eastAsia="宋体" w:cs="宋体"/>
          <w:color w:val="auto"/>
          <w:sz w:val="28"/>
          <w:szCs w:val="40"/>
          <w:highlight w:val="none"/>
        </w:rPr>
        <w:fldChar w:fldCharType="end"/>
      </w:r>
    </w:p>
    <w:p w14:paraId="65D9024B">
      <w:pPr>
        <w:pStyle w:val="2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36"/>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_Toc25172 </w:instrText>
      </w:r>
      <w:r>
        <w:rPr>
          <w:rFonts w:hint="eastAsia" w:ascii="宋体" w:hAnsi="宋体" w:eastAsia="宋体" w:cs="宋体"/>
          <w:color w:val="auto"/>
          <w:sz w:val="28"/>
          <w:szCs w:val="40"/>
          <w:highlight w:val="none"/>
        </w:rPr>
        <w:fldChar w:fldCharType="separate"/>
      </w:r>
      <w:r>
        <w:rPr>
          <w:rFonts w:hint="eastAsia" w:ascii="宋体" w:hAnsi="宋体" w:eastAsia="宋体" w:cs="宋体"/>
          <w:bCs/>
          <w:color w:val="auto"/>
          <w:sz w:val="28"/>
          <w:szCs w:val="48"/>
          <w:highlight w:val="none"/>
        </w:rPr>
        <w:t xml:space="preserve">第二章 </w:t>
      </w:r>
      <w:r>
        <w:rPr>
          <w:rFonts w:hint="eastAsia" w:ascii="宋体" w:hAnsi="宋体" w:eastAsia="宋体" w:cs="宋体"/>
          <w:bCs/>
          <w:color w:val="auto"/>
          <w:sz w:val="28"/>
          <w:szCs w:val="48"/>
          <w:highlight w:val="none"/>
          <w:lang w:val="en-US" w:eastAsia="zh-CN"/>
        </w:rPr>
        <w:t xml:space="preserve"> </w:t>
      </w:r>
      <w:r>
        <w:rPr>
          <w:rFonts w:hint="eastAsia" w:ascii="宋体" w:hAnsi="宋体" w:eastAsia="宋体" w:cs="宋体"/>
          <w:bCs/>
          <w:color w:val="auto"/>
          <w:sz w:val="28"/>
          <w:szCs w:val="48"/>
          <w:highlight w:val="none"/>
          <w:lang w:eastAsia="zh-CN"/>
        </w:rPr>
        <w:t>供应商</w:t>
      </w:r>
      <w:r>
        <w:rPr>
          <w:rFonts w:hint="eastAsia" w:ascii="宋体" w:hAnsi="宋体" w:eastAsia="宋体" w:cs="宋体"/>
          <w:bCs/>
          <w:color w:val="auto"/>
          <w:sz w:val="28"/>
          <w:szCs w:val="48"/>
          <w:highlight w:val="none"/>
        </w:rPr>
        <w:t>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_Toc25172 \h </w:instrText>
      </w:r>
      <w:r>
        <w:rPr>
          <w:color w:val="auto"/>
          <w:sz w:val="28"/>
          <w:szCs w:val="36"/>
          <w:highlight w:val="none"/>
        </w:rPr>
        <w:fldChar w:fldCharType="separate"/>
      </w:r>
      <w:r>
        <w:rPr>
          <w:color w:val="auto"/>
          <w:sz w:val="28"/>
          <w:szCs w:val="36"/>
          <w:highlight w:val="none"/>
        </w:rPr>
        <w:t>- 4 -</w:t>
      </w:r>
      <w:r>
        <w:rPr>
          <w:color w:val="auto"/>
          <w:sz w:val="28"/>
          <w:szCs w:val="36"/>
          <w:highlight w:val="none"/>
        </w:rPr>
        <w:fldChar w:fldCharType="end"/>
      </w:r>
      <w:r>
        <w:rPr>
          <w:rFonts w:hint="eastAsia" w:ascii="宋体" w:hAnsi="宋体" w:eastAsia="宋体" w:cs="宋体"/>
          <w:color w:val="auto"/>
          <w:sz w:val="28"/>
          <w:szCs w:val="40"/>
          <w:highlight w:val="none"/>
        </w:rPr>
        <w:fldChar w:fldCharType="end"/>
      </w:r>
    </w:p>
    <w:p w14:paraId="60C96488">
      <w:pPr>
        <w:pStyle w:val="2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36"/>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_Toc7731 </w:instrText>
      </w:r>
      <w:r>
        <w:rPr>
          <w:rFonts w:hint="eastAsia" w:ascii="宋体" w:hAnsi="宋体" w:eastAsia="宋体" w:cs="宋体"/>
          <w:color w:val="auto"/>
          <w:sz w:val="28"/>
          <w:szCs w:val="40"/>
          <w:highlight w:val="none"/>
        </w:rPr>
        <w:fldChar w:fldCharType="separate"/>
      </w:r>
      <w:r>
        <w:rPr>
          <w:rFonts w:hint="eastAsia" w:ascii="宋体" w:hAnsi="宋体" w:eastAsia="宋体" w:cs="宋体"/>
          <w:bCs/>
          <w:color w:val="auto"/>
          <w:sz w:val="28"/>
          <w:szCs w:val="48"/>
          <w:highlight w:val="none"/>
        </w:rPr>
        <w:t>第三章  评</w:t>
      </w:r>
      <w:r>
        <w:rPr>
          <w:rFonts w:hint="eastAsia" w:ascii="宋体" w:hAnsi="宋体" w:cs="宋体"/>
          <w:bCs/>
          <w:color w:val="auto"/>
          <w:sz w:val="28"/>
          <w:szCs w:val="48"/>
          <w:highlight w:val="none"/>
          <w:lang w:val="en-US" w:eastAsia="zh-CN"/>
        </w:rPr>
        <w:t>审</w:t>
      </w:r>
      <w:r>
        <w:rPr>
          <w:rFonts w:hint="eastAsia" w:ascii="宋体" w:hAnsi="宋体" w:eastAsia="宋体" w:cs="宋体"/>
          <w:bCs/>
          <w:color w:val="auto"/>
          <w:sz w:val="28"/>
          <w:szCs w:val="48"/>
          <w:highlight w:val="none"/>
        </w:rPr>
        <w:t>办法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_Toc7731 \h </w:instrText>
      </w:r>
      <w:r>
        <w:rPr>
          <w:color w:val="auto"/>
          <w:sz w:val="28"/>
          <w:szCs w:val="36"/>
          <w:highlight w:val="none"/>
        </w:rPr>
        <w:fldChar w:fldCharType="separate"/>
      </w:r>
      <w:r>
        <w:rPr>
          <w:color w:val="auto"/>
          <w:sz w:val="28"/>
          <w:szCs w:val="36"/>
          <w:highlight w:val="none"/>
        </w:rPr>
        <w:t>- 20 -</w:t>
      </w:r>
      <w:r>
        <w:rPr>
          <w:color w:val="auto"/>
          <w:sz w:val="28"/>
          <w:szCs w:val="36"/>
          <w:highlight w:val="none"/>
        </w:rPr>
        <w:fldChar w:fldCharType="end"/>
      </w:r>
      <w:r>
        <w:rPr>
          <w:rFonts w:hint="eastAsia" w:ascii="宋体" w:hAnsi="宋体" w:eastAsia="宋体" w:cs="宋体"/>
          <w:color w:val="auto"/>
          <w:sz w:val="28"/>
          <w:szCs w:val="40"/>
          <w:highlight w:val="none"/>
        </w:rPr>
        <w:fldChar w:fldCharType="end"/>
      </w:r>
    </w:p>
    <w:p w14:paraId="563D58AA">
      <w:pPr>
        <w:pStyle w:val="2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36"/>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_Toc8053 </w:instrText>
      </w:r>
      <w:r>
        <w:rPr>
          <w:rFonts w:hint="eastAsia" w:ascii="宋体" w:hAnsi="宋体" w:eastAsia="宋体" w:cs="宋体"/>
          <w:color w:val="auto"/>
          <w:sz w:val="28"/>
          <w:szCs w:val="40"/>
          <w:highlight w:val="none"/>
        </w:rPr>
        <w:fldChar w:fldCharType="separate"/>
      </w:r>
      <w:r>
        <w:rPr>
          <w:rFonts w:hint="eastAsia" w:ascii="宋体" w:hAnsi="宋体" w:eastAsia="宋体" w:cs="宋体"/>
          <w:bCs/>
          <w:color w:val="auto"/>
          <w:sz w:val="28"/>
          <w:szCs w:val="48"/>
          <w:highlight w:val="none"/>
          <w:lang w:val="en-US" w:eastAsia="zh-CN"/>
        </w:rPr>
        <w:t>第四章  合同条款及格式（参考文本）</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_Toc8053 \h </w:instrText>
      </w:r>
      <w:r>
        <w:rPr>
          <w:color w:val="auto"/>
          <w:sz w:val="28"/>
          <w:szCs w:val="36"/>
          <w:highlight w:val="none"/>
        </w:rPr>
        <w:fldChar w:fldCharType="separate"/>
      </w:r>
      <w:r>
        <w:rPr>
          <w:color w:val="auto"/>
          <w:sz w:val="28"/>
          <w:szCs w:val="36"/>
          <w:highlight w:val="none"/>
        </w:rPr>
        <w:t>- 28 -</w:t>
      </w:r>
      <w:r>
        <w:rPr>
          <w:color w:val="auto"/>
          <w:sz w:val="28"/>
          <w:szCs w:val="36"/>
          <w:highlight w:val="none"/>
        </w:rPr>
        <w:fldChar w:fldCharType="end"/>
      </w:r>
      <w:r>
        <w:rPr>
          <w:rFonts w:hint="eastAsia" w:ascii="宋体" w:hAnsi="宋体" w:eastAsia="宋体" w:cs="宋体"/>
          <w:color w:val="auto"/>
          <w:sz w:val="28"/>
          <w:szCs w:val="40"/>
          <w:highlight w:val="none"/>
        </w:rPr>
        <w:fldChar w:fldCharType="end"/>
      </w:r>
    </w:p>
    <w:p w14:paraId="7D518050">
      <w:pPr>
        <w:pStyle w:val="2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36"/>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_Toc31999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8"/>
          <w:highlight w:val="none"/>
          <w:lang w:val="en-US" w:eastAsia="zh-CN"/>
        </w:rPr>
        <w:t>第五章  采购需求</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_Toc31999 \h </w:instrText>
      </w:r>
      <w:r>
        <w:rPr>
          <w:color w:val="auto"/>
          <w:sz w:val="28"/>
          <w:szCs w:val="36"/>
          <w:highlight w:val="none"/>
        </w:rPr>
        <w:fldChar w:fldCharType="separate"/>
      </w:r>
      <w:r>
        <w:rPr>
          <w:color w:val="auto"/>
          <w:sz w:val="28"/>
          <w:szCs w:val="36"/>
          <w:highlight w:val="none"/>
        </w:rPr>
        <w:t>- 31 -</w:t>
      </w:r>
      <w:r>
        <w:rPr>
          <w:color w:val="auto"/>
          <w:sz w:val="28"/>
          <w:szCs w:val="36"/>
          <w:highlight w:val="none"/>
        </w:rPr>
        <w:fldChar w:fldCharType="end"/>
      </w:r>
      <w:r>
        <w:rPr>
          <w:rFonts w:hint="eastAsia" w:ascii="宋体" w:hAnsi="宋体" w:eastAsia="宋体" w:cs="宋体"/>
          <w:color w:val="auto"/>
          <w:sz w:val="28"/>
          <w:szCs w:val="40"/>
          <w:highlight w:val="none"/>
        </w:rPr>
        <w:fldChar w:fldCharType="end"/>
      </w:r>
    </w:p>
    <w:p w14:paraId="5B1108C2">
      <w:pPr>
        <w:pStyle w:val="20"/>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_Toc154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8"/>
          <w:highlight w:val="none"/>
          <w:lang w:val="en-US" w:eastAsia="zh-CN"/>
        </w:rPr>
        <w:t>第六章  响应文件格式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_Toc154 \h </w:instrText>
      </w:r>
      <w:r>
        <w:rPr>
          <w:color w:val="auto"/>
          <w:sz w:val="28"/>
          <w:szCs w:val="36"/>
          <w:highlight w:val="none"/>
        </w:rPr>
        <w:fldChar w:fldCharType="separate"/>
      </w:r>
      <w:r>
        <w:rPr>
          <w:color w:val="auto"/>
          <w:sz w:val="28"/>
          <w:szCs w:val="36"/>
          <w:highlight w:val="none"/>
        </w:rPr>
        <w:t>- 33 -</w:t>
      </w:r>
      <w:r>
        <w:rPr>
          <w:color w:val="auto"/>
          <w:sz w:val="28"/>
          <w:szCs w:val="36"/>
          <w:highlight w:val="none"/>
        </w:rPr>
        <w:fldChar w:fldCharType="end"/>
      </w:r>
      <w:r>
        <w:rPr>
          <w:rFonts w:hint="eastAsia" w:ascii="宋体" w:hAnsi="宋体" w:eastAsia="宋体" w:cs="宋体"/>
          <w:color w:val="auto"/>
          <w:sz w:val="28"/>
          <w:szCs w:val="40"/>
          <w:highlight w:val="none"/>
        </w:rPr>
        <w:fldChar w:fldCharType="end"/>
      </w:r>
    </w:p>
    <w:p w14:paraId="7A4C1374">
      <w:pPr>
        <w:autoSpaceDE w:val="0"/>
        <w:autoSpaceDN w:val="0"/>
        <w:adjustRightInd w:val="0"/>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Cs w:val="28"/>
          <w:highlight w:val="none"/>
        </w:rPr>
        <w:fldChar w:fldCharType="end"/>
      </w:r>
    </w:p>
    <w:p w14:paraId="42D91D25">
      <w:pPr>
        <w:autoSpaceDE w:val="0"/>
        <w:autoSpaceDN w:val="0"/>
        <w:adjustRightInd w:val="0"/>
        <w:spacing w:line="360" w:lineRule="auto"/>
        <w:rPr>
          <w:rFonts w:hint="eastAsia" w:ascii="宋体" w:hAnsi="宋体" w:eastAsia="宋体" w:cs="宋体"/>
          <w:color w:val="auto"/>
          <w:sz w:val="24"/>
          <w:highlight w:val="none"/>
        </w:rPr>
      </w:pPr>
    </w:p>
    <w:p w14:paraId="00D31308">
      <w:pPr>
        <w:autoSpaceDE w:val="0"/>
        <w:autoSpaceDN w:val="0"/>
        <w:adjustRightInd w:val="0"/>
        <w:spacing w:line="360" w:lineRule="auto"/>
        <w:rPr>
          <w:rFonts w:hint="eastAsia" w:ascii="宋体" w:hAnsi="宋体" w:eastAsia="宋体" w:cs="宋体"/>
          <w:color w:val="auto"/>
          <w:sz w:val="24"/>
          <w:highlight w:val="none"/>
        </w:rPr>
      </w:pPr>
    </w:p>
    <w:p w14:paraId="6018FA0C">
      <w:pPr>
        <w:tabs>
          <w:tab w:val="left" w:pos="1658"/>
        </w:tabs>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ab/>
      </w:r>
    </w:p>
    <w:p w14:paraId="2F079B80">
      <w:pPr>
        <w:autoSpaceDE w:val="0"/>
        <w:autoSpaceDN w:val="0"/>
        <w:adjustRightInd w:val="0"/>
        <w:spacing w:line="360" w:lineRule="auto"/>
        <w:rPr>
          <w:rFonts w:hint="eastAsia" w:ascii="宋体" w:hAnsi="宋体" w:eastAsia="宋体" w:cs="宋体"/>
          <w:color w:val="auto"/>
          <w:sz w:val="24"/>
          <w:highlight w:val="none"/>
        </w:rPr>
      </w:pPr>
    </w:p>
    <w:p w14:paraId="73F2F0FF">
      <w:pPr>
        <w:autoSpaceDE w:val="0"/>
        <w:autoSpaceDN w:val="0"/>
        <w:adjustRightInd w:val="0"/>
        <w:spacing w:line="360" w:lineRule="auto"/>
        <w:rPr>
          <w:rFonts w:hint="eastAsia" w:ascii="宋体" w:hAnsi="宋体" w:eastAsia="宋体" w:cs="宋体"/>
          <w:color w:val="auto"/>
          <w:sz w:val="24"/>
          <w:highlight w:val="none"/>
        </w:rPr>
      </w:pPr>
    </w:p>
    <w:p w14:paraId="4A7ADE32">
      <w:pPr>
        <w:autoSpaceDE w:val="0"/>
        <w:autoSpaceDN w:val="0"/>
        <w:adjustRightInd w:val="0"/>
        <w:spacing w:line="360" w:lineRule="auto"/>
        <w:rPr>
          <w:rFonts w:hint="eastAsia" w:ascii="宋体" w:hAnsi="宋体" w:eastAsia="宋体" w:cs="宋体"/>
          <w:color w:val="auto"/>
          <w:sz w:val="24"/>
          <w:highlight w:val="none"/>
        </w:rPr>
      </w:pPr>
    </w:p>
    <w:p w14:paraId="7BE489D8">
      <w:pPr>
        <w:autoSpaceDE w:val="0"/>
        <w:autoSpaceDN w:val="0"/>
        <w:adjustRightInd w:val="0"/>
        <w:spacing w:line="360" w:lineRule="auto"/>
        <w:rPr>
          <w:rFonts w:hint="eastAsia" w:ascii="宋体" w:hAnsi="宋体" w:eastAsia="宋体" w:cs="宋体"/>
          <w:color w:val="auto"/>
          <w:sz w:val="24"/>
          <w:highlight w:val="none"/>
        </w:rPr>
      </w:pPr>
    </w:p>
    <w:p w14:paraId="5BFA4336">
      <w:pPr>
        <w:autoSpaceDE w:val="0"/>
        <w:autoSpaceDN w:val="0"/>
        <w:adjustRightInd w:val="0"/>
        <w:spacing w:line="360" w:lineRule="auto"/>
        <w:rPr>
          <w:rFonts w:hint="eastAsia" w:ascii="宋体" w:hAnsi="宋体" w:eastAsia="宋体" w:cs="宋体"/>
          <w:color w:val="auto"/>
          <w:sz w:val="24"/>
          <w:highlight w:val="none"/>
        </w:rPr>
      </w:pPr>
    </w:p>
    <w:p w14:paraId="6EE922E5">
      <w:pPr>
        <w:autoSpaceDE w:val="0"/>
        <w:autoSpaceDN w:val="0"/>
        <w:adjustRightInd w:val="0"/>
        <w:spacing w:line="360" w:lineRule="auto"/>
        <w:rPr>
          <w:rFonts w:hint="eastAsia" w:ascii="宋体" w:hAnsi="宋体" w:eastAsia="宋体" w:cs="宋体"/>
          <w:color w:val="auto"/>
          <w:sz w:val="24"/>
          <w:highlight w:val="none"/>
        </w:rPr>
      </w:pPr>
    </w:p>
    <w:p w14:paraId="75086316">
      <w:pPr>
        <w:autoSpaceDE w:val="0"/>
        <w:autoSpaceDN w:val="0"/>
        <w:adjustRightInd w:val="0"/>
        <w:spacing w:line="360" w:lineRule="auto"/>
        <w:rPr>
          <w:rFonts w:hint="eastAsia" w:ascii="宋体" w:hAnsi="宋体" w:eastAsia="宋体" w:cs="宋体"/>
          <w:color w:val="auto"/>
          <w:sz w:val="24"/>
          <w:highlight w:val="none"/>
        </w:rPr>
      </w:pPr>
    </w:p>
    <w:p w14:paraId="195FFF2C">
      <w:pPr>
        <w:autoSpaceDE w:val="0"/>
        <w:autoSpaceDN w:val="0"/>
        <w:adjustRightInd w:val="0"/>
        <w:spacing w:line="360" w:lineRule="auto"/>
        <w:rPr>
          <w:rFonts w:hint="eastAsia" w:ascii="宋体" w:hAnsi="宋体" w:eastAsia="宋体" w:cs="宋体"/>
          <w:color w:val="auto"/>
          <w:sz w:val="24"/>
          <w:highlight w:val="none"/>
        </w:rPr>
      </w:pPr>
    </w:p>
    <w:p w14:paraId="7A5E3F13">
      <w:pPr>
        <w:autoSpaceDE w:val="0"/>
        <w:autoSpaceDN w:val="0"/>
        <w:adjustRightInd w:val="0"/>
        <w:spacing w:line="360" w:lineRule="auto"/>
        <w:rPr>
          <w:rFonts w:hint="eastAsia" w:ascii="宋体" w:hAnsi="宋体" w:eastAsia="宋体" w:cs="宋体"/>
          <w:color w:val="auto"/>
          <w:sz w:val="24"/>
          <w:highlight w:val="none"/>
        </w:rPr>
      </w:pPr>
    </w:p>
    <w:p w14:paraId="7CD76214">
      <w:pPr>
        <w:autoSpaceDE w:val="0"/>
        <w:autoSpaceDN w:val="0"/>
        <w:adjustRightInd w:val="0"/>
        <w:spacing w:line="360" w:lineRule="auto"/>
        <w:rPr>
          <w:rFonts w:hint="eastAsia" w:ascii="宋体" w:hAnsi="宋体" w:eastAsia="宋体" w:cs="宋体"/>
          <w:color w:val="auto"/>
          <w:sz w:val="24"/>
          <w:highlight w:val="none"/>
        </w:rPr>
      </w:pPr>
    </w:p>
    <w:p w14:paraId="74ED0AAF">
      <w:pPr>
        <w:autoSpaceDE w:val="0"/>
        <w:autoSpaceDN w:val="0"/>
        <w:adjustRightInd w:val="0"/>
        <w:spacing w:line="360" w:lineRule="auto"/>
        <w:rPr>
          <w:rFonts w:hint="eastAsia" w:ascii="宋体" w:hAnsi="宋体" w:eastAsia="宋体" w:cs="宋体"/>
          <w:color w:val="auto"/>
          <w:sz w:val="24"/>
          <w:highlight w:val="none"/>
        </w:rPr>
      </w:pPr>
    </w:p>
    <w:p w14:paraId="2CA1DBB7">
      <w:pPr>
        <w:autoSpaceDE w:val="0"/>
        <w:autoSpaceDN w:val="0"/>
        <w:adjustRightInd w:val="0"/>
        <w:spacing w:line="360" w:lineRule="auto"/>
        <w:rPr>
          <w:rFonts w:hint="eastAsia" w:ascii="宋体" w:hAnsi="宋体" w:eastAsia="宋体" w:cs="宋体"/>
          <w:color w:val="auto"/>
          <w:sz w:val="24"/>
          <w:highlight w:val="none"/>
        </w:rPr>
      </w:pPr>
    </w:p>
    <w:p w14:paraId="765998A8">
      <w:pPr>
        <w:autoSpaceDE w:val="0"/>
        <w:autoSpaceDN w:val="0"/>
        <w:adjustRightInd w:val="0"/>
        <w:spacing w:line="360" w:lineRule="auto"/>
        <w:rPr>
          <w:rFonts w:hint="eastAsia" w:ascii="宋体" w:hAnsi="宋体" w:eastAsia="宋体" w:cs="宋体"/>
          <w:color w:val="auto"/>
          <w:sz w:val="24"/>
          <w:highlight w:val="none"/>
        </w:rPr>
      </w:pPr>
    </w:p>
    <w:p w14:paraId="5500C446">
      <w:pPr>
        <w:pStyle w:val="6"/>
        <w:rPr>
          <w:rFonts w:hint="eastAsia" w:ascii="宋体" w:hAnsi="宋体" w:eastAsia="宋体" w:cs="宋体"/>
          <w:color w:val="auto"/>
          <w:highlight w:val="none"/>
        </w:rPr>
        <w:sectPr>
          <w:footerReference r:id="rId9" w:type="first"/>
          <w:headerReference r:id="rId6" w:type="default"/>
          <w:footerReference r:id="rId7" w:type="default"/>
          <w:footerReference r:id="rId8" w:type="even"/>
          <w:pgSz w:w="11906" w:h="16838"/>
          <w:pgMar w:top="1440" w:right="1531" w:bottom="1440" w:left="1588"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40B4328E">
      <w:pPr>
        <w:rPr>
          <w:rFonts w:hint="eastAsia" w:ascii="宋体" w:hAnsi="宋体" w:eastAsia="宋体" w:cs="宋体"/>
          <w:color w:val="auto"/>
          <w:highlight w:val="none"/>
        </w:rPr>
      </w:pPr>
    </w:p>
    <w:bookmarkEnd w:id="0"/>
    <w:p w14:paraId="57538407">
      <w:pPr>
        <w:pStyle w:val="4"/>
        <w:spacing w:line="440" w:lineRule="exact"/>
        <w:jc w:val="center"/>
        <w:rPr>
          <w:rFonts w:hint="eastAsia" w:ascii="宋体" w:hAnsi="宋体" w:eastAsia="宋体" w:cs="宋体"/>
          <w:bCs/>
          <w:color w:val="auto"/>
          <w:sz w:val="36"/>
          <w:szCs w:val="36"/>
          <w:highlight w:val="none"/>
        </w:rPr>
      </w:pPr>
      <w:bookmarkStart w:id="1" w:name="_Toc25109"/>
      <w:bookmarkStart w:id="2" w:name="_Toc23662"/>
      <w:r>
        <w:rPr>
          <w:rFonts w:hint="eastAsia" w:ascii="宋体" w:hAnsi="宋体" w:eastAsia="宋体" w:cs="宋体"/>
          <w:bCs/>
          <w:color w:val="auto"/>
          <w:sz w:val="36"/>
          <w:szCs w:val="36"/>
          <w:highlight w:val="none"/>
        </w:rPr>
        <w:t>第一章  竞争性磋商公告</w:t>
      </w:r>
      <w:bookmarkEnd w:id="1"/>
      <w:bookmarkEnd w:id="2"/>
    </w:p>
    <w:p w14:paraId="1219A23E">
      <w:pPr>
        <w:rPr>
          <w:rFonts w:hint="eastAsia" w:ascii="宋体" w:hAnsi="宋体" w:eastAsia="宋体" w:cs="宋体"/>
          <w:color w:val="auto"/>
          <w:highlight w:val="none"/>
        </w:rPr>
      </w:pPr>
    </w:p>
    <w:p w14:paraId="50B1B962">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left"/>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一、项目基本情况</w:t>
      </w:r>
    </w:p>
    <w:p w14:paraId="3B6E736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1.项目编号：荥财磋商-2026-9</w:t>
      </w:r>
    </w:p>
    <w:p w14:paraId="7BE501A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项目名</w:t>
      </w:r>
      <w:r>
        <w:rPr>
          <w:rFonts w:hint="eastAsia" w:ascii="宋体" w:hAnsi="宋体" w:eastAsia="宋体" w:cs="宋体"/>
          <w:color w:val="auto"/>
          <w:sz w:val="24"/>
          <w:szCs w:val="24"/>
          <w:highlight w:val="none"/>
          <w:lang w:val="en-US" w:eastAsia="zh-CN"/>
        </w:rPr>
        <w:t>称：</w:t>
      </w:r>
      <w:r>
        <w:rPr>
          <w:rFonts w:hint="eastAsia" w:ascii="宋体" w:hAnsi="宋体" w:cs="宋体"/>
          <w:color w:val="auto"/>
          <w:sz w:val="24"/>
          <w:szCs w:val="24"/>
          <w:highlight w:val="none"/>
          <w:lang w:val="en-US" w:eastAsia="zh-CN"/>
        </w:rPr>
        <w:t>荥阳市民政局荥阳市殡葬事务服务中心惠民殡葬用品采购项目</w:t>
      </w:r>
    </w:p>
    <w:p w14:paraId="3751C9D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采购方式：竞争性磋商</w:t>
      </w:r>
    </w:p>
    <w:p w14:paraId="2B6C8EE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color w:val="auto"/>
          <w:highlight w:val="none"/>
          <w:lang w:eastAsia="zh-CN"/>
        </w:rPr>
      </w:pPr>
      <w:r>
        <w:rPr>
          <w:rFonts w:hint="eastAsia" w:ascii="宋体" w:hAnsi="宋体" w:eastAsia="宋体" w:cs="宋体"/>
          <w:color w:val="auto"/>
          <w:sz w:val="24"/>
          <w:szCs w:val="24"/>
          <w:highlight w:val="none"/>
          <w:lang w:val="en-US" w:eastAsia="zh-CN"/>
        </w:rPr>
        <w:t>4.预算金额：1500000元 最高限价：1500000元</w:t>
      </w:r>
    </w:p>
    <w:tbl>
      <w:tblPr>
        <w:tblStyle w:val="3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08"/>
        <w:gridCol w:w="1069"/>
        <w:gridCol w:w="1876"/>
        <w:gridCol w:w="907"/>
        <w:gridCol w:w="907"/>
        <w:gridCol w:w="1179"/>
        <w:gridCol w:w="2721"/>
      </w:tblGrid>
      <w:tr w14:paraId="23469F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25" w:type="pct"/>
            <w:shd w:val="clear" w:color="auto" w:fill="auto"/>
            <w:tcMar>
              <w:top w:w="120" w:type="dxa"/>
            </w:tcMar>
            <w:vAlign w:val="center"/>
          </w:tcPr>
          <w:p w14:paraId="21439EBC">
            <w:pPr>
              <w:keepNext w:val="0"/>
              <w:keepLines w:val="0"/>
              <w:pageBreakBefore w:val="0"/>
              <w:widowControl/>
              <w:kinsoku w:val="0"/>
              <w:wordWrap/>
              <w:overflowPunct/>
              <w:topLinePunct w:val="0"/>
              <w:autoSpaceDE w:val="0"/>
              <w:autoSpaceDN w:val="0"/>
              <w:bidi w:val="0"/>
              <w:adjustRightInd w:val="0"/>
              <w:snapToGrid w:val="0"/>
              <w:spacing w:before="186" w:line="300" w:lineRule="exact"/>
              <w:jc w:val="both"/>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序号</w:t>
            </w:r>
          </w:p>
        </w:tc>
        <w:tc>
          <w:tcPr>
            <w:tcW w:w="589" w:type="pct"/>
            <w:shd w:val="clear" w:color="auto" w:fill="auto"/>
            <w:tcMar>
              <w:top w:w="120" w:type="dxa"/>
            </w:tcMar>
            <w:vAlign w:val="center"/>
          </w:tcPr>
          <w:p w14:paraId="4CB32821">
            <w:pPr>
              <w:keepNext w:val="0"/>
              <w:keepLines w:val="0"/>
              <w:pageBreakBefore w:val="0"/>
              <w:widowControl/>
              <w:kinsoku w:val="0"/>
              <w:wordWrap/>
              <w:overflowPunct/>
              <w:topLinePunct w:val="0"/>
              <w:autoSpaceDE w:val="0"/>
              <w:autoSpaceDN w:val="0"/>
              <w:bidi w:val="0"/>
              <w:adjustRightInd w:val="0"/>
              <w:snapToGrid w:val="0"/>
              <w:spacing w:before="186" w:line="300" w:lineRule="exact"/>
              <w:ind w:left="10"/>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包号</w:t>
            </w:r>
          </w:p>
        </w:tc>
        <w:tc>
          <w:tcPr>
            <w:tcW w:w="1034" w:type="pct"/>
            <w:shd w:val="clear" w:color="auto" w:fill="auto"/>
            <w:tcMar>
              <w:top w:w="120" w:type="dxa"/>
            </w:tcMar>
            <w:vAlign w:val="center"/>
          </w:tcPr>
          <w:p w14:paraId="494F1393">
            <w:pPr>
              <w:keepNext w:val="0"/>
              <w:keepLines w:val="0"/>
              <w:pageBreakBefore w:val="0"/>
              <w:widowControl/>
              <w:kinsoku w:val="0"/>
              <w:wordWrap/>
              <w:overflowPunct/>
              <w:topLinePunct w:val="0"/>
              <w:autoSpaceDE w:val="0"/>
              <w:autoSpaceDN w:val="0"/>
              <w:bidi w:val="0"/>
              <w:adjustRightInd w:val="0"/>
              <w:snapToGrid w:val="0"/>
              <w:spacing w:before="186" w:line="300" w:lineRule="exact"/>
              <w:ind w:left="10"/>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包名称</w:t>
            </w:r>
          </w:p>
        </w:tc>
        <w:tc>
          <w:tcPr>
            <w:tcW w:w="500" w:type="pct"/>
            <w:shd w:val="clear" w:color="auto" w:fill="auto"/>
            <w:tcMar>
              <w:top w:w="120" w:type="dxa"/>
            </w:tcMar>
            <w:vAlign w:val="center"/>
          </w:tcPr>
          <w:p w14:paraId="5B1A8BAD">
            <w:pPr>
              <w:keepNext w:val="0"/>
              <w:keepLines w:val="0"/>
              <w:pageBreakBefore w:val="0"/>
              <w:widowControl/>
              <w:kinsoku w:val="0"/>
              <w:wordWrap/>
              <w:overflowPunct/>
              <w:topLinePunct w:val="0"/>
              <w:autoSpaceDE w:val="0"/>
              <w:autoSpaceDN w:val="0"/>
              <w:bidi w:val="0"/>
              <w:adjustRightInd w:val="0"/>
              <w:snapToGrid w:val="0"/>
              <w:spacing w:before="186" w:line="300" w:lineRule="exact"/>
              <w:ind w:left="10"/>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包预算</w:t>
            </w:r>
          </w:p>
          <w:p w14:paraId="320DB177">
            <w:pPr>
              <w:keepNext w:val="0"/>
              <w:keepLines w:val="0"/>
              <w:pageBreakBefore w:val="0"/>
              <w:widowControl/>
              <w:kinsoku w:val="0"/>
              <w:wordWrap/>
              <w:overflowPunct/>
              <w:topLinePunct w:val="0"/>
              <w:autoSpaceDE w:val="0"/>
              <w:autoSpaceDN w:val="0"/>
              <w:bidi w:val="0"/>
              <w:adjustRightInd w:val="0"/>
              <w:snapToGrid w:val="0"/>
              <w:spacing w:before="186" w:line="300" w:lineRule="exact"/>
              <w:ind w:left="10"/>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（元）</w:t>
            </w:r>
          </w:p>
        </w:tc>
        <w:tc>
          <w:tcPr>
            <w:tcW w:w="500" w:type="pct"/>
            <w:shd w:val="clear" w:color="auto" w:fill="auto"/>
            <w:tcMar>
              <w:top w:w="120" w:type="dxa"/>
            </w:tcMar>
            <w:vAlign w:val="center"/>
          </w:tcPr>
          <w:p w14:paraId="6D36D1F6">
            <w:pPr>
              <w:keepNext w:val="0"/>
              <w:keepLines w:val="0"/>
              <w:pageBreakBefore w:val="0"/>
              <w:widowControl/>
              <w:kinsoku w:val="0"/>
              <w:wordWrap/>
              <w:overflowPunct/>
              <w:topLinePunct w:val="0"/>
              <w:autoSpaceDE w:val="0"/>
              <w:autoSpaceDN w:val="0"/>
              <w:bidi w:val="0"/>
              <w:adjustRightInd w:val="0"/>
              <w:snapToGrid w:val="0"/>
              <w:spacing w:before="186" w:line="300" w:lineRule="exact"/>
              <w:ind w:left="10"/>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包最高限价（元）</w:t>
            </w:r>
          </w:p>
        </w:tc>
        <w:tc>
          <w:tcPr>
            <w:tcW w:w="650" w:type="pct"/>
            <w:shd w:val="clear" w:color="auto" w:fill="auto"/>
            <w:tcMar>
              <w:top w:w="120" w:type="dxa"/>
            </w:tcMar>
            <w:vAlign w:val="center"/>
          </w:tcPr>
          <w:p w14:paraId="70888E4E">
            <w:pPr>
              <w:keepNext w:val="0"/>
              <w:keepLines w:val="0"/>
              <w:pageBreakBefore w:val="0"/>
              <w:widowControl/>
              <w:kinsoku w:val="0"/>
              <w:wordWrap/>
              <w:overflowPunct/>
              <w:topLinePunct w:val="0"/>
              <w:autoSpaceDE w:val="0"/>
              <w:autoSpaceDN w:val="0"/>
              <w:bidi w:val="0"/>
              <w:adjustRightInd w:val="0"/>
              <w:snapToGrid w:val="0"/>
              <w:spacing w:before="186" w:line="300" w:lineRule="exact"/>
              <w:ind w:left="10"/>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是否专门面向中小企业</w:t>
            </w:r>
          </w:p>
        </w:tc>
        <w:tc>
          <w:tcPr>
            <w:tcW w:w="1499" w:type="pct"/>
            <w:shd w:val="clear" w:color="auto" w:fill="auto"/>
            <w:tcMar>
              <w:top w:w="120" w:type="dxa"/>
            </w:tcMar>
            <w:vAlign w:val="center"/>
          </w:tcPr>
          <w:p w14:paraId="5A519374">
            <w:pPr>
              <w:keepNext w:val="0"/>
              <w:keepLines w:val="0"/>
              <w:pageBreakBefore w:val="0"/>
              <w:widowControl/>
              <w:kinsoku w:val="0"/>
              <w:wordWrap/>
              <w:overflowPunct/>
              <w:topLinePunct w:val="0"/>
              <w:autoSpaceDE w:val="0"/>
              <w:autoSpaceDN w:val="0"/>
              <w:bidi w:val="0"/>
              <w:adjustRightInd w:val="0"/>
              <w:snapToGrid w:val="0"/>
              <w:spacing w:before="186" w:line="300" w:lineRule="exact"/>
              <w:ind w:left="10"/>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采购预留金额（元）</w:t>
            </w:r>
          </w:p>
        </w:tc>
      </w:tr>
      <w:tr w14:paraId="56ABFE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25" w:type="pct"/>
            <w:shd w:val="clear" w:color="auto" w:fill="auto"/>
            <w:tcMar>
              <w:top w:w="120" w:type="dxa"/>
            </w:tcMar>
            <w:vAlign w:val="center"/>
          </w:tcPr>
          <w:p w14:paraId="4F8AD6C0">
            <w:pPr>
              <w:keepNext w:val="0"/>
              <w:keepLines w:val="0"/>
              <w:pageBreakBefore w:val="0"/>
              <w:widowControl/>
              <w:kinsoku w:val="0"/>
              <w:wordWrap/>
              <w:overflowPunct/>
              <w:topLinePunct w:val="0"/>
              <w:autoSpaceDE w:val="0"/>
              <w:autoSpaceDN w:val="0"/>
              <w:bidi w:val="0"/>
              <w:adjustRightInd w:val="0"/>
              <w:snapToGrid w:val="0"/>
              <w:spacing w:before="186" w:line="300" w:lineRule="exact"/>
              <w:ind w:left="10"/>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w:t>
            </w:r>
          </w:p>
        </w:tc>
        <w:tc>
          <w:tcPr>
            <w:tcW w:w="589" w:type="pct"/>
            <w:shd w:val="clear" w:color="auto" w:fill="auto"/>
            <w:tcMar>
              <w:top w:w="120" w:type="dxa"/>
            </w:tcMar>
            <w:vAlign w:val="center"/>
          </w:tcPr>
          <w:p w14:paraId="1C8BB9EC">
            <w:pPr>
              <w:keepNext w:val="0"/>
              <w:keepLines w:val="0"/>
              <w:pageBreakBefore w:val="0"/>
              <w:widowControl/>
              <w:kinsoku w:val="0"/>
              <w:wordWrap/>
              <w:overflowPunct/>
              <w:topLinePunct w:val="0"/>
              <w:autoSpaceDE w:val="0"/>
              <w:autoSpaceDN w:val="0"/>
              <w:bidi w:val="0"/>
              <w:adjustRightInd w:val="0"/>
              <w:snapToGrid w:val="0"/>
              <w:spacing w:before="186" w:line="300" w:lineRule="exact"/>
              <w:ind w:left="10"/>
              <w:jc w:val="center"/>
              <w:textAlignment w:val="baseline"/>
              <w:rPr>
                <w:rFonts w:hint="default"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荥财磋商-2026-9-1</w:t>
            </w:r>
          </w:p>
        </w:tc>
        <w:tc>
          <w:tcPr>
            <w:tcW w:w="1034" w:type="pct"/>
            <w:shd w:val="clear" w:color="auto" w:fill="auto"/>
            <w:tcMar>
              <w:top w:w="120" w:type="dxa"/>
            </w:tcMar>
            <w:vAlign w:val="center"/>
          </w:tcPr>
          <w:p w14:paraId="15011AED">
            <w:pPr>
              <w:keepNext w:val="0"/>
              <w:keepLines w:val="0"/>
              <w:pageBreakBefore w:val="0"/>
              <w:widowControl/>
              <w:kinsoku w:val="0"/>
              <w:wordWrap/>
              <w:overflowPunct/>
              <w:topLinePunct w:val="0"/>
              <w:autoSpaceDE w:val="0"/>
              <w:autoSpaceDN w:val="0"/>
              <w:bidi w:val="0"/>
              <w:adjustRightInd w:val="0"/>
              <w:snapToGrid w:val="0"/>
              <w:spacing w:before="186" w:line="300" w:lineRule="exact"/>
              <w:ind w:left="10"/>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荥阳市民政局荥阳市殡葬事务服务中心惠民殡葬用品采购项目</w:t>
            </w:r>
          </w:p>
        </w:tc>
        <w:tc>
          <w:tcPr>
            <w:tcW w:w="0" w:type="auto"/>
            <w:shd w:val="clear" w:color="auto" w:fill="auto"/>
            <w:tcMar>
              <w:top w:w="120" w:type="dxa"/>
            </w:tcMar>
            <w:vAlign w:val="center"/>
          </w:tcPr>
          <w:p w14:paraId="0871F71A">
            <w:pPr>
              <w:keepNext w:val="0"/>
              <w:keepLines w:val="0"/>
              <w:pageBreakBefore w:val="0"/>
              <w:widowControl/>
              <w:kinsoku w:val="0"/>
              <w:wordWrap/>
              <w:overflowPunct/>
              <w:topLinePunct w:val="0"/>
              <w:autoSpaceDE w:val="0"/>
              <w:autoSpaceDN w:val="0"/>
              <w:bidi w:val="0"/>
              <w:adjustRightInd w:val="0"/>
              <w:snapToGrid w:val="0"/>
              <w:spacing w:before="186" w:line="300" w:lineRule="exact"/>
              <w:ind w:left="10"/>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1500000</w:t>
            </w:r>
          </w:p>
        </w:tc>
        <w:tc>
          <w:tcPr>
            <w:tcW w:w="0" w:type="auto"/>
            <w:shd w:val="clear" w:color="auto" w:fill="auto"/>
            <w:tcMar>
              <w:top w:w="120" w:type="dxa"/>
            </w:tcMar>
            <w:vAlign w:val="center"/>
          </w:tcPr>
          <w:p w14:paraId="2F54621C">
            <w:pPr>
              <w:keepNext w:val="0"/>
              <w:keepLines w:val="0"/>
              <w:pageBreakBefore w:val="0"/>
              <w:widowControl/>
              <w:kinsoku w:val="0"/>
              <w:wordWrap/>
              <w:overflowPunct/>
              <w:topLinePunct w:val="0"/>
              <w:autoSpaceDE w:val="0"/>
              <w:autoSpaceDN w:val="0"/>
              <w:bidi w:val="0"/>
              <w:adjustRightInd w:val="0"/>
              <w:snapToGrid w:val="0"/>
              <w:spacing w:before="186" w:line="300" w:lineRule="exact"/>
              <w:ind w:left="10"/>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1500000</w:t>
            </w:r>
          </w:p>
        </w:tc>
        <w:tc>
          <w:tcPr>
            <w:tcW w:w="0" w:type="auto"/>
            <w:shd w:val="clear" w:color="auto" w:fill="auto"/>
            <w:tcMar>
              <w:top w:w="120" w:type="dxa"/>
            </w:tcMar>
            <w:vAlign w:val="center"/>
          </w:tcPr>
          <w:p w14:paraId="2B22AB5C">
            <w:pPr>
              <w:keepNext w:val="0"/>
              <w:keepLines w:val="0"/>
              <w:pageBreakBefore w:val="0"/>
              <w:widowControl/>
              <w:kinsoku w:val="0"/>
              <w:wordWrap/>
              <w:overflowPunct/>
              <w:topLinePunct w:val="0"/>
              <w:autoSpaceDE w:val="0"/>
              <w:autoSpaceDN w:val="0"/>
              <w:bidi w:val="0"/>
              <w:adjustRightInd w:val="0"/>
              <w:snapToGrid w:val="0"/>
              <w:spacing w:before="186" w:line="300" w:lineRule="exact"/>
              <w:ind w:left="10"/>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是</w:t>
            </w:r>
          </w:p>
        </w:tc>
        <w:tc>
          <w:tcPr>
            <w:tcW w:w="0" w:type="auto"/>
            <w:shd w:val="clear" w:color="auto" w:fill="auto"/>
            <w:tcMar>
              <w:top w:w="120" w:type="dxa"/>
            </w:tcMar>
            <w:vAlign w:val="center"/>
          </w:tcPr>
          <w:p w14:paraId="521B8CAB">
            <w:pPr>
              <w:keepNext w:val="0"/>
              <w:keepLines w:val="0"/>
              <w:pageBreakBefore w:val="0"/>
              <w:widowControl/>
              <w:kinsoku w:val="0"/>
              <w:wordWrap/>
              <w:overflowPunct/>
              <w:topLinePunct w:val="0"/>
              <w:autoSpaceDE w:val="0"/>
              <w:autoSpaceDN w:val="0"/>
              <w:bidi w:val="0"/>
              <w:adjustRightInd w:val="0"/>
              <w:snapToGrid w:val="0"/>
              <w:spacing w:before="186" w:line="300" w:lineRule="exact"/>
              <w:ind w:left="10"/>
              <w:jc w:val="center"/>
              <w:textAlignment w:val="baseline"/>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1500000</w:t>
            </w:r>
          </w:p>
        </w:tc>
      </w:tr>
    </w:tbl>
    <w:p w14:paraId="0DD3FE4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5、采购需求（包括但不限于标的的名称、数量、简要技术需求或服务要求等）</w:t>
      </w:r>
    </w:p>
    <w:p w14:paraId="768DA22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5.1采购内容：主要采购卫生防(腐)护用品及骨灰盒</w:t>
      </w:r>
      <w:r>
        <w:rPr>
          <w:rFonts w:hint="eastAsia" w:ascii="宋体" w:hAnsi="宋体" w:cs="宋体"/>
          <w:color w:val="auto"/>
          <w:sz w:val="24"/>
          <w:szCs w:val="24"/>
          <w:highlight w:val="none"/>
          <w:lang w:val="en-US" w:eastAsia="zh-CN"/>
        </w:rPr>
        <w:t>。</w:t>
      </w:r>
    </w:p>
    <w:p w14:paraId="56D68CA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5.2供货地点:采购人指定地点</w:t>
      </w:r>
    </w:p>
    <w:p w14:paraId="24737F1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5.3质量要求：合格</w:t>
      </w:r>
    </w:p>
    <w:p w14:paraId="40E8812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5.4交货期：</w:t>
      </w:r>
      <w:r>
        <w:rPr>
          <w:rFonts w:hint="eastAsia" w:ascii="宋体" w:hAnsi="宋体" w:cs="宋体"/>
          <w:color w:val="auto"/>
          <w:sz w:val="24"/>
          <w:szCs w:val="24"/>
          <w:highlight w:val="none"/>
          <w:lang w:val="en-US" w:eastAsia="zh-CN"/>
        </w:rPr>
        <w:t>按需供货，接到通知5日内</w:t>
      </w:r>
    </w:p>
    <w:p w14:paraId="5D24383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5.5质保期：一年</w:t>
      </w:r>
    </w:p>
    <w:p w14:paraId="6FAADA4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6、合同履行期限：</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lang w:val="en-US" w:eastAsia="zh-CN"/>
        </w:rPr>
        <w:t>年</w:t>
      </w:r>
    </w:p>
    <w:p w14:paraId="04FB02E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7、本项目是否接受联合体投标：否</w:t>
      </w:r>
    </w:p>
    <w:p w14:paraId="405B332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8、是否接受进口产品：否</w:t>
      </w:r>
    </w:p>
    <w:p w14:paraId="15D0B76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9、是否专门面向中小企业：是</w:t>
      </w:r>
      <w:r>
        <w:rPr>
          <w:rFonts w:hint="eastAsia" w:ascii="宋体" w:hAnsi="宋体" w:cs="宋体"/>
          <w:color w:val="auto"/>
          <w:sz w:val="24"/>
          <w:szCs w:val="24"/>
          <w:highlight w:val="none"/>
          <w:lang w:val="en-US" w:eastAsia="zh-CN"/>
        </w:rPr>
        <w:t>。</w:t>
      </w:r>
    </w:p>
    <w:p w14:paraId="302C9CA7">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二、申</w:t>
      </w:r>
      <w:r>
        <w:rPr>
          <w:rFonts w:hint="eastAsia" w:ascii="宋体" w:hAnsi="宋体" w:cs="宋体"/>
          <w:b/>
          <w:color w:val="auto"/>
          <w:sz w:val="28"/>
          <w:szCs w:val="28"/>
          <w:highlight w:val="none"/>
          <w:lang w:val="en-US" w:eastAsia="zh-CN"/>
        </w:rPr>
        <w:tab/>
      </w:r>
      <w:r>
        <w:rPr>
          <w:rFonts w:hint="eastAsia" w:ascii="宋体" w:hAnsi="宋体" w:eastAsia="宋体" w:cs="宋体"/>
          <w:b/>
          <w:color w:val="auto"/>
          <w:sz w:val="28"/>
          <w:szCs w:val="28"/>
          <w:highlight w:val="none"/>
          <w:lang w:val="en-US" w:eastAsia="zh-CN"/>
        </w:rPr>
        <w:t xml:space="preserve">请人资格要求： </w:t>
      </w:r>
    </w:p>
    <w:p w14:paraId="1409AFA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1、满足《中华人民共和国政府采购法》第二十二条规定； </w:t>
      </w:r>
    </w:p>
    <w:p w14:paraId="3E9DB1F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满足的资格要求：本项目属于专门面向中小企业采购的项目。供应商应为中小微企业（监狱企业、残疾人福利性企业视同小微企业），须提供《中小企业声明函》或残疾人福利性单位声明函或监狱企业证明材料。</w:t>
      </w:r>
    </w:p>
    <w:p w14:paraId="309FD3B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本项目的特定资格要求：</w:t>
      </w:r>
    </w:p>
    <w:p w14:paraId="173C8BF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3.1根据《关于在政府采购活动中查询及使用信用记录有关问题的通知》(财库[2016]125号)和豫财[2016]15 号的规定，被“信用中国”（www.creditchina.gov.cn）列为失信被执行人、 重大税收违法失信主体的，被“中国政府采购网 ”网站（www.ccgp.gov.cn）列入政府采购严重违法失信行为记录名单（处罚期限尚未届满的），不得参与本项目的政府采购活动（截图内容要完整清晰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查询时间须在磋商公告发布之后）注：采购代理机构在开标当天将对所有参与本项目投标的供应商的信用情况进行查询、打印留存。若在开标当天查询到供应商有相关负面信息的，则该供应商不能通过资格性审查。</w:t>
      </w:r>
    </w:p>
    <w:p w14:paraId="092D65F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r>
        <w:rPr>
          <w:rFonts w:hint="eastAsia" w:ascii="宋体" w:hAnsi="宋体" w:cs="宋体"/>
          <w:color w:val="auto"/>
          <w:sz w:val="24"/>
          <w:szCs w:val="24"/>
          <w:highlight w:val="none"/>
          <w:lang w:val="en-US" w:eastAsia="zh-CN"/>
        </w:rPr>
        <w:t>（提供在“国家企业信用信息公示系统”中查询的包含公司基本信息、股东信息及股权变更信息等查询网页截图）。</w:t>
      </w:r>
    </w:p>
    <w:p w14:paraId="7B8D7C5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r>
        <w:rPr>
          <w:rFonts w:hint="eastAsia" w:ascii="宋体" w:hAnsi="宋体" w:eastAsia="宋体" w:cs="宋体"/>
          <w:color w:val="auto"/>
          <w:sz w:val="24"/>
          <w:szCs w:val="24"/>
          <w:highlight w:val="none"/>
          <w:lang w:val="en-US" w:eastAsia="zh-CN"/>
        </w:rPr>
        <w:t>为采购项目提供整体设计、规范编制或者项目管理、监理、检测等服务的供应商，不得再参加该采购项目的其他采购活动（出具承诺书并加盖单位公章）。</w:t>
      </w:r>
    </w:p>
    <w:p w14:paraId="24C93BE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本次采购实行资格后审。</w:t>
      </w:r>
    </w:p>
    <w:p w14:paraId="4625B884">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left"/>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lang w:eastAsia="zh-CN"/>
        </w:rPr>
        <w:t>获取磋商文件</w:t>
      </w:r>
    </w:p>
    <w:p w14:paraId="1EC5AD4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时间：2026年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日至202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日，每天上午00:00至12:00，下午12:00至23:59（北京时间，法定节假日除外）。</w:t>
      </w:r>
    </w:p>
    <w:p w14:paraId="50F6F3F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地点：荥阳市公共资源交易平台</w:t>
      </w:r>
    </w:p>
    <w:p w14:paraId="481FCFC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采购文件（具体办理事宜请登陆交易中心网站-办事指南-《供应商操作指南》</w:t>
      </w:r>
      <w:r>
        <w:rPr>
          <w:rFonts w:hint="eastAsia" w:ascii="宋体" w:hAnsi="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w:t>
      </w:r>
    </w:p>
    <w:p w14:paraId="56A8BAD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售价：0元</w:t>
      </w:r>
    </w:p>
    <w:p w14:paraId="3F777B70">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四、响应文件提交</w:t>
      </w:r>
    </w:p>
    <w:p w14:paraId="09892DB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截止时间2026年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日09时00分（北京时间）</w:t>
      </w:r>
    </w:p>
    <w:p w14:paraId="07A1C39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地点：荥阳市公共资源交易平台 </w:t>
      </w:r>
    </w:p>
    <w:p w14:paraId="20BF1AD9">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五、响应文件开启</w:t>
      </w:r>
    </w:p>
    <w:p w14:paraId="004DF0B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时间：2026年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日09时00分（北京时间）</w:t>
      </w:r>
    </w:p>
    <w:p w14:paraId="6845870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地点：荥阳市公共资源交易中心（荥阳市中原路与飞龙路西北角政务服务中心七楼）第</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开标室</w:t>
      </w:r>
    </w:p>
    <w:p w14:paraId="628CB286">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六、发布公告的媒介及</w:t>
      </w:r>
      <w:r>
        <w:rPr>
          <w:rFonts w:hint="eastAsia" w:ascii="宋体" w:hAnsi="宋体" w:cs="宋体"/>
          <w:b/>
          <w:color w:val="auto"/>
          <w:sz w:val="28"/>
          <w:szCs w:val="28"/>
          <w:highlight w:val="none"/>
          <w:lang w:val="en-US" w:eastAsia="zh-CN"/>
        </w:rPr>
        <w:t>磋商</w:t>
      </w:r>
      <w:r>
        <w:rPr>
          <w:rFonts w:hint="eastAsia" w:ascii="宋体" w:hAnsi="宋体" w:eastAsia="宋体" w:cs="宋体"/>
          <w:b/>
          <w:color w:val="auto"/>
          <w:sz w:val="28"/>
          <w:szCs w:val="28"/>
          <w:highlight w:val="none"/>
          <w:lang w:val="en-US" w:eastAsia="zh-CN"/>
        </w:rPr>
        <w:t>公告期限</w:t>
      </w:r>
    </w:p>
    <w:p w14:paraId="2A1D3A6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公告在《河南省政府采购网》《荥阳市公共资源交易中心网站》《荥阳市政府采购网》上发布，</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公告期限为三个工作日。</w:t>
      </w:r>
    </w:p>
    <w:p w14:paraId="742DF41B">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七、其他补充事宜</w:t>
      </w:r>
    </w:p>
    <w:p w14:paraId="2B1D2FB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制作及上传：</w:t>
      </w:r>
    </w:p>
    <w:p w14:paraId="3289D16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1.1获取</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后，投标人（供应商）请登陆荥阳市公共资源交易中心网站—下载中心—下载最新版本“</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制作软件”制作电子</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（具体制作手册请查询交易中心网站-办事指南-《</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制作操作手册》）。</w:t>
      </w:r>
    </w:p>
    <w:p w14:paraId="09ACA9F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1.2投标人（供应商）须在投标截止时间前登陆荥阳市公共资源交易平台上传加密的电子</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w:t>
      </w:r>
    </w:p>
    <w:p w14:paraId="034DB631">
      <w:pPr>
        <w:keepNext w:val="0"/>
        <w:keepLines w:val="0"/>
        <w:pageBreakBefore w:val="0"/>
        <w:widowControl w:val="0"/>
        <w:numPr>
          <w:ilvl w:val="0"/>
          <w:numId w:val="1"/>
        </w:numPr>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2867F2CC">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3、本次采购招标代理服务费，参考河南省招标投标协会（豫招协[2023]002号）文规定的计费方式，向成交供应商收取代理服务费。</w:t>
      </w:r>
    </w:p>
    <w:p w14:paraId="59CABC3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、本项目采购监督部门为：荥阳市财政局</w:t>
      </w:r>
    </w:p>
    <w:p w14:paraId="3A882625">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八、凡对本次</w:t>
      </w:r>
      <w:r>
        <w:rPr>
          <w:rFonts w:hint="eastAsia" w:ascii="宋体" w:hAnsi="宋体" w:cs="宋体"/>
          <w:b/>
          <w:color w:val="auto"/>
          <w:sz w:val="28"/>
          <w:szCs w:val="28"/>
          <w:highlight w:val="none"/>
          <w:lang w:val="en-US" w:eastAsia="zh-CN"/>
        </w:rPr>
        <w:t>磋商</w:t>
      </w:r>
      <w:r>
        <w:rPr>
          <w:rFonts w:hint="eastAsia" w:ascii="宋体" w:hAnsi="宋体" w:eastAsia="宋体" w:cs="宋体"/>
          <w:b/>
          <w:color w:val="auto"/>
          <w:sz w:val="28"/>
          <w:szCs w:val="28"/>
          <w:highlight w:val="none"/>
          <w:lang w:val="en-US" w:eastAsia="zh-CN"/>
        </w:rPr>
        <w:t>提出询问，请按照以下方式联系</w:t>
      </w:r>
    </w:p>
    <w:p w14:paraId="54CC633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采购人信息</w:t>
      </w:r>
    </w:p>
    <w:p w14:paraId="1B5C5E5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名称：荥阳市民政局</w:t>
      </w:r>
    </w:p>
    <w:p w14:paraId="3CBC730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地址：荥阳市惠民路与康泰路交叉口西南角</w:t>
      </w:r>
    </w:p>
    <w:p w14:paraId="1A442F4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联系人：孙</w:t>
      </w:r>
      <w:r>
        <w:rPr>
          <w:rFonts w:hint="eastAsia" w:ascii="宋体" w:hAnsi="宋体" w:cs="宋体"/>
          <w:color w:val="auto"/>
          <w:sz w:val="24"/>
          <w:szCs w:val="24"/>
          <w:highlight w:val="none"/>
          <w:lang w:val="en-US" w:eastAsia="zh-CN"/>
        </w:rPr>
        <w:t>国贤</w:t>
      </w:r>
    </w:p>
    <w:p w14:paraId="236E22F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联系方式：0371-85215207</w:t>
      </w:r>
    </w:p>
    <w:p w14:paraId="08A8030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采购代理机构信息（如有）</w:t>
      </w:r>
    </w:p>
    <w:p w14:paraId="6562241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cs="宋体"/>
          <w:color w:val="auto"/>
          <w:sz w:val="24"/>
          <w:szCs w:val="24"/>
          <w:highlight w:val="none"/>
          <w:lang w:val="en-US" w:eastAsia="zh-CN"/>
        </w:rPr>
        <w:t>河南联达工程管理有限公司</w:t>
      </w:r>
    </w:p>
    <w:p w14:paraId="1D4C822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地址：郑州市二七区兴华北街18号盛世经纬B座4楼</w:t>
      </w:r>
    </w:p>
    <w:p w14:paraId="6BE25EF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 xml:space="preserve">葛明博 </w:t>
      </w:r>
    </w:p>
    <w:p w14:paraId="751435C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ascii="宋体" w:hAnsi="宋体" w:cs="宋体"/>
          <w:color w:val="auto"/>
          <w:sz w:val="24"/>
          <w:szCs w:val="24"/>
          <w:highlight w:val="none"/>
          <w:lang w:val="en-US" w:eastAsia="zh-CN"/>
        </w:rPr>
        <w:t>13253522405</w:t>
      </w:r>
    </w:p>
    <w:p w14:paraId="18E257F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项目联系方式</w:t>
      </w:r>
    </w:p>
    <w:p w14:paraId="2E5ED5F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w:t>
      </w:r>
      <w:r>
        <w:rPr>
          <w:rFonts w:hint="eastAsia" w:ascii="宋体" w:hAnsi="宋体" w:cs="宋体"/>
          <w:color w:val="auto"/>
          <w:sz w:val="24"/>
          <w:szCs w:val="24"/>
          <w:highlight w:val="none"/>
          <w:lang w:val="en-US" w:eastAsia="zh-CN"/>
        </w:rPr>
        <w:t xml:space="preserve">葛明博 </w:t>
      </w:r>
    </w:p>
    <w:p w14:paraId="4F493EE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ascii="宋体" w:hAnsi="宋体" w:cs="宋体"/>
          <w:color w:val="auto"/>
          <w:sz w:val="24"/>
          <w:szCs w:val="24"/>
          <w:highlight w:val="none"/>
          <w:lang w:val="en-US" w:eastAsia="zh-CN"/>
        </w:rPr>
        <w:t>13253522405</w:t>
      </w:r>
    </w:p>
    <w:p w14:paraId="66CD7D52">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14:paraId="7139C9BD">
      <w:pPr>
        <w:pStyle w:val="4"/>
        <w:tabs>
          <w:tab w:val="left" w:pos="2556"/>
        </w:tabs>
        <w:spacing w:line="440" w:lineRule="exact"/>
        <w:jc w:val="center"/>
        <w:rPr>
          <w:rFonts w:hint="eastAsia" w:ascii="宋体" w:hAnsi="宋体" w:eastAsia="宋体" w:cs="宋体"/>
          <w:bCs/>
          <w:color w:val="auto"/>
          <w:sz w:val="36"/>
          <w:szCs w:val="36"/>
          <w:highlight w:val="none"/>
        </w:rPr>
      </w:pPr>
      <w:bookmarkStart w:id="3" w:name="_Toc25172"/>
      <w:r>
        <w:rPr>
          <w:rFonts w:hint="eastAsia" w:ascii="宋体" w:hAnsi="宋体" w:eastAsia="宋体" w:cs="宋体"/>
          <w:bCs/>
          <w:color w:val="auto"/>
          <w:sz w:val="36"/>
          <w:szCs w:val="36"/>
          <w:highlight w:val="none"/>
        </w:rPr>
        <w:t xml:space="preserve">第二章 </w:t>
      </w: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lang w:eastAsia="zh-CN"/>
        </w:rPr>
        <w:t>供应商</w:t>
      </w:r>
      <w:r>
        <w:rPr>
          <w:rFonts w:hint="eastAsia" w:ascii="宋体" w:hAnsi="宋体" w:eastAsia="宋体" w:cs="宋体"/>
          <w:bCs/>
          <w:color w:val="auto"/>
          <w:sz w:val="36"/>
          <w:szCs w:val="36"/>
          <w:highlight w:val="none"/>
        </w:rPr>
        <w:t>须知</w:t>
      </w:r>
      <w:bookmarkEnd w:id="3"/>
    </w:p>
    <w:p w14:paraId="71A496FB">
      <w:pPr>
        <w:spacing w:after="0" w:line="360" w:lineRule="auto"/>
        <w:jc w:val="left"/>
        <w:rPr>
          <w:rFonts w:hint="eastAsia" w:ascii="宋体" w:hAnsi="宋体" w:eastAsia="宋体" w:cs="宋体"/>
          <w:b/>
          <w:color w:val="auto"/>
          <w:sz w:val="28"/>
          <w:szCs w:val="28"/>
          <w:highlight w:val="none"/>
        </w:rPr>
      </w:pPr>
      <w:bookmarkStart w:id="4" w:name="_Toc436423261"/>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须知前附表</w:t>
      </w:r>
      <w:bookmarkEnd w:id="4"/>
    </w:p>
    <w:tbl>
      <w:tblPr>
        <w:tblStyle w:val="117"/>
        <w:tblpPr w:leftFromText="180" w:rightFromText="180" w:vertAnchor="text" w:horzAnchor="page" w:tblpX="1008" w:tblpY="370"/>
        <w:tblOverlap w:val="never"/>
        <w:tblW w:w="100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2304"/>
        <w:gridCol w:w="6850"/>
      </w:tblGrid>
      <w:tr w14:paraId="5813C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47" w:type="dxa"/>
            <w:tcBorders>
              <w:left w:val="single" w:color="000000" w:sz="10" w:space="0"/>
            </w:tcBorders>
            <w:shd w:val="clear" w:color="auto" w:fill="auto"/>
            <w:vAlign w:val="center"/>
          </w:tcPr>
          <w:p w14:paraId="6FA2598E">
            <w:pPr>
              <w:keepNext w:val="0"/>
              <w:keepLines w:val="0"/>
              <w:pageBreakBefore w:val="0"/>
              <w:widowControl w:val="0"/>
              <w:kinsoku/>
              <w:wordWrap/>
              <w:overflowPunct/>
              <w:topLinePunct w:val="0"/>
              <w:autoSpaceDE/>
              <w:autoSpaceDN/>
              <w:bidi w:val="0"/>
              <w:adjustRightInd/>
              <w:snapToGrid w:val="0"/>
              <w:spacing w:after="156" w:afterLines="50" w:line="240" w:lineRule="auto"/>
              <w:ind w:left="0" w:leftChars="0" w:right="0" w:rightChars="0" w:firstLine="0" w:firstLineChars="0"/>
              <w:jc w:val="center"/>
              <w:textAlignment w:val="auto"/>
              <w:rPr>
                <w:rFonts w:hint="eastAsia" w:ascii="宋体" w:hAnsi="Times New Roman" w:eastAsia="宋体" w:cs="Times New Roman"/>
                <w:b/>
                <w:color w:val="auto"/>
                <w:kern w:val="2"/>
                <w:sz w:val="21"/>
                <w:szCs w:val="24"/>
                <w:highlight w:val="none"/>
                <w:lang w:val="en-US" w:eastAsia="zh-CN" w:bidi="ar-SA"/>
              </w:rPr>
            </w:pPr>
            <w:bookmarkStart w:id="5" w:name="_Toc436423307"/>
            <w:r>
              <w:rPr>
                <w:rFonts w:hint="eastAsia" w:ascii="宋体" w:hAnsi="宋体"/>
                <w:b/>
                <w:color w:val="auto"/>
                <w:highlight w:val="none"/>
              </w:rPr>
              <w:t>序号</w:t>
            </w:r>
          </w:p>
        </w:tc>
        <w:tc>
          <w:tcPr>
            <w:tcW w:w="2304" w:type="dxa"/>
            <w:shd w:val="clear" w:color="auto" w:fill="auto"/>
            <w:vAlign w:val="center"/>
          </w:tcPr>
          <w:p w14:paraId="1D9380CF">
            <w:pPr>
              <w:keepNext w:val="0"/>
              <w:keepLines w:val="0"/>
              <w:pageBreakBefore w:val="0"/>
              <w:widowControl w:val="0"/>
              <w:kinsoku/>
              <w:wordWrap/>
              <w:overflowPunct/>
              <w:topLinePunct w:val="0"/>
              <w:autoSpaceDE/>
              <w:autoSpaceDN/>
              <w:bidi w:val="0"/>
              <w:adjustRightInd/>
              <w:snapToGrid w:val="0"/>
              <w:spacing w:after="156" w:afterLines="50" w:line="240" w:lineRule="auto"/>
              <w:ind w:left="0" w:leftChars="0" w:right="0" w:rightChars="0" w:firstLine="0" w:firstLineChars="0"/>
              <w:jc w:val="center"/>
              <w:textAlignment w:val="auto"/>
              <w:rPr>
                <w:rFonts w:hint="eastAsia" w:ascii="宋体" w:hAnsi="Times New Roman" w:eastAsia="宋体" w:cs="Times New Roman"/>
                <w:b/>
                <w:color w:val="auto"/>
                <w:kern w:val="2"/>
                <w:sz w:val="21"/>
                <w:szCs w:val="24"/>
                <w:highlight w:val="none"/>
                <w:lang w:val="en-US" w:eastAsia="zh-CN" w:bidi="ar-SA"/>
              </w:rPr>
            </w:pPr>
            <w:r>
              <w:rPr>
                <w:rFonts w:hint="eastAsia" w:ascii="宋体" w:hAnsi="宋体"/>
                <w:b/>
                <w:color w:val="auto"/>
                <w:highlight w:val="none"/>
              </w:rPr>
              <w:t>名称</w:t>
            </w:r>
          </w:p>
        </w:tc>
        <w:tc>
          <w:tcPr>
            <w:tcW w:w="6850" w:type="dxa"/>
            <w:tcBorders>
              <w:right w:val="single" w:color="000000" w:sz="10" w:space="0"/>
            </w:tcBorders>
            <w:shd w:val="clear" w:color="auto" w:fill="auto"/>
            <w:vAlign w:val="center"/>
          </w:tcPr>
          <w:p w14:paraId="521EED40">
            <w:pPr>
              <w:keepNext w:val="0"/>
              <w:keepLines w:val="0"/>
              <w:pageBreakBefore w:val="0"/>
              <w:widowControl w:val="0"/>
              <w:kinsoku/>
              <w:wordWrap/>
              <w:overflowPunct/>
              <w:topLinePunct w:val="0"/>
              <w:autoSpaceDE/>
              <w:autoSpaceDN/>
              <w:bidi w:val="0"/>
              <w:adjustRightInd/>
              <w:snapToGrid w:val="0"/>
              <w:spacing w:after="156" w:afterLines="50" w:line="240" w:lineRule="auto"/>
              <w:ind w:left="0" w:leftChars="0" w:right="0" w:rightChars="0" w:firstLine="0" w:firstLineChars="0"/>
              <w:jc w:val="center"/>
              <w:textAlignment w:val="auto"/>
              <w:rPr>
                <w:rFonts w:hint="eastAsia" w:ascii="宋体" w:hAnsi="Times New Roman" w:eastAsia="宋体" w:cs="Times New Roman"/>
                <w:b/>
                <w:color w:val="auto"/>
                <w:kern w:val="2"/>
                <w:sz w:val="21"/>
                <w:szCs w:val="24"/>
                <w:highlight w:val="none"/>
                <w:lang w:val="en-US" w:eastAsia="zh-CN" w:bidi="ar-SA"/>
              </w:rPr>
            </w:pPr>
            <w:r>
              <w:rPr>
                <w:rFonts w:hint="eastAsia" w:ascii="宋体" w:hAnsi="宋体"/>
                <w:b/>
                <w:color w:val="auto"/>
                <w:highlight w:val="none"/>
              </w:rPr>
              <w:t>内容</w:t>
            </w:r>
          </w:p>
        </w:tc>
      </w:tr>
      <w:tr w14:paraId="2DBD9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47" w:type="dxa"/>
            <w:tcBorders>
              <w:left w:val="single" w:color="000000" w:sz="10" w:space="0"/>
            </w:tcBorders>
            <w:shd w:val="clear" w:color="auto" w:fill="auto"/>
            <w:vAlign w:val="center"/>
          </w:tcPr>
          <w:p w14:paraId="54D7A6DC">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after="156" w:afterLines="5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304" w:type="dxa"/>
            <w:shd w:val="clear" w:color="auto" w:fill="auto"/>
            <w:vAlign w:val="center"/>
          </w:tcPr>
          <w:p w14:paraId="2E786594">
            <w:pPr>
              <w:keepNext w:val="0"/>
              <w:keepLines w:val="0"/>
              <w:pageBreakBefore w:val="0"/>
              <w:widowControl w:val="0"/>
              <w:kinsoku/>
              <w:wordWrap/>
              <w:overflowPunct/>
              <w:topLinePunct w:val="0"/>
              <w:autoSpaceDE/>
              <w:autoSpaceDN/>
              <w:bidi w:val="0"/>
              <w:adjustRightInd/>
              <w:snapToGrid w:val="0"/>
              <w:spacing w:after="156" w:afterLines="5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采购人</w:t>
            </w:r>
          </w:p>
        </w:tc>
        <w:tc>
          <w:tcPr>
            <w:tcW w:w="6850" w:type="dxa"/>
            <w:tcBorders>
              <w:right w:val="single" w:color="000000" w:sz="10" w:space="0"/>
            </w:tcBorders>
            <w:shd w:val="clear" w:color="auto" w:fill="auto"/>
            <w:vAlign w:val="center"/>
          </w:tcPr>
          <w:p w14:paraId="7C50BC17">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名称：荥阳市民政局</w:t>
            </w:r>
          </w:p>
          <w:p w14:paraId="6149D42F">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地址：荥阳市惠民路与康泰路交叉口西南角</w:t>
            </w:r>
          </w:p>
          <w:p w14:paraId="1223A66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孙国贤</w:t>
            </w:r>
          </w:p>
          <w:p w14:paraId="27A4365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联系方式：</w:t>
            </w:r>
            <w:r>
              <w:rPr>
                <w:rFonts w:hint="eastAsia" w:ascii="宋体" w:hAnsi="宋体" w:eastAsia="宋体" w:cs="宋体"/>
                <w:color w:val="auto"/>
                <w:sz w:val="21"/>
                <w:szCs w:val="21"/>
                <w:highlight w:val="none"/>
                <w:lang w:val="en-US" w:eastAsia="zh-CN"/>
              </w:rPr>
              <w:t>0371-85215207</w:t>
            </w:r>
          </w:p>
        </w:tc>
      </w:tr>
      <w:tr w14:paraId="7A11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47" w:type="dxa"/>
            <w:tcBorders>
              <w:left w:val="single" w:color="000000" w:sz="10" w:space="0"/>
            </w:tcBorders>
            <w:shd w:val="clear" w:color="auto" w:fill="auto"/>
            <w:vAlign w:val="center"/>
          </w:tcPr>
          <w:p w14:paraId="4135C8AB">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after="156" w:afterLines="5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2304" w:type="dxa"/>
            <w:shd w:val="clear" w:color="auto" w:fill="auto"/>
            <w:vAlign w:val="center"/>
          </w:tcPr>
          <w:p w14:paraId="7F1E4D77">
            <w:pPr>
              <w:keepNext w:val="0"/>
              <w:keepLines w:val="0"/>
              <w:pageBreakBefore w:val="0"/>
              <w:widowControl w:val="0"/>
              <w:tabs>
                <w:tab w:val="left" w:pos="507"/>
                <w:tab w:val="center" w:pos="1144"/>
              </w:tabs>
              <w:kinsoku/>
              <w:wordWrap/>
              <w:overflowPunct/>
              <w:topLinePunct w:val="0"/>
              <w:autoSpaceDE/>
              <w:autoSpaceDN/>
              <w:bidi w:val="0"/>
              <w:adjustRightInd/>
              <w:snapToGrid w:val="0"/>
              <w:spacing w:after="156" w:afterLines="5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代理机构</w:t>
            </w:r>
          </w:p>
        </w:tc>
        <w:tc>
          <w:tcPr>
            <w:tcW w:w="6850" w:type="dxa"/>
            <w:tcBorders>
              <w:right w:val="single" w:color="000000" w:sz="10" w:space="0"/>
            </w:tcBorders>
            <w:shd w:val="clear" w:color="auto" w:fill="auto"/>
            <w:vAlign w:val="center"/>
          </w:tcPr>
          <w:p w14:paraId="3ACCDE9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名称：河南联达工程管理有限公司</w:t>
            </w:r>
          </w:p>
          <w:p w14:paraId="452266E2">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地址：郑州市二七区兴华北街18号盛世经纬B座4楼</w:t>
            </w:r>
          </w:p>
          <w:p w14:paraId="082E80F2">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cs="宋体"/>
                <w:color w:val="auto"/>
                <w:sz w:val="21"/>
                <w:szCs w:val="21"/>
                <w:highlight w:val="none"/>
                <w:lang w:val="en-US" w:eastAsia="zh-CN"/>
              </w:rPr>
              <w:t xml:space="preserve">葛明博 </w:t>
            </w:r>
          </w:p>
          <w:p w14:paraId="154679CF">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联系方式：1</w:t>
            </w:r>
            <w:r>
              <w:rPr>
                <w:rFonts w:hint="eastAsia" w:ascii="宋体" w:hAnsi="宋体" w:cs="宋体"/>
                <w:color w:val="auto"/>
                <w:sz w:val="21"/>
                <w:szCs w:val="21"/>
                <w:highlight w:val="none"/>
                <w:lang w:val="en-US" w:eastAsia="zh-CN"/>
              </w:rPr>
              <w:t>3253522405</w:t>
            </w:r>
          </w:p>
        </w:tc>
      </w:tr>
      <w:tr w14:paraId="6DBC2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847" w:type="dxa"/>
            <w:tcBorders>
              <w:left w:val="single" w:color="000000" w:sz="10" w:space="0"/>
            </w:tcBorders>
            <w:shd w:val="clear" w:color="auto" w:fill="auto"/>
            <w:vAlign w:val="center"/>
          </w:tcPr>
          <w:p w14:paraId="4A7C05C3">
            <w:pPr>
              <w:bidi w:val="0"/>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3</w:t>
            </w:r>
          </w:p>
        </w:tc>
        <w:tc>
          <w:tcPr>
            <w:tcW w:w="2304" w:type="dxa"/>
            <w:shd w:val="clear" w:color="auto" w:fill="auto"/>
            <w:vAlign w:val="center"/>
          </w:tcPr>
          <w:p w14:paraId="0801B427">
            <w:pPr>
              <w:bidi w:val="0"/>
              <w:spacing w:line="360" w:lineRule="auto"/>
              <w:jc w:val="center"/>
              <w:rPr>
                <w:rFonts w:hint="eastAsia"/>
                <w:color w:val="auto"/>
                <w:highlight w:val="none"/>
                <w:lang w:val="en-US" w:eastAsia="zh-CN"/>
              </w:rPr>
            </w:pPr>
            <w:r>
              <w:rPr>
                <w:rFonts w:hint="eastAsia"/>
                <w:color w:val="auto"/>
                <w:highlight w:val="none"/>
              </w:rPr>
              <w:t>项目名称</w:t>
            </w:r>
          </w:p>
        </w:tc>
        <w:tc>
          <w:tcPr>
            <w:tcW w:w="6850" w:type="dxa"/>
            <w:tcBorders>
              <w:right w:val="single" w:color="000000" w:sz="10" w:space="0"/>
            </w:tcBorders>
            <w:shd w:val="clear" w:color="auto" w:fill="auto"/>
            <w:vAlign w:val="center"/>
          </w:tcPr>
          <w:p w14:paraId="1A492846">
            <w:pPr>
              <w:bidi w:val="0"/>
              <w:spacing w:line="360" w:lineRule="auto"/>
              <w:jc w:val="both"/>
              <w:rPr>
                <w:rFonts w:hint="eastAsia"/>
                <w:color w:val="auto"/>
                <w:highlight w:val="none"/>
                <w:lang w:val="en-US" w:eastAsia="zh-CN"/>
              </w:rPr>
            </w:pPr>
            <w:r>
              <w:rPr>
                <w:rFonts w:hint="eastAsia"/>
                <w:color w:val="auto"/>
                <w:highlight w:val="none"/>
                <w:lang w:val="en-US" w:eastAsia="zh-CN"/>
              </w:rPr>
              <w:t>荥阳市民政局荥阳市殡葬事务服务中心惠民殡葬用品采购项目</w:t>
            </w:r>
          </w:p>
        </w:tc>
      </w:tr>
      <w:tr w14:paraId="7B030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847" w:type="dxa"/>
            <w:tcBorders>
              <w:left w:val="single" w:color="000000" w:sz="10" w:space="0"/>
            </w:tcBorders>
            <w:shd w:val="clear" w:color="auto" w:fill="auto"/>
            <w:vAlign w:val="center"/>
          </w:tcPr>
          <w:p w14:paraId="5BEDF49A">
            <w:pPr>
              <w:bidi w:val="0"/>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w:t>
            </w:r>
          </w:p>
        </w:tc>
        <w:tc>
          <w:tcPr>
            <w:tcW w:w="2304" w:type="dxa"/>
            <w:shd w:val="clear" w:color="auto" w:fill="auto"/>
            <w:vAlign w:val="center"/>
          </w:tcPr>
          <w:p w14:paraId="3EF25515">
            <w:pPr>
              <w:bidi w:val="0"/>
              <w:jc w:val="center"/>
              <w:rPr>
                <w:rFonts w:hint="eastAsia"/>
                <w:color w:val="auto"/>
                <w:highlight w:val="none"/>
                <w:lang w:val="en-US" w:eastAsia="zh-CN"/>
              </w:rPr>
            </w:pPr>
            <w:r>
              <w:rPr>
                <w:rFonts w:hint="eastAsia"/>
                <w:color w:val="auto"/>
                <w:highlight w:val="none"/>
                <w:lang w:val="en-US" w:eastAsia="zh-CN"/>
              </w:rPr>
              <w:t>项目</w:t>
            </w:r>
            <w:r>
              <w:rPr>
                <w:rFonts w:hint="eastAsia"/>
                <w:color w:val="auto"/>
                <w:highlight w:val="none"/>
                <w:lang w:eastAsia="zh-CN"/>
              </w:rPr>
              <w:t>编号</w:t>
            </w:r>
          </w:p>
        </w:tc>
        <w:tc>
          <w:tcPr>
            <w:tcW w:w="6850" w:type="dxa"/>
            <w:tcBorders>
              <w:right w:val="single" w:color="000000" w:sz="10" w:space="0"/>
            </w:tcBorders>
            <w:shd w:val="clear" w:color="auto" w:fill="auto"/>
            <w:vAlign w:val="center"/>
          </w:tcPr>
          <w:p w14:paraId="5793A661">
            <w:pPr>
              <w:bidi w:val="0"/>
              <w:rPr>
                <w:rFonts w:hint="eastAsia"/>
                <w:color w:val="auto"/>
                <w:highlight w:val="none"/>
                <w:lang w:val="en-US" w:eastAsia="zh-CN"/>
              </w:rPr>
            </w:pPr>
            <w:r>
              <w:rPr>
                <w:rFonts w:hint="eastAsia"/>
                <w:color w:val="auto"/>
                <w:highlight w:val="none"/>
                <w:lang w:val="en-US" w:eastAsia="zh-CN"/>
              </w:rPr>
              <w:t>荥财磋商-2026-9</w:t>
            </w:r>
          </w:p>
        </w:tc>
      </w:tr>
      <w:tr w14:paraId="51C06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847" w:type="dxa"/>
            <w:tcBorders>
              <w:left w:val="single" w:color="000000" w:sz="10" w:space="0"/>
            </w:tcBorders>
            <w:shd w:val="clear" w:color="auto" w:fill="auto"/>
            <w:vAlign w:val="center"/>
          </w:tcPr>
          <w:p w14:paraId="6B871283">
            <w:pPr>
              <w:bidi w:val="0"/>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5</w:t>
            </w:r>
          </w:p>
        </w:tc>
        <w:tc>
          <w:tcPr>
            <w:tcW w:w="2304" w:type="dxa"/>
            <w:shd w:val="clear" w:color="auto" w:fill="auto"/>
            <w:vAlign w:val="center"/>
          </w:tcPr>
          <w:p w14:paraId="5B2DCAFF">
            <w:pPr>
              <w:bidi w:val="0"/>
              <w:jc w:val="center"/>
              <w:rPr>
                <w:rFonts w:hint="eastAsia"/>
                <w:color w:val="auto"/>
                <w:highlight w:val="none"/>
                <w:lang w:val="en-US" w:eastAsia="zh-CN"/>
              </w:rPr>
            </w:pPr>
            <w:r>
              <w:rPr>
                <w:rFonts w:hint="eastAsia"/>
                <w:color w:val="auto"/>
                <w:highlight w:val="none"/>
                <w:lang w:eastAsia="zh-CN"/>
              </w:rPr>
              <w:t>采购</w:t>
            </w:r>
            <w:r>
              <w:rPr>
                <w:rFonts w:hint="eastAsia"/>
                <w:color w:val="auto"/>
                <w:highlight w:val="none"/>
              </w:rPr>
              <w:t>方式</w:t>
            </w:r>
          </w:p>
        </w:tc>
        <w:tc>
          <w:tcPr>
            <w:tcW w:w="6850" w:type="dxa"/>
            <w:tcBorders>
              <w:right w:val="single" w:color="000000" w:sz="10" w:space="0"/>
            </w:tcBorders>
            <w:shd w:val="clear" w:color="auto" w:fill="auto"/>
            <w:vAlign w:val="center"/>
          </w:tcPr>
          <w:p w14:paraId="59B10E9F">
            <w:pPr>
              <w:bidi w:val="0"/>
              <w:rPr>
                <w:rFonts w:hint="eastAsia"/>
                <w:color w:val="auto"/>
                <w:highlight w:val="none"/>
                <w:lang w:val="en-US" w:eastAsia="zh-CN"/>
              </w:rPr>
            </w:pPr>
            <w:r>
              <w:rPr>
                <w:rFonts w:hint="eastAsia"/>
                <w:color w:val="auto"/>
                <w:highlight w:val="none"/>
              </w:rPr>
              <w:t>竞争性磋商</w:t>
            </w:r>
          </w:p>
        </w:tc>
      </w:tr>
      <w:tr w14:paraId="252B8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847" w:type="dxa"/>
            <w:tcBorders>
              <w:left w:val="single" w:color="000000" w:sz="10" w:space="0"/>
            </w:tcBorders>
            <w:shd w:val="clear" w:color="auto" w:fill="auto"/>
            <w:vAlign w:val="center"/>
          </w:tcPr>
          <w:p w14:paraId="47F9613A">
            <w:pPr>
              <w:bidi w:val="0"/>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6</w:t>
            </w:r>
          </w:p>
        </w:tc>
        <w:tc>
          <w:tcPr>
            <w:tcW w:w="2304" w:type="dxa"/>
            <w:shd w:val="clear" w:color="auto" w:fill="auto"/>
            <w:vAlign w:val="center"/>
          </w:tcPr>
          <w:p w14:paraId="06AB1760">
            <w:pPr>
              <w:bidi w:val="0"/>
              <w:jc w:val="center"/>
              <w:rPr>
                <w:rFonts w:hint="eastAsia"/>
                <w:color w:val="auto"/>
                <w:highlight w:val="none"/>
                <w:lang w:val="en-US" w:eastAsia="zh-CN"/>
              </w:rPr>
            </w:pPr>
            <w:r>
              <w:rPr>
                <w:rFonts w:hint="eastAsia"/>
                <w:color w:val="auto"/>
                <w:highlight w:val="none"/>
              </w:rPr>
              <w:t>资金来源</w:t>
            </w:r>
          </w:p>
        </w:tc>
        <w:tc>
          <w:tcPr>
            <w:tcW w:w="6850" w:type="dxa"/>
            <w:tcBorders>
              <w:right w:val="single" w:color="000000" w:sz="10" w:space="0"/>
            </w:tcBorders>
            <w:shd w:val="clear" w:color="auto" w:fill="auto"/>
            <w:vAlign w:val="center"/>
          </w:tcPr>
          <w:p w14:paraId="7ACEA2BD">
            <w:pPr>
              <w:bidi w:val="0"/>
              <w:rPr>
                <w:rFonts w:hint="eastAsia"/>
                <w:color w:val="auto"/>
                <w:highlight w:val="none"/>
                <w:lang w:val="en-US" w:eastAsia="zh-CN"/>
              </w:rPr>
            </w:pPr>
            <w:r>
              <w:rPr>
                <w:rFonts w:hint="eastAsia"/>
                <w:color w:val="auto"/>
                <w:highlight w:val="none"/>
                <w:lang w:val="en-US" w:eastAsia="zh-CN"/>
              </w:rPr>
              <w:t>财政资金，已落实。</w:t>
            </w:r>
          </w:p>
        </w:tc>
      </w:tr>
      <w:tr w14:paraId="4315B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847" w:type="dxa"/>
            <w:tcBorders>
              <w:left w:val="single" w:color="000000" w:sz="10" w:space="0"/>
            </w:tcBorders>
            <w:shd w:val="clear" w:color="auto" w:fill="auto"/>
            <w:vAlign w:val="center"/>
          </w:tcPr>
          <w:p w14:paraId="759407C9">
            <w:pPr>
              <w:bidi w:val="0"/>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7</w:t>
            </w:r>
          </w:p>
        </w:tc>
        <w:tc>
          <w:tcPr>
            <w:tcW w:w="2304" w:type="dxa"/>
            <w:shd w:val="clear" w:color="auto" w:fill="auto"/>
            <w:vAlign w:val="center"/>
          </w:tcPr>
          <w:p w14:paraId="775854F9">
            <w:pPr>
              <w:bidi w:val="0"/>
              <w:jc w:val="center"/>
              <w:rPr>
                <w:rFonts w:hint="eastAsia"/>
                <w:color w:val="auto"/>
                <w:highlight w:val="none"/>
                <w:lang w:val="en-US" w:eastAsia="zh-CN"/>
              </w:rPr>
            </w:pPr>
            <w:r>
              <w:rPr>
                <w:rFonts w:hint="eastAsia"/>
                <w:color w:val="auto"/>
                <w:highlight w:val="none"/>
              </w:rPr>
              <w:t>采购</w:t>
            </w:r>
            <w:r>
              <w:rPr>
                <w:rFonts w:hint="eastAsia"/>
                <w:color w:val="auto"/>
                <w:highlight w:val="none"/>
                <w:lang w:eastAsia="zh-CN"/>
              </w:rPr>
              <w:t>内容</w:t>
            </w:r>
          </w:p>
        </w:tc>
        <w:tc>
          <w:tcPr>
            <w:tcW w:w="6850" w:type="dxa"/>
            <w:tcBorders>
              <w:right w:val="single" w:color="000000" w:sz="10" w:space="0"/>
            </w:tcBorders>
            <w:shd w:val="clear" w:color="auto" w:fill="auto"/>
            <w:vAlign w:val="center"/>
          </w:tcPr>
          <w:p w14:paraId="4BE28ECA">
            <w:pPr>
              <w:bidi w:val="0"/>
              <w:rPr>
                <w:rFonts w:hint="eastAsia"/>
                <w:color w:val="auto"/>
                <w:highlight w:val="none"/>
                <w:lang w:val="en-US" w:eastAsia="zh-CN"/>
              </w:rPr>
            </w:pPr>
            <w:r>
              <w:rPr>
                <w:rFonts w:hint="eastAsia"/>
                <w:color w:val="auto"/>
                <w:highlight w:val="none"/>
                <w:lang w:val="en-US" w:eastAsia="zh-CN"/>
              </w:rPr>
              <w:t>主要采购卫生防(腐)护用品及骨灰盒</w:t>
            </w:r>
          </w:p>
        </w:tc>
      </w:tr>
      <w:tr w14:paraId="24480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847" w:type="dxa"/>
            <w:tcBorders>
              <w:left w:val="single" w:color="000000" w:sz="10" w:space="0"/>
            </w:tcBorders>
            <w:shd w:val="clear" w:color="auto" w:fill="auto"/>
            <w:vAlign w:val="center"/>
          </w:tcPr>
          <w:p w14:paraId="50DD27A6">
            <w:pPr>
              <w:bidi w:val="0"/>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8</w:t>
            </w:r>
          </w:p>
        </w:tc>
        <w:tc>
          <w:tcPr>
            <w:tcW w:w="2304" w:type="dxa"/>
            <w:shd w:val="clear" w:color="auto" w:fill="auto"/>
            <w:vAlign w:val="center"/>
          </w:tcPr>
          <w:p w14:paraId="3323224F">
            <w:pPr>
              <w:bidi w:val="0"/>
              <w:jc w:val="center"/>
              <w:rPr>
                <w:rFonts w:hint="eastAsia"/>
                <w:color w:val="auto"/>
                <w:highlight w:val="none"/>
                <w:lang w:val="en-US" w:eastAsia="zh-CN"/>
              </w:rPr>
            </w:pPr>
            <w:r>
              <w:rPr>
                <w:rFonts w:hint="eastAsia"/>
                <w:color w:val="auto"/>
                <w:highlight w:val="none"/>
                <w:lang w:val="en-US" w:eastAsia="zh-CN"/>
              </w:rPr>
              <w:t>交货期</w:t>
            </w:r>
          </w:p>
        </w:tc>
        <w:tc>
          <w:tcPr>
            <w:tcW w:w="6850" w:type="dxa"/>
            <w:tcBorders>
              <w:right w:val="single" w:color="000000" w:sz="10" w:space="0"/>
            </w:tcBorders>
            <w:shd w:val="clear" w:color="auto" w:fill="auto"/>
            <w:vAlign w:val="center"/>
          </w:tcPr>
          <w:p w14:paraId="1C9004B8">
            <w:pPr>
              <w:bidi w:val="0"/>
              <w:jc w:val="left"/>
              <w:rPr>
                <w:rFonts w:hint="eastAsia"/>
                <w:color w:val="auto"/>
                <w:highlight w:val="none"/>
                <w:lang w:val="en-US" w:eastAsia="zh-CN"/>
              </w:rPr>
            </w:pPr>
            <w:r>
              <w:rPr>
                <w:rFonts w:hint="eastAsia"/>
                <w:color w:val="auto"/>
                <w:highlight w:val="none"/>
                <w:lang w:val="en-US" w:eastAsia="zh-CN"/>
              </w:rPr>
              <w:t>按需供货，接到通知5日内</w:t>
            </w:r>
          </w:p>
        </w:tc>
      </w:tr>
      <w:tr w14:paraId="61203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847" w:type="dxa"/>
            <w:tcBorders>
              <w:left w:val="single" w:color="000000" w:sz="10" w:space="0"/>
            </w:tcBorders>
            <w:shd w:val="clear" w:color="auto" w:fill="auto"/>
            <w:vAlign w:val="center"/>
          </w:tcPr>
          <w:p w14:paraId="059C74B4">
            <w:pPr>
              <w:bidi w:val="0"/>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9</w:t>
            </w:r>
          </w:p>
        </w:tc>
        <w:tc>
          <w:tcPr>
            <w:tcW w:w="2304" w:type="dxa"/>
            <w:shd w:val="clear" w:color="auto" w:fill="auto"/>
            <w:vAlign w:val="center"/>
          </w:tcPr>
          <w:p w14:paraId="05F56A33">
            <w:pPr>
              <w:bidi w:val="0"/>
              <w:jc w:val="center"/>
              <w:rPr>
                <w:rFonts w:hint="eastAsia"/>
                <w:color w:val="auto"/>
                <w:highlight w:val="none"/>
                <w:lang w:val="en-US" w:eastAsia="zh-CN"/>
              </w:rPr>
            </w:pPr>
            <w:r>
              <w:rPr>
                <w:rFonts w:hint="eastAsia"/>
                <w:color w:val="auto"/>
                <w:highlight w:val="none"/>
              </w:rPr>
              <w:t>质量</w:t>
            </w:r>
            <w:r>
              <w:rPr>
                <w:rFonts w:hint="eastAsia"/>
                <w:color w:val="auto"/>
                <w:highlight w:val="none"/>
                <w:lang w:eastAsia="zh-CN"/>
              </w:rPr>
              <w:t>要求</w:t>
            </w:r>
          </w:p>
        </w:tc>
        <w:tc>
          <w:tcPr>
            <w:tcW w:w="6850" w:type="dxa"/>
            <w:tcBorders>
              <w:right w:val="single" w:color="000000" w:sz="10" w:space="0"/>
            </w:tcBorders>
            <w:shd w:val="clear" w:color="auto" w:fill="auto"/>
            <w:vAlign w:val="center"/>
          </w:tcPr>
          <w:p w14:paraId="10ECA56C">
            <w:pPr>
              <w:bidi w:val="0"/>
              <w:rPr>
                <w:rFonts w:hint="eastAsia"/>
                <w:color w:val="auto"/>
                <w:highlight w:val="none"/>
                <w:lang w:val="en-US" w:eastAsia="zh-CN"/>
              </w:rPr>
            </w:pPr>
            <w:r>
              <w:rPr>
                <w:rFonts w:hint="eastAsia"/>
                <w:color w:val="auto"/>
                <w:highlight w:val="none"/>
                <w:lang w:val="en-US" w:eastAsia="zh-CN"/>
              </w:rPr>
              <w:t>合格</w:t>
            </w:r>
          </w:p>
        </w:tc>
      </w:tr>
      <w:tr w14:paraId="17789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847" w:type="dxa"/>
            <w:tcBorders>
              <w:left w:val="single" w:color="000000" w:sz="10" w:space="0"/>
            </w:tcBorders>
            <w:shd w:val="clear" w:color="auto" w:fill="auto"/>
            <w:vAlign w:val="center"/>
          </w:tcPr>
          <w:p w14:paraId="1507CFD6">
            <w:pPr>
              <w:bidi w:val="0"/>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10</w:t>
            </w:r>
          </w:p>
        </w:tc>
        <w:tc>
          <w:tcPr>
            <w:tcW w:w="2304" w:type="dxa"/>
            <w:shd w:val="clear" w:color="auto" w:fill="auto"/>
            <w:vAlign w:val="center"/>
          </w:tcPr>
          <w:p w14:paraId="01AA6FD7">
            <w:pPr>
              <w:bidi w:val="0"/>
              <w:jc w:val="center"/>
              <w:rPr>
                <w:rFonts w:hint="eastAsia"/>
                <w:color w:val="auto"/>
                <w:highlight w:val="none"/>
                <w:lang w:val="en-US" w:eastAsia="zh-CN"/>
              </w:rPr>
            </w:pPr>
            <w:r>
              <w:rPr>
                <w:rFonts w:hint="eastAsia"/>
                <w:color w:val="auto"/>
                <w:highlight w:val="none"/>
                <w:lang w:val="en-US" w:eastAsia="zh-CN"/>
              </w:rPr>
              <w:t>质保期</w:t>
            </w:r>
          </w:p>
        </w:tc>
        <w:tc>
          <w:tcPr>
            <w:tcW w:w="6850" w:type="dxa"/>
            <w:tcBorders>
              <w:right w:val="single" w:color="000000" w:sz="10" w:space="0"/>
            </w:tcBorders>
            <w:shd w:val="clear" w:color="auto" w:fill="auto"/>
            <w:vAlign w:val="center"/>
          </w:tcPr>
          <w:p w14:paraId="1A0B26D0">
            <w:pPr>
              <w:bidi w:val="0"/>
              <w:rPr>
                <w:rFonts w:hint="eastAsia"/>
                <w:color w:val="auto"/>
                <w:highlight w:val="none"/>
                <w:lang w:val="en-US" w:eastAsia="zh-CN"/>
              </w:rPr>
            </w:pPr>
            <w:r>
              <w:rPr>
                <w:rFonts w:hint="eastAsia"/>
                <w:color w:val="auto"/>
                <w:highlight w:val="none"/>
                <w:lang w:val="en-US" w:eastAsia="zh-CN"/>
              </w:rPr>
              <w:t>一年</w:t>
            </w:r>
          </w:p>
        </w:tc>
      </w:tr>
      <w:tr w14:paraId="71C12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847" w:type="dxa"/>
            <w:tcBorders>
              <w:left w:val="single" w:color="000000" w:sz="10" w:space="0"/>
            </w:tcBorders>
            <w:shd w:val="clear" w:color="auto" w:fill="auto"/>
            <w:vAlign w:val="center"/>
          </w:tcPr>
          <w:p w14:paraId="62FD8858">
            <w:pPr>
              <w:bidi w:val="0"/>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11</w:t>
            </w:r>
          </w:p>
        </w:tc>
        <w:tc>
          <w:tcPr>
            <w:tcW w:w="2304" w:type="dxa"/>
            <w:shd w:val="clear" w:color="auto" w:fill="auto"/>
            <w:vAlign w:val="center"/>
          </w:tcPr>
          <w:p w14:paraId="247C71BF">
            <w:pPr>
              <w:bidi w:val="0"/>
              <w:jc w:val="center"/>
              <w:rPr>
                <w:rFonts w:hint="eastAsia"/>
                <w:color w:val="auto"/>
                <w:highlight w:val="none"/>
                <w:lang w:val="en-US" w:eastAsia="zh-CN"/>
              </w:rPr>
            </w:pPr>
            <w:r>
              <w:rPr>
                <w:rFonts w:hint="eastAsia"/>
                <w:color w:val="auto"/>
                <w:highlight w:val="none"/>
                <w:lang w:val="en-US" w:eastAsia="zh-CN"/>
              </w:rPr>
              <w:t>交货地点</w:t>
            </w:r>
          </w:p>
        </w:tc>
        <w:tc>
          <w:tcPr>
            <w:tcW w:w="6850" w:type="dxa"/>
            <w:tcBorders>
              <w:right w:val="single" w:color="000000" w:sz="10" w:space="0"/>
            </w:tcBorders>
            <w:shd w:val="clear" w:color="auto" w:fill="auto"/>
            <w:vAlign w:val="center"/>
          </w:tcPr>
          <w:p w14:paraId="71619463">
            <w:pPr>
              <w:bidi w:val="0"/>
              <w:rPr>
                <w:rFonts w:hint="eastAsia"/>
                <w:color w:val="auto"/>
                <w:highlight w:val="none"/>
                <w:lang w:val="en-US" w:eastAsia="zh-CN"/>
              </w:rPr>
            </w:pPr>
            <w:r>
              <w:rPr>
                <w:rFonts w:hint="eastAsia"/>
                <w:color w:val="auto"/>
                <w:highlight w:val="none"/>
                <w:lang w:val="en-US" w:eastAsia="zh-CN"/>
              </w:rPr>
              <w:t>采购人指定地点</w:t>
            </w:r>
          </w:p>
        </w:tc>
      </w:tr>
      <w:tr w14:paraId="39E55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847" w:type="dxa"/>
            <w:tcBorders>
              <w:left w:val="single" w:color="000000" w:sz="10" w:space="0"/>
            </w:tcBorders>
            <w:shd w:val="clear" w:color="auto" w:fill="auto"/>
            <w:vAlign w:val="center"/>
          </w:tcPr>
          <w:p w14:paraId="58493E4E">
            <w:pPr>
              <w:bidi w:val="0"/>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12</w:t>
            </w:r>
          </w:p>
        </w:tc>
        <w:tc>
          <w:tcPr>
            <w:tcW w:w="2304" w:type="dxa"/>
            <w:shd w:val="clear" w:color="auto" w:fill="auto"/>
            <w:vAlign w:val="center"/>
          </w:tcPr>
          <w:p w14:paraId="15AD974B">
            <w:pPr>
              <w:bidi w:val="0"/>
              <w:jc w:val="center"/>
              <w:rPr>
                <w:rFonts w:hint="eastAsia"/>
                <w:color w:val="auto"/>
                <w:highlight w:val="none"/>
                <w:lang w:val="en-US" w:eastAsia="zh-CN"/>
              </w:rPr>
            </w:pPr>
            <w:r>
              <w:rPr>
                <w:rFonts w:hint="eastAsia"/>
                <w:color w:val="auto"/>
                <w:highlight w:val="none"/>
                <w:lang w:eastAsia="zh-CN"/>
              </w:rPr>
              <w:t>合同履行期限</w:t>
            </w:r>
          </w:p>
        </w:tc>
        <w:tc>
          <w:tcPr>
            <w:tcW w:w="6850" w:type="dxa"/>
            <w:tcBorders>
              <w:right w:val="single" w:color="000000" w:sz="10" w:space="0"/>
            </w:tcBorders>
            <w:shd w:val="clear" w:color="auto" w:fill="auto"/>
            <w:vAlign w:val="center"/>
          </w:tcPr>
          <w:p w14:paraId="1FAB3BAF">
            <w:pPr>
              <w:bidi w:val="0"/>
              <w:rPr>
                <w:rFonts w:hint="eastAsia"/>
                <w:color w:val="auto"/>
                <w:highlight w:val="none"/>
                <w:lang w:val="en-US" w:eastAsia="zh-CN"/>
              </w:rPr>
            </w:pPr>
            <w:r>
              <w:rPr>
                <w:rFonts w:hint="eastAsia"/>
                <w:color w:val="auto"/>
                <w:highlight w:val="none"/>
                <w:lang w:val="en-US" w:eastAsia="zh-CN"/>
              </w:rPr>
              <w:t>两年</w:t>
            </w:r>
          </w:p>
        </w:tc>
      </w:tr>
      <w:tr w14:paraId="3F9B3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847" w:type="dxa"/>
            <w:tcBorders>
              <w:left w:val="single" w:color="000000" w:sz="10" w:space="0"/>
            </w:tcBorders>
            <w:shd w:val="clear" w:color="auto" w:fill="auto"/>
            <w:vAlign w:val="center"/>
          </w:tcPr>
          <w:p w14:paraId="2C55B1DA">
            <w:pPr>
              <w:bidi w:val="0"/>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13</w:t>
            </w:r>
          </w:p>
        </w:tc>
        <w:tc>
          <w:tcPr>
            <w:tcW w:w="2304" w:type="dxa"/>
            <w:shd w:val="clear" w:color="auto" w:fill="auto"/>
            <w:vAlign w:val="center"/>
          </w:tcPr>
          <w:p w14:paraId="51B43D4B">
            <w:pPr>
              <w:bidi w:val="0"/>
              <w:jc w:val="center"/>
              <w:rPr>
                <w:rFonts w:hint="eastAsia"/>
                <w:color w:val="auto"/>
                <w:highlight w:val="none"/>
                <w:lang w:val="en-US" w:eastAsia="zh-CN"/>
              </w:rPr>
            </w:pPr>
            <w:r>
              <w:rPr>
                <w:rFonts w:hint="eastAsia"/>
                <w:color w:val="auto"/>
                <w:highlight w:val="none"/>
                <w:lang w:eastAsia="zh-CN"/>
              </w:rPr>
              <w:t>供应商</w:t>
            </w:r>
            <w:r>
              <w:rPr>
                <w:rFonts w:hint="eastAsia"/>
                <w:color w:val="auto"/>
                <w:highlight w:val="none"/>
              </w:rPr>
              <w:t>资格要求</w:t>
            </w:r>
          </w:p>
        </w:tc>
        <w:tc>
          <w:tcPr>
            <w:tcW w:w="6850" w:type="dxa"/>
            <w:tcBorders>
              <w:right w:val="single" w:color="000000" w:sz="10" w:space="0"/>
            </w:tcBorders>
            <w:shd w:val="clear" w:color="auto" w:fill="auto"/>
            <w:vAlign w:val="center"/>
          </w:tcPr>
          <w:p w14:paraId="41C67D9F">
            <w:pPr>
              <w:bidi w:val="0"/>
              <w:rPr>
                <w:rFonts w:hint="eastAsia"/>
                <w:color w:val="auto"/>
                <w:highlight w:val="none"/>
                <w:lang w:val="en-US" w:eastAsia="zh-CN"/>
              </w:rPr>
            </w:pPr>
            <w:r>
              <w:rPr>
                <w:rFonts w:hint="eastAsia"/>
                <w:color w:val="auto"/>
                <w:highlight w:val="none"/>
              </w:rPr>
              <w:t>详见</w:t>
            </w:r>
            <w:r>
              <w:rPr>
                <w:rFonts w:hint="eastAsia"/>
                <w:color w:val="auto"/>
                <w:highlight w:val="none"/>
                <w:lang w:eastAsia="zh-CN"/>
              </w:rPr>
              <w:t>磋商</w:t>
            </w:r>
            <w:r>
              <w:rPr>
                <w:rFonts w:hint="eastAsia"/>
                <w:color w:val="auto"/>
                <w:highlight w:val="none"/>
              </w:rPr>
              <w:t>公告“</w:t>
            </w:r>
            <w:r>
              <w:rPr>
                <w:rFonts w:hint="eastAsia"/>
                <w:color w:val="auto"/>
                <w:highlight w:val="none"/>
                <w:lang w:eastAsia="zh-CN"/>
              </w:rPr>
              <w:t>二</w:t>
            </w:r>
            <w:r>
              <w:rPr>
                <w:rFonts w:hint="eastAsia"/>
                <w:color w:val="auto"/>
                <w:highlight w:val="none"/>
              </w:rPr>
              <w:t>、申请人资格要求”</w:t>
            </w:r>
          </w:p>
        </w:tc>
      </w:tr>
      <w:tr w14:paraId="07D59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847" w:type="dxa"/>
            <w:tcBorders>
              <w:left w:val="single" w:color="000000" w:sz="10" w:space="0"/>
            </w:tcBorders>
            <w:shd w:val="clear" w:color="auto" w:fill="auto"/>
            <w:vAlign w:val="center"/>
          </w:tcPr>
          <w:p w14:paraId="5D3BCA59">
            <w:pPr>
              <w:bidi w:val="0"/>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14</w:t>
            </w:r>
          </w:p>
        </w:tc>
        <w:tc>
          <w:tcPr>
            <w:tcW w:w="2304" w:type="dxa"/>
            <w:shd w:val="clear" w:color="auto" w:fill="auto"/>
            <w:vAlign w:val="center"/>
          </w:tcPr>
          <w:p w14:paraId="58C5C1FB">
            <w:pPr>
              <w:bidi w:val="0"/>
              <w:jc w:val="center"/>
              <w:rPr>
                <w:rFonts w:hint="eastAsia"/>
                <w:color w:val="auto"/>
                <w:highlight w:val="none"/>
                <w:lang w:val="en-US" w:eastAsia="zh-CN"/>
              </w:rPr>
            </w:pPr>
            <w:r>
              <w:rPr>
                <w:rFonts w:hint="eastAsia"/>
                <w:color w:val="auto"/>
                <w:highlight w:val="none"/>
                <w:lang w:eastAsia="zh-CN"/>
              </w:rPr>
              <w:t>磋商</w:t>
            </w:r>
            <w:r>
              <w:rPr>
                <w:rFonts w:hint="eastAsia"/>
                <w:color w:val="auto"/>
                <w:highlight w:val="none"/>
              </w:rPr>
              <w:t>有效期</w:t>
            </w:r>
          </w:p>
        </w:tc>
        <w:tc>
          <w:tcPr>
            <w:tcW w:w="6850" w:type="dxa"/>
            <w:tcBorders>
              <w:right w:val="single" w:color="000000" w:sz="10" w:space="0"/>
            </w:tcBorders>
            <w:shd w:val="clear" w:color="auto" w:fill="auto"/>
            <w:vAlign w:val="center"/>
          </w:tcPr>
          <w:p w14:paraId="20B256BB">
            <w:pPr>
              <w:bidi w:val="0"/>
              <w:rPr>
                <w:rFonts w:hint="eastAsia"/>
                <w:color w:val="auto"/>
                <w:highlight w:val="none"/>
                <w:lang w:val="en-US" w:eastAsia="zh-CN"/>
              </w:rPr>
            </w:pPr>
            <w:r>
              <w:rPr>
                <w:rFonts w:hint="eastAsia"/>
                <w:color w:val="auto"/>
                <w:highlight w:val="none"/>
              </w:rPr>
              <w:t>60日历天（从</w:t>
            </w:r>
            <w:r>
              <w:rPr>
                <w:rFonts w:hint="eastAsia"/>
                <w:color w:val="auto"/>
                <w:highlight w:val="none"/>
                <w:lang w:eastAsia="zh-CN"/>
              </w:rPr>
              <w:t>响应文件提交</w:t>
            </w:r>
            <w:r>
              <w:rPr>
                <w:rFonts w:hint="eastAsia"/>
                <w:color w:val="auto"/>
                <w:highlight w:val="none"/>
              </w:rPr>
              <w:t>截止之日算起）</w:t>
            </w:r>
          </w:p>
        </w:tc>
      </w:tr>
      <w:tr w14:paraId="4C7CF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847" w:type="dxa"/>
            <w:tcBorders>
              <w:left w:val="single" w:color="000000" w:sz="10" w:space="0"/>
            </w:tcBorders>
            <w:shd w:val="clear" w:color="auto" w:fill="auto"/>
            <w:vAlign w:val="center"/>
          </w:tcPr>
          <w:p w14:paraId="1F0C9AF5">
            <w:pPr>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2304" w:type="dxa"/>
            <w:shd w:val="clear" w:color="auto" w:fill="auto"/>
            <w:vAlign w:val="center"/>
          </w:tcPr>
          <w:p w14:paraId="06385617">
            <w:pPr>
              <w:bidi w:val="0"/>
              <w:jc w:val="center"/>
              <w:rPr>
                <w:rFonts w:hint="eastAsia"/>
                <w:color w:val="auto"/>
                <w:highlight w:val="none"/>
                <w:lang w:val="en-US" w:eastAsia="zh-CN"/>
              </w:rPr>
            </w:pPr>
            <w:r>
              <w:rPr>
                <w:rFonts w:hint="eastAsia"/>
                <w:color w:val="auto"/>
                <w:highlight w:val="none"/>
                <w:lang w:val="en-US" w:eastAsia="zh-CN"/>
              </w:rPr>
              <w:t>产品技术偏离</w:t>
            </w:r>
          </w:p>
        </w:tc>
        <w:tc>
          <w:tcPr>
            <w:tcW w:w="6850" w:type="dxa"/>
            <w:tcBorders>
              <w:right w:val="single" w:color="000000" w:sz="10" w:space="0"/>
            </w:tcBorders>
            <w:shd w:val="clear" w:color="auto" w:fill="auto"/>
            <w:vAlign w:val="center"/>
          </w:tcPr>
          <w:p w14:paraId="4D8A79D2">
            <w:pPr>
              <w:bidi w:val="0"/>
              <w:rPr>
                <w:rFonts w:hint="eastAsia"/>
                <w:color w:val="auto"/>
                <w:highlight w:val="none"/>
                <w:lang w:val="en-US" w:eastAsia="zh-CN"/>
              </w:rPr>
            </w:pPr>
            <w:r>
              <w:rPr>
                <w:rFonts w:hint="eastAsia"/>
                <w:color w:val="auto"/>
                <w:highlight w:val="none"/>
                <w:lang w:val="en-US" w:eastAsia="zh-CN"/>
              </w:rPr>
              <w:t>允许</w:t>
            </w:r>
          </w:p>
        </w:tc>
      </w:tr>
      <w:tr w14:paraId="5913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847" w:type="dxa"/>
            <w:tcBorders>
              <w:left w:val="single" w:color="000000" w:sz="10" w:space="0"/>
            </w:tcBorders>
            <w:shd w:val="clear" w:color="auto" w:fill="auto"/>
            <w:vAlign w:val="center"/>
          </w:tcPr>
          <w:p w14:paraId="090B312A">
            <w:pPr>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w:t>
            </w:r>
          </w:p>
        </w:tc>
        <w:tc>
          <w:tcPr>
            <w:tcW w:w="2304" w:type="dxa"/>
            <w:shd w:val="clear" w:color="auto" w:fill="auto"/>
            <w:vAlign w:val="center"/>
          </w:tcPr>
          <w:p w14:paraId="51A96E52">
            <w:pPr>
              <w:bidi w:val="0"/>
              <w:jc w:val="center"/>
              <w:rPr>
                <w:rFonts w:hint="eastAsia"/>
                <w:color w:val="auto"/>
                <w:highlight w:val="none"/>
                <w:lang w:val="en-US" w:eastAsia="zh-CN"/>
              </w:rPr>
            </w:pPr>
            <w:r>
              <w:rPr>
                <w:rFonts w:hint="eastAsia"/>
                <w:color w:val="auto"/>
                <w:highlight w:val="none"/>
              </w:rPr>
              <w:t>踏勘现场</w:t>
            </w:r>
          </w:p>
        </w:tc>
        <w:tc>
          <w:tcPr>
            <w:tcW w:w="6850" w:type="dxa"/>
            <w:tcBorders>
              <w:right w:val="single" w:color="000000" w:sz="10" w:space="0"/>
            </w:tcBorders>
            <w:shd w:val="clear" w:color="auto" w:fill="auto"/>
            <w:vAlign w:val="center"/>
          </w:tcPr>
          <w:p w14:paraId="4950BF3C">
            <w:pPr>
              <w:bidi w:val="0"/>
              <w:rPr>
                <w:rFonts w:hint="eastAsia"/>
                <w:color w:val="auto"/>
                <w:highlight w:val="none"/>
                <w:lang w:val="en-US" w:eastAsia="zh-CN"/>
              </w:rPr>
            </w:pPr>
            <w:r>
              <w:rPr>
                <w:rFonts w:hint="eastAsia"/>
                <w:color w:val="auto"/>
                <w:highlight w:val="none"/>
              </w:rPr>
              <w:t>不组织</w:t>
            </w:r>
          </w:p>
        </w:tc>
      </w:tr>
      <w:tr w14:paraId="54D53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47" w:type="dxa"/>
            <w:tcBorders>
              <w:left w:val="single" w:color="000000" w:sz="10" w:space="0"/>
            </w:tcBorders>
            <w:vAlign w:val="center"/>
          </w:tcPr>
          <w:p w14:paraId="5A105C45">
            <w:pPr>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w:t>
            </w:r>
          </w:p>
        </w:tc>
        <w:tc>
          <w:tcPr>
            <w:tcW w:w="2304" w:type="dxa"/>
            <w:vAlign w:val="center"/>
          </w:tcPr>
          <w:p w14:paraId="70496570">
            <w:pPr>
              <w:bidi w:val="0"/>
              <w:jc w:val="center"/>
              <w:rPr>
                <w:rFonts w:hint="eastAsia"/>
                <w:color w:val="auto"/>
                <w:highlight w:val="none"/>
              </w:rPr>
            </w:pPr>
            <w:r>
              <w:rPr>
                <w:rFonts w:hint="eastAsia"/>
                <w:color w:val="auto"/>
                <w:highlight w:val="none"/>
              </w:rPr>
              <w:t>供应商要求澄清采</w:t>
            </w:r>
          </w:p>
          <w:p w14:paraId="0BB56E89">
            <w:pPr>
              <w:bidi w:val="0"/>
              <w:jc w:val="center"/>
              <w:rPr>
                <w:rFonts w:hint="eastAsia"/>
                <w:color w:val="auto"/>
                <w:highlight w:val="none"/>
              </w:rPr>
            </w:pPr>
            <w:r>
              <w:rPr>
                <w:rFonts w:hint="eastAsia"/>
                <w:color w:val="auto"/>
                <w:highlight w:val="none"/>
              </w:rPr>
              <w:t>购文件的截止时间</w:t>
            </w:r>
          </w:p>
        </w:tc>
        <w:tc>
          <w:tcPr>
            <w:tcW w:w="6850" w:type="dxa"/>
            <w:tcBorders>
              <w:right w:val="single" w:color="000000" w:sz="10" w:space="0"/>
            </w:tcBorders>
            <w:vAlign w:val="center"/>
          </w:tcPr>
          <w:p w14:paraId="1ABB22E8">
            <w:pPr>
              <w:bidi w:val="0"/>
              <w:rPr>
                <w:rFonts w:hint="eastAsia"/>
                <w:color w:val="auto"/>
                <w:highlight w:val="none"/>
              </w:rPr>
            </w:pPr>
            <w:r>
              <w:rPr>
                <w:rFonts w:hint="eastAsia"/>
                <w:color w:val="auto"/>
                <w:highlight w:val="none"/>
              </w:rPr>
              <w:t>时间：响应文件递交截止日期5日前</w:t>
            </w:r>
          </w:p>
          <w:p w14:paraId="1E53DB6F">
            <w:pPr>
              <w:bidi w:val="0"/>
              <w:rPr>
                <w:rFonts w:hint="eastAsia"/>
                <w:color w:val="auto"/>
                <w:highlight w:val="none"/>
              </w:rPr>
            </w:pPr>
            <w:r>
              <w:rPr>
                <w:rFonts w:hint="eastAsia"/>
                <w:color w:val="auto"/>
                <w:highlight w:val="none"/>
              </w:rPr>
              <w:t>形式：登录“荥阳市公共资源交易中心平台 ”系统提出，要求采购人对</w:t>
            </w:r>
            <w:r>
              <w:rPr>
                <w:rFonts w:hint="eastAsia"/>
                <w:color w:val="auto"/>
                <w:highlight w:val="none"/>
                <w:lang w:eastAsia="zh-CN"/>
              </w:rPr>
              <w:t>磋商文件</w:t>
            </w:r>
            <w:r>
              <w:rPr>
                <w:rFonts w:hint="eastAsia"/>
                <w:color w:val="auto"/>
                <w:highlight w:val="none"/>
              </w:rPr>
              <w:t>予以澄清。</w:t>
            </w:r>
          </w:p>
        </w:tc>
      </w:tr>
      <w:tr w14:paraId="52432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47" w:type="dxa"/>
            <w:tcBorders>
              <w:left w:val="single" w:color="000000" w:sz="10" w:space="0"/>
            </w:tcBorders>
            <w:vAlign w:val="center"/>
          </w:tcPr>
          <w:p w14:paraId="649A3FB2">
            <w:pPr>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p>
        </w:tc>
        <w:tc>
          <w:tcPr>
            <w:tcW w:w="2304" w:type="dxa"/>
            <w:vAlign w:val="center"/>
          </w:tcPr>
          <w:p w14:paraId="142396EF">
            <w:pPr>
              <w:bidi w:val="0"/>
              <w:jc w:val="both"/>
              <w:rPr>
                <w:rFonts w:hint="eastAsia"/>
                <w:color w:val="auto"/>
                <w:highlight w:val="none"/>
              </w:rPr>
            </w:pPr>
          </w:p>
          <w:p w14:paraId="578A8DBC">
            <w:pPr>
              <w:bidi w:val="0"/>
              <w:jc w:val="center"/>
              <w:rPr>
                <w:rFonts w:hint="eastAsia"/>
                <w:color w:val="auto"/>
                <w:highlight w:val="none"/>
              </w:rPr>
            </w:pPr>
            <w:r>
              <w:rPr>
                <w:rFonts w:hint="eastAsia"/>
                <w:color w:val="auto"/>
                <w:highlight w:val="none"/>
              </w:rPr>
              <w:t>供应商确认收到招</w:t>
            </w:r>
          </w:p>
          <w:p w14:paraId="3080F997">
            <w:pPr>
              <w:bidi w:val="0"/>
              <w:jc w:val="center"/>
              <w:rPr>
                <w:rFonts w:hint="eastAsia"/>
                <w:color w:val="auto"/>
                <w:highlight w:val="none"/>
              </w:rPr>
            </w:pPr>
            <w:r>
              <w:rPr>
                <w:rFonts w:hint="eastAsia"/>
                <w:color w:val="auto"/>
                <w:highlight w:val="none"/>
              </w:rPr>
              <w:t>标文件澄清的时间</w:t>
            </w:r>
          </w:p>
        </w:tc>
        <w:tc>
          <w:tcPr>
            <w:tcW w:w="6850" w:type="dxa"/>
            <w:tcBorders>
              <w:right w:val="single" w:color="000000" w:sz="10" w:space="0"/>
            </w:tcBorders>
            <w:vAlign w:val="center"/>
          </w:tcPr>
          <w:p w14:paraId="62271FE8">
            <w:pPr>
              <w:bidi w:val="0"/>
              <w:rPr>
                <w:rFonts w:hint="eastAsia"/>
                <w:color w:val="auto"/>
                <w:highlight w:val="none"/>
              </w:rPr>
            </w:pPr>
            <w:r>
              <w:rPr>
                <w:rFonts w:hint="eastAsia"/>
                <w:color w:val="auto"/>
                <w:highlight w:val="none"/>
                <w:lang w:eastAsia="zh-CN"/>
              </w:rPr>
              <w:t>磋商文件</w:t>
            </w:r>
            <w:r>
              <w:rPr>
                <w:rFonts w:hint="eastAsia"/>
                <w:color w:val="auto"/>
                <w:highlight w:val="none"/>
              </w:rPr>
              <w:t>的补充文件发出之日24小时内</w:t>
            </w:r>
          </w:p>
          <w:p w14:paraId="776B7868">
            <w:pPr>
              <w:bidi w:val="0"/>
              <w:rPr>
                <w:rFonts w:hint="eastAsia"/>
                <w:color w:val="auto"/>
                <w:highlight w:val="none"/>
              </w:rPr>
            </w:pPr>
            <w:r>
              <w:rPr>
                <w:rFonts w:hint="eastAsia"/>
                <w:color w:val="auto"/>
                <w:highlight w:val="none"/>
              </w:rPr>
              <w:t>形式：</w:t>
            </w:r>
            <w:r>
              <w:rPr>
                <w:rFonts w:hint="eastAsia"/>
                <w:color w:val="auto"/>
                <w:highlight w:val="none"/>
                <w:lang w:eastAsia="zh-CN"/>
              </w:rPr>
              <w:t>磋商文件</w:t>
            </w:r>
            <w:r>
              <w:rPr>
                <w:rFonts w:hint="eastAsia"/>
                <w:color w:val="auto"/>
                <w:highlight w:val="none"/>
              </w:rPr>
              <w:t>澄清的交易中心网站一经发出即视为供应商已确认收到。请保持关注。</w:t>
            </w:r>
          </w:p>
        </w:tc>
      </w:tr>
      <w:tr w14:paraId="6FD1F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47" w:type="dxa"/>
            <w:tcBorders>
              <w:left w:val="single" w:color="000000" w:sz="10" w:space="0"/>
            </w:tcBorders>
            <w:vAlign w:val="center"/>
          </w:tcPr>
          <w:p w14:paraId="2D2B4AA1">
            <w:pPr>
              <w:spacing w:line="240" w:lineRule="auto"/>
              <w:jc w:val="center"/>
              <w:rPr>
                <w:rFonts w:hint="eastAsia" w:ascii="宋体" w:hAnsi="宋体" w:eastAsia="宋体" w:cs="宋体"/>
                <w:color w:val="auto"/>
                <w:sz w:val="21"/>
                <w:szCs w:val="21"/>
                <w:highlight w:val="none"/>
              </w:rPr>
            </w:pPr>
          </w:p>
          <w:p w14:paraId="2C6DAD69">
            <w:pPr>
              <w:spacing w:line="240" w:lineRule="auto"/>
              <w:jc w:val="center"/>
              <w:rPr>
                <w:rFonts w:hint="eastAsia" w:ascii="宋体" w:hAnsi="宋体" w:eastAsia="宋体" w:cs="宋体"/>
                <w:color w:val="auto"/>
                <w:sz w:val="21"/>
                <w:szCs w:val="21"/>
                <w:highlight w:val="none"/>
              </w:rPr>
            </w:pPr>
          </w:p>
          <w:p w14:paraId="183B8B2B">
            <w:pPr>
              <w:pStyle w:val="118"/>
              <w:spacing w:before="78" w:line="240" w:lineRule="auto"/>
              <w:ind w:left="312" w:leftChars="0"/>
              <w:jc w:val="both"/>
              <w:rPr>
                <w:rFonts w:hint="eastAsia" w:ascii="宋体" w:hAnsi="宋体" w:eastAsia="宋体" w:cs="宋体"/>
                <w:color w:val="auto"/>
                <w:spacing w:val="-14"/>
                <w:sz w:val="21"/>
                <w:szCs w:val="21"/>
                <w:highlight w:val="none"/>
                <w:lang w:val="en-US" w:eastAsia="zh-CN"/>
              </w:rPr>
            </w:pPr>
            <w:r>
              <w:rPr>
                <w:rFonts w:hint="eastAsia" w:ascii="宋体" w:hAnsi="宋体" w:eastAsia="宋体" w:cs="宋体"/>
                <w:color w:val="auto"/>
                <w:spacing w:val="-14"/>
                <w:sz w:val="21"/>
                <w:szCs w:val="21"/>
                <w:highlight w:val="none"/>
              </w:rPr>
              <w:t>18</w:t>
            </w:r>
            <w:r>
              <w:rPr>
                <w:rFonts w:hint="eastAsia" w:ascii="宋体" w:hAnsi="宋体" w:eastAsia="宋体" w:cs="宋体"/>
                <w:color w:val="auto"/>
                <w:spacing w:val="-14"/>
                <w:sz w:val="21"/>
                <w:szCs w:val="21"/>
                <w:highlight w:val="none"/>
                <w:lang w:val="en-US" w:eastAsia="zh-CN"/>
              </w:rPr>
              <w:t>.1</w:t>
            </w:r>
          </w:p>
        </w:tc>
        <w:tc>
          <w:tcPr>
            <w:tcW w:w="2304" w:type="dxa"/>
            <w:vAlign w:val="center"/>
          </w:tcPr>
          <w:p w14:paraId="5ABCF367">
            <w:pPr>
              <w:bidi w:val="0"/>
              <w:jc w:val="center"/>
              <w:rPr>
                <w:rFonts w:hint="eastAsia"/>
                <w:color w:val="auto"/>
                <w:highlight w:val="none"/>
              </w:rPr>
            </w:pPr>
          </w:p>
          <w:p w14:paraId="39FD7955">
            <w:pPr>
              <w:bidi w:val="0"/>
              <w:jc w:val="center"/>
              <w:rPr>
                <w:rFonts w:hint="eastAsia"/>
                <w:color w:val="auto"/>
                <w:highlight w:val="none"/>
              </w:rPr>
            </w:pPr>
            <w:r>
              <w:rPr>
                <w:rFonts w:hint="eastAsia"/>
                <w:color w:val="auto"/>
                <w:highlight w:val="none"/>
              </w:rPr>
              <w:t>供应商确认收到招</w:t>
            </w:r>
          </w:p>
          <w:p w14:paraId="6FB3B479">
            <w:pPr>
              <w:bidi w:val="0"/>
              <w:jc w:val="center"/>
              <w:rPr>
                <w:rFonts w:hint="eastAsia"/>
                <w:color w:val="auto"/>
                <w:highlight w:val="none"/>
              </w:rPr>
            </w:pPr>
            <w:r>
              <w:rPr>
                <w:rFonts w:hint="eastAsia"/>
                <w:color w:val="auto"/>
                <w:highlight w:val="none"/>
              </w:rPr>
              <w:t>标文件修改的时间</w:t>
            </w:r>
          </w:p>
        </w:tc>
        <w:tc>
          <w:tcPr>
            <w:tcW w:w="6850" w:type="dxa"/>
            <w:tcBorders>
              <w:right w:val="single" w:color="000000" w:sz="10" w:space="0"/>
            </w:tcBorders>
            <w:vAlign w:val="center"/>
          </w:tcPr>
          <w:p w14:paraId="6F3C0593">
            <w:pPr>
              <w:bidi w:val="0"/>
              <w:rPr>
                <w:rFonts w:hint="eastAsia"/>
                <w:color w:val="auto"/>
                <w:highlight w:val="none"/>
              </w:rPr>
            </w:pPr>
            <w:r>
              <w:rPr>
                <w:rFonts w:hint="eastAsia"/>
                <w:color w:val="auto"/>
                <w:highlight w:val="none"/>
                <w:lang w:eastAsia="zh-CN"/>
              </w:rPr>
              <w:t>磋商文件</w:t>
            </w:r>
            <w:r>
              <w:rPr>
                <w:rFonts w:hint="eastAsia"/>
                <w:color w:val="auto"/>
                <w:highlight w:val="none"/>
              </w:rPr>
              <w:t>的补充文件发出之日 24 小时内</w:t>
            </w:r>
          </w:p>
          <w:p w14:paraId="24CFD02D">
            <w:pPr>
              <w:bidi w:val="0"/>
              <w:rPr>
                <w:rFonts w:hint="eastAsia"/>
                <w:color w:val="auto"/>
                <w:highlight w:val="none"/>
              </w:rPr>
            </w:pPr>
            <w:r>
              <w:rPr>
                <w:rFonts w:hint="eastAsia"/>
                <w:color w:val="auto"/>
                <w:highlight w:val="none"/>
              </w:rPr>
              <w:t>形式：</w:t>
            </w:r>
            <w:r>
              <w:rPr>
                <w:rFonts w:hint="eastAsia"/>
                <w:color w:val="auto"/>
                <w:highlight w:val="none"/>
                <w:lang w:eastAsia="zh-CN"/>
              </w:rPr>
              <w:t>磋商文件</w:t>
            </w:r>
            <w:r>
              <w:rPr>
                <w:rFonts w:hint="eastAsia"/>
                <w:color w:val="auto"/>
                <w:highlight w:val="none"/>
              </w:rPr>
              <w:t>修改的交易中心网站一经发出即视为供应商已确认收到，请保持关注。</w:t>
            </w:r>
          </w:p>
        </w:tc>
      </w:tr>
      <w:tr w14:paraId="467A1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847" w:type="dxa"/>
            <w:tcBorders>
              <w:left w:val="single" w:color="000000" w:sz="10" w:space="0"/>
            </w:tcBorders>
            <w:vAlign w:val="center"/>
          </w:tcPr>
          <w:p w14:paraId="4DE360F8">
            <w:pPr>
              <w:spacing w:line="240" w:lineRule="auto"/>
              <w:jc w:val="center"/>
              <w:rPr>
                <w:rFonts w:hint="eastAsia" w:ascii="宋体" w:hAnsi="宋体" w:eastAsia="宋体" w:cs="宋体"/>
                <w:color w:val="auto"/>
                <w:sz w:val="21"/>
                <w:szCs w:val="21"/>
                <w:highlight w:val="none"/>
              </w:rPr>
            </w:pPr>
          </w:p>
          <w:p w14:paraId="008A580B">
            <w:pPr>
              <w:pStyle w:val="118"/>
              <w:spacing w:before="78" w:line="240" w:lineRule="auto"/>
              <w:ind w:left="332" w:leftChars="0"/>
              <w:jc w:val="both"/>
              <w:rPr>
                <w:rFonts w:hint="eastAsia" w:ascii="宋体" w:hAnsi="宋体" w:eastAsia="宋体" w:cs="宋体"/>
                <w:color w:val="auto"/>
                <w:spacing w:val="-14"/>
                <w:sz w:val="21"/>
                <w:szCs w:val="21"/>
                <w:highlight w:val="none"/>
              </w:rPr>
            </w:pPr>
            <w:r>
              <w:rPr>
                <w:rFonts w:hint="eastAsia" w:ascii="宋体" w:hAnsi="宋体" w:eastAsia="宋体" w:cs="宋体"/>
                <w:color w:val="auto"/>
                <w:spacing w:val="-14"/>
                <w:sz w:val="21"/>
                <w:szCs w:val="21"/>
                <w:highlight w:val="none"/>
              </w:rPr>
              <w:t>19</w:t>
            </w:r>
          </w:p>
        </w:tc>
        <w:tc>
          <w:tcPr>
            <w:tcW w:w="2304" w:type="dxa"/>
            <w:vAlign w:val="center"/>
          </w:tcPr>
          <w:p w14:paraId="5A991C90">
            <w:pPr>
              <w:bidi w:val="0"/>
              <w:jc w:val="center"/>
              <w:rPr>
                <w:rFonts w:hint="eastAsia"/>
                <w:color w:val="auto"/>
                <w:highlight w:val="none"/>
              </w:rPr>
            </w:pPr>
          </w:p>
          <w:p w14:paraId="20E169FD">
            <w:pPr>
              <w:bidi w:val="0"/>
              <w:jc w:val="center"/>
              <w:rPr>
                <w:rFonts w:hint="eastAsia"/>
                <w:color w:val="auto"/>
                <w:highlight w:val="none"/>
              </w:rPr>
            </w:pPr>
            <w:r>
              <w:rPr>
                <w:rFonts w:hint="eastAsia"/>
                <w:color w:val="auto"/>
                <w:highlight w:val="none"/>
                <w:lang w:val="en-US" w:eastAsia="zh-CN"/>
              </w:rPr>
              <w:t>磋商</w:t>
            </w:r>
            <w:r>
              <w:rPr>
                <w:rFonts w:hint="eastAsia"/>
                <w:color w:val="auto"/>
                <w:highlight w:val="none"/>
              </w:rPr>
              <w:t>保证金</w:t>
            </w:r>
          </w:p>
        </w:tc>
        <w:tc>
          <w:tcPr>
            <w:tcW w:w="6850" w:type="dxa"/>
            <w:tcBorders>
              <w:right w:val="single" w:color="000000" w:sz="10" w:space="0"/>
            </w:tcBorders>
            <w:vAlign w:val="center"/>
          </w:tcPr>
          <w:p w14:paraId="153ACEEC">
            <w:pPr>
              <w:bidi w:val="0"/>
              <w:rPr>
                <w:rFonts w:hint="eastAsia"/>
                <w:color w:val="auto"/>
                <w:highlight w:val="none"/>
              </w:rPr>
            </w:pPr>
            <w:r>
              <w:rPr>
                <w:rFonts w:hint="eastAsia"/>
                <w:color w:val="auto"/>
                <w:highlight w:val="none"/>
              </w:rPr>
              <w:t>不缴纳，</w:t>
            </w:r>
            <w:r>
              <w:rPr>
                <w:rFonts w:hint="eastAsia"/>
                <w:color w:val="auto"/>
                <w:highlight w:val="none"/>
                <w:lang w:val="en-US" w:eastAsia="zh-CN"/>
              </w:rPr>
              <w:t>根据</w:t>
            </w:r>
            <w:r>
              <w:rPr>
                <w:rFonts w:hint="eastAsia"/>
                <w:color w:val="auto"/>
                <w:highlight w:val="none"/>
              </w:rPr>
              <w:t>豫财购[2019]4 号文件的相关规定，本次</w:t>
            </w:r>
            <w:r>
              <w:rPr>
                <w:rFonts w:hint="eastAsia"/>
                <w:color w:val="auto"/>
                <w:highlight w:val="none"/>
                <w:lang w:eastAsia="zh-CN"/>
              </w:rPr>
              <w:t>磋商</w:t>
            </w:r>
            <w:r>
              <w:rPr>
                <w:rFonts w:hint="eastAsia"/>
                <w:color w:val="auto"/>
                <w:highlight w:val="none"/>
              </w:rPr>
              <w:t>不收取</w:t>
            </w:r>
            <w:r>
              <w:rPr>
                <w:rFonts w:hint="eastAsia"/>
                <w:color w:val="auto"/>
                <w:highlight w:val="none"/>
                <w:lang w:val="en-US" w:eastAsia="zh-CN"/>
              </w:rPr>
              <w:t>磋商</w:t>
            </w:r>
            <w:r>
              <w:rPr>
                <w:rFonts w:hint="eastAsia"/>
                <w:color w:val="auto"/>
                <w:highlight w:val="none"/>
              </w:rPr>
              <w:t>保证金。</w:t>
            </w:r>
          </w:p>
        </w:tc>
      </w:tr>
      <w:tr w14:paraId="6516E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47" w:type="dxa"/>
            <w:tcBorders>
              <w:left w:val="single" w:color="000000" w:sz="10" w:space="0"/>
            </w:tcBorders>
            <w:vAlign w:val="center"/>
          </w:tcPr>
          <w:p w14:paraId="69A2862C">
            <w:pPr>
              <w:spacing w:line="240" w:lineRule="auto"/>
              <w:jc w:val="center"/>
              <w:rPr>
                <w:rFonts w:hint="eastAsia" w:ascii="宋体" w:hAnsi="宋体" w:eastAsia="宋体" w:cs="宋体"/>
                <w:color w:val="auto"/>
                <w:sz w:val="21"/>
                <w:szCs w:val="21"/>
                <w:highlight w:val="none"/>
              </w:rPr>
            </w:pPr>
          </w:p>
          <w:p w14:paraId="16795426">
            <w:pPr>
              <w:pStyle w:val="118"/>
              <w:spacing w:before="78" w:line="240" w:lineRule="auto"/>
              <w:ind w:left="317" w:leftChars="0"/>
              <w:jc w:val="both"/>
              <w:rPr>
                <w:rFonts w:hint="eastAsia" w:ascii="宋体" w:hAnsi="宋体" w:eastAsia="宋体" w:cs="宋体"/>
                <w:color w:val="auto"/>
                <w:spacing w:val="-14"/>
                <w:sz w:val="21"/>
                <w:szCs w:val="21"/>
                <w:highlight w:val="none"/>
              </w:rPr>
            </w:pPr>
            <w:r>
              <w:rPr>
                <w:rFonts w:hint="eastAsia" w:ascii="宋体" w:hAnsi="宋体" w:eastAsia="宋体" w:cs="宋体"/>
                <w:color w:val="auto"/>
                <w:spacing w:val="-7"/>
                <w:sz w:val="21"/>
                <w:szCs w:val="21"/>
                <w:highlight w:val="none"/>
              </w:rPr>
              <w:t>20</w:t>
            </w:r>
          </w:p>
        </w:tc>
        <w:tc>
          <w:tcPr>
            <w:tcW w:w="2304" w:type="dxa"/>
            <w:vAlign w:val="center"/>
          </w:tcPr>
          <w:p w14:paraId="48D7D060">
            <w:pPr>
              <w:bidi w:val="0"/>
              <w:jc w:val="center"/>
              <w:rPr>
                <w:rFonts w:hint="eastAsia"/>
                <w:color w:val="auto"/>
                <w:highlight w:val="none"/>
              </w:rPr>
            </w:pPr>
          </w:p>
          <w:p w14:paraId="3026FC0C">
            <w:pPr>
              <w:bidi w:val="0"/>
              <w:jc w:val="center"/>
              <w:rPr>
                <w:rFonts w:hint="eastAsia"/>
                <w:color w:val="auto"/>
                <w:highlight w:val="none"/>
              </w:rPr>
            </w:pPr>
            <w:r>
              <w:rPr>
                <w:rFonts w:hint="eastAsia"/>
                <w:color w:val="auto"/>
                <w:highlight w:val="none"/>
                <w:lang w:val="en-US" w:eastAsia="zh-CN"/>
              </w:rPr>
              <w:t>响应</w:t>
            </w:r>
            <w:r>
              <w:rPr>
                <w:rFonts w:hint="eastAsia"/>
                <w:color w:val="auto"/>
                <w:highlight w:val="none"/>
              </w:rPr>
              <w:t>文件份数</w:t>
            </w:r>
          </w:p>
        </w:tc>
        <w:tc>
          <w:tcPr>
            <w:tcW w:w="6850" w:type="dxa"/>
            <w:tcBorders>
              <w:right w:val="single" w:color="000000" w:sz="10" w:space="0"/>
            </w:tcBorders>
            <w:vAlign w:val="center"/>
          </w:tcPr>
          <w:p w14:paraId="6A617EF2">
            <w:pPr>
              <w:bidi w:val="0"/>
              <w:rPr>
                <w:rFonts w:hint="eastAsia"/>
                <w:color w:val="auto"/>
                <w:highlight w:val="none"/>
              </w:rPr>
            </w:pPr>
            <w:r>
              <w:rPr>
                <w:rFonts w:hint="eastAsia"/>
                <w:color w:val="auto"/>
                <w:highlight w:val="none"/>
              </w:rPr>
              <w:t>1份，加密电子</w:t>
            </w:r>
            <w:r>
              <w:rPr>
                <w:rFonts w:hint="eastAsia"/>
                <w:color w:val="auto"/>
                <w:highlight w:val="none"/>
                <w:lang w:val="en-US" w:eastAsia="zh-CN"/>
              </w:rPr>
              <w:t>响应</w:t>
            </w:r>
            <w:r>
              <w:rPr>
                <w:rFonts w:hint="eastAsia"/>
                <w:color w:val="auto"/>
                <w:highlight w:val="none"/>
              </w:rPr>
              <w:t>文件须在</w:t>
            </w:r>
            <w:r>
              <w:rPr>
                <w:rFonts w:hint="eastAsia"/>
                <w:color w:val="auto"/>
                <w:highlight w:val="none"/>
                <w:lang w:eastAsia="zh-CN"/>
              </w:rPr>
              <w:t>响应</w:t>
            </w:r>
            <w:r>
              <w:rPr>
                <w:rFonts w:hint="eastAsia"/>
                <w:color w:val="auto"/>
                <w:highlight w:val="none"/>
              </w:rPr>
              <w:t>文件递交截止</w:t>
            </w:r>
            <w:r>
              <w:rPr>
                <w:rFonts w:hint="eastAsia"/>
                <w:color w:val="auto"/>
                <w:highlight w:val="none"/>
                <w:lang w:eastAsia="zh-CN"/>
              </w:rPr>
              <w:t>时间</w:t>
            </w:r>
            <w:r>
              <w:rPr>
                <w:rFonts w:hint="eastAsia"/>
                <w:color w:val="auto"/>
                <w:highlight w:val="none"/>
              </w:rPr>
              <w:t>前在荥阳市公共资源交易中心网站系统加密上传。</w:t>
            </w:r>
          </w:p>
        </w:tc>
      </w:tr>
      <w:tr w14:paraId="19519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47" w:type="dxa"/>
            <w:tcBorders>
              <w:left w:val="single" w:color="000000" w:sz="10" w:space="0"/>
            </w:tcBorders>
            <w:vAlign w:val="center"/>
          </w:tcPr>
          <w:p w14:paraId="54697BEC">
            <w:pPr>
              <w:pStyle w:val="118"/>
              <w:spacing w:before="78" w:line="240" w:lineRule="auto"/>
              <w:ind w:left="298" w:leftChars="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21</w:t>
            </w:r>
          </w:p>
        </w:tc>
        <w:tc>
          <w:tcPr>
            <w:tcW w:w="2304" w:type="dxa"/>
            <w:vAlign w:val="center"/>
          </w:tcPr>
          <w:p w14:paraId="47FF3600">
            <w:pPr>
              <w:bidi w:val="0"/>
              <w:jc w:val="center"/>
              <w:rPr>
                <w:rFonts w:hint="eastAsia" w:eastAsia="宋体"/>
                <w:color w:val="auto"/>
                <w:highlight w:val="none"/>
                <w:lang w:val="en-US" w:eastAsia="zh-CN"/>
              </w:rPr>
            </w:pPr>
            <w:r>
              <w:rPr>
                <w:rFonts w:hint="eastAsia"/>
                <w:color w:val="auto"/>
                <w:highlight w:val="none"/>
                <w:lang w:eastAsia="zh-CN"/>
              </w:rPr>
              <w:t>预算金额</w:t>
            </w:r>
          </w:p>
        </w:tc>
        <w:tc>
          <w:tcPr>
            <w:tcW w:w="6850" w:type="dxa"/>
            <w:tcBorders>
              <w:right w:val="single" w:color="000000" w:sz="10" w:space="0"/>
            </w:tcBorders>
            <w:vAlign w:val="center"/>
          </w:tcPr>
          <w:p w14:paraId="03E480F3">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预算金额：</w:t>
            </w:r>
            <w:r>
              <w:rPr>
                <w:rFonts w:hint="eastAsia"/>
                <w:color w:val="auto"/>
                <w:highlight w:val="none"/>
                <w:lang w:val="en-US" w:eastAsia="zh-CN"/>
              </w:rPr>
              <w:t>150</w:t>
            </w:r>
            <w:r>
              <w:rPr>
                <w:rFonts w:hint="eastAsia"/>
                <w:color w:val="auto"/>
                <w:highlight w:val="none"/>
              </w:rPr>
              <w:t>0000</w:t>
            </w:r>
            <w:r>
              <w:rPr>
                <w:rFonts w:hint="eastAsia"/>
                <w:color w:val="auto"/>
                <w:highlight w:val="none"/>
                <w:lang w:val="en-US" w:eastAsia="zh-CN"/>
              </w:rPr>
              <w:t>.00</w:t>
            </w:r>
            <w:r>
              <w:rPr>
                <w:rFonts w:hint="eastAsia"/>
                <w:color w:val="auto"/>
                <w:highlight w:val="none"/>
              </w:rPr>
              <w:t>元，本项目来源于惠民免费殡葬资金，产品的性质和产品具体需求数量不确定，本着执行惠民政策</w:t>
            </w:r>
            <w:r>
              <w:rPr>
                <w:rFonts w:hint="eastAsia"/>
                <w:color w:val="auto"/>
                <w:highlight w:val="none"/>
                <w:lang w:eastAsia="zh-CN"/>
              </w:rPr>
              <w:t>，</w:t>
            </w:r>
            <w:r>
              <w:rPr>
                <w:rFonts w:hint="eastAsia"/>
                <w:color w:val="auto"/>
                <w:highlight w:val="none"/>
              </w:rPr>
              <w:t>采用固定单价进行采购。本次产品根据实际供货数量据实结算，骨灰盒200元/个，卫生防护（腐）用品（</w:t>
            </w:r>
            <w:r>
              <w:rPr>
                <w:rFonts w:hint="eastAsia"/>
                <w:color w:val="auto"/>
                <w:highlight w:val="none"/>
                <w:lang w:eastAsia="zh-CN"/>
              </w:rPr>
              <w:t>殡葬事务服务中心</w:t>
            </w:r>
            <w:r>
              <w:rPr>
                <w:rFonts w:hint="eastAsia"/>
                <w:color w:val="auto"/>
                <w:highlight w:val="none"/>
              </w:rPr>
              <w:t>专用遗体袋）100 元/个</w:t>
            </w:r>
          </w:p>
          <w:p w14:paraId="0FFE4D8E">
            <w:pPr>
              <w:bidi w:val="0"/>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w:t>
            </w:r>
            <w:r>
              <w:rPr>
                <w:rFonts w:hint="eastAsia"/>
                <w:color w:val="auto"/>
                <w:highlight w:val="none"/>
                <w:lang w:eastAsia="zh-CN"/>
              </w:rPr>
              <w:t>固定</w:t>
            </w:r>
            <w:r>
              <w:rPr>
                <w:rFonts w:hint="eastAsia"/>
                <w:color w:val="auto"/>
                <w:highlight w:val="none"/>
              </w:rPr>
              <w:t>报价：报价包括过程中产生的全部费用以及全部货物、辅助材料和服务的价格及相关税费、运输到指定地点的装运费用、培训、售后服务、验收以及其他有关的交付使用前的所有费用。采购项目履行过程中所需的而</w:t>
            </w:r>
            <w:r>
              <w:rPr>
                <w:rFonts w:hint="eastAsia"/>
                <w:color w:val="auto"/>
                <w:highlight w:val="none"/>
                <w:lang w:eastAsia="zh-CN"/>
              </w:rPr>
              <w:t>磋商</w:t>
            </w:r>
            <w:r>
              <w:rPr>
                <w:rFonts w:hint="eastAsia"/>
                <w:color w:val="auto"/>
                <w:highlight w:val="none"/>
              </w:rPr>
              <w:t>文件中未列出的相关辅助材料和费用，</w:t>
            </w:r>
            <w:r>
              <w:rPr>
                <w:rFonts w:hint="eastAsia"/>
                <w:color w:val="auto"/>
                <w:highlight w:val="none"/>
                <w:lang w:eastAsia="zh-CN"/>
              </w:rPr>
              <w:t>也</w:t>
            </w:r>
            <w:r>
              <w:rPr>
                <w:rFonts w:hint="eastAsia"/>
                <w:color w:val="auto"/>
                <w:highlight w:val="none"/>
              </w:rPr>
              <w:t>包括在报价中。</w:t>
            </w:r>
          </w:p>
        </w:tc>
      </w:tr>
      <w:tr w14:paraId="47CCD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847" w:type="dxa"/>
            <w:tcBorders>
              <w:left w:val="single" w:color="000000" w:sz="10" w:space="0"/>
            </w:tcBorders>
            <w:vAlign w:val="center"/>
          </w:tcPr>
          <w:p w14:paraId="29B7FD8C">
            <w:pPr>
              <w:pStyle w:val="118"/>
              <w:spacing w:before="78" w:line="240" w:lineRule="auto"/>
              <w:ind w:left="298" w:leftChars="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22</w:t>
            </w:r>
          </w:p>
        </w:tc>
        <w:tc>
          <w:tcPr>
            <w:tcW w:w="2304" w:type="dxa"/>
            <w:vAlign w:val="center"/>
          </w:tcPr>
          <w:p w14:paraId="42951B96">
            <w:pPr>
              <w:bidi w:val="0"/>
              <w:jc w:val="center"/>
              <w:rPr>
                <w:rFonts w:hint="eastAsia"/>
                <w:color w:val="auto"/>
                <w:highlight w:val="none"/>
                <w:lang w:val="en-US" w:eastAsia="zh-CN"/>
              </w:rPr>
            </w:pPr>
            <w:r>
              <w:rPr>
                <w:rFonts w:hint="eastAsia"/>
                <w:color w:val="auto"/>
                <w:highlight w:val="none"/>
                <w:lang w:val="en-US" w:eastAsia="zh-CN"/>
              </w:rPr>
              <w:t>响应</w:t>
            </w:r>
            <w:r>
              <w:rPr>
                <w:rFonts w:hint="eastAsia"/>
                <w:color w:val="auto"/>
                <w:highlight w:val="none"/>
              </w:rPr>
              <w:t>文件递交</w:t>
            </w:r>
          </w:p>
        </w:tc>
        <w:tc>
          <w:tcPr>
            <w:tcW w:w="6850" w:type="dxa"/>
            <w:tcBorders>
              <w:right w:val="single" w:color="000000" w:sz="10" w:space="0"/>
            </w:tcBorders>
            <w:vAlign w:val="center"/>
          </w:tcPr>
          <w:p w14:paraId="0BF3E701">
            <w:pPr>
              <w:bidi w:val="0"/>
              <w:rPr>
                <w:rFonts w:hint="eastAsia"/>
                <w:color w:val="auto"/>
                <w:highlight w:val="none"/>
              </w:rPr>
            </w:pPr>
            <w:r>
              <w:rPr>
                <w:rFonts w:hint="eastAsia"/>
                <w:color w:val="auto"/>
                <w:highlight w:val="none"/>
              </w:rPr>
              <w:t>（1）加密电子</w:t>
            </w:r>
            <w:r>
              <w:rPr>
                <w:rFonts w:hint="eastAsia"/>
                <w:color w:val="auto"/>
                <w:highlight w:val="none"/>
                <w:lang w:eastAsia="zh-CN"/>
              </w:rPr>
              <w:t>响应</w:t>
            </w:r>
            <w:r>
              <w:rPr>
                <w:rFonts w:hint="eastAsia"/>
                <w:color w:val="auto"/>
                <w:highlight w:val="none"/>
              </w:rPr>
              <w:t>文件须在</w:t>
            </w:r>
            <w:r>
              <w:rPr>
                <w:rFonts w:hint="eastAsia"/>
                <w:color w:val="auto"/>
                <w:highlight w:val="none"/>
                <w:lang w:val="en-US" w:eastAsia="zh-CN"/>
              </w:rPr>
              <w:t>磋商</w:t>
            </w:r>
            <w:r>
              <w:rPr>
                <w:rFonts w:hint="eastAsia"/>
                <w:color w:val="auto"/>
                <w:highlight w:val="none"/>
              </w:rPr>
              <w:t>截止时间前通过“荥阳市公共资源交易中心 ”电子交易平台加密上传。</w:t>
            </w:r>
          </w:p>
          <w:p w14:paraId="20B416D3">
            <w:pPr>
              <w:bidi w:val="0"/>
              <w:rPr>
                <w:rFonts w:hint="eastAsia"/>
                <w:color w:val="auto"/>
                <w:highlight w:val="none"/>
              </w:rPr>
            </w:pPr>
            <w:r>
              <w:rPr>
                <w:rFonts w:hint="eastAsia"/>
                <w:color w:val="auto"/>
                <w:highlight w:val="none"/>
              </w:rPr>
              <w:t>（2）加密电子</w:t>
            </w:r>
            <w:r>
              <w:rPr>
                <w:rFonts w:hint="eastAsia"/>
                <w:color w:val="auto"/>
                <w:highlight w:val="none"/>
                <w:lang w:eastAsia="zh-CN"/>
              </w:rPr>
              <w:t>响应</w:t>
            </w:r>
            <w:r>
              <w:rPr>
                <w:rFonts w:hint="eastAsia"/>
                <w:color w:val="auto"/>
                <w:highlight w:val="none"/>
              </w:rPr>
              <w:t>文件为“荥阳市公共资源交易中心”网站提供的“</w:t>
            </w:r>
            <w:r>
              <w:rPr>
                <w:rFonts w:hint="eastAsia"/>
                <w:color w:val="auto"/>
                <w:highlight w:val="none"/>
                <w:lang w:eastAsia="zh-CN"/>
              </w:rPr>
              <w:t>响应文件</w:t>
            </w:r>
            <w:r>
              <w:rPr>
                <w:rFonts w:hint="eastAsia"/>
                <w:color w:val="auto"/>
                <w:highlight w:val="none"/>
              </w:rPr>
              <w:t>制作工具 ”软件制作生成的加密版</w:t>
            </w:r>
            <w:r>
              <w:rPr>
                <w:rFonts w:hint="eastAsia"/>
                <w:color w:val="auto"/>
                <w:highlight w:val="none"/>
                <w:lang w:eastAsia="zh-CN"/>
              </w:rPr>
              <w:t>响应文件</w:t>
            </w:r>
            <w:r>
              <w:rPr>
                <w:rFonts w:hint="eastAsia"/>
                <w:color w:val="auto"/>
                <w:highlight w:val="none"/>
              </w:rPr>
              <w:t>。</w:t>
            </w:r>
          </w:p>
          <w:p w14:paraId="0C9D0416">
            <w:pPr>
              <w:bidi w:val="0"/>
              <w:rPr>
                <w:rFonts w:hint="eastAsia"/>
                <w:color w:val="auto"/>
                <w:highlight w:val="none"/>
              </w:rPr>
            </w:pPr>
            <w:r>
              <w:rPr>
                <w:rFonts w:hint="eastAsia"/>
                <w:color w:val="auto"/>
                <w:highlight w:val="none"/>
              </w:rPr>
              <w:t>（3）加密电子</w:t>
            </w:r>
            <w:r>
              <w:rPr>
                <w:rFonts w:hint="eastAsia"/>
                <w:color w:val="auto"/>
                <w:highlight w:val="none"/>
                <w:lang w:eastAsia="zh-CN"/>
              </w:rPr>
              <w:t>响应</w:t>
            </w:r>
            <w:r>
              <w:rPr>
                <w:rFonts w:hint="eastAsia"/>
                <w:color w:val="auto"/>
                <w:highlight w:val="none"/>
              </w:rPr>
              <w:t>文件须在</w:t>
            </w:r>
            <w:r>
              <w:rPr>
                <w:rFonts w:hint="eastAsia"/>
                <w:color w:val="auto"/>
                <w:highlight w:val="none"/>
                <w:lang w:eastAsia="zh-CN"/>
              </w:rPr>
              <w:t>磋商</w:t>
            </w:r>
            <w:r>
              <w:rPr>
                <w:rFonts w:hint="eastAsia"/>
                <w:color w:val="auto"/>
                <w:highlight w:val="none"/>
              </w:rPr>
              <w:t>截止时间前通过“荥阳市公共资源交易中心 ”电子交易平台加密上传。</w:t>
            </w:r>
          </w:p>
          <w:p w14:paraId="058C7153">
            <w:pPr>
              <w:bidi w:val="0"/>
              <w:ind w:firstLine="420" w:firstLineChars="200"/>
              <w:rPr>
                <w:rFonts w:hint="eastAsia"/>
                <w:color w:val="auto"/>
                <w:highlight w:val="none"/>
              </w:rPr>
            </w:pPr>
            <w:r>
              <w:rPr>
                <w:rFonts w:hint="eastAsia"/>
                <w:color w:val="auto"/>
                <w:highlight w:val="none"/>
              </w:rPr>
              <w:t>开标时，供应商使用 CA 密钥（制作</w:t>
            </w:r>
            <w:r>
              <w:rPr>
                <w:rFonts w:hint="eastAsia"/>
                <w:color w:val="auto"/>
                <w:highlight w:val="none"/>
                <w:lang w:eastAsia="zh-CN"/>
              </w:rPr>
              <w:t>响应文件</w:t>
            </w:r>
            <w:r>
              <w:rPr>
                <w:rFonts w:hint="eastAsia"/>
                <w:color w:val="auto"/>
                <w:highlight w:val="none"/>
              </w:rPr>
              <w:t>时所使用的 CA 锁）对本单位的加密电子</w:t>
            </w:r>
            <w:r>
              <w:rPr>
                <w:rFonts w:hint="eastAsia"/>
                <w:color w:val="auto"/>
                <w:highlight w:val="none"/>
                <w:lang w:eastAsia="zh-CN"/>
              </w:rPr>
              <w:t>响应文件</w:t>
            </w:r>
            <w:r>
              <w:rPr>
                <w:rFonts w:hint="eastAsia"/>
                <w:color w:val="auto"/>
                <w:highlight w:val="none"/>
              </w:rPr>
              <w:t>进行远程不见面方式解密。</w:t>
            </w:r>
          </w:p>
        </w:tc>
      </w:tr>
      <w:tr w14:paraId="6F57D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47" w:type="dxa"/>
            <w:tcBorders>
              <w:left w:val="single" w:color="000000" w:sz="10" w:space="0"/>
            </w:tcBorders>
            <w:vAlign w:val="center"/>
          </w:tcPr>
          <w:p w14:paraId="4A996577">
            <w:pPr>
              <w:pStyle w:val="118"/>
              <w:spacing w:before="270" w:line="240" w:lineRule="auto"/>
              <w:ind w:left="298" w:leftChars="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23</w:t>
            </w:r>
          </w:p>
        </w:tc>
        <w:tc>
          <w:tcPr>
            <w:tcW w:w="2304" w:type="dxa"/>
            <w:vAlign w:val="center"/>
          </w:tcPr>
          <w:p w14:paraId="3E6AE2E5">
            <w:pPr>
              <w:bidi w:val="0"/>
              <w:jc w:val="center"/>
              <w:rPr>
                <w:rFonts w:hint="eastAsia"/>
                <w:color w:val="auto"/>
                <w:highlight w:val="none"/>
              </w:rPr>
            </w:pPr>
          </w:p>
          <w:p w14:paraId="5322E9EF">
            <w:pPr>
              <w:bidi w:val="0"/>
              <w:jc w:val="center"/>
              <w:rPr>
                <w:rFonts w:hint="eastAsia"/>
                <w:color w:val="auto"/>
                <w:highlight w:val="none"/>
              </w:rPr>
            </w:pPr>
          </w:p>
          <w:p w14:paraId="3D0D70C7">
            <w:pPr>
              <w:bidi w:val="0"/>
              <w:jc w:val="center"/>
              <w:rPr>
                <w:rFonts w:hint="eastAsia"/>
                <w:color w:val="auto"/>
                <w:highlight w:val="none"/>
              </w:rPr>
            </w:pPr>
          </w:p>
          <w:p w14:paraId="7C1AB80A">
            <w:pPr>
              <w:bidi w:val="0"/>
              <w:jc w:val="center"/>
              <w:rPr>
                <w:rFonts w:hint="eastAsia"/>
                <w:color w:val="auto"/>
                <w:highlight w:val="none"/>
              </w:rPr>
            </w:pPr>
          </w:p>
          <w:p w14:paraId="4E588EA4">
            <w:pPr>
              <w:bidi w:val="0"/>
              <w:jc w:val="center"/>
              <w:rPr>
                <w:rFonts w:hint="eastAsia"/>
                <w:color w:val="auto"/>
                <w:highlight w:val="none"/>
              </w:rPr>
            </w:pPr>
          </w:p>
          <w:p w14:paraId="6D08D6C9">
            <w:pPr>
              <w:bidi w:val="0"/>
              <w:jc w:val="center"/>
              <w:rPr>
                <w:rFonts w:hint="eastAsia"/>
                <w:color w:val="auto"/>
                <w:highlight w:val="none"/>
              </w:rPr>
            </w:pPr>
          </w:p>
          <w:p w14:paraId="751EDDE8">
            <w:pPr>
              <w:bidi w:val="0"/>
              <w:jc w:val="center"/>
              <w:rPr>
                <w:rFonts w:hint="eastAsia"/>
                <w:color w:val="auto"/>
                <w:highlight w:val="none"/>
              </w:rPr>
            </w:pPr>
          </w:p>
          <w:p w14:paraId="09CAF5E4">
            <w:pPr>
              <w:bidi w:val="0"/>
              <w:jc w:val="center"/>
              <w:rPr>
                <w:rFonts w:hint="eastAsia"/>
                <w:color w:val="auto"/>
                <w:highlight w:val="none"/>
              </w:rPr>
            </w:pPr>
          </w:p>
          <w:p w14:paraId="5B341C53">
            <w:pPr>
              <w:bidi w:val="0"/>
              <w:jc w:val="center"/>
              <w:rPr>
                <w:rFonts w:hint="eastAsia"/>
                <w:color w:val="auto"/>
                <w:highlight w:val="none"/>
              </w:rPr>
            </w:pPr>
          </w:p>
          <w:p w14:paraId="0A55B393">
            <w:pPr>
              <w:bidi w:val="0"/>
              <w:jc w:val="center"/>
              <w:rPr>
                <w:rFonts w:hint="eastAsia"/>
                <w:color w:val="auto"/>
                <w:highlight w:val="none"/>
              </w:rPr>
            </w:pPr>
          </w:p>
          <w:p w14:paraId="1B4121B8">
            <w:pPr>
              <w:bidi w:val="0"/>
              <w:jc w:val="center"/>
              <w:rPr>
                <w:rFonts w:hint="eastAsia"/>
                <w:color w:val="auto"/>
                <w:highlight w:val="none"/>
              </w:rPr>
            </w:pPr>
          </w:p>
          <w:p w14:paraId="37A54105">
            <w:pPr>
              <w:bidi w:val="0"/>
              <w:jc w:val="center"/>
              <w:rPr>
                <w:rFonts w:hint="eastAsia"/>
                <w:color w:val="auto"/>
                <w:highlight w:val="none"/>
              </w:rPr>
            </w:pPr>
          </w:p>
          <w:p w14:paraId="58F26F0D">
            <w:pPr>
              <w:bidi w:val="0"/>
              <w:jc w:val="center"/>
              <w:rPr>
                <w:rFonts w:hint="eastAsia"/>
                <w:color w:val="auto"/>
                <w:highlight w:val="none"/>
              </w:rPr>
            </w:pPr>
          </w:p>
          <w:p w14:paraId="38346CB8">
            <w:pPr>
              <w:bidi w:val="0"/>
              <w:jc w:val="center"/>
              <w:rPr>
                <w:rFonts w:hint="eastAsia"/>
                <w:color w:val="auto"/>
                <w:highlight w:val="none"/>
              </w:rPr>
            </w:pPr>
          </w:p>
          <w:p w14:paraId="5530D12F">
            <w:pPr>
              <w:bidi w:val="0"/>
              <w:jc w:val="center"/>
              <w:rPr>
                <w:rFonts w:hint="eastAsia"/>
                <w:color w:val="auto"/>
                <w:highlight w:val="none"/>
              </w:rPr>
            </w:pPr>
          </w:p>
          <w:p w14:paraId="236F10B4">
            <w:pPr>
              <w:bidi w:val="0"/>
              <w:jc w:val="center"/>
              <w:rPr>
                <w:rFonts w:hint="eastAsia"/>
                <w:color w:val="auto"/>
                <w:highlight w:val="none"/>
              </w:rPr>
            </w:pPr>
          </w:p>
          <w:p w14:paraId="3123B7BC">
            <w:pPr>
              <w:bidi w:val="0"/>
              <w:jc w:val="center"/>
              <w:rPr>
                <w:rFonts w:hint="eastAsia"/>
                <w:color w:val="auto"/>
                <w:highlight w:val="none"/>
              </w:rPr>
            </w:pPr>
          </w:p>
          <w:p w14:paraId="7B5AB403">
            <w:pPr>
              <w:bidi w:val="0"/>
              <w:jc w:val="center"/>
              <w:rPr>
                <w:rFonts w:hint="eastAsia"/>
                <w:color w:val="auto"/>
                <w:highlight w:val="none"/>
              </w:rPr>
            </w:pPr>
          </w:p>
          <w:p w14:paraId="15C69E43">
            <w:pPr>
              <w:bidi w:val="0"/>
              <w:jc w:val="center"/>
              <w:rPr>
                <w:rFonts w:hint="eastAsia"/>
                <w:color w:val="auto"/>
                <w:highlight w:val="none"/>
              </w:rPr>
            </w:pPr>
          </w:p>
          <w:p w14:paraId="39B88CB1">
            <w:pPr>
              <w:bidi w:val="0"/>
              <w:jc w:val="center"/>
              <w:rPr>
                <w:rFonts w:hint="eastAsia"/>
                <w:color w:val="auto"/>
                <w:highlight w:val="none"/>
              </w:rPr>
            </w:pPr>
          </w:p>
          <w:p w14:paraId="2E56A30A">
            <w:pPr>
              <w:bidi w:val="0"/>
              <w:jc w:val="center"/>
              <w:rPr>
                <w:rFonts w:hint="eastAsia"/>
                <w:color w:val="auto"/>
                <w:highlight w:val="none"/>
              </w:rPr>
            </w:pPr>
          </w:p>
          <w:p w14:paraId="579F0AA1">
            <w:pPr>
              <w:bidi w:val="0"/>
              <w:jc w:val="center"/>
              <w:rPr>
                <w:rFonts w:hint="eastAsia"/>
                <w:color w:val="auto"/>
                <w:highlight w:val="none"/>
              </w:rPr>
            </w:pPr>
          </w:p>
          <w:p w14:paraId="189C23BB">
            <w:pPr>
              <w:bidi w:val="0"/>
              <w:jc w:val="center"/>
              <w:rPr>
                <w:rFonts w:hint="eastAsia"/>
                <w:color w:val="auto"/>
                <w:highlight w:val="none"/>
              </w:rPr>
            </w:pPr>
          </w:p>
          <w:p w14:paraId="47D8FE18">
            <w:pPr>
              <w:bidi w:val="0"/>
              <w:jc w:val="center"/>
              <w:rPr>
                <w:rFonts w:hint="eastAsia"/>
                <w:color w:val="auto"/>
                <w:highlight w:val="none"/>
              </w:rPr>
            </w:pPr>
          </w:p>
          <w:p w14:paraId="105E6EE4">
            <w:pPr>
              <w:bidi w:val="0"/>
              <w:jc w:val="center"/>
              <w:rPr>
                <w:rFonts w:hint="eastAsia"/>
                <w:color w:val="auto"/>
                <w:highlight w:val="none"/>
              </w:rPr>
            </w:pPr>
          </w:p>
          <w:p w14:paraId="6BF2211E">
            <w:pPr>
              <w:bidi w:val="0"/>
              <w:jc w:val="center"/>
              <w:rPr>
                <w:rFonts w:hint="eastAsia"/>
                <w:color w:val="auto"/>
                <w:highlight w:val="none"/>
              </w:rPr>
            </w:pPr>
          </w:p>
          <w:p w14:paraId="12D9EF0C">
            <w:pPr>
              <w:bidi w:val="0"/>
              <w:jc w:val="center"/>
              <w:rPr>
                <w:rFonts w:hint="eastAsia"/>
                <w:color w:val="auto"/>
                <w:highlight w:val="none"/>
                <w:lang w:val="en-US" w:eastAsia="zh-CN"/>
              </w:rPr>
            </w:pPr>
            <w:r>
              <w:rPr>
                <w:rFonts w:hint="eastAsia"/>
                <w:color w:val="auto"/>
                <w:highlight w:val="none"/>
              </w:rPr>
              <w:t>开标时间及地点</w:t>
            </w:r>
          </w:p>
        </w:tc>
        <w:tc>
          <w:tcPr>
            <w:tcW w:w="6850" w:type="dxa"/>
            <w:tcBorders>
              <w:right w:val="single" w:color="000000" w:sz="10" w:space="0"/>
            </w:tcBorders>
            <w:vAlign w:val="center"/>
          </w:tcPr>
          <w:p w14:paraId="18992074">
            <w:pPr>
              <w:bidi w:val="0"/>
              <w:rPr>
                <w:rFonts w:hint="eastAsia"/>
                <w:color w:val="auto"/>
                <w:highlight w:val="none"/>
              </w:rPr>
            </w:pPr>
            <w:r>
              <w:rPr>
                <w:rFonts w:hint="eastAsia"/>
                <w:color w:val="auto"/>
                <w:highlight w:val="none"/>
                <w:lang w:eastAsia="zh-CN"/>
              </w:rPr>
              <w:t>响应</w:t>
            </w:r>
            <w:r>
              <w:rPr>
                <w:rFonts w:hint="eastAsia"/>
                <w:color w:val="auto"/>
                <w:highlight w:val="none"/>
              </w:rPr>
              <w:t>文件递交截止及开标时间：</w:t>
            </w:r>
            <w:r>
              <w:rPr>
                <w:rFonts w:hint="eastAsia"/>
                <w:color w:val="auto"/>
                <w:highlight w:val="none"/>
                <w:lang w:val="en-US" w:eastAsia="zh-CN"/>
              </w:rPr>
              <w:t>同磋商公告</w:t>
            </w:r>
            <w:r>
              <w:rPr>
                <w:rFonts w:hint="eastAsia"/>
                <w:color w:val="auto"/>
                <w:highlight w:val="none"/>
              </w:rPr>
              <w:t>；</w:t>
            </w:r>
          </w:p>
          <w:p w14:paraId="67B56728">
            <w:pPr>
              <w:bidi w:val="0"/>
              <w:rPr>
                <w:rFonts w:hint="eastAsia"/>
                <w:color w:val="auto"/>
                <w:highlight w:val="none"/>
              </w:rPr>
            </w:pPr>
            <w:r>
              <w:rPr>
                <w:rFonts w:hint="eastAsia"/>
                <w:color w:val="auto"/>
                <w:highlight w:val="none"/>
                <w:lang w:eastAsia="zh-CN"/>
              </w:rPr>
              <w:t>响应</w:t>
            </w:r>
            <w:r>
              <w:rPr>
                <w:rFonts w:hint="eastAsia"/>
                <w:color w:val="auto"/>
                <w:highlight w:val="none"/>
              </w:rPr>
              <w:t>文件递交地点：荥阳市公共资源交易平台</w:t>
            </w:r>
          </w:p>
          <w:p w14:paraId="6CFE0D1D">
            <w:pPr>
              <w:bidi w:val="0"/>
              <w:rPr>
                <w:rFonts w:hint="eastAsia"/>
                <w:color w:val="auto"/>
                <w:highlight w:val="none"/>
              </w:rPr>
            </w:pPr>
            <w:r>
              <w:rPr>
                <w:rFonts w:hint="eastAsia"/>
                <w:color w:val="auto"/>
                <w:highlight w:val="none"/>
              </w:rPr>
              <w:t>开标地点：</w:t>
            </w:r>
            <w:r>
              <w:rPr>
                <w:rFonts w:hint="eastAsia"/>
                <w:color w:val="auto"/>
                <w:highlight w:val="none"/>
                <w:lang w:val="en-US" w:eastAsia="zh-CN"/>
              </w:rPr>
              <w:t>同磋商公告</w:t>
            </w:r>
            <w:r>
              <w:rPr>
                <w:rFonts w:hint="eastAsia"/>
                <w:color w:val="auto"/>
                <w:highlight w:val="none"/>
              </w:rPr>
              <w:t>；</w:t>
            </w:r>
          </w:p>
          <w:p w14:paraId="72D57B74">
            <w:pPr>
              <w:bidi w:val="0"/>
              <w:ind w:firstLine="420" w:firstLineChars="200"/>
              <w:rPr>
                <w:rFonts w:hint="eastAsia"/>
                <w:color w:val="auto"/>
                <w:highlight w:val="none"/>
              </w:rPr>
            </w:pPr>
            <w:r>
              <w:rPr>
                <w:rFonts w:hint="eastAsia"/>
                <w:color w:val="auto"/>
                <w:highlight w:val="none"/>
                <w:lang w:eastAsia="zh-CN"/>
              </w:rPr>
              <w:t>响应文件</w:t>
            </w:r>
            <w:r>
              <w:rPr>
                <w:rFonts w:hint="eastAsia"/>
                <w:color w:val="auto"/>
                <w:highlight w:val="none"/>
              </w:rPr>
              <w:t>制作及上传：请供应商（供应商）在制作</w:t>
            </w:r>
            <w:r>
              <w:rPr>
                <w:rFonts w:hint="eastAsia"/>
                <w:color w:val="auto"/>
                <w:highlight w:val="none"/>
                <w:lang w:eastAsia="zh-CN"/>
              </w:rPr>
              <w:t>响应文件</w:t>
            </w:r>
            <w:r>
              <w:rPr>
                <w:rFonts w:hint="eastAsia"/>
                <w:color w:val="auto"/>
                <w:highlight w:val="none"/>
              </w:rPr>
              <w:t>中的 “生成</w:t>
            </w:r>
            <w:r>
              <w:rPr>
                <w:rFonts w:hint="eastAsia"/>
                <w:color w:val="auto"/>
                <w:highlight w:val="none"/>
                <w:lang w:eastAsia="zh-CN"/>
              </w:rPr>
              <w:t>响应文件</w:t>
            </w:r>
            <w:r>
              <w:rPr>
                <w:rFonts w:hint="eastAsia"/>
                <w:color w:val="auto"/>
                <w:highlight w:val="none"/>
              </w:rPr>
              <w:t xml:space="preserve"> ”时，必须使用本单位 CA 锁进行生成</w:t>
            </w:r>
            <w:r>
              <w:rPr>
                <w:rFonts w:hint="eastAsia"/>
                <w:color w:val="auto"/>
                <w:highlight w:val="none"/>
                <w:lang w:eastAsia="zh-CN"/>
              </w:rPr>
              <w:t>响应文件</w:t>
            </w:r>
            <w:r>
              <w:rPr>
                <w:rFonts w:hint="eastAsia"/>
                <w:color w:val="auto"/>
                <w:highlight w:val="none"/>
              </w:rPr>
              <w:t>； 供应商（供应商）须在投标截止时间前企业身份认证锁（CA 密  钥）登陆荥阳市公共资源交易中心网站上传加密的电子</w:t>
            </w:r>
            <w:r>
              <w:rPr>
                <w:rFonts w:hint="eastAsia"/>
                <w:color w:val="auto"/>
                <w:highlight w:val="none"/>
                <w:lang w:eastAsia="zh-CN"/>
              </w:rPr>
              <w:t>响应文件</w:t>
            </w:r>
            <w:r>
              <w:rPr>
                <w:rFonts w:hint="eastAsia"/>
                <w:color w:val="auto"/>
                <w:highlight w:val="none"/>
              </w:rPr>
              <w:t xml:space="preserve"> 到系统的指定位置。上传时必须得到电脑“上传成功 ”的确认回复，上传时要认真检查上传</w:t>
            </w:r>
            <w:r>
              <w:rPr>
                <w:rFonts w:hint="eastAsia"/>
                <w:color w:val="auto"/>
                <w:highlight w:val="none"/>
                <w:lang w:eastAsia="zh-CN"/>
              </w:rPr>
              <w:t>响应文件</w:t>
            </w:r>
            <w:r>
              <w:rPr>
                <w:rFonts w:hint="eastAsia"/>
                <w:color w:val="auto"/>
                <w:highlight w:val="none"/>
              </w:rPr>
              <w:t>是否完整、正确。</w:t>
            </w:r>
          </w:p>
          <w:p w14:paraId="05E0CBC6">
            <w:pPr>
              <w:bidi w:val="0"/>
              <w:ind w:firstLine="420" w:firstLineChars="200"/>
              <w:rPr>
                <w:rFonts w:hint="eastAsia"/>
                <w:color w:val="auto"/>
                <w:highlight w:val="none"/>
              </w:rPr>
            </w:pPr>
            <w:r>
              <w:rPr>
                <w:rFonts w:hint="eastAsia"/>
                <w:color w:val="auto"/>
                <w:highlight w:val="none"/>
              </w:rPr>
              <w:t>供应商（供应商）在交易中心投标系统无法上传电子</w:t>
            </w:r>
            <w:r>
              <w:rPr>
                <w:rFonts w:hint="eastAsia"/>
                <w:color w:val="auto"/>
                <w:highlight w:val="none"/>
                <w:lang w:eastAsia="zh-CN"/>
              </w:rPr>
              <w:t>响应文件</w:t>
            </w:r>
            <w:r>
              <w:rPr>
                <w:rFonts w:hint="eastAsia"/>
                <w:color w:val="auto"/>
                <w:highlight w:val="none"/>
              </w:rPr>
              <w:t xml:space="preserve">或 </w:t>
            </w:r>
            <w:r>
              <w:rPr>
                <w:rFonts w:hint="eastAsia"/>
                <w:color w:val="auto"/>
                <w:highlight w:val="none"/>
                <w:lang w:eastAsia="zh-CN"/>
              </w:rPr>
              <w:t>响应文件</w:t>
            </w:r>
            <w:r>
              <w:rPr>
                <w:rFonts w:hint="eastAsia"/>
                <w:color w:val="auto"/>
                <w:highlight w:val="none"/>
              </w:rPr>
              <w:t>制作遇到问题时，请在工作时间及时与网站公布的新点软件公司技术或荥阳市公共资源交易中心联系。</w:t>
            </w:r>
          </w:p>
          <w:p w14:paraId="03C8FC47">
            <w:pPr>
              <w:bidi w:val="0"/>
              <w:ind w:firstLine="420" w:firstLineChars="200"/>
              <w:rPr>
                <w:rFonts w:hint="eastAsia"/>
                <w:color w:val="auto"/>
                <w:highlight w:val="none"/>
              </w:rPr>
            </w:pPr>
            <w:r>
              <w:rPr>
                <w:rFonts w:hint="eastAsia"/>
                <w:color w:val="auto"/>
                <w:highlight w:val="none"/>
              </w:rPr>
              <w:t>开标：本项目采用“远程不见面”开标方式。供应商无需到荥阳市公共资源交易中心现场参加开标会议，供应商无需到现场提交原件资料，供应商应当在投标截止时间前,登录远程开标大厅，在线准时参加开标活动并进行文件解密、答疑澄清等。 不见面开标的具体事宜请查阅荥阳市公共资源交易中心网站“办 事指南 ”专区的《荥阳市公共资源交易中心不见面开标大厅操作手册（供应商）》。如遇问题，请拨打技术服务单位（国泰新点）</w:t>
            </w:r>
          </w:p>
          <w:p w14:paraId="29154984">
            <w:pPr>
              <w:bidi w:val="0"/>
              <w:rPr>
                <w:rFonts w:hint="eastAsia"/>
                <w:color w:val="auto"/>
                <w:highlight w:val="none"/>
              </w:rPr>
            </w:pPr>
            <w:r>
              <w:rPr>
                <w:rFonts w:hint="eastAsia"/>
                <w:color w:val="auto"/>
                <w:highlight w:val="none"/>
              </w:rPr>
              <w:t>电话：4009980000。</w:t>
            </w:r>
          </w:p>
          <w:p w14:paraId="5DCBABCE">
            <w:pPr>
              <w:bidi w:val="0"/>
              <w:rPr>
                <w:rFonts w:hint="eastAsia"/>
                <w:color w:val="auto"/>
                <w:highlight w:val="none"/>
              </w:rPr>
            </w:pPr>
            <w:r>
              <w:rPr>
                <w:rFonts w:hint="eastAsia"/>
                <w:color w:val="auto"/>
                <w:highlight w:val="none"/>
              </w:rPr>
              <w:t>注意事项：</w:t>
            </w:r>
          </w:p>
          <w:p w14:paraId="5AC1DF56">
            <w:pPr>
              <w:bidi w:val="0"/>
              <w:rPr>
                <w:rFonts w:hint="eastAsia"/>
                <w:color w:val="auto"/>
                <w:highlight w:val="none"/>
              </w:rPr>
            </w:pPr>
            <w:r>
              <w:rPr>
                <w:rFonts w:hint="eastAsia"/>
                <w:color w:val="auto"/>
                <w:highlight w:val="none"/>
              </w:rPr>
              <w:t xml:space="preserve">（1）供应商应认真学习“荥阳市公共资源交易中心 网站-办事指南-荥阳市公共资源交易中心不见面开标大厅操作  手册（供应商） ”，根据手册要求做好不见面开标的准备工作。 </w:t>
            </w:r>
          </w:p>
          <w:p w14:paraId="41DBE163">
            <w:pPr>
              <w:bidi w:val="0"/>
              <w:rPr>
                <w:rFonts w:hint="eastAsia"/>
                <w:color w:val="auto"/>
                <w:highlight w:val="none"/>
              </w:rPr>
            </w:pPr>
            <w:r>
              <w:rPr>
                <w:rFonts w:hint="eastAsia"/>
                <w:color w:val="auto"/>
                <w:highlight w:val="none"/>
              </w:rPr>
              <w:t>（2）请供应商务必按照“荥阳市公共资源交易中心不见面开标 大厅操作手册（供应商）”的要求设置参与不见面开标的电脑环 境，否则由此可能引起的签到失败、解密失败或无法解密等问题由供应商自行承担。</w:t>
            </w:r>
          </w:p>
          <w:p w14:paraId="6A50ABB2">
            <w:pPr>
              <w:bidi w:val="0"/>
              <w:rPr>
                <w:rFonts w:hint="eastAsia"/>
                <w:color w:val="auto"/>
                <w:highlight w:val="none"/>
              </w:rPr>
            </w:pPr>
            <w:r>
              <w:rPr>
                <w:rFonts w:hint="eastAsia"/>
                <w:color w:val="auto"/>
                <w:highlight w:val="none"/>
              </w:rPr>
              <w:t>（3）供应商应在开标前一小时，登录“荥阳市公共资源交易中心不见面开标大厅 ”进行签到，开标时间截止后无法签到，其后应一直保持在线状态，保证能准时参加开标大会、</w:t>
            </w:r>
            <w:r>
              <w:rPr>
                <w:rFonts w:hint="eastAsia"/>
                <w:color w:val="auto"/>
                <w:highlight w:val="none"/>
                <w:lang w:eastAsia="zh-CN"/>
              </w:rPr>
              <w:t>响应文件</w:t>
            </w:r>
            <w:r>
              <w:rPr>
                <w:rFonts w:hint="eastAsia"/>
                <w:color w:val="auto"/>
                <w:highlight w:val="none"/>
              </w:rPr>
              <w:t>的解密、现场答疑澄清等活动。</w:t>
            </w:r>
          </w:p>
          <w:p w14:paraId="10E63D30">
            <w:pPr>
              <w:bidi w:val="0"/>
              <w:rPr>
                <w:rFonts w:hint="eastAsia"/>
                <w:color w:val="auto"/>
                <w:highlight w:val="none"/>
              </w:rPr>
            </w:pPr>
            <w:r>
              <w:rPr>
                <w:rFonts w:hint="eastAsia"/>
                <w:color w:val="auto"/>
                <w:highlight w:val="none"/>
              </w:rPr>
              <w:t>（4）供应商应在解密时间内插入 CA 锁，输入密码进行解密，如在解密时间内解密失败，可再次解密，供应商应在规定时间内完成解密，否则采购人不予受理。</w:t>
            </w:r>
          </w:p>
          <w:p w14:paraId="178B8DBF">
            <w:pPr>
              <w:bidi w:val="0"/>
              <w:rPr>
                <w:rFonts w:hint="eastAsia"/>
                <w:color w:val="auto"/>
                <w:highlight w:val="none"/>
              </w:rPr>
            </w:pPr>
            <w:r>
              <w:rPr>
                <w:rFonts w:hint="eastAsia"/>
                <w:color w:val="auto"/>
                <w:highlight w:val="none"/>
              </w:rPr>
              <w:t>（5）逾期上传的或者未上传指定地点的</w:t>
            </w:r>
            <w:r>
              <w:rPr>
                <w:rFonts w:hint="eastAsia"/>
                <w:color w:val="auto"/>
                <w:highlight w:val="none"/>
                <w:lang w:eastAsia="zh-CN"/>
              </w:rPr>
              <w:t>响应文件</w:t>
            </w:r>
            <w:r>
              <w:rPr>
                <w:rFonts w:hint="eastAsia"/>
                <w:color w:val="auto"/>
                <w:highlight w:val="none"/>
              </w:rPr>
              <w:t>，采购人不予受理。</w:t>
            </w:r>
          </w:p>
        </w:tc>
      </w:tr>
      <w:tr w14:paraId="452A2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left w:val="single" w:color="000000" w:sz="10" w:space="0"/>
            </w:tcBorders>
            <w:vAlign w:val="center"/>
          </w:tcPr>
          <w:p w14:paraId="7237F912">
            <w:pPr>
              <w:pStyle w:val="118"/>
              <w:spacing w:before="78" w:line="240" w:lineRule="auto"/>
              <w:jc w:val="center"/>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lang w:val="en-US" w:eastAsia="zh-CN"/>
              </w:rPr>
              <w:t>2</w:t>
            </w:r>
            <w:r>
              <w:rPr>
                <w:rFonts w:hint="eastAsia" w:ascii="宋体" w:hAnsi="宋体" w:eastAsia="宋体" w:cs="宋体"/>
                <w:color w:val="auto"/>
                <w:spacing w:val="-7"/>
                <w:sz w:val="21"/>
                <w:szCs w:val="21"/>
                <w:highlight w:val="none"/>
              </w:rPr>
              <w:t>4</w:t>
            </w:r>
          </w:p>
        </w:tc>
        <w:tc>
          <w:tcPr>
            <w:tcW w:w="2304" w:type="dxa"/>
            <w:tcBorders>
              <w:bottom w:val="single" w:color="000000" w:sz="10" w:space="0"/>
            </w:tcBorders>
            <w:vAlign w:val="center"/>
          </w:tcPr>
          <w:p w14:paraId="0C6EC55D">
            <w:pPr>
              <w:bidi w:val="0"/>
              <w:jc w:val="center"/>
              <w:rPr>
                <w:rFonts w:hint="eastAsia"/>
                <w:color w:val="auto"/>
                <w:highlight w:val="none"/>
                <w:lang w:val="en-US" w:eastAsia="zh-CN"/>
              </w:rPr>
            </w:pPr>
            <w:r>
              <w:rPr>
                <w:rFonts w:hint="eastAsia"/>
                <w:color w:val="auto"/>
                <w:highlight w:val="none"/>
                <w:lang w:eastAsia="zh-CN"/>
              </w:rPr>
              <w:t>磋商小组</w:t>
            </w:r>
            <w:r>
              <w:rPr>
                <w:rFonts w:hint="eastAsia"/>
                <w:color w:val="auto"/>
                <w:highlight w:val="none"/>
              </w:rPr>
              <w:t>组成</w:t>
            </w:r>
          </w:p>
        </w:tc>
        <w:tc>
          <w:tcPr>
            <w:tcW w:w="6850" w:type="dxa"/>
            <w:tcBorders>
              <w:bottom w:val="single" w:color="000000" w:sz="10" w:space="0"/>
              <w:right w:val="single" w:color="000000" w:sz="10" w:space="0"/>
            </w:tcBorders>
            <w:vAlign w:val="center"/>
          </w:tcPr>
          <w:p w14:paraId="39258186">
            <w:pPr>
              <w:bidi w:val="0"/>
              <w:rPr>
                <w:rFonts w:hint="eastAsia"/>
                <w:color w:val="auto"/>
                <w:highlight w:val="none"/>
              </w:rPr>
            </w:pPr>
            <w:r>
              <w:rPr>
                <w:rFonts w:hint="eastAsia"/>
                <w:color w:val="auto"/>
                <w:highlight w:val="none"/>
              </w:rPr>
              <w:t>磋商</w:t>
            </w:r>
            <w:r>
              <w:rPr>
                <w:rFonts w:hint="eastAsia"/>
                <w:color w:val="auto"/>
                <w:highlight w:val="none"/>
                <w:lang w:eastAsia="zh-CN"/>
              </w:rPr>
              <w:t>小组</w:t>
            </w:r>
            <w:r>
              <w:rPr>
                <w:rFonts w:hint="eastAsia"/>
                <w:color w:val="auto"/>
                <w:highlight w:val="none"/>
              </w:rPr>
              <w:t>构成3人，采购人代表1人和专家2人组成；</w:t>
            </w:r>
          </w:p>
          <w:p w14:paraId="57F775DC">
            <w:pPr>
              <w:bidi w:val="0"/>
              <w:rPr>
                <w:rFonts w:hint="eastAsia"/>
                <w:color w:val="auto"/>
                <w:highlight w:val="none"/>
              </w:rPr>
            </w:pPr>
            <w:r>
              <w:rPr>
                <w:rFonts w:hint="eastAsia"/>
                <w:color w:val="auto"/>
                <w:highlight w:val="none"/>
              </w:rPr>
              <w:t>专家确定方式：从相关专家库中随机抽取。评审专家从省级以上财政部门设立的政府采购评审专家库中，通过随机方式抽取</w:t>
            </w:r>
          </w:p>
        </w:tc>
      </w:tr>
      <w:tr w14:paraId="23E17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left w:val="single" w:color="000000" w:sz="10" w:space="0"/>
            </w:tcBorders>
            <w:shd w:val="clear" w:color="auto" w:fill="auto"/>
            <w:vAlign w:val="center"/>
          </w:tcPr>
          <w:p w14:paraId="6BDB4623">
            <w:pPr>
              <w:pStyle w:val="118"/>
              <w:spacing w:before="277"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pacing w:val="-7"/>
                <w:sz w:val="21"/>
                <w:szCs w:val="21"/>
                <w:highlight w:val="none"/>
              </w:rPr>
              <w:t>2</w:t>
            </w:r>
            <w:r>
              <w:rPr>
                <w:rFonts w:hint="eastAsia" w:ascii="宋体" w:hAnsi="宋体" w:eastAsia="宋体" w:cs="宋体"/>
                <w:b/>
                <w:bCs/>
                <w:color w:val="auto"/>
                <w:spacing w:val="-7"/>
                <w:sz w:val="21"/>
                <w:szCs w:val="21"/>
                <w:highlight w:val="none"/>
                <w:lang w:val="en-US" w:eastAsia="zh-CN"/>
              </w:rPr>
              <w:t>5</w:t>
            </w:r>
          </w:p>
        </w:tc>
        <w:tc>
          <w:tcPr>
            <w:tcW w:w="9154" w:type="dxa"/>
            <w:gridSpan w:val="2"/>
            <w:tcBorders>
              <w:right w:val="single" w:color="000000" w:sz="10" w:space="0"/>
            </w:tcBorders>
            <w:shd w:val="clear" w:color="auto" w:fill="auto"/>
            <w:vAlign w:val="top"/>
          </w:tcPr>
          <w:p w14:paraId="359E4F1B">
            <w:pPr>
              <w:bidi w:val="0"/>
              <w:rPr>
                <w:rFonts w:hint="eastAsia"/>
                <w:b/>
                <w:bCs/>
                <w:color w:val="auto"/>
                <w:highlight w:val="none"/>
                <w:lang w:val="en-US" w:eastAsia="en-US"/>
              </w:rPr>
            </w:pPr>
            <w:r>
              <w:rPr>
                <w:rFonts w:hint="eastAsia"/>
                <w:b/>
                <w:bCs/>
                <w:color w:val="auto"/>
                <w:highlight w:val="none"/>
              </w:rPr>
              <w:t>需要补充的其他内容</w:t>
            </w:r>
          </w:p>
        </w:tc>
      </w:tr>
      <w:tr w14:paraId="6980E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left w:val="single" w:color="000000" w:sz="10" w:space="0"/>
              <w:bottom w:val="single" w:color="000000" w:sz="10" w:space="0"/>
            </w:tcBorders>
            <w:shd w:val="clear" w:color="auto" w:fill="auto"/>
            <w:vAlign w:val="center"/>
          </w:tcPr>
          <w:p w14:paraId="46C01A16">
            <w:pPr>
              <w:pStyle w:val="118"/>
              <w:spacing w:before="78" w:line="240" w:lineRule="auto"/>
              <w:ind w:left="178" w:leftChars="0"/>
              <w:jc w:val="both"/>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.1</w:t>
            </w:r>
          </w:p>
        </w:tc>
        <w:tc>
          <w:tcPr>
            <w:tcW w:w="9154" w:type="dxa"/>
            <w:gridSpan w:val="2"/>
            <w:tcBorders>
              <w:bottom w:val="single" w:color="000000" w:sz="10" w:space="0"/>
              <w:right w:val="single" w:color="000000" w:sz="10" w:space="0"/>
            </w:tcBorders>
            <w:shd w:val="clear" w:color="auto" w:fill="auto"/>
            <w:vAlign w:val="top"/>
          </w:tcPr>
          <w:p w14:paraId="37C084A3">
            <w:pPr>
              <w:bidi w:val="0"/>
              <w:rPr>
                <w:rFonts w:hint="eastAsia"/>
                <w:color w:val="auto"/>
                <w:highlight w:val="none"/>
                <w:lang w:val="en-US" w:eastAsia="en-US"/>
              </w:rPr>
            </w:pPr>
            <w:r>
              <w:rPr>
                <w:rFonts w:hint="eastAsia"/>
                <w:color w:val="auto"/>
                <w:highlight w:val="none"/>
                <w:lang w:eastAsia="zh-CN"/>
              </w:rPr>
              <w:t>磋商小组</w:t>
            </w:r>
            <w:r>
              <w:rPr>
                <w:rFonts w:hint="eastAsia"/>
                <w:color w:val="auto"/>
                <w:highlight w:val="none"/>
              </w:rPr>
              <w:t>按照</w:t>
            </w:r>
            <w:r>
              <w:rPr>
                <w:rFonts w:hint="eastAsia"/>
                <w:color w:val="auto"/>
                <w:highlight w:val="none"/>
                <w:lang w:val="en-US" w:eastAsia="zh-CN"/>
              </w:rPr>
              <w:t>磋商</w:t>
            </w:r>
            <w:r>
              <w:rPr>
                <w:rFonts w:hint="eastAsia"/>
                <w:color w:val="auto"/>
                <w:highlight w:val="none"/>
              </w:rPr>
              <w:t>文件中规定的评标方法和标准，对符合性审查合格的</w:t>
            </w:r>
            <w:r>
              <w:rPr>
                <w:rFonts w:hint="eastAsia"/>
                <w:color w:val="auto"/>
                <w:highlight w:val="none"/>
                <w:lang w:eastAsia="zh-CN"/>
              </w:rPr>
              <w:t>响应文件</w:t>
            </w:r>
            <w:r>
              <w:rPr>
                <w:rFonts w:hint="eastAsia"/>
                <w:color w:val="auto"/>
                <w:highlight w:val="none"/>
              </w:rPr>
              <w:t>进行商务和技术评估，综合比较与评价。供应商的评审得分为所有评委评审得分的算术 平均值，评审得分取至小数点后两位（第三位四舍五入）。按</w:t>
            </w:r>
            <w:r>
              <w:rPr>
                <w:rFonts w:hint="eastAsia"/>
                <w:color w:val="auto"/>
                <w:highlight w:val="none"/>
                <w:lang w:eastAsia="zh-CN"/>
              </w:rPr>
              <w:t>磋商小组</w:t>
            </w:r>
            <w:r>
              <w:rPr>
                <w:rFonts w:hint="eastAsia"/>
                <w:color w:val="auto"/>
                <w:highlight w:val="none"/>
              </w:rPr>
              <w:t>评审后得分由高到低顺序排列，推荐</w:t>
            </w:r>
            <w:r>
              <w:rPr>
                <w:rFonts w:hint="eastAsia"/>
                <w:color w:val="auto"/>
                <w:highlight w:val="none"/>
                <w:lang w:val="en-US" w:eastAsia="zh-CN"/>
              </w:rPr>
              <w:t>3名</w:t>
            </w:r>
            <w:r>
              <w:rPr>
                <w:rFonts w:hint="eastAsia"/>
                <w:color w:val="auto"/>
                <w:highlight w:val="none"/>
                <w:lang w:eastAsia="zh-CN"/>
              </w:rPr>
              <w:t>成交</w:t>
            </w:r>
            <w:r>
              <w:rPr>
                <w:rFonts w:hint="eastAsia"/>
                <w:color w:val="auto"/>
                <w:highlight w:val="none"/>
              </w:rPr>
              <w:t>候选人</w:t>
            </w:r>
          </w:p>
        </w:tc>
      </w:tr>
      <w:tr w14:paraId="23A4D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847" w:type="dxa"/>
            <w:tcBorders>
              <w:left w:val="single" w:color="000000" w:sz="10" w:space="0"/>
              <w:bottom w:val="single" w:color="000000" w:sz="10" w:space="0"/>
            </w:tcBorders>
            <w:shd w:val="clear" w:color="auto" w:fill="auto"/>
            <w:vAlign w:val="center"/>
          </w:tcPr>
          <w:p w14:paraId="2D4E1DCE">
            <w:pPr>
              <w:pStyle w:val="118"/>
              <w:spacing w:before="78" w:line="240" w:lineRule="auto"/>
              <w:ind w:left="178" w:leftChars="0"/>
              <w:jc w:val="both"/>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.2</w:t>
            </w:r>
          </w:p>
        </w:tc>
        <w:tc>
          <w:tcPr>
            <w:tcW w:w="9154" w:type="dxa"/>
            <w:gridSpan w:val="2"/>
            <w:tcBorders>
              <w:bottom w:val="single" w:color="000000" w:sz="10" w:space="0"/>
              <w:right w:val="single" w:color="000000" w:sz="10" w:space="0"/>
            </w:tcBorders>
            <w:shd w:val="clear" w:color="auto" w:fill="auto"/>
            <w:vAlign w:val="top"/>
          </w:tcPr>
          <w:p w14:paraId="13B2C299">
            <w:pPr>
              <w:bidi w:val="0"/>
              <w:rPr>
                <w:rFonts w:hint="eastAsia"/>
                <w:color w:val="auto"/>
                <w:highlight w:val="none"/>
                <w:lang w:val="en-US" w:eastAsia="en-US"/>
              </w:rPr>
            </w:pPr>
            <w:r>
              <w:rPr>
                <w:rFonts w:hint="eastAsia"/>
                <w:b/>
                <w:bCs/>
                <w:color w:val="auto"/>
                <w:highlight w:val="none"/>
              </w:rPr>
              <w:t>核心产品：</w:t>
            </w:r>
            <w:r>
              <w:rPr>
                <w:rFonts w:hint="eastAsia"/>
                <w:b/>
                <w:bCs/>
                <w:color w:val="auto"/>
                <w:highlight w:val="none"/>
                <w:lang w:val="en-US" w:eastAsia="zh-CN"/>
              </w:rPr>
              <w:t>骨灰盒</w:t>
            </w:r>
          </w:p>
        </w:tc>
      </w:tr>
      <w:tr w14:paraId="4C059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left w:val="single" w:color="000000" w:sz="10" w:space="0"/>
              <w:bottom w:val="single" w:color="000000" w:sz="10" w:space="0"/>
            </w:tcBorders>
            <w:shd w:val="clear" w:color="auto" w:fill="auto"/>
            <w:vAlign w:val="top"/>
          </w:tcPr>
          <w:p w14:paraId="496CFB9E">
            <w:pPr>
              <w:pStyle w:val="118"/>
              <w:spacing w:before="284" w:line="240" w:lineRule="auto"/>
              <w:ind w:left="178" w:leftChars="0"/>
              <w:jc w:val="both"/>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4"/>
                <w:sz w:val="21"/>
                <w:szCs w:val="21"/>
                <w:highlight w:val="none"/>
                <w:lang w:val="en-US" w:eastAsia="zh-CN"/>
              </w:rPr>
              <w:t>25</w:t>
            </w:r>
            <w:r>
              <w:rPr>
                <w:rFonts w:hint="eastAsia" w:ascii="宋体" w:hAnsi="宋体" w:eastAsia="宋体" w:cs="宋体"/>
                <w:color w:val="auto"/>
                <w:spacing w:val="-4"/>
                <w:sz w:val="21"/>
                <w:szCs w:val="21"/>
                <w:highlight w:val="none"/>
              </w:rPr>
              <w:t>.3</w:t>
            </w:r>
          </w:p>
        </w:tc>
        <w:tc>
          <w:tcPr>
            <w:tcW w:w="2304" w:type="dxa"/>
            <w:tcBorders>
              <w:bottom w:val="single" w:color="000000" w:sz="10" w:space="0"/>
            </w:tcBorders>
            <w:shd w:val="clear" w:color="auto" w:fill="auto"/>
            <w:vAlign w:val="center"/>
          </w:tcPr>
          <w:p w14:paraId="37836F19">
            <w:pPr>
              <w:bidi w:val="0"/>
              <w:jc w:val="center"/>
              <w:rPr>
                <w:rFonts w:hint="eastAsia" w:eastAsia="宋体"/>
                <w:color w:val="auto"/>
                <w:highlight w:val="none"/>
                <w:lang w:val="en-US" w:eastAsia="zh-CN"/>
              </w:rPr>
            </w:pPr>
            <w:r>
              <w:rPr>
                <w:rFonts w:hint="eastAsia"/>
                <w:color w:val="auto"/>
                <w:highlight w:val="none"/>
              </w:rPr>
              <w:t>是否确定</w:t>
            </w:r>
            <w:r>
              <w:rPr>
                <w:rFonts w:hint="eastAsia"/>
                <w:color w:val="auto"/>
                <w:highlight w:val="none"/>
                <w:lang w:eastAsia="zh-CN"/>
              </w:rPr>
              <w:t>成交供应商</w:t>
            </w:r>
          </w:p>
        </w:tc>
        <w:tc>
          <w:tcPr>
            <w:tcW w:w="6850" w:type="dxa"/>
            <w:tcBorders>
              <w:bottom w:val="single" w:color="000000" w:sz="10" w:space="0"/>
              <w:right w:val="single" w:color="000000" w:sz="10" w:space="0"/>
            </w:tcBorders>
            <w:shd w:val="clear" w:color="auto" w:fill="auto"/>
            <w:vAlign w:val="center"/>
          </w:tcPr>
          <w:p w14:paraId="15F3A553">
            <w:pPr>
              <w:bidi w:val="0"/>
              <w:jc w:val="both"/>
              <w:rPr>
                <w:rFonts w:hint="eastAsia"/>
                <w:color w:val="auto"/>
                <w:highlight w:val="none"/>
                <w:lang w:val="en-US" w:eastAsia="en-US"/>
              </w:rPr>
            </w:pPr>
            <w:r>
              <w:rPr>
                <w:rFonts w:hint="eastAsia"/>
                <w:color w:val="auto"/>
                <w:highlight w:val="none"/>
              </w:rPr>
              <w:t>否，按评分从高到低推荐</w:t>
            </w:r>
            <w:r>
              <w:rPr>
                <w:rFonts w:hint="eastAsia"/>
                <w:color w:val="auto"/>
                <w:highlight w:val="none"/>
                <w:lang w:val="en-US" w:eastAsia="zh-CN"/>
              </w:rPr>
              <w:t>3</w:t>
            </w:r>
            <w:r>
              <w:rPr>
                <w:rFonts w:hint="eastAsia"/>
                <w:color w:val="auto"/>
                <w:highlight w:val="none"/>
              </w:rPr>
              <w:t>名</w:t>
            </w:r>
            <w:r>
              <w:rPr>
                <w:rFonts w:hint="eastAsia"/>
                <w:color w:val="auto"/>
                <w:highlight w:val="none"/>
                <w:lang w:eastAsia="zh-CN"/>
              </w:rPr>
              <w:t>成交</w:t>
            </w:r>
            <w:r>
              <w:rPr>
                <w:rFonts w:hint="eastAsia"/>
                <w:color w:val="auto"/>
                <w:highlight w:val="none"/>
              </w:rPr>
              <w:t>候选人</w:t>
            </w:r>
          </w:p>
        </w:tc>
      </w:tr>
      <w:tr w14:paraId="020ED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left w:val="single" w:color="000000" w:sz="10" w:space="0"/>
              <w:bottom w:val="single" w:color="000000" w:sz="10" w:space="0"/>
            </w:tcBorders>
            <w:shd w:val="clear" w:color="auto" w:fill="auto"/>
            <w:vAlign w:val="top"/>
          </w:tcPr>
          <w:p w14:paraId="0092A531">
            <w:pPr>
              <w:pStyle w:val="118"/>
              <w:spacing w:before="286" w:line="240" w:lineRule="auto"/>
              <w:ind w:left="178" w:leftChars="0"/>
              <w:jc w:val="both"/>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4"/>
                <w:sz w:val="21"/>
                <w:szCs w:val="21"/>
                <w:highlight w:val="none"/>
                <w:lang w:val="en-US" w:eastAsia="zh-CN"/>
              </w:rPr>
              <w:t>25</w:t>
            </w:r>
            <w:r>
              <w:rPr>
                <w:rFonts w:hint="eastAsia" w:ascii="宋体" w:hAnsi="宋体" w:eastAsia="宋体" w:cs="宋体"/>
                <w:color w:val="auto"/>
                <w:spacing w:val="-4"/>
                <w:sz w:val="21"/>
                <w:szCs w:val="21"/>
                <w:highlight w:val="none"/>
              </w:rPr>
              <w:t>.4</w:t>
            </w:r>
          </w:p>
        </w:tc>
        <w:tc>
          <w:tcPr>
            <w:tcW w:w="2304" w:type="dxa"/>
            <w:tcBorders>
              <w:bottom w:val="single" w:color="000000" w:sz="10" w:space="0"/>
            </w:tcBorders>
            <w:shd w:val="clear" w:color="auto" w:fill="auto"/>
            <w:vAlign w:val="center"/>
          </w:tcPr>
          <w:p w14:paraId="6AF13D4D">
            <w:pPr>
              <w:bidi w:val="0"/>
              <w:jc w:val="center"/>
              <w:rPr>
                <w:rFonts w:hint="eastAsia"/>
                <w:color w:val="auto"/>
                <w:highlight w:val="none"/>
                <w:lang w:val="en-US" w:eastAsia="zh-CN"/>
              </w:rPr>
            </w:pPr>
            <w:r>
              <w:rPr>
                <w:rFonts w:hint="eastAsia"/>
                <w:color w:val="auto"/>
                <w:highlight w:val="none"/>
              </w:rPr>
              <w:t>成交人公告媒介</w:t>
            </w:r>
          </w:p>
        </w:tc>
        <w:tc>
          <w:tcPr>
            <w:tcW w:w="6850" w:type="dxa"/>
            <w:tcBorders>
              <w:bottom w:val="single" w:color="000000" w:sz="10" w:space="0"/>
              <w:right w:val="single" w:color="000000" w:sz="10" w:space="0"/>
            </w:tcBorders>
            <w:shd w:val="clear" w:color="auto" w:fill="auto"/>
            <w:vAlign w:val="center"/>
          </w:tcPr>
          <w:p w14:paraId="34F8F636">
            <w:pPr>
              <w:bidi w:val="0"/>
              <w:jc w:val="both"/>
              <w:rPr>
                <w:rFonts w:hint="eastAsia"/>
                <w:color w:val="auto"/>
                <w:highlight w:val="none"/>
                <w:lang w:val="en-US" w:eastAsia="en-US"/>
              </w:rPr>
            </w:pPr>
            <w:r>
              <w:rPr>
                <w:rFonts w:hint="eastAsia"/>
                <w:color w:val="auto"/>
                <w:highlight w:val="none"/>
              </w:rPr>
              <w:t>注：请供应商关注网站发布的相关公告，如有变更或其他补充内容将在网站上予以公告。</w:t>
            </w:r>
          </w:p>
        </w:tc>
      </w:tr>
      <w:tr w14:paraId="523EF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left w:val="single" w:color="000000" w:sz="10" w:space="0"/>
              <w:bottom w:val="single" w:color="000000" w:sz="10" w:space="0"/>
            </w:tcBorders>
            <w:shd w:val="clear" w:color="auto" w:fill="auto"/>
            <w:vAlign w:val="top"/>
          </w:tcPr>
          <w:p w14:paraId="3A66FE70">
            <w:pPr>
              <w:pStyle w:val="118"/>
              <w:spacing w:before="286" w:line="240" w:lineRule="auto"/>
              <w:ind w:left="178" w:leftChars="0"/>
              <w:jc w:val="both"/>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4"/>
                <w:sz w:val="21"/>
                <w:szCs w:val="21"/>
                <w:highlight w:val="none"/>
                <w:lang w:val="en-US" w:eastAsia="zh-CN"/>
              </w:rPr>
              <w:t>25</w:t>
            </w:r>
            <w:r>
              <w:rPr>
                <w:rFonts w:hint="eastAsia" w:ascii="宋体" w:hAnsi="宋体" w:eastAsia="宋体" w:cs="宋体"/>
                <w:color w:val="auto"/>
                <w:spacing w:val="-4"/>
                <w:sz w:val="21"/>
                <w:szCs w:val="21"/>
                <w:highlight w:val="none"/>
              </w:rPr>
              <w:t>.5</w:t>
            </w:r>
          </w:p>
        </w:tc>
        <w:tc>
          <w:tcPr>
            <w:tcW w:w="2304" w:type="dxa"/>
            <w:tcBorders>
              <w:bottom w:val="single" w:color="000000" w:sz="10" w:space="0"/>
            </w:tcBorders>
            <w:shd w:val="clear" w:color="auto" w:fill="auto"/>
            <w:vAlign w:val="center"/>
          </w:tcPr>
          <w:p w14:paraId="5584F3DE">
            <w:pPr>
              <w:bidi w:val="0"/>
              <w:jc w:val="center"/>
              <w:rPr>
                <w:rFonts w:hint="eastAsia"/>
                <w:color w:val="auto"/>
                <w:highlight w:val="none"/>
                <w:lang w:val="en-US" w:eastAsia="zh-CN"/>
              </w:rPr>
            </w:pPr>
            <w:r>
              <w:rPr>
                <w:rFonts w:hint="eastAsia"/>
                <w:color w:val="auto"/>
                <w:highlight w:val="none"/>
              </w:rPr>
              <w:t>履约保证金</w:t>
            </w:r>
          </w:p>
        </w:tc>
        <w:tc>
          <w:tcPr>
            <w:tcW w:w="6850" w:type="dxa"/>
            <w:tcBorders>
              <w:bottom w:val="single" w:color="000000" w:sz="10" w:space="0"/>
              <w:right w:val="single" w:color="000000" w:sz="10" w:space="0"/>
            </w:tcBorders>
            <w:shd w:val="clear" w:color="auto" w:fill="auto"/>
            <w:vAlign w:val="center"/>
          </w:tcPr>
          <w:p w14:paraId="4B66F228">
            <w:pPr>
              <w:bidi w:val="0"/>
              <w:jc w:val="both"/>
              <w:rPr>
                <w:rFonts w:hint="eastAsia"/>
                <w:color w:val="auto"/>
                <w:highlight w:val="none"/>
                <w:lang w:val="en-US" w:eastAsia="zh-CN"/>
              </w:rPr>
            </w:pPr>
            <w:r>
              <w:rPr>
                <w:rFonts w:hint="eastAsia"/>
                <w:color w:val="auto"/>
                <w:highlight w:val="none"/>
                <w:lang w:val="en-US" w:eastAsia="zh-CN"/>
              </w:rPr>
              <w:t>无</w:t>
            </w:r>
          </w:p>
        </w:tc>
      </w:tr>
      <w:tr w14:paraId="474F9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left w:val="single" w:color="000000" w:sz="10" w:space="0"/>
              <w:bottom w:val="single" w:color="000000" w:sz="10" w:space="0"/>
            </w:tcBorders>
            <w:shd w:val="clear" w:color="auto" w:fill="auto"/>
            <w:vAlign w:val="top"/>
          </w:tcPr>
          <w:p w14:paraId="56E4F52F">
            <w:pPr>
              <w:pStyle w:val="118"/>
              <w:spacing w:before="288" w:line="240" w:lineRule="auto"/>
              <w:ind w:left="178" w:leftChars="0"/>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4"/>
                <w:sz w:val="21"/>
                <w:szCs w:val="21"/>
                <w:highlight w:val="none"/>
                <w:lang w:val="en-US" w:eastAsia="zh-CN"/>
              </w:rPr>
              <w:t>25</w:t>
            </w:r>
            <w:r>
              <w:rPr>
                <w:rFonts w:hint="eastAsia" w:ascii="宋体" w:hAnsi="宋体" w:eastAsia="宋体" w:cs="宋体"/>
                <w:color w:val="auto"/>
                <w:spacing w:val="-4"/>
                <w:sz w:val="21"/>
                <w:szCs w:val="21"/>
                <w:highlight w:val="none"/>
              </w:rPr>
              <w:t>.6</w:t>
            </w:r>
          </w:p>
        </w:tc>
        <w:tc>
          <w:tcPr>
            <w:tcW w:w="2304" w:type="dxa"/>
            <w:tcBorders>
              <w:bottom w:val="single" w:color="000000" w:sz="10" w:space="0"/>
            </w:tcBorders>
            <w:shd w:val="clear" w:color="auto" w:fill="auto"/>
            <w:vAlign w:val="center"/>
          </w:tcPr>
          <w:p w14:paraId="48E81C62">
            <w:pPr>
              <w:bidi w:val="0"/>
              <w:jc w:val="center"/>
              <w:rPr>
                <w:rFonts w:hint="eastAsia"/>
                <w:color w:val="auto"/>
                <w:highlight w:val="none"/>
                <w:lang w:val="en-US" w:eastAsia="zh-CN"/>
              </w:rPr>
            </w:pPr>
            <w:r>
              <w:rPr>
                <w:rFonts w:hint="eastAsia"/>
                <w:color w:val="auto"/>
                <w:highlight w:val="none"/>
              </w:rPr>
              <w:t>付款条件</w:t>
            </w:r>
          </w:p>
        </w:tc>
        <w:tc>
          <w:tcPr>
            <w:tcW w:w="6850" w:type="dxa"/>
            <w:tcBorders>
              <w:bottom w:val="single" w:color="000000" w:sz="10" w:space="0"/>
              <w:right w:val="single" w:color="000000" w:sz="10" w:space="0"/>
            </w:tcBorders>
            <w:shd w:val="clear" w:color="auto" w:fill="auto"/>
            <w:vAlign w:val="center"/>
          </w:tcPr>
          <w:p w14:paraId="2E69E32F">
            <w:pPr>
              <w:bidi w:val="0"/>
              <w:jc w:val="both"/>
              <w:rPr>
                <w:rFonts w:hint="eastAsia" w:eastAsia="宋体"/>
                <w:color w:val="auto"/>
                <w:highlight w:val="none"/>
                <w:lang w:val="en-US" w:eastAsia="zh-CN"/>
              </w:rPr>
            </w:pPr>
            <w:r>
              <w:rPr>
                <w:rFonts w:hint="eastAsia"/>
                <w:color w:val="auto"/>
                <w:highlight w:val="none"/>
              </w:rPr>
              <w:t>根据项目实际使用数量，按</w:t>
            </w:r>
            <w:r>
              <w:rPr>
                <w:rFonts w:hint="eastAsia"/>
                <w:color w:val="auto"/>
                <w:highlight w:val="none"/>
                <w:lang w:val="en-US" w:eastAsia="zh-CN"/>
              </w:rPr>
              <w:t>月</w:t>
            </w:r>
            <w:r>
              <w:rPr>
                <w:rFonts w:hint="eastAsia"/>
                <w:color w:val="auto"/>
                <w:highlight w:val="none"/>
              </w:rPr>
              <w:t>支付</w:t>
            </w:r>
            <w:r>
              <w:rPr>
                <w:rFonts w:hint="eastAsia"/>
                <w:color w:val="auto"/>
                <w:highlight w:val="none"/>
                <w:lang w:eastAsia="zh-CN"/>
              </w:rPr>
              <w:t>。</w:t>
            </w:r>
          </w:p>
        </w:tc>
      </w:tr>
      <w:tr w14:paraId="35533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left w:val="single" w:color="000000" w:sz="10" w:space="0"/>
              <w:bottom w:val="single" w:color="000000" w:sz="10" w:space="0"/>
            </w:tcBorders>
            <w:shd w:val="clear" w:color="auto" w:fill="auto"/>
            <w:vAlign w:val="center"/>
          </w:tcPr>
          <w:p w14:paraId="1F627D7D">
            <w:pPr>
              <w:spacing w:line="240" w:lineRule="auto"/>
              <w:jc w:val="both"/>
              <w:rPr>
                <w:rFonts w:hint="eastAsia" w:ascii="宋体" w:hAnsi="宋体" w:eastAsia="宋体" w:cs="宋体"/>
                <w:color w:val="auto"/>
                <w:sz w:val="21"/>
                <w:szCs w:val="21"/>
                <w:highlight w:val="none"/>
              </w:rPr>
            </w:pPr>
          </w:p>
          <w:p w14:paraId="63A33995">
            <w:pPr>
              <w:spacing w:line="240" w:lineRule="auto"/>
              <w:jc w:val="both"/>
              <w:rPr>
                <w:rFonts w:hint="eastAsia" w:ascii="宋体" w:hAnsi="宋体" w:eastAsia="宋体" w:cs="宋体"/>
                <w:color w:val="auto"/>
                <w:sz w:val="21"/>
                <w:szCs w:val="21"/>
                <w:highlight w:val="none"/>
              </w:rPr>
            </w:pPr>
          </w:p>
          <w:p w14:paraId="16B1749C">
            <w:pPr>
              <w:pStyle w:val="118"/>
              <w:spacing w:before="78" w:line="240" w:lineRule="auto"/>
              <w:ind w:left="178" w:leftChars="0"/>
              <w:jc w:val="both"/>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4"/>
                <w:sz w:val="21"/>
                <w:szCs w:val="21"/>
                <w:highlight w:val="none"/>
                <w:lang w:val="en-US" w:eastAsia="zh-CN"/>
              </w:rPr>
              <w:t>25</w:t>
            </w:r>
            <w:r>
              <w:rPr>
                <w:rFonts w:hint="eastAsia" w:ascii="宋体" w:hAnsi="宋体" w:eastAsia="宋体" w:cs="宋体"/>
                <w:color w:val="auto"/>
                <w:spacing w:val="-4"/>
                <w:sz w:val="21"/>
                <w:szCs w:val="21"/>
                <w:highlight w:val="none"/>
              </w:rPr>
              <w:t>.7</w:t>
            </w:r>
          </w:p>
        </w:tc>
        <w:tc>
          <w:tcPr>
            <w:tcW w:w="2304" w:type="dxa"/>
            <w:tcBorders>
              <w:bottom w:val="single" w:color="000000" w:sz="10" w:space="0"/>
            </w:tcBorders>
            <w:shd w:val="clear" w:color="auto" w:fill="auto"/>
            <w:vAlign w:val="center"/>
          </w:tcPr>
          <w:p w14:paraId="127A0EAC">
            <w:pPr>
              <w:bidi w:val="0"/>
              <w:jc w:val="center"/>
              <w:rPr>
                <w:rFonts w:hint="eastAsia"/>
                <w:color w:val="auto"/>
                <w:highlight w:val="none"/>
                <w:lang w:val="en-US" w:eastAsia="zh-CN"/>
              </w:rPr>
            </w:pPr>
            <w:r>
              <w:rPr>
                <w:rFonts w:hint="eastAsia"/>
                <w:color w:val="auto"/>
                <w:highlight w:val="none"/>
              </w:rPr>
              <w:t>代理服务费</w:t>
            </w:r>
          </w:p>
        </w:tc>
        <w:tc>
          <w:tcPr>
            <w:tcW w:w="6850" w:type="dxa"/>
            <w:tcBorders>
              <w:bottom w:val="single" w:color="000000" w:sz="10" w:space="0"/>
              <w:right w:val="single" w:color="000000" w:sz="10" w:space="0"/>
            </w:tcBorders>
            <w:shd w:val="clear" w:color="auto" w:fill="auto"/>
            <w:vAlign w:val="center"/>
          </w:tcPr>
          <w:p w14:paraId="4521470E">
            <w:pPr>
              <w:bidi w:val="0"/>
              <w:jc w:val="both"/>
              <w:rPr>
                <w:rFonts w:hint="eastAsia"/>
                <w:color w:val="auto"/>
                <w:highlight w:val="none"/>
              </w:rPr>
            </w:pPr>
            <w:r>
              <w:rPr>
                <w:rFonts w:hint="eastAsia"/>
                <w:color w:val="auto"/>
                <w:highlight w:val="none"/>
              </w:rPr>
              <w:t>1.本次采购代理服务费由</w:t>
            </w:r>
            <w:r>
              <w:rPr>
                <w:rFonts w:hint="eastAsia"/>
                <w:color w:val="auto"/>
                <w:highlight w:val="none"/>
                <w:lang w:eastAsia="zh-CN"/>
              </w:rPr>
              <w:t>成交供应商</w:t>
            </w:r>
            <w:r>
              <w:rPr>
                <w:rFonts w:hint="eastAsia"/>
                <w:color w:val="auto"/>
                <w:highlight w:val="none"/>
              </w:rPr>
              <w:t>依据</w:t>
            </w:r>
            <w:r>
              <w:rPr>
                <w:rFonts w:hint="eastAsia"/>
                <w:color w:val="auto"/>
                <w:highlight w:val="none"/>
                <w:lang w:val="en-US" w:eastAsia="zh-CN"/>
              </w:rPr>
              <w:t>《河南省招标代理服务收费指导意见》豫招协[2023]002号文件</w:t>
            </w:r>
            <w:r>
              <w:rPr>
                <w:rFonts w:hint="eastAsia"/>
                <w:color w:val="auto"/>
                <w:highlight w:val="none"/>
              </w:rPr>
              <w:t>的有关规定向代理机构交纳。</w:t>
            </w:r>
          </w:p>
          <w:p w14:paraId="5D6785EA">
            <w:pPr>
              <w:bidi w:val="0"/>
              <w:jc w:val="both"/>
              <w:rPr>
                <w:rFonts w:hint="eastAsia"/>
                <w:color w:val="auto"/>
                <w:highlight w:val="none"/>
              </w:rPr>
            </w:pPr>
            <w:r>
              <w:rPr>
                <w:rFonts w:hint="eastAsia"/>
                <w:color w:val="auto"/>
                <w:highlight w:val="none"/>
              </w:rPr>
              <w:t>2.代理服务费的交纳方式</w:t>
            </w:r>
          </w:p>
          <w:p w14:paraId="7667DE02">
            <w:pPr>
              <w:bidi w:val="0"/>
              <w:jc w:val="both"/>
              <w:rPr>
                <w:rFonts w:hint="eastAsia"/>
                <w:color w:val="auto"/>
                <w:highlight w:val="none"/>
                <w:lang w:val="en-US" w:eastAsia="en-US"/>
              </w:rPr>
            </w:pPr>
            <w:r>
              <w:rPr>
                <w:rFonts w:hint="eastAsia"/>
                <w:color w:val="auto"/>
                <w:highlight w:val="none"/>
                <w:lang w:eastAsia="zh-CN"/>
              </w:rPr>
              <w:t>成交供应商</w:t>
            </w:r>
            <w:r>
              <w:rPr>
                <w:rFonts w:hint="eastAsia"/>
                <w:color w:val="auto"/>
                <w:highlight w:val="none"/>
              </w:rPr>
              <w:t>在领取</w:t>
            </w:r>
            <w:r>
              <w:rPr>
                <w:rFonts w:hint="eastAsia"/>
                <w:color w:val="auto"/>
                <w:highlight w:val="none"/>
                <w:lang w:eastAsia="zh-CN"/>
              </w:rPr>
              <w:t>成交</w:t>
            </w:r>
            <w:r>
              <w:rPr>
                <w:rFonts w:hint="eastAsia"/>
                <w:color w:val="auto"/>
                <w:highlight w:val="none"/>
              </w:rPr>
              <w:t>通知书时，按</w:t>
            </w:r>
            <w:r>
              <w:rPr>
                <w:rFonts w:hint="eastAsia"/>
                <w:color w:val="auto"/>
                <w:highlight w:val="none"/>
                <w:lang w:eastAsia="zh-CN"/>
              </w:rPr>
              <w:t>磋商文件</w:t>
            </w:r>
            <w:r>
              <w:rPr>
                <w:rFonts w:hint="eastAsia"/>
                <w:color w:val="auto"/>
                <w:highlight w:val="none"/>
              </w:rPr>
              <w:t>的要求一次性向采购代理机构缴纳代理服务费。代理服务费：</w:t>
            </w:r>
            <w:r>
              <w:rPr>
                <w:rFonts w:hint="eastAsia"/>
                <w:color w:val="auto"/>
                <w:highlight w:val="none"/>
                <w:lang w:val="en-US" w:eastAsia="zh-CN"/>
              </w:rPr>
              <w:t>贰万叁仟</w:t>
            </w:r>
            <w:r>
              <w:rPr>
                <w:rFonts w:hint="eastAsia"/>
                <w:color w:val="auto"/>
                <w:highlight w:val="none"/>
              </w:rPr>
              <w:t>元</w:t>
            </w:r>
          </w:p>
        </w:tc>
      </w:tr>
      <w:tr w14:paraId="6A157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tcBorders>
              <w:left w:val="single" w:color="000000" w:sz="10" w:space="0"/>
              <w:bottom w:val="single" w:color="000000" w:sz="10" w:space="0"/>
            </w:tcBorders>
            <w:shd w:val="clear" w:color="auto" w:fill="auto"/>
            <w:vAlign w:val="center"/>
          </w:tcPr>
          <w:p w14:paraId="46EACA4F">
            <w:pPr>
              <w:pStyle w:val="118"/>
              <w:spacing w:before="78" w:line="240" w:lineRule="auto"/>
              <w:ind w:left="178" w:leftChars="0"/>
              <w:jc w:val="both"/>
              <w:rPr>
                <w:rFonts w:hint="default"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25.8</w:t>
            </w:r>
          </w:p>
        </w:tc>
        <w:tc>
          <w:tcPr>
            <w:tcW w:w="2304" w:type="dxa"/>
            <w:tcBorders>
              <w:bottom w:val="single" w:color="000000" w:sz="10" w:space="0"/>
            </w:tcBorders>
            <w:shd w:val="clear" w:color="auto" w:fill="auto"/>
            <w:vAlign w:val="center"/>
          </w:tcPr>
          <w:p w14:paraId="37783F32">
            <w:pPr>
              <w:bidi w:val="0"/>
              <w:jc w:val="center"/>
              <w:rPr>
                <w:rFonts w:hint="eastAsia" w:eastAsia="宋体"/>
                <w:b/>
                <w:bCs/>
                <w:color w:val="auto"/>
                <w:highlight w:val="none"/>
                <w:lang w:val="en-US" w:eastAsia="zh-CN"/>
              </w:rPr>
            </w:pPr>
            <w:r>
              <w:rPr>
                <w:rFonts w:hint="eastAsia"/>
                <w:b/>
                <w:bCs/>
                <w:color w:val="auto"/>
                <w:highlight w:val="none"/>
                <w:lang w:val="en-US" w:eastAsia="zh-CN"/>
              </w:rPr>
              <w:t>样品</w:t>
            </w:r>
          </w:p>
        </w:tc>
        <w:tc>
          <w:tcPr>
            <w:tcW w:w="6850" w:type="dxa"/>
            <w:tcBorders>
              <w:bottom w:val="single" w:color="000000" w:sz="10" w:space="0"/>
              <w:right w:val="single" w:color="000000" w:sz="10" w:space="0"/>
            </w:tcBorders>
            <w:shd w:val="clear" w:color="auto" w:fill="auto"/>
            <w:vAlign w:val="center"/>
          </w:tcPr>
          <w:p w14:paraId="0B4522EF">
            <w:pPr>
              <w:bidi w:val="0"/>
              <w:jc w:val="both"/>
              <w:rPr>
                <w:rFonts w:hint="eastAsia"/>
                <w:b/>
                <w:bCs/>
                <w:color w:val="auto"/>
                <w:highlight w:val="none"/>
                <w:lang w:eastAsia="zh-CN"/>
              </w:rPr>
            </w:pPr>
            <w:r>
              <w:rPr>
                <w:rFonts w:hint="eastAsia"/>
                <w:b/>
                <w:bCs/>
                <w:color w:val="auto"/>
                <w:highlight w:val="none"/>
                <w:lang w:eastAsia="zh-CN"/>
              </w:rPr>
              <w:t>一、样品数量</w:t>
            </w:r>
          </w:p>
          <w:p w14:paraId="23761D41">
            <w:pPr>
              <w:bidi w:val="0"/>
              <w:jc w:val="both"/>
              <w:rPr>
                <w:rFonts w:hint="eastAsia"/>
                <w:b/>
                <w:bCs/>
                <w:color w:val="auto"/>
                <w:highlight w:val="none"/>
                <w:lang w:eastAsia="zh-CN"/>
              </w:rPr>
            </w:pPr>
            <w:r>
              <w:rPr>
                <w:rFonts w:hint="eastAsia"/>
                <w:b/>
                <w:bCs/>
                <w:color w:val="auto"/>
                <w:highlight w:val="none"/>
                <w:lang w:eastAsia="zh-CN"/>
              </w:rPr>
              <w:t>本项目需提供遗体袋</w:t>
            </w:r>
            <w:r>
              <w:rPr>
                <w:rFonts w:hint="eastAsia"/>
                <w:b/>
                <w:bCs/>
                <w:color w:val="auto"/>
                <w:highlight w:val="none"/>
                <w:lang w:val="en-US" w:eastAsia="zh-CN"/>
              </w:rPr>
              <w:t>1个</w:t>
            </w:r>
            <w:r>
              <w:rPr>
                <w:rFonts w:hint="eastAsia"/>
                <w:b/>
                <w:bCs/>
                <w:color w:val="auto"/>
                <w:highlight w:val="none"/>
                <w:lang w:eastAsia="zh-CN"/>
              </w:rPr>
              <w:t>，骨灰盒两个（不同</w:t>
            </w:r>
            <w:r>
              <w:rPr>
                <w:rFonts w:hint="eastAsia"/>
                <w:b/>
                <w:bCs/>
                <w:color w:val="auto"/>
                <w:highlight w:val="none"/>
                <w:lang w:val="en-US" w:eastAsia="zh-CN"/>
              </w:rPr>
              <w:t>款式</w:t>
            </w:r>
            <w:r>
              <w:rPr>
                <w:rFonts w:hint="eastAsia"/>
                <w:b/>
                <w:bCs/>
                <w:color w:val="auto"/>
                <w:highlight w:val="none"/>
                <w:lang w:eastAsia="zh-CN"/>
              </w:rPr>
              <w:t>）。成交供应商的样品甲方留存不予退还，未成交供应商的样品项目结束后可以申请退回。</w:t>
            </w:r>
          </w:p>
          <w:p w14:paraId="06A1AA24">
            <w:pPr>
              <w:bidi w:val="0"/>
              <w:jc w:val="both"/>
              <w:rPr>
                <w:rFonts w:hint="eastAsia"/>
                <w:b/>
                <w:bCs/>
                <w:color w:val="auto"/>
                <w:highlight w:val="none"/>
                <w:lang w:eastAsia="zh-CN"/>
              </w:rPr>
            </w:pPr>
            <w:r>
              <w:rPr>
                <w:rFonts w:hint="eastAsia"/>
                <w:b/>
                <w:bCs/>
                <w:color w:val="auto"/>
                <w:highlight w:val="none"/>
                <w:lang w:eastAsia="zh-CN"/>
              </w:rPr>
              <w:t>二、样品密封要求</w:t>
            </w:r>
          </w:p>
          <w:p w14:paraId="651DEC46">
            <w:pPr>
              <w:bidi w:val="0"/>
              <w:jc w:val="both"/>
              <w:rPr>
                <w:rFonts w:hint="eastAsia"/>
                <w:b/>
                <w:bCs/>
                <w:color w:val="auto"/>
                <w:highlight w:val="none"/>
                <w:lang w:eastAsia="zh-CN"/>
              </w:rPr>
            </w:pPr>
            <w:r>
              <w:rPr>
                <w:rFonts w:hint="eastAsia"/>
                <w:b/>
                <w:bCs/>
                <w:color w:val="auto"/>
                <w:highlight w:val="none"/>
                <w:lang w:eastAsia="zh-CN"/>
              </w:rPr>
              <w:t>将所有样品统一装入一个外箱，外箱须牢固、完整。</w:t>
            </w:r>
          </w:p>
          <w:p w14:paraId="0E9AAEAB">
            <w:pPr>
              <w:bidi w:val="0"/>
              <w:jc w:val="both"/>
              <w:rPr>
                <w:rFonts w:hint="eastAsia"/>
                <w:b/>
                <w:bCs/>
                <w:color w:val="auto"/>
                <w:highlight w:val="none"/>
                <w:lang w:eastAsia="zh-CN"/>
              </w:rPr>
            </w:pPr>
            <w:r>
              <w:rPr>
                <w:rFonts w:hint="eastAsia"/>
                <w:b/>
                <w:bCs/>
                <w:color w:val="auto"/>
                <w:highlight w:val="none"/>
                <w:lang w:eastAsia="zh-CN"/>
              </w:rPr>
              <w:t>外包装箱密封处加盖供应商公章，确保不破坏密封无法开启。</w:t>
            </w:r>
          </w:p>
          <w:p w14:paraId="138F1298">
            <w:pPr>
              <w:bidi w:val="0"/>
              <w:jc w:val="both"/>
              <w:rPr>
                <w:rFonts w:hint="eastAsia"/>
                <w:b/>
                <w:bCs/>
                <w:color w:val="auto"/>
                <w:highlight w:val="none"/>
                <w:lang w:eastAsia="zh-CN"/>
              </w:rPr>
            </w:pPr>
            <w:r>
              <w:rPr>
                <w:rFonts w:hint="eastAsia"/>
                <w:b/>
                <w:bCs/>
                <w:color w:val="auto"/>
                <w:highlight w:val="none"/>
                <w:lang w:eastAsia="zh-CN"/>
              </w:rPr>
              <w:t>外包装箱醒目位置粘贴样品标签，内容包括：项目名称、项目编号、供应商全称（加盖公章）。</w:t>
            </w:r>
          </w:p>
          <w:p w14:paraId="670CD236">
            <w:pPr>
              <w:bidi w:val="0"/>
              <w:jc w:val="both"/>
              <w:rPr>
                <w:rFonts w:hint="eastAsia"/>
                <w:b/>
                <w:bCs/>
                <w:color w:val="auto"/>
                <w:highlight w:val="none"/>
                <w:lang w:eastAsia="zh-CN"/>
              </w:rPr>
            </w:pPr>
            <w:r>
              <w:rPr>
                <w:rFonts w:hint="eastAsia"/>
                <w:b/>
                <w:bCs/>
                <w:color w:val="auto"/>
                <w:highlight w:val="none"/>
                <w:lang w:eastAsia="zh-CN"/>
              </w:rPr>
              <w:t>三、提交时间</w:t>
            </w:r>
          </w:p>
          <w:p w14:paraId="47BFFB8C">
            <w:pPr>
              <w:bidi w:val="0"/>
              <w:jc w:val="both"/>
              <w:rPr>
                <w:rFonts w:hint="eastAsia"/>
                <w:b/>
                <w:bCs/>
                <w:color w:val="auto"/>
                <w:highlight w:val="none"/>
                <w:lang w:eastAsia="zh-CN"/>
              </w:rPr>
            </w:pPr>
            <w:r>
              <w:rPr>
                <w:rFonts w:hint="eastAsia"/>
                <w:b/>
                <w:bCs/>
                <w:color w:val="auto"/>
                <w:highlight w:val="none"/>
                <w:lang w:eastAsia="zh-CN"/>
              </w:rPr>
              <w:t>样品提交截止时间：与响应文件递交截止时间一致。</w:t>
            </w:r>
          </w:p>
          <w:p w14:paraId="1B41DE1E">
            <w:pPr>
              <w:bidi w:val="0"/>
              <w:jc w:val="both"/>
              <w:rPr>
                <w:rFonts w:hint="eastAsia"/>
                <w:b/>
                <w:bCs/>
                <w:color w:val="auto"/>
                <w:highlight w:val="none"/>
                <w:lang w:eastAsia="zh-CN"/>
              </w:rPr>
            </w:pPr>
            <w:r>
              <w:rPr>
                <w:rFonts w:hint="eastAsia"/>
                <w:b/>
                <w:bCs/>
                <w:color w:val="auto"/>
                <w:highlight w:val="none"/>
                <w:lang w:eastAsia="zh-CN"/>
              </w:rPr>
              <w:t>逾期送达、或未按要求密封、封装的样品，采购人和代理机构有权拒收。</w:t>
            </w:r>
          </w:p>
          <w:p w14:paraId="6C8D48F7">
            <w:pPr>
              <w:bidi w:val="0"/>
              <w:jc w:val="both"/>
              <w:rPr>
                <w:rFonts w:hint="eastAsia"/>
                <w:b/>
                <w:bCs/>
                <w:color w:val="auto"/>
                <w:highlight w:val="none"/>
                <w:lang w:eastAsia="zh-CN"/>
              </w:rPr>
            </w:pPr>
            <w:r>
              <w:rPr>
                <w:rFonts w:hint="eastAsia"/>
                <w:b/>
                <w:bCs/>
                <w:color w:val="auto"/>
                <w:highlight w:val="none"/>
                <w:lang w:eastAsia="zh-CN"/>
              </w:rPr>
              <w:t>四、提交地点</w:t>
            </w:r>
          </w:p>
          <w:p w14:paraId="71817597">
            <w:pPr>
              <w:bidi w:val="0"/>
              <w:jc w:val="both"/>
              <w:rPr>
                <w:rFonts w:hint="eastAsia"/>
                <w:b/>
                <w:bCs/>
                <w:color w:val="auto"/>
                <w:highlight w:val="none"/>
                <w:lang w:eastAsia="zh-CN"/>
              </w:rPr>
            </w:pPr>
            <w:r>
              <w:rPr>
                <w:rFonts w:hint="eastAsia"/>
                <w:b/>
                <w:bCs/>
                <w:color w:val="auto"/>
                <w:highlight w:val="none"/>
                <w:lang w:eastAsia="zh-CN"/>
              </w:rPr>
              <w:t>样品提交地点：</w:t>
            </w:r>
            <w:r>
              <w:rPr>
                <w:rFonts w:hint="eastAsia"/>
                <w:b/>
                <w:bCs/>
                <w:color w:val="auto"/>
                <w:highlight w:val="none"/>
                <w:lang w:val="en-US" w:eastAsia="zh-CN"/>
              </w:rPr>
              <w:t>同响应文件开启地点</w:t>
            </w:r>
            <w:r>
              <w:rPr>
                <w:rFonts w:hint="eastAsia"/>
                <w:b/>
                <w:bCs/>
                <w:color w:val="auto"/>
                <w:highlight w:val="none"/>
                <w:lang w:eastAsia="zh-CN"/>
              </w:rPr>
              <w:t>。</w:t>
            </w:r>
          </w:p>
          <w:p w14:paraId="0E22183F">
            <w:pPr>
              <w:bidi w:val="0"/>
              <w:jc w:val="both"/>
              <w:rPr>
                <w:rFonts w:hint="eastAsia"/>
                <w:b/>
                <w:bCs/>
                <w:color w:val="auto"/>
                <w:highlight w:val="none"/>
                <w:lang w:eastAsia="zh-CN"/>
              </w:rPr>
            </w:pPr>
            <w:r>
              <w:rPr>
                <w:rFonts w:hint="eastAsia"/>
                <w:b/>
                <w:bCs/>
                <w:color w:val="auto"/>
                <w:highlight w:val="none"/>
                <w:lang w:eastAsia="zh-CN"/>
              </w:rPr>
              <w:t>供应商须在规定时间内自行送达，逾期责任自负。</w:t>
            </w:r>
          </w:p>
          <w:p w14:paraId="6C6CF12F">
            <w:pPr>
              <w:bidi w:val="0"/>
              <w:jc w:val="both"/>
              <w:rPr>
                <w:rFonts w:hint="default"/>
                <w:lang w:val="en-US" w:eastAsia="zh-CN"/>
              </w:rPr>
            </w:pPr>
            <w:r>
              <w:rPr>
                <w:rFonts w:hint="eastAsia" w:ascii="Times New Roman" w:hAnsi="Times New Roman" w:cs="Times New Roman"/>
                <w:b/>
                <w:bCs/>
                <w:color w:val="auto"/>
                <w:highlight w:val="none"/>
                <w:lang w:val="en-US" w:eastAsia="zh-CN"/>
              </w:rPr>
              <w:t>五、</w:t>
            </w:r>
            <w:r>
              <w:rPr>
                <w:rFonts w:hint="eastAsia" w:cs="Times New Roman"/>
                <w:b/>
                <w:bCs/>
                <w:color w:val="auto"/>
                <w:highlight w:val="none"/>
                <w:lang w:val="en-US" w:eastAsia="zh-CN"/>
              </w:rPr>
              <w:t>投标人代表若为法定代表人需提供法定代表人身份证明及本人身份证</w:t>
            </w:r>
            <w:r>
              <w:rPr>
                <w:rFonts w:hint="eastAsia" w:ascii="Times New Roman" w:hAnsi="Times New Roman" w:cs="Times New Roman"/>
                <w:b/>
                <w:bCs/>
                <w:color w:val="auto"/>
                <w:highlight w:val="none"/>
                <w:lang w:val="en-US" w:eastAsia="zh-CN"/>
              </w:rPr>
              <w:t>进入开标室递交样品</w:t>
            </w:r>
            <w:r>
              <w:rPr>
                <w:rFonts w:hint="eastAsia" w:cs="Times New Roman"/>
                <w:b/>
                <w:bCs/>
                <w:color w:val="auto"/>
                <w:highlight w:val="none"/>
                <w:lang w:val="en-US" w:eastAsia="zh-CN"/>
              </w:rPr>
              <w:t>；</w:t>
            </w:r>
            <w:r>
              <w:rPr>
                <w:rFonts w:hint="eastAsia" w:ascii="Times New Roman" w:hAnsi="Times New Roman" w:cs="Times New Roman"/>
                <w:b/>
                <w:bCs/>
                <w:color w:val="auto"/>
                <w:highlight w:val="none"/>
                <w:lang w:val="en-US" w:eastAsia="zh-CN"/>
              </w:rPr>
              <w:t>投标人代表</w:t>
            </w:r>
            <w:r>
              <w:rPr>
                <w:rFonts w:hint="eastAsia" w:cs="Times New Roman"/>
                <w:b/>
                <w:bCs/>
                <w:color w:val="auto"/>
                <w:highlight w:val="none"/>
                <w:lang w:val="en-US" w:eastAsia="zh-CN"/>
              </w:rPr>
              <w:t>若为授权人</w:t>
            </w:r>
            <w:r>
              <w:rPr>
                <w:rFonts w:hint="eastAsia" w:ascii="Times New Roman" w:hAnsi="Times New Roman" w:cs="Times New Roman"/>
                <w:b/>
                <w:bCs/>
                <w:color w:val="auto"/>
                <w:highlight w:val="none"/>
                <w:lang w:val="en-US" w:eastAsia="zh-CN"/>
              </w:rPr>
              <w:t>需持委托书和本人身份证进入开标室递交样品。</w:t>
            </w:r>
            <w:bookmarkStart w:id="150" w:name="_GoBack"/>
            <w:bookmarkEnd w:id="150"/>
          </w:p>
        </w:tc>
      </w:tr>
      <w:tr w14:paraId="1AB44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vMerge w:val="restart"/>
            <w:tcBorders>
              <w:left w:val="single" w:color="000000" w:sz="10" w:space="0"/>
            </w:tcBorders>
            <w:shd w:val="clear" w:color="auto" w:fill="auto"/>
            <w:vAlign w:val="center"/>
          </w:tcPr>
          <w:p w14:paraId="60F50766">
            <w:pPr>
              <w:pStyle w:val="118"/>
              <w:spacing w:before="78" w:line="240" w:lineRule="auto"/>
              <w:ind w:left="317" w:leftChars="0"/>
              <w:rPr>
                <w:rFonts w:hint="eastAsia" w:ascii="宋体" w:hAnsi="宋体" w:eastAsia="宋体" w:cs="宋体"/>
                <w:color w:val="auto"/>
                <w:spacing w:val="-7"/>
                <w:sz w:val="21"/>
                <w:szCs w:val="21"/>
                <w:highlight w:val="none"/>
              </w:rPr>
            </w:pPr>
          </w:p>
        </w:tc>
        <w:tc>
          <w:tcPr>
            <w:tcW w:w="9154" w:type="dxa"/>
            <w:gridSpan w:val="2"/>
            <w:tcBorders>
              <w:bottom w:val="single" w:color="000000" w:sz="10" w:space="0"/>
              <w:right w:val="single" w:color="000000" w:sz="10" w:space="0"/>
            </w:tcBorders>
            <w:shd w:val="clear" w:color="auto" w:fill="auto"/>
            <w:vAlign w:val="center"/>
          </w:tcPr>
          <w:p w14:paraId="2846F8AB">
            <w:pPr>
              <w:bidi w:val="0"/>
              <w:rPr>
                <w:rFonts w:hint="eastAsia"/>
                <w:color w:val="auto"/>
                <w:highlight w:val="none"/>
              </w:rPr>
            </w:pPr>
            <w:r>
              <w:rPr>
                <w:rFonts w:hint="eastAsia"/>
                <w:color w:val="auto"/>
                <w:highlight w:val="none"/>
              </w:rPr>
              <w:t>一、本采购文件根椐国家有关规定，解释权属采购人。</w:t>
            </w:r>
          </w:p>
          <w:p w14:paraId="258AE700">
            <w:pPr>
              <w:bidi w:val="0"/>
              <w:rPr>
                <w:rFonts w:hint="eastAsia"/>
                <w:color w:val="auto"/>
                <w:highlight w:val="none"/>
              </w:rPr>
            </w:pPr>
            <w:r>
              <w:rPr>
                <w:rFonts w:hint="eastAsia"/>
                <w:color w:val="auto"/>
                <w:highlight w:val="none"/>
              </w:rPr>
              <w:t>二、成交单位需在与采购人签订合同时提供纸质版响应文件贰份（与上传荥阳市公共资源交易中心系统中的响应文件一致，并加盖公章及签字）。</w:t>
            </w:r>
          </w:p>
          <w:p w14:paraId="61EEA2E1">
            <w:pPr>
              <w:bidi w:val="0"/>
              <w:rPr>
                <w:rFonts w:hint="eastAsia"/>
                <w:color w:val="auto"/>
                <w:highlight w:val="none"/>
                <w:lang w:val="en-US" w:eastAsia="en-US"/>
              </w:rPr>
            </w:pPr>
            <w:r>
              <w:rPr>
                <w:rFonts w:hint="eastAsia"/>
                <w:color w:val="auto"/>
                <w:highlight w:val="none"/>
              </w:rPr>
              <w:t>三、开标会议结束之后，请各供应商保持在线状态，等候线上二次报价通知。</w:t>
            </w:r>
          </w:p>
        </w:tc>
      </w:tr>
      <w:tr w14:paraId="2D48F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vMerge w:val="continue"/>
            <w:tcBorders>
              <w:left w:val="single" w:color="000000" w:sz="10" w:space="0"/>
            </w:tcBorders>
            <w:vAlign w:val="top"/>
          </w:tcPr>
          <w:p w14:paraId="2C8ED136">
            <w:pPr>
              <w:pStyle w:val="118"/>
              <w:spacing w:before="78" w:line="240" w:lineRule="auto"/>
              <w:ind w:left="317" w:leftChars="0"/>
              <w:rPr>
                <w:rFonts w:hint="eastAsia" w:ascii="宋体" w:hAnsi="宋体" w:eastAsia="宋体" w:cs="宋体"/>
                <w:color w:val="auto"/>
                <w:spacing w:val="-7"/>
                <w:sz w:val="21"/>
                <w:szCs w:val="21"/>
                <w:highlight w:val="none"/>
              </w:rPr>
            </w:pPr>
          </w:p>
        </w:tc>
        <w:tc>
          <w:tcPr>
            <w:tcW w:w="9154" w:type="dxa"/>
            <w:gridSpan w:val="2"/>
            <w:tcBorders>
              <w:bottom w:val="single" w:color="000000" w:sz="10" w:space="0"/>
              <w:right w:val="single" w:color="000000" w:sz="10" w:space="0"/>
            </w:tcBorders>
            <w:shd w:val="clear" w:color="auto" w:fill="auto"/>
            <w:vAlign w:val="center"/>
          </w:tcPr>
          <w:p w14:paraId="18D996E8">
            <w:pPr>
              <w:bidi w:val="0"/>
              <w:jc w:val="center"/>
              <w:rPr>
                <w:rFonts w:hint="eastAsia"/>
                <w:b/>
                <w:bCs/>
                <w:color w:val="auto"/>
                <w:highlight w:val="none"/>
              </w:rPr>
            </w:pPr>
            <w:r>
              <w:rPr>
                <w:rFonts w:hint="eastAsia"/>
                <w:b/>
                <w:bCs/>
                <w:color w:val="auto"/>
                <w:highlight w:val="none"/>
              </w:rPr>
              <w:t>荥阳市政府采购合同融资政策告知函</w:t>
            </w:r>
          </w:p>
          <w:p w14:paraId="7C9D8D07">
            <w:pPr>
              <w:bidi w:val="0"/>
              <w:rPr>
                <w:rFonts w:hint="eastAsia"/>
                <w:color w:val="auto"/>
                <w:highlight w:val="none"/>
              </w:rPr>
            </w:pPr>
            <w:r>
              <w:rPr>
                <w:rFonts w:hint="eastAsia"/>
                <w:color w:val="auto"/>
                <w:highlight w:val="none"/>
              </w:rPr>
              <w:t>各供应商：</w:t>
            </w:r>
          </w:p>
          <w:p w14:paraId="009CF2DA">
            <w:pPr>
              <w:bidi w:val="0"/>
              <w:rPr>
                <w:rFonts w:hint="eastAsia"/>
                <w:color w:val="auto"/>
                <w:highlight w:val="none"/>
              </w:rPr>
            </w:pPr>
            <w:r>
              <w:rPr>
                <w:rFonts w:hint="eastAsia"/>
                <w:color w:val="auto"/>
                <w:highlight w:val="none"/>
              </w:rPr>
              <w:t>欢迎贵公司参与荥阳市政府采购活动！</w:t>
            </w:r>
          </w:p>
          <w:p w14:paraId="1AD7922F">
            <w:pPr>
              <w:bidi w:val="0"/>
              <w:rPr>
                <w:rFonts w:hint="eastAsia"/>
                <w:color w:val="auto"/>
                <w:highlight w:val="none"/>
              </w:rPr>
            </w:pPr>
            <w:r>
              <w:rPr>
                <w:rFonts w:hint="eastAsia"/>
                <w:color w:val="auto"/>
                <w:highlight w:val="none"/>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7EB57B13">
            <w:pPr>
              <w:bidi w:val="0"/>
              <w:rPr>
                <w:rFonts w:hint="eastAsia"/>
                <w:color w:val="auto"/>
                <w:highlight w:val="none"/>
                <w:lang w:val="en-US" w:eastAsia="en-US"/>
              </w:rPr>
            </w:pPr>
            <w:r>
              <w:rPr>
                <w:rFonts w:hint="eastAsia"/>
                <w:color w:val="auto"/>
                <w:highlight w:val="none"/>
              </w:rPr>
              <w:t>贷款渠道和提供贷款的金融机构，可在荥阳市政府采购网“荥阳市政府采购合同融资入口”或工作动态栏查询联系。</w:t>
            </w:r>
          </w:p>
        </w:tc>
      </w:tr>
      <w:tr w14:paraId="6AD51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vMerge w:val="continue"/>
            <w:tcBorders>
              <w:left w:val="single" w:color="000000" w:sz="10" w:space="0"/>
              <w:bottom w:val="single" w:color="000000" w:sz="10" w:space="0"/>
            </w:tcBorders>
            <w:vAlign w:val="top"/>
          </w:tcPr>
          <w:p w14:paraId="169DD8A5">
            <w:pPr>
              <w:pStyle w:val="118"/>
              <w:spacing w:before="78" w:line="240" w:lineRule="auto"/>
              <w:ind w:left="317" w:leftChars="0"/>
              <w:rPr>
                <w:rFonts w:hint="eastAsia" w:ascii="宋体" w:hAnsi="宋体" w:eastAsia="宋体" w:cs="宋体"/>
                <w:color w:val="auto"/>
                <w:spacing w:val="-7"/>
                <w:sz w:val="21"/>
                <w:szCs w:val="21"/>
                <w:highlight w:val="none"/>
              </w:rPr>
            </w:pPr>
          </w:p>
        </w:tc>
        <w:tc>
          <w:tcPr>
            <w:tcW w:w="9154" w:type="dxa"/>
            <w:gridSpan w:val="2"/>
            <w:tcBorders>
              <w:bottom w:val="single" w:color="000000" w:sz="10" w:space="0"/>
              <w:right w:val="single" w:color="000000" w:sz="10" w:space="0"/>
            </w:tcBorders>
            <w:shd w:val="clear" w:color="auto" w:fill="auto"/>
            <w:vAlign w:val="center"/>
          </w:tcPr>
          <w:p w14:paraId="0A27836F">
            <w:pPr>
              <w:bidi w:val="0"/>
              <w:rPr>
                <w:rFonts w:hint="eastAsia"/>
                <w:b/>
                <w:bCs/>
                <w:color w:val="auto"/>
                <w:highlight w:val="none"/>
                <w:lang w:eastAsia="zh-CN"/>
              </w:rPr>
            </w:pPr>
            <w:r>
              <w:rPr>
                <w:rFonts w:hint="eastAsia"/>
                <w:b/>
                <w:bCs/>
                <w:color w:val="auto"/>
                <w:highlight w:val="none"/>
              </w:rPr>
              <w:t>政府采购政策</w:t>
            </w:r>
            <w:r>
              <w:rPr>
                <w:rFonts w:hint="eastAsia"/>
                <w:b/>
                <w:bCs/>
                <w:color w:val="auto"/>
                <w:highlight w:val="none"/>
                <w:lang w:eastAsia="zh-CN"/>
              </w:rPr>
              <w:t>：</w:t>
            </w:r>
          </w:p>
          <w:p w14:paraId="1266677F">
            <w:pPr>
              <w:bidi w:val="0"/>
              <w:rPr>
                <w:rFonts w:hint="eastAsia"/>
                <w:color w:val="auto"/>
                <w:highlight w:val="none"/>
              </w:rPr>
            </w:pPr>
            <w:r>
              <w:rPr>
                <w:rFonts w:hint="eastAsia"/>
                <w:color w:val="auto"/>
                <w:highlight w:val="none"/>
              </w:rPr>
              <w:t>（1）政府采购促进中小企业发展政策；</w:t>
            </w:r>
          </w:p>
          <w:p w14:paraId="362EF410">
            <w:pPr>
              <w:bidi w:val="0"/>
              <w:rPr>
                <w:rFonts w:hint="eastAsia"/>
                <w:color w:val="auto"/>
                <w:highlight w:val="none"/>
              </w:rPr>
            </w:pPr>
            <w:r>
              <w:rPr>
                <w:rFonts w:hint="eastAsia"/>
                <w:color w:val="auto"/>
                <w:highlight w:val="none"/>
              </w:rPr>
              <w:t>（2）政府采购强制、优先采购节能产品政策；</w:t>
            </w:r>
          </w:p>
          <w:p w14:paraId="705569EC">
            <w:pPr>
              <w:bidi w:val="0"/>
              <w:rPr>
                <w:rFonts w:hint="eastAsia"/>
                <w:color w:val="auto"/>
                <w:highlight w:val="none"/>
              </w:rPr>
            </w:pPr>
            <w:r>
              <w:rPr>
                <w:rFonts w:hint="eastAsia"/>
                <w:color w:val="auto"/>
                <w:highlight w:val="none"/>
              </w:rPr>
              <w:t xml:space="preserve">（3）政府采购优先采购环保产品政策； </w:t>
            </w:r>
          </w:p>
          <w:p w14:paraId="20D0AAB3">
            <w:pPr>
              <w:bidi w:val="0"/>
              <w:rPr>
                <w:rFonts w:hint="eastAsia"/>
                <w:color w:val="auto"/>
                <w:highlight w:val="none"/>
              </w:rPr>
            </w:pPr>
            <w:r>
              <w:rPr>
                <w:rFonts w:hint="eastAsia"/>
                <w:color w:val="auto"/>
                <w:highlight w:val="none"/>
              </w:rPr>
              <w:t>（4）政府采购支持监狱企业发展政策；</w:t>
            </w:r>
          </w:p>
          <w:p w14:paraId="68CEE2EA">
            <w:pPr>
              <w:bidi w:val="0"/>
              <w:rPr>
                <w:rFonts w:hint="eastAsia" w:eastAsia="宋体"/>
                <w:color w:val="auto"/>
                <w:highlight w:val="none"/>
                <w:lang w:eastAsia="zh-CN"/>
              </w:rPr>
            </w:pPr>
            <w:r>
              <w:rPr>
                <w:rFonts w:hint="eastAsia"/>
                <w:color w:val="auto"/>
                <w:highlight w:val="none"/>
              </w:rPr>
              <w:t>（5）政府采购促进残疾人就业政府采购政策</w:t>
            </w:r>
            <w:r>
              <w:rPr>
                <w:rFonts w:hint="eastAsia"/>
                <w:color w:val="auto"/>
                <w:highlight w:val="none"/>
                <w:lang w:eastAsia="zh-CN"/>
              </w:rPr>
              <w:t>；</w:t>
            </w:r>
          </w:p>
          <w:p w14:paraId="16DB2325">
            <w:pPr>
              <w:bidi w:val="0"/>
              <w:rPr>
                <w:rFonts w:hint="eastAsia"/>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）本国产品标准及相关政策。</w:t>
            </w:r>
          </w:p>
          <w:p w14:paraId="0B8F7506">
            <w:pPr>
              <w:pStyle w:val="47"/>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本国产品标准的适用范围</w:t>
            </w:r>
            <w:r>
              <w:rPr>
                <w:rFonts w:hint="eastAsia" w:cs="Times New Roman"/>
                <w:b/>
                <w:bCs/>
                <w:color w:val="auto"/>
                <w:kern w:val="2"/>
                <w:sz w:val="21"/>
                <w:szCs w:val="24"/>
                <w:highlight w:val="none"/>
                <w:lang w:val="en-US" w:eastAsia="zh-CN" w:bidi="ar-SA"/>
              </w:rPr>
              <w:t>：</w:t>
            </w:r>
          </w:p>
          <w:p w14:paraId="5B90921C">
            <w:pPr>
              <w:pStyle w:val="47"/>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本国产品标准适用于货物，包括政府采购货物项目和服务项目中涉及的货物。</w:t>
            </w:r>
          </w:p>
          <w:p w14:paraId="64EFB518">
            <w:pPr>
              <w:bidi w:val="0"/>
              <w:rPr>
                <w:rFonts w:hint="eastAsia"/>
                <w:b/>
                <w:bCs/>
                <w:color w:val="auto"/>
                <w:highlight w:val="none"/>
              </w:rPr>
            </w:pPr>
            <w:r>
              <w:rPr>
                <w:rFonts w:hint="eastAsia"/>
                <w:b/>
                <w:bCs/>
                <w:color w:val="auto"/>
                <w:highlight w:val="none"/>
              </w:rPr>
              <w:t>中小微企业划定标准为：</w:t>
            </w:r>
          </w:p>
          <w:p w14:paraId="5B116F75">
            <w:pPr>
              <w:bidi w:val="0"/>
              <w:rPr>
                <w:rFonts w:hint="eastAsia"/>
                <w:color w:val="auto"/>
                <w:highlight w:val="none"/>
              </w:rPr>
            </w:pPr>
            <w:r>
              <w:rPr>
                <w:rFonts w:hint="eastAsia"/>
                <w:color w:val="auto"/>
                <w:highlight w:val="none"/>
              </w:rPr>
              <w:t>中小微企业划分按照《国家统计局关于印发&lt;统计上大中小微型企业划分办法（2017）&gt;的通知》国统字【2017】213号文件及工业和信息化部、国家统计局、国家发展和改革委员会、财政部关于印发《中小企业划型标准规定的通知》（工信部联企业【2011】300号）规定的划分标准为依据。</w:t>
            </w:r>
          </w:p>
          <w:p w14:paraId="3AD9F861">
            <w:pPr>
              <w:bidi w:val="0"/>
              <w:rPr>
                <w:rFonts w:hint="eastAsia"/>
                <w:b/>
                <w:bCs/>
                <w:color w:val="auto"/>
                <w:highlight w:val="none"/>
              </w:rPr>
            </w:pPr>
            <w:r>
              <w:rPr>
                <w:rFonts w:hint="eastAsia"/>
                <w:b/>
                <w:bCs/>
                <w:color w:val="auto"/>
                <w:highlight w:val="none"/>
              </w:rPr>
              <w:t>A、本项目专门面向中小企业；</w:t>
            </w:r>
          </w:p>
          <w:p w14:paraId="128CFC6A">
            <w:pPr>
              <w:bidi w:val="0"/>
              <w:rPr>
                <w:rFonts w:hint="eastAsia"/>
                <w:color w:val="auto"/>
                <w:highlight w:val="none"/>
              </w:rPr>
            </w:pPr>
            <w:r>
              <w:rPr>
                <w:rFonts w:hint="eastAsia"/>
                <w:color w:val="auto"/>
                <w:highlight w:val="none"/>
              </w:rPr>
              <w:t>B、本项目采购标的对应的中小企业划型标准所属行业：工业；</w:t>
            </w:r>
          </w:p>
          <w:p w14:paraId="2ADAB03E">
            <w:pPr>
              <w:bidi w:val="0"/>
              <w:rPr>
                <w:rFonts w:hint="eastAsia"/>
                <w:color w:val="auto"/>
                <w:highlight w:val="none"/>
              </w:rPr>
            </w:pPr>
            <w:r>
              <w:rPr>
                <w:rFonts w:hint="eastAsia"/>
                <w:color w:val="auto"/>
                <w:highlight w:val="none"/>
              </w:rPr>
              <w:t>C、本文件未尽事宜，参照现行有关的法律、法规、规章、办法等执行。</w:t>
            </w:r>
          </w:p>
          <w:p w14:paraId="70AA9AF9">
            <w:pPr>
              <w:bidi w:val="0"/>
              <w:rPr>
                <w:rFonts w:hint="eastAsia"/>
                <w:color w:val="auto"/>
                <w:highlight w:val="none"/>
                <w:lang w:val="en-US" w:eastAsia="en-US"/>
              </w:rPr>
            </w:pPr>
            <w:r>
              <w:rPr>
                <w:rFonts w:hint="eastAsia"/>
                <w:color w:val="auto"/>
                <w:highlight w:val="none"/>
              </w:rPr>
              <w:t>上述政府采购政策的具体约定详见本</w:t>
            </w:r>
            <w:r>
              <w:rPr>
                <w:rFonts w:hint="eastAsia"/>
                <w:color w:val="auto"/>
                <w:highlight w:val="none"/>
                <w:lang w:eastAsia="zh-CN"/>
              </w:rPr>
              <w:t>磋商</w:t>
            </w:r>
            <w:r>
              <w:rPr>
                <w:rFonts w:hint="eastAsia"/>
                <w:color w:val="auto"/>
                <w:highlight w:val="none"/>
              </w:rPr>
              <w:t>文件所述内容。</w:t>
            </w:r>
          </w:p>
        </w:tc>
      </w:tr>
    </w:tbl>
    <w:p w14:paraId="038FE962">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一、总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则</w:t>
      </w:r>
      <w:bookmarkEnd w:id="5"/>
    </w:p>
    <w:p w14:paraId="62AE55EC">
      <w:pPr>
        <w:keepNext w:val="0"/>
        <w:keepLines w:val="0"/>
        <w:pageBreakBefore w:val="0"/>
        <w:widowControl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1．项目说明</w:t>
      </w:r>
    </w:p>
    <w:p w14:paraId="215214C5">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项目名称：</w:t>
      </w:r>
      <w:r>
        <w:rPr>
          <w:rFonts w:hint="eastAsia" w:ascii="宋体" w:hAnsi="宋体" w:cs="宋体"/>
          <w:color w:val="auto"/>
          <w:sz w:val="24"/>
          <w:szCs w:val="24"/>
          <w:highlight w:val="none"/>
          <w:lang w:val="en-US" w:eastAsia="zh-CN"/>
        </w:rPr>
        <w:t>荥阳市民政局荥阳市殡葬事务服务中心惠民殡葬用品采购项目</w:t>
      </w:r>
      <w:r>
        <w:rPr>
          <w:rFonts w:hint="eastAsia" w:ascii="宋体" w:hAnsi="宋体" w:eastAsia="宋体" w:cs="宋体"/>
          <w:color w:val="auto"/>
          <w:sz w:val="24"/>
          <w:szCs w:val="24"/>
          <w:highlight w:val="none"/>
          <w:lang w:eastAsia="zh-CN"/>
        </w:rPr>
        <w:t>。</w:t>
      </w:r>
    </w:p>
    <w:p w14:paraId="0C93498F">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eastAsia="zh-CN"/>
        </w:rPr>
        <w:t>资金来源：详见“供应商须知前附表”。</w:t>
      </w:r>
    </w:p>
    <w:p w14:paraId="5401E845">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eastAsia="zh-CN"/>
        </w:rPr>
        <w:t>采购内容：</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详见“供应商须知前附表”。</w:t>
      </w:r>
    </w:p>
    <w:p w14:paraId="73E2FEC6">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w:t>
      </w:r>
      <w:r>
        <w:rPr>
          <w:rFonts w:hint="eastAsia" w:ascii="宋体" w:hAnsi="宋体" w:cs="宋体"/>
          <w:color w:val="auto"/>
          <w:sz w:val="24"/>
          <w:szCs w:val="24"/>
          <w:highlight w:val="none"/>
          <w:lang w:val="en-US" w:eastAsia="zh-CN"/>
        </w:rPr>
        <w:t xml:space="preserve"> 交货期</w:t>
      </w:r>
      <w:r>
        <w:rPr>
          <w:rFonts w:hint="eastAsia" w:ascii="宋体" w:hAnsi="宋体" w:eastAsia="宋体" w:cs="宋体"/>
          <w:color w:val="auto"/>
          <w:sz w:val="24"/>
          <w:szCs w:val="24"/>
          <w:highlight w:val="none"/>
          <w:lang w:eastAsia="zh-CN"/>
        </w:rPr>
        <w:t>：详见“供应商须知前附表”。</w:t>
      </w:r>
    </w:p>
    <w:p w14:paraId="7EDF00D4">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质量要求：详见“供应商须知前附表”。</w:t>
      </w:r>
    </w:p>
    <w:p w14:paraId="7AC09C9E">
      <w:pPr>
        <w:adjustRightInd w:val="0"/>
        <w:snapToGrid w:val="0"/>
        <w:spacing w:line="440" w:lineRule="exact"/>
        <w:jc w:val="left"/>
        <w:rPr>
          <w:rFonts w:ascii="宋体" w:hAnsi="宋体" w:cs="宋体"/>
          <w:b/>
          <w:bCs/>
          <w:color w:val="auto"/>
          <w:sz w:val="24"/>
          <w:highlight w:val="none"/>
        </w:rPr>
      </w:pPr>
      <w:bookmarkStart w:id="6" w:name="_Toc436423309"/>
      <w:r>
        <w:rPr>
          <w:rFonts w:hint="eastAsia" w:ascii="宋体" w:hAnsi="宋体" w:cs="宋体"/>
          <w:b/>
          <w:bCs/>
          <w:color w:val="auto"/>
          <w:sz w:val="24"/>
          <w:highlight w:val="none"/>
        </w:rPr>
        <w:t>2．供应商资格要求</w:t>
      </w:r>
    </w:p>
    <w:p w14:paraId="495F9475">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 供应商应具备承担本项目的资格条件。（详见供应商须知前附表）</w:t>
      </w:r>
    </w:p>
    <w:p w14:paraId="5DACFA65">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 供应商不得存在下列情形之一：</w:t>
      </w:r>
    </w:p>
    <w:p w14:paraId="41A9B387">
      <w:pPr>
        <w:adjustRightInd w:val="0"/>
        <w:snapToGrid w:val="0"/>
        <w:spacing w:line="440" w:lineRule="exact"/>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rPr>
        <w:t>（1）为采购人不具有独立法人资格的附属机构（单位）；</w:t>
      </w:r>
      <w:r>
        <w:rPr>
          <w:rFonts w:hint="eastAsia" w:ascii="宋体" w:hAnsi="宋体" w:cs="宋体"/>
          <w:color w:val="auto"/>
          <w:sz w:val="24"/>
          <w:highlight w:val="none"/>
          <w:lang w:eastAsia="zh-CN"/>
        </w:rPr>
        <w:t xml:space="preserve"> </w:t>
      </w:r>
    </w:p>
    <w:p w14:paraId="1FE59DCD">
      <w:pPr>
        <w:adjustRightInd w:val="0"/>
        <w:snapToGrid w:val="0"/>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（2）被责令停业的；</w:t>
      </w:r>
    </w:p>
    <w:p w14:paraId="3E491A76">
      <w:pPr>
        <w:adjustRightInd w:val="0"/>
        <w:snapToGrid w:val="0"/>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（3）被暂停或取消投标资格的；</w:t>
      </w:r>
    </w:p>
    <w:p w14:paraId="1B214DF4">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（4）财产被接管或冻结的；</w:t>
      </w:r>
    </w:p>
    <w:p w14:paraId="209B50EE">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（5）在最近三年内有骗取中标或严重违约或重大工程质量问题的。</w:t>
      </w:r>
    </w:p>
    <w:p w14:paraId="7D2923ED">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 本项目不接受联合体</w:t>
      </w:r>
      <w:r>
        <w:rPr>
          <w:rFonts w:hint="eastAsia" w:ascii="宋体" w:hAnsi="宋体" w:cs="宋体"/>
          <w:color w:val="auto"/>
          <w:sz w:val="24"/>
          <w:highlight w:val="none"/>
          <w:lang w:eastAsia="zh-CN"/>
        </w:rPr>
        <w:t>磋商</w:t>
      </w:r>
      <w:r>
        <w:rPr>
          <w:rFonts w:hint="eastAsia" w:ascii="宋体" w:hAnsi="宋体" w:cs="宋体"/>
          <w:color w:val="auto"/>
          <w:sz w:val="24"/>
          <w:highlight w:val="none"/>
        </w:rPr>
        <w:t>。</w:t>
      </w:r>
    </w:p>
    <w:p w14:paraId="5F9C9CF2">
      <w:pPr>
        <w:adjustRightInd w:val="0"/>
        <w:snapToGrid w:val="0"/>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3．费用承担</w:t>
      </w:r>
    </w:p>
    <w:p w14:paraId="5B0A963F">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供应商为参加</w:t>
      </w:r>
      <w:r>
        <w:rPr>
          <w:rFonts w:hint="eastAsia" w:ascii="宋体" w:hAnsi="宋体" w:cs="宋体"/>
          <w:color w:val="auto"/>
          <w:sz w:val="24"/>
          <w:highlight w:val="none"/>
          <w:lang w:eastAsia="zh-CN"/>
        </w:rPr>
        <w:t>采购活动</w:t>
      </w:r>
      <w:r>
        <w:rPr>
          <w:rFonts w:hint="eastAsia" w:ascii="宋体" w:hAnsi="宋体" w:cs="宋体"/>
          <w:color w:val="auto"/>
          <w:sz w:val="24"/>
          <w:highlight w:val="none"/>
        </w:rPr>
        <w:t>做准备发生的费用和参加</w:t>
      </w:r>
      <w:r>
        <w:rPr>
          <w:rFonts w:hint="eastAsia" w:ascii="宋体" w:hAnsi="宋体" w:cs="宋体"/>
          <w:color w:val="auto"/>
          <w:sz w:val="24"/>
          <w:highlight w:val="none"/>
          <w:lang w:eastAsia="zh-CN"/>
        </w:rPr>
        <w:t>采购</w:t>
      </w:r>
      <w:r>
        <w:rPr>
          <w:rFonts w:hint="eastAsia" w:ascii="宋体" w:hAnsi="宋体" w:cs="宋体"/>
          <w:color w:val="auto"/>
          <w:sz w:val="24"/>
          <w:highlight w:val="none"/>
        </w:rPr>
        <w:t>活动发生的一切费用自理。</w:t>
      </w:r>
    </w:p>
    <w:p w14:paraId="09913BF3">
      <w:pPr>
        <w:tabs>
          <w:tab w:val="left" w:pos="2532"/>
          <w:tab w:val="center" w:pos="4453"/>
        </w:tabs>
        <w:snapToGrid w:val="0"/>
        <w:spacing w:line="440" w:lineRule="exact"/>
        <w:jc w:val="left"/>
        <w:rPr>
          <w:rFonts w:ascii="宋体" w:hAnsi="宋体" w:cs="宋体"/>
          <w:b/>
          <w:color w:val="auto"/>
          <w:sz w:val="28"/>
          <w:szCs w:val="28"/>
          <w:highlight w:val="none"/>
        </w:rPr>
      </w:pPr>
      <w:bookmarkStart w:id="7" w:name="_Toc436423308"/>
    </w:p>
    <w:p w14:paraId="6E0A6D52">
      <w:pPr>
        <w:tabs>
          <w:tab w:val="left" w:pos="2532"/>
          <w:tab w:val="center" w:pos="4453"/>
        </w:tabs>
        <w:snapToGrid w:val="0"/>
        <w:spacing w:line="440" w:lineRule="exact"/>
        <w:jc w:val="left"/>
        <w:rPr>
          <w:rFonts w:ascii="宋体" w:hAnsi="宋体" w:cs="宋体"/>
          <w:b/>
          <w:color w:val="auto"/>
          <w:sz w:val="28"/>
          <w:szCs w:val="28"/>
          <w:highlight w:val="none"/>
        </w:rPr>
      </w:pPr>
      <w:r>
        <w:rPr>
          <w:rFonts w:hint="eastAsia" w:ascii="宋体" w:hAnsi="宋体" w:cs="宋体"/>
          <w:b/>
          <w:color w:val="auto"/>
          <w:sz w:val="28"/>
          <w:szCs w:val="28"/>
          <w:highlight w:val="none"/>
        </w:rPr>
        <w:tab/>
      </w:r>
      <w:r>
        <w:rPr>
          <w:rFonts w:hint="eastAsia" w:ascii="宋体" w:hAnsi="宋体" w:cs="宋体"/>
          <w:b/>
          <w:color w:val="auto"/>
          <w:sz w:val="28"/>
          <w:szCs w:val="28"/>
          <w:highlight w:val="none"/>
        </w:rPr>
        <w:t>二、竞争性磋商文件说明</w:t>
      </w:r>
      <w:bookmarkEnd w:id="7"/>
    </w:p>
    <w:p w14:paraId="1EFB3C52">
      <w:pPr>
        <w:adjustRightInd w:val="0"/>
        <w:snapToGrid w:val="0"/>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4．竞争性磋商文件构成</w:t>
      </w:r>
    </w:p>
    <w:p w14:paraId="464A4EE4">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4.1 竞争性磋商文件由下述部分组成：</w:t>
      </w:r>
    </w:p>
    <w:p w14:paraId="676B8B47">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（1）竞争性磋商公告</w:t>
      </w:r>
    </w:p>
    <w:p w14:paraId="641022AD">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（2）供应商须知</w:t>
      </w:r>
    </w:p>
    <w:p w14:paraId="2F9813D1">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办法</w:t>
      </w:r>
    </w:p>
    <w:p w14:paraId="2B25311A">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（4）合同条款及格式（参考文本）</w:t>
      </w:r>
    </w:p>
    <w:p w14:paraId="736A3832">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（5）采购需求</w:t>
      </w:r>
    </w:p>
    <w:p w14:paraId="467F797F">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（6）响应文件格式。</w:t>
      </w:r>
    </w:p>
    <w:p w14:paraId="7C9C8643">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 供应商应详细阅读竞争性磋商文件中所有各项条款的内容、格式、表格、条件和所涉及的相关规范，不按竞争性磋商文件的要求提供响应文件和资料，可能导致响应文件不被接受，其后果由供应商自己负责。</w:t>
      </w:r>
    </w:p>
    <w:p w14:paraId="3B1FA30F">
      <w:pPr>
        <w:adjustRightInd w:val="0"/>
        <w:snapToGrid w:val="0"/>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5．竞争性磋商文件的澄清及修改</w:t>
      </w:r>
    </w:p>
    <w:p w14:paraId="6995F180">
      <w:pPr>
        <w:adjustRightInd w:val="0"/>
        <w:snapToGrid w:val="0"/>
        <w:spacing w:line="440" w:lineRule="exact"/>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zh-CN"/>
        </w:rPr>
        <w:t>提交首次响应文件截止之日前，采购人、采购代理机构可以对已发出的磋商文件进行必要的澄清或者修改，澄清或者修改的内容作为磋商文件的组成部分。</w:t>
      </w:r>
    </w:p>
    <w:p w14:paraId="512E3255">
      <w:pPr>
        <w:adjustRightInd w:val="0"/>
        <w:snapToGrid w:val="0"/>
        <w:spacing w:line="440" w:lineRule="exact"/>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5.2</w:t>
      </w:r>
      <w:r>
        <w:rPr>
          <w:rFonts w:hint="eastAsia" w:ascii="宋体" w:hAnsi="宋体" w:cs="宋体"/>
          <w:color w:val="auto"/>
          <w:sz w:val="24"/>
          <w:highlight w:val="none"/>
          <w:lang w:val="zh-CN"/>
        </w:rPr>
        <w:t>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59591C86">
      <w:pPr>
        <w:adjustRightInd w:val="0"/>
        <w:snapToGrid w:val="0"/>
        <w:spacing w:line="440" w:lineRule="exact"/>
        <w:ind w:firstLine="480" w:firstLineChars="200"/>
        <w:jc w:val="left"/>
        <w:rPr>
          <w:rFonts w:ascii="宋体" w:hAnsi="宋体" w:cs="宋体"/>
          <w:color w:val="auto"/>
          <w:sz w:val="24"/>
          <w:highlight w:val="none"/>
          <w:lang w:val="zh-CN"/>
        </w:rPr>
      </w:pPr>
      <w:r>
        <w:rPr>
          <w:rFonts w:hint="eastAsia" w:ascii="宋体" w:hAnsi="宋体" w:cs="宋体"/>
          <w:color w:val="auto"/>
          <w:sz w:val="24"/>
          <w:highlight w:val="none"/>
          <w:lang w:val="zh-CN"/>
        </w:rPr>
        <w:t>所有澄清、修改（包括时间变更等）、补充事项，均在“竞争性磋商公告”所述媒体予以公告。澄清或修改公告一经在网上以公告形式发布，即视为书面通知，不再另行通知。</w:t>
      </w:r>
    </w:p>
    <w:p w14:paraId="4AEE2962">
      <w:pPr>
        <w:adjustRightInd w:val="0"/>
        <w:snapToGrid w:val="0"/>
        <w:spacing w:line="440" w:lineRule="exact"/>
        <w:ind w:firstLine="480" w:firstLineChars="200"/>
        <w:jc w:val="left"/>
        <w:rPr>
          <w:rFonts w:ascii="宋体" w:hAnsi="宋体" w:cs="宋体"/>
          <w:color w:val="auto"/>
          <w:sz w:val="24"/>
          <w:highlight w:val="none"/>
          <w:lang w:val="zh-CN"/>
        </w:rPr>
      </w:pPr>
      <w:r>
        <w:rPr>
          <w:rFonts w:hint="eastAsia" w:ascii="宋体" w:hAnsi="宋体" w:cs="宋体"/>
          <w:color w:val="auto"/>
          <w:sz w:val="24"/>
          <w:highlight w:val="none"/>
        </w:rPr>
        <w:t xml:space="preserve">5.3 </w:t>
      </w:r>
      <w:r>
        <w:rPr>
          <w:rFonts w:hint="eastAsia" w:ascii="宋体" w:hAnsi="宋体" w:cs="宋体"/>
          <w:color w:val="auto"/>
          <w:sz w:val="24"/>
          <w:highlight w:val="none"/>
          <w:lang w:val="zh-CN"/>
        </w:rPr>
        <w:t>潜在供应商应随时关注“竞争性磋商公告”所述媒体相关项目信息，如有遗漏，后果自负。</w:t>
      </w:r>
    </w:p>
    <w:p w14:paraId="7306DD57">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5.4 </w:t>
      </w:r>
      <w:r>
        <w:rPr>
          <w:rFonts w:hint="eastAsia" w:ascii="宋体" w:hAnsi="宋体" w:cs="宋体"/>
          <w:color w:val="auto"/>
          <w:sz w:val="24"/>
          <w:highlight w:val="none"/>
          <w:lang w:val="zh-CN"/>
        </w:rPr>
        <w:t>如果响应文件提交截止时间前的澄清修改补充发出的时间不满足供应商须知前附的</w:t>
      </w:r>
      <w:r>
        <w:rPr>
          <w:rFonts w:hint="eastAsia" w:ascii="宋体" w:hAnsi="宋体" w:cs="宋体"/>
          <w:color w:val="auto"/>
          <w:sz w:val="24"/>
          <w:highlight w:val="none"/>
          <w:lang w:val="en-US" w:eastAsia="zh-CN"/>
        </w:rPr>
        <w:t>表</w:t>
      </w:r>
      <w:r>
        <w:rPr>
          <w:rFonts w:hint="eastAsia" w:ascii="宋体" w:hAnsi="宋体" w:cs="宋体"/>
          <w:color w:val="auto"/>
          <w:sz w:val="24"/>
          <w:highlight w:val="none"/>
          <w:lang w:val="zh-CN"/>
        </w:rPr>
        <w:t>规定的时间，并且澄清修改补充内容影响响应文件编制的，采购人、代理机构可视采购具体情况延长响应文件提交截止时间和开启时间，并将在“竞争性磋商公告”所述媒体予以公告。</w:t>
      </w:r>
    </w:p>
    <w:p w14:paraId="0825E196">
      <w:pPr>
        <w:snapToGrid w:val="0"/>
        <w:spacing w:line="440" w:lineRule="exact"/>
        <w:jc w:val="center"/>
        <w:rPr>
          <w:rFonts w:ascii="宋体" w:hAnsi="宋体" w:cs="宋体"/>
          <w:b/>
          <w:color w:val="auto"/>
          <w:sz w:val="28"/>
          <w:szCs w:val="28"/>
          <w:highlight w:val="none"/>
        </w:rPr>
      </w:pPr>
    </w:p>
    <w:p w14:paraId="22C84A4C">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10"/>
          <w:szCs w:val="10"/>
          <w:highlight w:val="none"/>
          <w:lang w:eastAsia="zh-CN"/>
        </w:rPr>
      </w:pPr>
    </w:p>
    <w:bookmarkEnd w:id="6"/>
    <w:p w14:paraId="69B12C01">
      <w:pPr>
        <w:snapToGrid w:val="0"/>
        <w:spacing w:line="440" w:lineRule="exact"/>
        <w:ind w:firstLine="2811" w:firstLineChars="1000"/>
        <w:rPr>
          <w:rFonts w:ascii="宋体" w:hAnsi="宋体" w:cs="宋体"/>
          <w:b/>
          <w:color w:val="auto"/>
          <w:sz w:val="28"/>
          <w:szCs w:val="28"/>
          <w:highlight w:val="none"/>
        </w:rPr>
      </w:pPr>
      <w:r>
        <w:rPr>
          <w:rFonts w:hint="eastAsia" w:ascii="宋体" w:hAnsi="宋体" w:cs="宋体"/>
          <w:b/>
          <w:color w:val="auto"/>
          <w:sz w:val="28"/>
          <w:szCs w:val="28"/>
          <w:highlight w:val="none"/>
        </w:rPr>
        <w:t>三、响应文件的编写</w:t>
      </w:r>
    </w:p>
    <w:p w14:paraId="41BB1F84">
      <w:pPr>
        <w:adjustRightInd w:val="0"/>
        <w:snapToGrid w:val="0"/>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6．要求</w:t>
      </w:r>
    </w:p>
    <w:p w14:paraId="467177B1">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 供应商应仔细阅读竞争性磋商文件的所有内容，按竞争性磋商文件的要求提供并保证所提供的全部资料的真实性，并对本竞争性磋商文件要求的实质性内容做出响应。</w:t>
      </w:r>
    </w:p>
    <w:p w14:paraId="380FB14D">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6.2 所有计量均采用中华人民共和国法定计量单位。</w:t>
      </w:r>
    </w:p>
    <w:p w14:paraId="3D79EBD7">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6.3 供应商准备和参加</w:t>
      </w:r>
      <w:r>
        <w:rPr>
          <w:rFonts w:hint="eastAsia" w:ascii="宋体" w:hAnsi="宋体" w:cs="宋体"/>
          <w:color w:val="auto"/>
          <w:sz w:val="24"/>
          <w:highlight w:val="none"/>
          <w:lang w:eastAsia="zh-CN"/>
        </w:rPr>
        <w:t>采购</w:t>
      </w:r>
      <w:r>
        <w:rPr>
          <w:rFonts w:hint="eastAsia" w:ascii="宋体" w:hAnsi="宋体" w:cs="宋体"/>
          <w:color w:val="auto"/>
          <w:sz w:val="24"/>
          <w:highlight w:val="none"/>
        </w:rPr>
        <w:t>活动发生的费用自理。</w:t>
      </w:r>
    </w:p>
    <w:p w14:paraId="062D157B">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6.4 除专用术语外，与</w:t>
      </w:r>
      <w:r>
        <w:rPr>
          <w:rFonts w:hint="eastAsia" w:ascii="宋体" w:hAnsi="宋体" w:cs="宋体"/>
          <w:color w:val="auto"/>
          <w:sz w:val="24"/>
          <w:highlight w:val="none"/>
          <w:lang w:eastAsia="zh-CN"/>
        </w:rPr>
        <w:t>采购活动</w:t>
      </w:r>
      <w:r>
        <w:rPr>
          <w:rFonts w:hint="eastAsia" w:ascii="宋体" w:hAnsi="宋体" w:cs="宋体"/>
          <w:color w:val="auto"/>
          <w:sz w:val="24"/>
          <w:highlight w:val="none"/>
        </w:rPr>
        <w:t>有关的语言均使用中文。必要时专用术语应附有中文注释。</w:t>
      </w:r>
    </w:p>
    <w:p w14:paraId="4B36351B">
      <w:pPr>
        <w:adjustRightInd w:val="0"/>
        <w:snapToGrid w:val="0"/>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7．响应文件的组成及格式</w:t>
      </w:r>
    </w:p>
    <w:p w14:paraId="167B623C">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响应文件应包括下列部分：</w:t>
      </w:r>
    </w:p>
    <w:p w14:paraId="3CEEBE59">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cs="宋体"/>
          <w:color w:val="auto"/>
          <w:sz w:val="24"/>
          <w:highlight w:val="none"/>
        </w:rPr>
        <w:t>（1）</w:t>
      </w:r>
      <w:r>
        <w:rPr>
          <w:rFonts w:hint="eastAsia"/>
          <w:color w:val="auto"/>
          <w:highlight w:val="none"/>
          <w:lang w:eastAsia="zh-CN"/>
        </w:rPr>
        <w:t>法定代表人身份证明</w:t>
      </w:r>
    </w:p>
    <w:p w14:paraId="795FA056">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color w:val="auto"/>
          <w:highlight w:val="none"/>
        </w:rPr>
        <w:t>法定代表人授权委托书</w:t>
      </w:r>
    </w:p>
    <w:p w14:paraId="23E7FCF7">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color w:val="auto"/>
          <w:highlight w:val="none"/>
          <w:lang w:eastAsia="zh-CN"/>
        </w:rPr>
        <w:t>磋商函</w:t>
      </w:r>
    </w:p>
    <w:p w14:paraId="14009009">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lang w:val="en-US" w:eastAsia="zh-CN"/>
        </w:rPr>
        <w:t>货物明细表</w:t>
      </w:r>
    </w:p>
    <w:p w14:paraId="3A8A085E">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color w:val="auto"/>
          <w:highlight w:val="none"/>
          <w:lang w:val="en-US" w:eastAsia="zh-CN"/>
        </w:rPr>
        <w:t>技术参数偏离表</w:t>
      </w:r>
    </w:p>
    <w:p w14:paraId="4D76ABEC">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color w:val="auto"/>
          <w:highlight w:val="none"/>
          <w:lang w:eastAsia="zh-CN"/>
        </w:rPr>
        <w:t>磋商承诺函</w:t>
      </w:r>
    </w:p>
    <w:p w14:paraId="541CD186">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color w:val="auto"/>
          <w:highlight w:val="none"/>
        </w:rPr>
        <w:t>资格性证明材料</w:t>
      </w:r>
    </w:p>
    <w:p w14:paraId="15B439CE">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color w:val="auto"/>
          <w:highlight w:val="none"/>
          <w:lang w:eastAsia="zh-CN"/>
        </w:rPr>
        <w:t>其他</w:t>
      </w:r>
      <w:r>
        <w:rPr>
          <w:rFonts w:hint="eastAsia"/>
          <w:color w:val="auto"/>
          <w:highlight w:val="none"/>
        </w:rPr>
        <w:t>部分资料</w:t>
      </w:r>
    </w:p>
    <w:p w14:paraId="1F28AB20">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color w:val="auto"/>
          <w:highlight w:val="none"/>
        </w:rPr>
        <w:t>技术部分资料</w:t>
      </w:r>
    </w:p>
    <w:p w14:paraId="7FCDA4A0">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3"/>
          <w:sz w:val="28"/>
          <w:szCs w:val="28"/>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color w:val="auto"/>
          <w:highlight w:val="none"/>
        </w:rPr>
        <w:t>其他资料</w:t>
      </w:r>
    </w:p>
    <w:p w14:paraId="43763270">
      <w:pPr>
        <w:keepNext w:val="0"/>
        <w:keepLines w:val="0"/>
        <w:pageBreakBefore w:val="0"/>
        <w:widowControl w:val="0"/>
        <w:kinsoku/>
        <w:wordWrap/>
        <w:overflowPunct/>
        <w:topLinePunct w:val="0"/>
        <w:autoSpaceDE/>
        <w:autoSpaceDN/>
        <w:bidi w:val="0"/>
        <w:adjustRightInd w:val="0"/>
        <w:snapToGrid w:val="0"/>
        <w:spacing w:after="0" w:line="44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8．报价</w:t>
      </w:r>
    </w:p>
    <w:p w14:paraId="6207C8B9">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本项目采用二</w:t>
      </w:r>
      <w:r>
        <w:rPr>
          <w:rFonts w:hint="eastAsia" w:ascii="宋体" w:hAnsi="宋体" w:cs="宋体"/>
          <w:color w:val="auto"/>
          <w:sz w:val="24"/>
          <w:szCs w:val="24"/>
          <w:highlight w:val="none"/>
          <w:lang w:eastAsia="zh-CN"/>
        </w:rPr>
        <w:t>轮</w:t>
      </w:r>
      <w:r>
        <w:rPr>
          <w:rFonts w:hint="eastAsia" w:ascii="宋体" w:hAnsi="宋体" w:eastAsia="宋体" w:cs="宋体"/>
          <w:color w:val="auto"/>
          <w:sz w:val="24"/>
          <w:szCs w:val="24"/>
          <w:highlight w:val="none"/>
          <w:lang w:eastAsia="zh-CN"/>
        </w:rPr>
        <w:t>报价的磋商方式采购，</w:t>
      </w:r>
      <w:r>
        <w:rPr>
          <w:rFonts w:hint="eastAsia" w:ascii="宋体" w:hAnsi="宋体" w:cs="宋体"/>
          <w:color w:val="auto"/>
          <w:sz w:val="24"/>
          <w:szCs w:val="24"/>
          <w:highlight w:val="none"/>
          <w:lang w:eastAsia="zh-CN"/>
        </w:rPr>
        <w:t>报价均为固定价格（骨灰盒 200 元/个，卫生防护（腐）用品（殡葬事务服务中心专用遗体袋）100 元/个）</w:t>
      </w:r>
      <w:r>
        <w:rPr>
          <w:rFonts w:hint="eastAsia" w:ascii="宋体" w:hAnsi="宋体" w:eastAsia="宋体" w:cs="宋体"/>
          <w:color w:val="auto"/>
          <w:sz w:val="24"/>
          <w:szCs w:val="24"/>
          <w:highlight w:val="none"/>
          <w:lang w:eastAsia="zh-CN"/>
        </w:rPr>
        <w:t>。</w:t>
      </w:r>
    </w:p>
    <w:p w14:paraId="6C025876">
      <w:pPr>
        <w:adjustRightInd w:val="0"/>
        <w:snapToGrid w:val="0"/>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8.2 </w:t>
      </w:r>
      <w:r>
        <w:rPr>
          <w:rFonts w:hint="eastAsia" w:ascii="宋体" w:hAnsi="宋体" w:cs="宋体"/>
          <w:color w:val="auto"/>
          <w:sz w:val="24"/>
          <w:highlight w:val="none"/>
          <w:lang w:eastAsia="zh-CN"/>
        </w:rPr>
        <w:t>报价未按上述固定价格填写的按无效响应处理。</w:t>
      </w:r>
    </w:p>
    <w:p w14:paraId="52069E93">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8.3</w:t>
      </w:r>
      <w:r>
        <w:rPr>
          <w:rFonts w:hint="eastAsia" w:ascii="宋体" w:hAnsi="宋体" w:cs="宋体"/>
          <w:color w:val="auto"/>
          <w:sz w:val="24"/>
          <w:highlight w:val="none"/>
        </w:rPr>
        <w:t>供应商应按响应文件格式的要求填写相应表格。</w:t>
      </w:r>
    </w:p>
    <w:p w14:paraId="3DDA6323">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val="en-US" w:eastAsia="zh-CN"/>
        </w:rPr>
        <w:t xml:space="preserve">4 </w:t>
      </w:r>
      <w:r>
        <w:rPr>
          <w:rFonts w:hint="eastAsia" w:ascii="宋体" w:hAnsi="宋体" w:cs="宋体"/>
          <w:color w:val="auto"/>
          <w:sz w:val="24"/>
          <w:highlight w:val="none"/>
          <w:lang w:eastAsia="zh-CN"/>
        </w:rPr>
        <w:t>磋商</w:t>
      </w:r>
      <w:r>
        <w:rPr>
          <w:rFonts w:hint="eastAsia" w:ascii="宋体" w:hAnsi="宋体" w:cs="宋体"/>
          <w:color w:val="auto"/>
          <w:sz w:val="24"/>
          <w:highlight w:val="none"/>
        </w:rPr>
        <w:t>报价为完成本项目所需的全部费用。</w:t>
      </w:r>
    </w:p>
    <w:p w14:paraId="43975B8D">
      <w:pPr>
        <w:adjustRightInd w:val="0"/>
        <w:snapToGrid w:val="0"/>
        <w:spacing w:line="440" w:lineRule="exact"/>
        <w:jc w:val="left"/>
        <w:rPr>
          <w:rFonts w:ascii="宋体" w:hAnsi="宋体" w:cs="宋体"/>
          <w:b/>
          <w:bCs/>
          <w:color w:val="auto"/>
          <w:sz w:val="24"/>
          <w:highlight w:val="none"/>
        </w:rPr>
      </w:pPr>
      <w:bookmarkStart w:id="8" w:name="_Toc436423310"/>
      <w:r>
        <w:rPr>
          <w:rFonts w:hint="eastAsia" w:ascii="宋体" w:hAnsi="宋体" w:cs="宋体"/>
          <w:b/>
          <w:bCs/>
          <w:color w:val="auto"/>
          <w:sz w:val="24"/>
          <w:highlight w:val="none"/>
        </w:rPr>
        <w:t>9．响应文件的编制</w:t>
      </w:r>
    </w:p>
    <w:p w14:paraId="6DE2B48A">
      <w:pPr>
        <w:adjustRightInd w:val="0"/>
        <w:snapToGrid w:val="0"/>
        <w:spacing w:line="440" w:lineRule="exact"/>
        <w:ind w:firstLine="480" w:firstLineChars="200"/>
        <w:jc w:val="left"/>
        <w:rPr>
          <w:rFonts w:ascii="宋体" w:hAnsi="宋体" w:cs="宋体"/>
          <w:color w:val="auto"/>
          <w:sz w:val="24"/>
          <w:highlight w:val="none"/>
        </w:rPr>
      </w:pPr>
      <w:bookmarkStart w:id="9" w:name="_Toc25410"/>
      <w:bookmarkStart w:id="10" w:name="_Toc428276591"/>
      <w:bookmarkStart w:id="11" w:name="_Toc29324"/>
      <w:r>
        <w:rPr>
          <w:rFonts w:hint="eastAsia" w:ascii="宋体" w:hAnsi="宋体" w:cs="宋体"/>
          <w:color w:val="auto"/>
          <w:sz w:val="24"/>
          <w:highlight w:val="none"/>
        </w:rPr>
        <w:t>9.1 供应商应当按照磋商文件的要求编制响应文件</w:t>
      </w:r>
      <w:r>
        <w:rPr>
          <w:rFonts w:hint="eastAsia" w:ascii="宋体" w:hAnsi="宋体" w:cs="宋体"/>
          <w:color w:val="auto"/>
          <w:sz w:val="24"/>
          <w:highlight w:val="none"/>
          <w:lang w:eastAsia="zh-CN"/>
        </w:rPr>
        <w:t>，</w:t>
      </w:r>
      <w:r>
        <w:rPr>
          <w:rFonts w:hint="eastAsia" w:ascii="宋体" w:hAnsi="宋体" w:cs="宋体"/>
          <w:color w:val="auto"/>
          <w:sz w:val="24"/>
          <w:highlight w:val="none"/>
        </w:rPr>
        <w:t>响应文件应当对磋商文件提出的要求和条件作出明确</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6DABFD27">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9.2 响应文件所提供的全部数据、材料必须真实可靠。若响应文件提供的内容数据、材料不详，或提供了虚假数据、材料，采购人及评审小组有权据此对其做无效</w:t>
      </w:r>
      <w:r>
        <w:rPr>
          <w:rFonts w:hint="eastAsia" w:ascii="宋体" w:hAnsi="宋体" w:cs="宋体"/>
          <w:color w:val="auto"/>
          <w:sz w:val="24"/>
          <w:highlight w:val="none"/>
          <w:lang w:eastAsia="zh-CN"/>
        </w:rPr>
        <w:t>响应</w:t>
      </w:r>
      <w:r>
        <w:rPr>
          <w:rFonts w:hint="eastAsia" w:ascii="宋体" w:hAnsi="宋体" w:cs="宋体"/>
          <w:color w:val="auto"/>
          <w:sz w:val="24"/>
          <w:highlight w:val="none"/>
        </w:rPr>
        <w:t>处理。</w:t>
      </w:r>
    </w:p>
    <w:p w14:paraId="60041508">
      <w:pPr>
        <w:adjustRightInd w:val="0"/>
        <w:snapToGrid w:val="0"/>
        <w:spacing w:line="440" w:lineRule="exact"/>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9.3 响应文件应按“响应文件格式”进行编写，如有必要，可以增加附页，作为响应文件的组成部分。对于没有格式要求的，响应文件由供应商自行编写。其中，响应文件在满足磋商文件实质性要求的基础上，可以提出比磋商文件要求更有利于采购人的承诺。</w:t>
      </w:r>
    </w:p>
    <w:bookmarkEnd w:id="9"/>
    <w:bookmarkEnd w:id="10"/>
    <w:bookmarkEnd w:id="11"/>
    <w:p w14:paraId="2B76FB73">
      <w:pPr>
        <w:adjustRightInd w:val="0"/>
        <w:snapToGrid w:val="0"/>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10.</w:t>
      </w:r>
      <w:r>
        <w:rPr>
          <w:rFonts w:hint="eastAsia" w:ascii="宋体" w:hAnsi="宋体" w:cs="宋体"/>
          <w:b/>
          <w:bCs/>
          <w:color w:val="auto"/>
          <w:sz w:val="24"/>
          <w:highlight w:val="none"/>
          <w:lang w:eastAsia="zh-CN"/>
        </w:rPr>
        <w:t>磋商</w:t>
      </w:r>
      <w:r>
        <w:rPr>
          <w:rFonts w:hint="eastAsia" w:ascii="宋体" w:hAnsi="宋体" w:cs="宋体"/>
          <w:b/>
          <w:bCs/>
          <w:color w:val="auto"/>
          <w:sz w:val="24"/>
          <w:highlight w:val="none"/>
        </w:rPr>
        <w:t>有效期</w:t>
      </w:r>
    </w:p>
    <w:p w14:paraId="2D3F4F56">
      <w:pPr>
        <w:adjustRightInd w:val="0"/>
        <w:snapToGrid w:val="0"/>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10.1响应文件从开启之日起开始生效，</w:t>
      </w:r>
      <w:r>
        <w:rPr>
          <w:rFonts w:hint="eastAsia" w:ascii="宋体" w:hAnsi="宋体" w:cs="宋体"/>
          <w:color w:val="auto"/>
          <w:sz w:val="24"/>
          <w:highlight w:val="none"/>
          <w:lang w:eastAsia="zh-CN"/>
        </w:rPr>
        <w:t>磋商</w:t>
      </w:r>
      <w:r>
        <w:rPr>
          <w:rFonts w:hint="eastAsia" w:ascii="宋体" w:hAnsi="宋体" w:cs="宋体"/>
          <w:color w:val="auto"/>
          <w:sz w:val="24"/>
          <w:highlight w:val="none"/>
        </w:rPr>
        <w:t>有效期为60日历天。</w:t>
      </w:r>
    </w:p>
    <w:p w14:paraId="478B8C4B">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10.2 在采购人决定的包括推迟的截止日期内，各供应商的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均保持有效。</w:t>
      </w:r>
    </w:p>
    <w:p w14:paraId="16CC5D37">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10.3 在特殊情况下，采购人可征求供应商同意延长</w:t>
      </w:r>
      <w:r>
        <w:rPr>
          <w:rFonts w:hint="eastAsia" w:ascii="宋体" w:hAnsi="宋体" w:cs="宋体"/>
          <w:color w:val="auto"/>
          <w:sz w:val="24"/>
          <w:highlight w:val="none"/>
          <w:lang w:eastAsia="zh-CN"/>
        </w:rPr>
        <w:t>磋商</w:t>
      </w:r>
      <w:r>
        <w:rPr>
          <w:rFonts w:hint="eastAsia" w:ascii="宋体" w:hAnsi="宋体" w:cs="宋体"/>
          <w:color w:val="auto"/>
          <w:sz w:val="24"/>
          <w:highlight w:val="none"/>
        </w:rPr>
        <w:t>有效期，这种要求和答复均应以信函、传真等书面形式提交。同意延长</w:t>
      </w:r>
      <w:r>
        <w:rPr>
          <w:rFonts w:hint="eastAsia" w:ascii="宋体" w:hAnsi="宋体" w:cs="宋体"/>
          <w:color w:val="auto"/>
          <w:sz w:val="24"/>
          <w:highlight w:val="none"/>
          <w:lang w:eastAsia="zh-CN"/>
        </w:rPr>
        <w:t>磋商</w:t>
      </w:r>
      <w:r>
        <w:rPr>
          <w:rFonts w:hint="eastAsia" w:ascii="宋体" w:hAnsi="宋体" w:cs="宋体"/>
          <w:color w:val="auto"/>
          <w:sz w:val="24"/>
          <w:highlight w:val="none"/>
        </w:rPr>
        <w:t>有效期的供应商不需要也不允许修改其响应文件。</w:t>
      </w:r>
    </w:p>
    <w:p w14:paraId="224AA610">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10"/>
          <w:szCs w:val="10"/>
          <w:highlight w:val="none"/>
          <w:lang w:eastAsia="zh-CN"/>
        </w:rPr>
      </w:pPr>
    </w:p>
    <w:p w14:paraId="1799F466">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四、响应文件的递交</w:t>
      </w:r>
      <w:bookmarkEnd w:id="8"/>
    </w:p>
    <w:p w14:paraId="454B15C2">
      <w:pPr>
        <w:adjustRightInd w:val="0"/>
        <w:snapToGrid w:val="0"/>
        <w:spacing w:line="44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11. </w:t>
      </w:r>
      <w:r>
        <w:rPr>
          <w:rFonts w:hint="eastAsia" w:ascii="宋体" w:hAnsi="宋体" w:cs="宋体"/>
          <w:b/>
          <w:bCs/>
          <w:color w:val="auto"/>
          <w:sz w:val="24"/>
          <w:highlight w:val="none"/>
          <w:lang w:eastAsia="zh-CN"/>
        </w:rPr>
        <w:t>响应文件</w:t>
      </w:r>
      <w:r>
        <w:rPr>
          <w:rFonts w:hint="eastAsia" w:ascii="宋体" w:hAnsi="宋体" w:eastAsia="宋体" w:cs="宋体"/>
          <w:b/>
          <w:bCs/>
          <w:color w:val="auto"/>
          <w:sz w:val="24"/>
          <w:highlight w:val="none"/>
        </w:rPr>
        <w:t>的上传</w:t>
      </w:r>
    </w:p>
    <w:p w14:paraId="2B7C1573">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供应商因交易中心投标系统问题无法上传电子</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时，请在工作时间与荥阳市公共资源交易中心网站联系。</w:t>
      </w:r>
    </w:p>
    <w:p w14:paraId="4C705E1A">
      <w:pPr>
        <w:adjustRightInd w:val="0"/>
        <w:snapToGrid w:val="0"/>
        <w:spacing w:line="440" w:lineRule="exact"/>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12.</w:t>
      </w:r>
      <w:r>
        <w:rPr>
          <w:rFonts w:hint="eastAsia" w:ascii="宋体" w:hAnsi="宋体" w:cs="宋体"/>
          <w:b/>
          <w:bCs/>
          <w:color w:val="auto"/>
          <w:sz w:val="24"/>
          <w:highlight w:val="none"/>
          <w:lang w:eastAsia="zh-CN"/>
        </w:rPr>
        <w:t>响应文件</w:t>
      </w:r>
      <w:r>
        <w:rPr>
          <w:rFonts w:hint="eastAsia" w:ascii="宋体" w:hAnsi="宋体" w:eastAsia="宋体" w:cs="宋体"/>
          <w:b/>
          <w:bCs/>
          <w:color w:val="auto"/>
          <w:sz w:val="24"/>
          <w:highlight w:val="none"/>
        </w:rPr>
        <w:t>的递交</w:t>
      </w:r>
    </w:p>
    <w:p w14:paraId="7E118164">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供应商应在</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截止时间前上传加密的电子</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到会员系统的指定位置。上 传时必须得到电脑“上传成功 ”的确认。请供应商在上传时认真检查上传</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是否完整、正确。</w:t>
      </w:r>
    </w:p>
    <w:p w14:paraId="75F6A355">
      <w:pPr>
        <w:adjustRightInd w:val="0"/>
        <w:snapToGrid w:val="0"/>
        <w:spacing w:line="440" w:lineRule="exact"/>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13</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eastAsia="zh-CN"/>
        </w:rPr>
        <w:t>响应文件</w:t>
      </w:r>
      <w:r>
        <w:rPr>
          <w:rFonts w:hint="eastAsia" w:ascii="宋体" w:hAnsi="宋体" w:eastAsia="宋体" w:cs="宋体"/>
          <w:b/>
          <w:bCs/>
          <w:color w:val="auto"/>
          <w:sz w:val="24"/>
          <w:highlight w:val="none"/>
        </w:rPr>
        <w:t>的编制</w:t>
      </w:r>
    </w:p>
    <w:p w14:paraId="09C0AE1E">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文件应按第六章 “</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文件格式 ”进行编写，如有必要，可以增加附页，作为</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的组成部分。</w:t>
      </w:r>
    </w:p>
    <w:p w14:paraId="227ABB77">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 xml:space="preserve">.2 </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应当对</w:t>
      </w:r>
      <w:r>
        <w:rPr>
          <w:rFonts w:hint="eastAsia" w:ascii="宋体" w:hAnsi="宋体" w:cs="宋体"/>
          <w:color w:val="auto"/>
          <w:sz w:val="24"/>
          <w:highlight w:val="none"/>
          <w:lang w:eastAsia="zh-CN"/>
        </w:rPr>
        <w:t>磋商文件</w:t>
      </w:r>
      <w:r>
        <w:rPr>
          <w:rFonts w:hint="eastAsia" w:ascii="宋体" w:hAnsi="宋体" w:eastAsia="宋体" w:cs="宋体"/>
          <w:color w:val="auto"/>
          <w:sz w:val="24"/>
          <w:highlight w:val="none"/>
        </w:rPr>
        <w:t>有关合同、</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有效期、质量、</w:t>
      </w:r>
      <w:r>
        <w:rPr>
          <w:rFonts w:hint="eastAsia" w:ascii="宋体" w:hAnsi="宋体" w:cs="宋体"/>
          <w:color w:val="auto"/>
          <w:sz w:val="24"/>
          <w:highlight w:val="none"/>
          <w:lang w:eastAsia="zh-CN"/>
        </w:rPr>
        <w:t>采购内容</w:t>
      </w:r>
      <w:r>
        <w:rPr>
          <w:rFonts w:hint="eastAsia" w:ascii="宋体" w:hAnsi="宋体" w:eastAsia="宋体" w:cs="宋体"/>
          <w:color w:val="auto"/>
          <w:sz w:val="24"/>
          <w:highlight w:val="none"/>
        </w:rPr>
        <w:t>等实质性内容作出</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w:t>
      </w:r>
    </w:p>
    <w:p w14:paraId="2980CDCB">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 xml:space="preserve">.3 </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的制作应按如下要求：供应商须使用电子交易系统提供的</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制作工具进行电子</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的制作。</w:t>
      </w:r>
    </w:p>
    <w:p w14:paraId="51E567C0">
      <w:pPr>
        <w:adjustRightInd w:val="0"/>
        <w:snapToGrid w:val="0"/>
        <w:spacing w:line="440" w:lineRule="exact"/>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14</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eastAsia="zh-CN"/>
        </w:rPr>
        <w:t>响应文件</w:t>
      </w:r>
      <w:r>
        <w:rPr>
          <w:rFonts w:hint="eastAsia" w:ascii="宋体" w:hAnsi="宋体" w:eastAsia="宋体" w:cs="宋体"/>
          <w:b/>
          <w:bCs/>
          <w:color w:val="auto"/>
          <w:sz w:val="24"/>
          <w:highlight w:val="none"/>
        </w:rPr>
        <w:t>的递交</w:t>
      </w:r>
    </w:p>
    <w:p w14:paraId="7926E2B6">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.1.供应商应在供应商须知前附表规定的响应文件递交截止时间前递交</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w:t>
      </w:r>
    </w:p>
    <w:p w14:paraId="7032B804">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.2.供应商递交</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的地点：见供应商须知前附。</w:t>
      </w:r>
    </w:p>
    <w:p w14:paraId="6DA2F2C6">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.3.除供应商须知前附表另有规定外，供应商所递交的</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不予退还。</w:t>
      </w:r>
    </w:p>
    <w:p w14:paraId="21AF4A5A">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.4 供应商完成电子</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上传后，电子招标投标交易平台即时向供应商发出递交回执通知。递交时间以递交回执通知载明的传输完成时间为准。</w:t>
      </w:r>
    </w:p>
    <w:p w14:paraId="7B77678B">
      <w:pPr>
        <w:adjustRightInd w:val="0"/>
        <w:snapToGrid w:val="0"/>
        <w:spacing w:line="440" w:lineRule="exact"/>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15</w:t>
      </w:r>
      <w:r>
        <w:rPr>
          <w:rFonts w:hint="eastAsia" w:ascii="宋体" w:hAnsi="宋体" w:eastAsia="宋体" w:cs="宋体"/>
          <w:b/>
          <w:bCs/>
          <w:color w:val="auto"/>
          <w:sz w:val="24"/>
          <w:highlight w:val="none"/>
        </w:rPr>
        <w:t>. 投标截止期</w:t>
      </w:r>
    </w:p>
    <w:p w14:paraId="204BFC76">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.1 供应商应在“供应商须知前附表 ”规定的响应文件递交截止前上传</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w:t>
      </w:r>
    </w:p>
    <w:p w14:paraId="69A6B7D8">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.2 采购人和采购代理机构可以按供应商须知前附表规定，通过修改</w:t>
      </w:r>
      <w:r>
        <w:rPr>
          <w:rFonts w:hint="eastAsia" w:ascii="宋体" w:hAnsi="宋体" w:cs="宋体"/>
          <w:color w:val="auto"/>
          <w:sz w:val="24"/>
          <w:highlight w:val="none"/>
          <w:lang w:eastAsia="zh-CN"/>
        </w:rPr>
        <w:t>磋商文件</w:t>
      </w:r>
      <w:r>
        <w:rPr>
          <w:rFonts w:hint="eastAsia" w:ascii="宋体" w:hAnsi="宋体" w:eastAsia="宋体" w:cs="宋体"/>
          <w:color w:val="auto"/>
          <w:sz w:val="24"/>
          <w:highlight w:val="none"/>
        </w:rPr>
        <w:t>自行决定酌情延长投标截止期限。</w:t>
      </w:r>
    </w:p>
    <w:p w14:paraId="4EEBD530">
      <w:pPr>
        <w:adjustRightInd w:val="0"/>
        <w:snapToGrid w:val="0"/>
        <w:spacing w:line="440" w:lineRule="exact"/>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16</w:t>
      </w:r>
      <w:r>
        <w:rPr>
          <w:rFonts w:hint="eastAsia" w:ascii="宋体" w:hAnsi="宋体" w:eastAsia="宋体" w:cs="宋体"/>
          <w:b/>
          <w:bCs/>
          <w:color w:val="auto"/>
          <w:sz w:val="24"/>
          <w:highlight w:val="none"/>
        </w:rPr>
        <w:t>. 迟交的</w:t>
      </w:r>
      <w:r>
        <w:rPr>
          <w:rFonts w:hint="eastAsia" w:ascii="宋体" w:hAnsi="宋体" w:cs="宋体"/>
          <w:b/>
          <w:bCs/>
          <w:color w:val="auto"/>
          <w:sz w:val="24"/>
          <w:highlight w:val="none"/>
          <w:lang w:eastAsia="zh-CN"/>
        </w:rPr>
        <w:t>响应文件</w:t>
      </w:r>
    </w:p>
    <w:p w14:paraId="28BF47B4">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供应商在“供应商须知前附表 ”规定的响应文件递交截止时间后递交/上传的</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，将被拒绝。</w:t>
      </w:r>
    </w:p>
    <w:p w14:paraId="00F1792D">
      <w:pPr>
        <w:adjustRightInd w:val="0"/>
        <w:snapToGrid w:val="0"/>
        <w:spacing w:line="440" w:lineRule="exact"/>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17</w:t>
      </w:r>
      <w:r>
        <w:rPr>
          <w:rFonts w:hint="eastAsia" w:ascii="宋体" w:hAnsi="宋体" w:eastAsia="宋体" w:cs="宋体"/>
          <w:b/>
          <w:bCs/>
          <w:color w:val="auto"/>
          <w:sz w:val="24"/>
          <w:highlight w:val="none"/>
        </w:rPr>
        <w:t xml:space="preserve">. </w:t>
      </w:r>
      <w:r>
        <w:rPr>
          <w:rFonts w:hint="eastAsia" w:ascii="宋体" w:hAnsi="宋体" w:cs="宋体"/>
          <w:b/>
          <w:bCs/>
          <w:color w:val="auto"/>
          <w:sz w:val="24"/>
          <w:highlight w:val="none"/>
          <w:lang w:eastAsia="zh-CN"/>
        </w:rPr>
        <w:t>响应文件</w:t>
      </w:r>
      <w:r>
        <w:rPr>
          <w:rFonts w:hint="eastAsia" w:ascii="宋体" w:hAnsi="宋体" w:eastAsia="宋体" w:cs="宋体"/>
          <w:b/>
          <w:bCs/>
          <w:color w:val="auto"/>
          <w:sz w:val="24"/>
          <w:highlight w:val="none"/>
        </w:rPr>
        <w:t>的修改和撤回</w:t>
      </w:r>
    </w:p>
    <w:p w14:paraId="41965B3C">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.1 供应商在递交</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后，在“供应商须知前附表 ”规定的响应文件递交截止时间前，供应商可以修改或撤回已上传的</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w:t>
      </w:r>
    </w:p>
    <w:p w14:paraId="1EEBB393">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.2 在响应文件递交截止时间后，供应商不得再要求修改或撤回其</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w:t>
      </w:r>
    </w:p>
    <w:p w14:paraId="1E10B7FC">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.3 从响应文件递交截止时间至供应商在</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中载明的</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有效期满期间，供应商不得撤回其投标。</w:t>
      </w:r>
    </w:p>
    <w:p w14:paraId="4DBFA2EB">
      <w:pPr>
        <w:tabs>
          <w:tab w:val="left" w:pos="3477"/>
          <w:tab w:val="center" w:pos="4453"/>
        </w:tabs>
        <w:snapToGrid w:val="0"/>
        <w:spacing w:line="440" w:lineRule="exact"/>
        <w:jc w:val="left"/>
        <w:rPr>
          <w:rFonts w:ascii="宋体" w:hAnsi="宋体" w:cs="宋体"/>
          <w:b/>
          <w:color w:val="auto"/>
          <w:sz w:val="28"/>
          <w:szCs w:val="28"/>
          <w:highlight w:val="none"/>
        </w:rPr>
      </w:pPr>
      <w:r>
        <w:rPr>
          <w:rFonts w:hint="eastAsia" w:ascii="宋体" w:hAnsi="宋体" w:cs="宋体"/>
          <w:b/>
          <w:color w:val="auto"/>
          <w:sz w:val="28"/>
          <w:szCs w:val="28"/>
          <w:highlight w:val="none"/>
        </w:rPr>
        <w:tab/>
      </w:r>
      <w:r>
        <w:rPr>
          <w:rFonts w:hint="eastAsia" w:ascii="宋体" w:hAnsi="宋体" w:cs="宋体"/>
          <w:b/>
          <w:color w:val="auto"/>
          <w:sz w:val="28"/>
          <w:szCs w:val="28"/>
          <w:highlight w:val="none"/>
        </w:rPr>
        <w:t>五、磋商</w:t>
      </w:r>
    </w:p>
    <w:p w14:paraId="404F8901">
      <w:pPr>
        <w:adjustRightInd w:val="0"/>
        <w:snapToGrid w:val="0"/>
        <w:spacing w:line="440" w:lineRule="exact"/>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18</w:t>
      </w:r>
      <w:r>
        <w:rPr>
          <w:rFonts w:hint="eastAsia" w:ascii="宋体" w:hAnsi="宋体" w:eastAsia="宋体" w:cs="宋体"/>
          <w:b/>
          <w:bCs/>
          <w:color w:val="auto"/>
          <w:sz w:val="24"/>
          <w:highlight w:val="none"/>
        </w:rPr>
        <w:t>. 开标</w:t>
      </w:r>
    </w:p>
    <w:p w14:paraId="1AC319FF">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18</w:t>
      </w:r>
      <w:r>
        <w:rPr>
          <w:rFonts w:hint="eastAsia" w:ascii="宋体" w:hAnsi="宋体" w:eastAsia="宋体" w:cs="宋体"/>
          <w:color w:val="auto"/>
          <w:sz w:val="24"/>
          <w:highlight w:val="none"/>
        </w:rPr>
        <w:t>.1 采购代理机构将按“供应商须知前附表 ”规定的时间和地点组织</w:t>
      </w:r>
      <w:r>
        <w:rPr>
          <w:rFonts w:hint="eastAsia" w:ascii="宋体" w:hAnsi="宋体" w:eastAsia="宋体" w:cs="宋体"/>
          <w:color w:val="auto"/>
          <w:sz w:val="24"/>
          <w:highlight w:val="none"/>
          <w:lang w:eastAsia="zh-CN"/>
        </w:rPr>
        <w:t>竞争性磋商</w:t>
      </w:r>
      <w:r>
        <w:rPr>
          <w:rFonts w:hint="eastAsia" w:ascii="宋体" w:hAnsi="宋体" w:eastAsia="宋体" w:cs="宋体"/>
          <w:color w:val="auto"/>
          <w:sz w:val="24"/>
          <w:highlight w:val="none"/>
        </w:rPr>
        <w:t>。 请各供应商（供应商）在</w:t>
      </w:r>
      <w:r>
        <w:rPr>
          <w:rFonts w:hint="eastAsia" w:ascii="宋体" w:hAnsi="宋体" w:cs="宋体"/>
          <w:color w:val="auto"/>
          <w:sz w:val="24"/>
          <w:highlight w:val="none"/>
          <w:lang w:eastAsia="zh-CN"/>
        </w:rPr>
        <w:t>磋商文件</w:t>
      </w:r>
      <w:r>
        <w:rPr>
          <w:rFonts w:hint="eastAsia" w:ascii="宋体" w:hAnsi="宋体" w:eastAsia="宋体" w:cs="宋体"/>
          <w:color w:val="auto"/>
          <w:sz w:val="24"/>
          <w:highlight w:val="none"/>
        </w:rPr>
        <w:t>确定的</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截止时间前，准时参加开标活动并在规 定时间内进行</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解密、答疑澄清（如有）等活动，在规定时间内</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未解密的供应商（供应商），视为放弃</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w:t>
      </w:r>
    </w:p>
    <w:p w14:paraId="0691EC31">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18</w:t>
      </w:r>
      <w:r>
        <w:rPr>
          <w:rFonts w:hint="eastAsia" w:ascii="宋体" w:hAnsi="宋体" w:eastAsia="宋体" w:cs="宋体"/>
          <w:color w:val="auto"/>
          <w:sz w:val="24"/>
          <w:highlight w:val="none"/>
        </w:rPr>
        <w:t>.2 开标前，采购代理机构将会同相关人员检查网上招标系统是否正常。开标时，各供应商应在规定时间内对本单位的</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解密。</w:t>
      </w:r>
    </w:p>
    <w:p w14:paraId="39B38168">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18</w:t>
      </w:r>
      <w:r>
        <w:rPr>
          <w:rFonts w:hint="eastAsia" w:ascii="宋体" w:hAnsi="宋体" w:eastAsia="宋体" w:cs="宋体"/>
          <w:color w:val="auto"/>
          <w:sz w:val="24"/>
          <w:highlight w:val="none"/>
        </w:rPr>
        <w:t>.3 因加密电子</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未能成功上传或误传而导致的解密失败，其投标将被拒绝。</w:t>
      </w:r>
    </w:p>
    <w:p w14:paraId="4491BA98">
      <w:pPr>
        <w:adjustRightInd w:val="0"/>
        <w:snapToGrid w:val="0"/>
        <w:spacing w:line="440" w:lineRule="exact"/>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19</w:t>
      </w:r>
      <w:r>
        <w:rPr>
          <w:rFonts w:hint="eastAsia" w:ascii="宋体" w:hAnsi="宋体" w:eastAsia="宋体" w:cs="宋体"/>
          <w:b/>
          <w:bCs/>
          <w:color w:val="auto"/>
          <w:sz w:val="24"/>
          <w:highlight w:val="none"/>
        </w:rPr>
        <w:t>. 资格审查</w:t>
      </w:r>
    </w:p>
    <w:p w14:paraId="39A3D935">
      <w:pPr>
        <w:adjustRightInd w:val="0"/>
        <w:snapToGrid w:val="0"/>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19</w:t>
      </w:r>
      <w:r>
        <w:rPr>
          <w:rFonts w:hint="eastAsia" w:ascii="宋体" w:hAnsi="宋体" w:eastAsia="宋体" w:cs="宋体"/>
          <w:color w:val="auto"/>
          <w:sz w:val="24"/>
          <w:highlight w:val="none"/>
        </w:rPr>
        <w:t>.1 “资格审查资料”应附供应商营业执照副本、相关资质要求等资格证明材料的复印件</w:t>
      </w:r>
      <w:r>
        <w:rPr>
          <w:rFonts w:hint="eastAsia" w:ascii="宋体" w:hAnsi="宋体" w:cs="宋体"/>
          <w:color w:val="auto"/>
          <w:sz w:val="24"/>
          <w:highlight w:val="none"/>
          <w:lang w:eastAsia="zh-CN"/>
        </w:rPr>
        <w:t>。</w:t>
      </w:r>
    </w:p>
    <w:p w14:paraId="1081EEB1">
      <w:pPr>
        <w:adjustRightInd w:val="0"/>
        <w:snapToGrid w:val="0"/>
        <w:spacing w:line="440" w:lineRule="exact"/>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20</w:t>
      </w:r>
      <w:r>
        <w:rPr>
          <w:rFonts w:hint="eastAsia" w:ascii="宋体" w:hAnsi="宋体" w:eastAsia="宋体" w:cs="宋体"/>
          <w:b/>
          <w:bCs/>
          <w:color w:val="auto"/>
          <w:sz w:val="24"/>
          <w:highlight w:val="none"/>
        </w:rPr>
        <w:t xml:space="preserve">. </w:t>
      </w:r>
      <w:r>
        <w:rPr>
          <w:rFonts w:hint="eastAsia" w:ascii="宋体" w:hAnsi="宋体" w:cs="宋体"/>
          <w:b/>
          <w:bCs/>
          <w:color w:val="auto"/>
          <w:sz w:val="24"/>
          <w:highlight w:val="none"/>
          <w:lang w:eastAsia="zh-CN"/>
        </w:rPr>
        <w:t>磋商小组</w:t>
      </w:r>
    </w:p>
    <w:p w14:paraId="48DCB090">
      <w:pPr>
        <w:adjustRightInd w:val="0"/>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 xml:space="preserve">.1 </w:t>
      </w:r>
      <w:r>
        <w:rPr>
          <w:rFonts w:hint="eastAsia" w:ascii="宋体" w:hAnsi="宋体" w:cs="宋体"/>
          <w:color w:val="auto"/>
          <w:sz w:val="24"/>
          <w:highlight w:val="none"/>
          <w:lang w:eastAsia="zh-CN"/>
        </w:rPr>
        <w:t>磋商小组</w:t>
      </w:r>
      <w:r>
        <w:rPr>
          <w:rFonts w:hint="eastAsia" w:ascii="宋体" w:hAnsi="宋体" w:eastAsia="宋体" w:cs="宋体"/>
          <w:color w:val="auto"/>
          <w:sz w:val="24"/>
          <w:highlight w:val="none"/>
        </w:rPr>
        <w:t>组成详见供应商须知前附表。</w:t>
      </w:r>
    </w:p>
    <w:p w14:paraId="7592F7AB">
      <w:pPr>
        <w:adjustRightInd w:val="0"/>
        <w:snapToGrid w:val="0"/>
        <w:spacing w:line="44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20.2 磋商小组成员对需要共同认定的事项存在争议的，应当按照少数服从多数的原则作出结论。持不同意见的磋商小组成员应当在评审报告上签署不同意见及理由，否则视为同意评审报告。</w:t>
      </w:r>
    </w:p>
    <w:p w14:paraId="3E6262FD">
      <w:pPr>
        <w:adjustRightInd w:val="0"/>
        <w:snapToGrid w:val="0"/>
        <w:spacing w:line="44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20.3磋商小组成员有下列情形之一的，应当回避：</w:t>
      </w:r>
    </w:p>
    <w:p w14:paraId="58F77142">
      <w:pPr>
        <w:adjustRightInd w:val="0"/>
        <w:snapToGrid w:val="0"/>
        <w:spacing w:line="44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（1）供应商的在职人员；</w:t>
      </w:r>
    </w:p>
    <w:p w14:paraId="4254289C">
      <w:pPr>
        <w:adjustRightInd w:val="0"/>
        <w:snapToGrid w:val="0"/>
        <w:spacing w:line="44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（2）供应商或者供应商主要负责人的近亲属；</w:t>
      </w:r>
    </w:p>
    <w:p w14:paraId="4F8C7E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有其他利害关系，可能影响公正评标的；</w:t>
      </w:r>
    </w:p>
    <w:p w14:paraId="7301B9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采购</w:t>
      </w:r>
      <w:r>
        <w:rPr>
          <w:rFonts w:hint="eastAsia" w:ascii="宋体" w:hAnsi="宋体" w:cs="宋体"/>
          <w:color w:val="auto"/>
          <w:sz w:val="24"/>
          <w:highlight w:val="none"/>
        </w:rPr>
        <w:t>项目主管部门或者对项目</w:t>
      </w:r>
      <w:r>
        <w:rPr>
          <w:rFonts w:hint="eastAsia" w:ascii="宋体" w:hAnsi="宋体" w:cs="宋体"/>
          <w:color w:val="auto"/>
          <w:sz w:val="24"/>
          <w:highlight w:val="none"/>
          <w:lang w:eastAsia="zh-CN"/>
        </w:rPr>
        <w:t>采购</w:t>
      </w:r>
      <w:r>
        <w:rPr>
          <w:rFonts w:hint="eastAsia" w:ascii="宋体" w:hAnsi="宋体" w:cs="宋体"/>
          <w:color w:val="auto"/>
          <w:sz w:val="24"/>
          <w:highlight w:val="none"/>
        </w:rPr>
        <w:t>活动具有监督管理职责的行政监督部门的工作人员；</w:t>
      </w:r>
    </w:p>
    <w:p w14:paraId="2BF74E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采购</w:t>
      </w:r>
      <w:r>
        <w:rPr>
          <w:rFonts w:hint="eastAsia" w:ascii="宋体" w:hAnsi="宋体" w:cs="宋体"/>
          <w:color w:val="auto"/>
          <w:sz w:val="24"/>
          <w:highlight w:val="none"/>
        </w:rPr>
        <w:t>项目代理机构的在职人员；</w:t>
      </w:r>
    </w:p>
    <w:p w14:paraId="3FB1A2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（6）法律、法规和规章规定的其他情形。</w:t>
      </w:r>
    </w:p>
    <w:p w14:paraId="767F914C">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21</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评审</w:t>
      </w:r>
      <w:r>
        <w:rPr>
          <w:rFonts w:hint="eastAsia" w:ascii="宋体" w:hAnsi="宋体" w:cs="宋体"/>
          <w:b/>
          <w:bCs/>
          <w:color w:val="auto"/>
          <w:sz w:val="24"/>
          <w:highlight w:val="none"/>
        </w:rPr>
        <w:t>原则</w:t>
      </w:r>
    </w:p>
    <w:p w14:paraId="793A0C9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公平、公正、科学、择优。</w:t>
      </w:r>
    </w:p>
    <w:p w14:paraId="0897C12F">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22</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评审</w:t>
      </w:r>
      <w:r>
        <w:rPr>
          <w:rFonts w:hint="eastAsia" w:ascii="宋体" w:hAnsi="宋体" w:cs="宋体"/>
          <w:b/>
          <w:bCs/>
          <w:color w:val="auto"/>
          <w:sz w:val="24"/>
          <w:highlight w:val="none"/>
        </w:rPr>
        <w:t>纪律</w:t>
      </w:r>
    </w:p>
    <w:p w14:paraId="065EA91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22</w:t>
      </w:r>
      <w:r>
        <w:rPr>
          <w:rFonts w:hint="eastAsia" w:ascii="宋体" w:hAnsi="宋体" w:cs="宋体"/>
          <w:color w:val="auto"/>
          <w:sz w:val="24"/>
          <w:highlight w:val="none"/>
        </w:rPr>
        <w:t>.1 磋商小组成员和服务</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工作的有关人员不得透露对响应文件的评审和比较、成交候选供应商的推荐情况以及与评标有关的其他情况。</w:t>
      </w:r>
    </w:p>
    <w:p w14:paraId="2EBE3D8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23</w:t>
      </w:r>
      <w:r>
        <w:rPr>
          <w:rFonts w:hint="eastAsia" w:ascii="宋体" w:hAnsi="宋体" w:cs="宋体"/>
          <w:color w:val="auto"/>
          <w:sz w:val="24"/>
          <w:highlight w:val="none"/>
        </w:rPr>
        <w:t>.2 任何供应商均不得对其</w:t>
      </w:r>
      <w:r>
        <w:rPr>
          <w:rFonts w:hint="eastAsia" w:ascii="宋体" w:hAnsi="宋体" w:cs="宋体"/>
          <w:color w:val="auto"/>
          <w:sz w:val="24"/>
          <w:highlight w:val="none"/>
          <w:lang w:eastAsia="zh-CN"/>
        </w:rPr>
        <w:t>磋商</w:t>
      </w:r>
      <w:r>
        <w:rPr>
          <w:rFonts w:hint="eastAsia" w:ascii="宋体" w:hAnsi="宋体" w:cs="宋体"/>
          <w:color w:val="auto"/>
          <w:sz w:val="24"/>
          <w:highlight w:val="none"/>
        </w:rPr>
        <w:t>有关的问题与磋商小组成员发生联系</w:t>
      </w:r>
      <w:r>
        <w:rPr>
          <w:rFonts w:hint="eastAsia" w:ascii="宋体" w:hAnsi="宋体" w:cs="宋体"/>
          <w:color w:val="auto"/>
          <w:sz w:val="24"/>
          <w:highlight w:val="none"/>
          <w:lang w:eastAsia="zh-CN"/>
        </w:rPr>
        <w:t>，</w:t>
      </w:r>
      <w:r>
        <w:rPr>
          <w:rFonts w:hint="eastAsia" w:ascii="宋体" w:hAnsi="宋体" w:cs="宋体"/>
          <w:color w:val="auto"/>
          <w:sz w:val="24"/>
          <w:highlight w:val="none"/>
        </w:rPr>
        <w:t>如果供应商试图对磋商小组的施加影响，则将导致其响应文件被拒绝。</w:t>
      </w:r>
    </w:p>
    <w:p w14:paraId="1195C0D7">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23</w:t>
      </w:r>
      <w:r>
        <w:rPr>
          <w:rFonts w:hint="eastAsia" w:ascii="宋体" w:hAnsi="宋体" w:cs="宋体"/>
          <w:b/>
          <w:bCs/>
          <w:color w:val="auto"/>
          <w:sz w:val="24"/>
          <w:highlight w:val="none"/>
        </w:rPr>
        <w:t>.响应文件有下列情况之一者，其</w:t>
      </w:r>
      <w:r>
        <w:rPr>
          <w:rFonts w:hint="eastAsia" w:ascii="宋体" w:hAnsi="宋体" w:cs="宋体"/>
          <w:b/>
          <w:bCs/>
          <w:color w:val="auto"/>
          <w:sz w:val="24"/>
          <w:highlight w:val="none"/>
          <w:lang w:eastAsia="zh-CN"/>
        </w:rPr>
        <w:t>响应文件按无效响应</w:t>
      </w:r>
      <w:r>
        <w:rPr>
          <w:rFonts w:hint="eastAsia" w:ascii="宋体" w:hAnsi="宋体" w:cs="宋体"/>
          <w:b/>
          <w:bCs/>
          <w:color w:val="auto"/>
          <w:sz w:val="24"/>
          <w:highlight w:val="none"/>
        </w:rPr>
        <w:t>处理：</w:t>
      </w:r>
    </w:p>
    <w:p w14:paraId="13A756C0">
      <w:pPr>
        <w:adjustRightInd w:val="0"/>
        <w:snapToGrid w:val="0"/>
        <w:spacing w:line="360" w:lineRule="auto"/>
        <w:ind w:firstLine="420" w:firstLineChars="200"/>
        <w:jc w:val="left"/>
        <w:rPr>
          <w:rFonts w:hint="eastAsia" w:ascii="宋体" w:hAnsi="宋体" w:cs="宋体"/>
          <w:color w:val="auto"/>
          <w:sz w:val="24"/>
          <w:highlight w:val="none"/>
        </w:rPr>
      </w:pPr>
      <w:r>
        <w:rPr>
          <w:rFonts w:hint="eastAsia" w:ascii="宋体" w:hAnsi="宋体" w:eastAsia="宋体" w:cs="宋体"/>
          <w:color w:val="auto"/>
          <w:szCs w:val="21"/>
          <w:highlight w:val="none"/>
        </w:rPr>
        <w:t>（</w:t>
      </w:r>
      <w:r>
        <w:rPr>
          <w:rFonts w:hint="eastAsia" w:ascii="宋体" w:hAnsi="宋体" w:cs="宋体"/>
          <w:color w:val="auto"/>
          <w:sz w:val="24"/>
          <w:highlight w:val="none"/>
        </w:rPr>
        <w:t>1）</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不具有独立法人资格的附属机构（单位）；</w:t>
      </w:r>
    </w:p>
    <w:p w14:paraId="7621BC42">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本采购项目</w:t>
      </w:r>
      <w:r>
        <w:rPr>
          <w:rFonts w:hint="eastAsia" w:ascii="宋体" w:hAnsi="宋体" w:cs="宋体"/>
          <w:color w:val="auto"/>
          <w:sz w:val="24"/>
          <w:highlight w:val="none"/>
        </w:rPr>
        <w:t>提供采购代理机构服务的；</w:t>
      </w:r>
    </w:p>
    <w:p w14:paraId="378D84CA">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（3）与</w:t>
      </w:r>
      <w:r>
        <w:rPr>
          <w:rFonts w:hint="eastAsia" w:ascii="宋体" w:hAnsi="宋体" w:cs="宋体"/>
          <w:color w:val="auto"/>
          <w:sz w:val="24"/>
          <w:highlight w:val="none"/>
          <w:lang w:eastAsia="zh-CN"/>
        </w:rPr>
        <w:t>本采购项目</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或采购代理机构同为一个法定代表人的；</w:t>
      </w:r>
    </w:p>
    <w:p w14:paraId="6D8184EC">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（4）与</w:t>
      </w:r>
      <w:r>
        <w:rPr>
          <w:rFonts w:hint="eastAsia" w:ascii="宋体" w:hAnsi="宋体" w:cs="宋体"/>
          <w:color w:val="auto"/>
          <w:sz w:val="24"/>
          <w:highlight w:val="none"/>
          <w:lang w:eastAsia="zh-CN"/>
        </w:rPr>
        <w:t>本采购项目</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或采购代理机构相互控股或参股的；</w:t>
      </w:r>
    </w:p>
    <w:p w14:paraId="43B5BF31">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（5）与</w:t>
      </w:r>
      <w:r>
        <w:rPr>
          <w:rFonts w:hint="eastAsia" w:ascii="宋体" w:hAnsi="宋体" w:cs="宋体"/>
          <w:color w:val="auto"/>
          <w:sz w:val="24"/>
          <w:highlight w:val="none"/>
          <w:lang w:eastAsia="zh-CN"/>
        </w:rPr>
        <w:t>本采购项目</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或采购代理机构相互任职或工作的；</w:t>
      </w:r>
    </w:p>
    <w:p w14:paraId="5A8B5883">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（6）被责令停业的；</w:t>
      </w:r>
    </w:p>
    <w:p w14:paraId="4B167988">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（7）被暂停或取消投标资格的；</w:t>
      </w:r>
    </w:p>
    <w:p w14:paraId="788F0B72">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（8）财产被接管或冻结的；</w:t>
      </w:r>
    </w:p>
    <w:p w14:paraId="0F93504B">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（9）在最近三年内有骗取中标或严重违约或出现重大质量问题的；</w:t>
      </w:r>
    </w:p>
    <w:p w14:paraId="555945B3">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（10）串通投标或弄虚作假或有其他违法行为的；</w:t>
      </w:r>
    </w:p>
    <w:p w14:paraId="035929BA">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（11）不按</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要求澄清、说明或补正的；</w:t>
      </w:r>
    </w:p>
    <w:p w14:paraId="24346F68">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（12）投标报价高于采购预算价的。</w:t>
      </w:r>
    </w:p>
    <w:p w14:paraId="5EA284EE">
      <w:pPr>
        <w:adjustRightInd w:val="0"/>
        <w:snapToGrid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（13）按照《河南省发展和改革委员会关于对&lt;关于认定</w:t>
      </w:r>
      <w:r>
        <w:rPr>
          <w:rFonts w:hint="eastAsia" w:ascii="宋体" w:hAnsi="宋体" w:cs="宋体"/>
          <w:b/>
          <w:bCs/>
          <w:color w:val="auto"/>
          <w:sz w:val="24"/>
          <w:highlight w:val="none"/>
          <w:lang w:eastAsia="zh-CN"/>
        </w:rPr>
        <w:t>供应商响应文件</w:t>
      </w:r>
      <w:r>
        <w:rPr>
          <w:rFonts w:hint="eastAsia" w:ascii="宋体" w:hAnsi="宋体" w:cs="宋体"/>
          <w:b/>
          <w:bCs/>
          <w:color w:val="auto"/>
          <w:sz w:val="24"/>
          <w:highlight w:val="none"/>
        </w:rPr>
        <w:t>制作机器码一致视为串通投标行为的请示&gt;相关问题的批复》（豫发改公管【2019】198号）文件精神，电子开评标项目“</w:t>
      </w:r>
      <w:r>
        <w:rPr>
          <w:rFonts w:hint="eastAsia" w:ascii="宋体" w:hAnsi="宋体" w:cs="宋体"/>
          <w:b/>
          <w:bCs/>
          <w:color w:val="auto"/>
          <w:sz w:val="24"/>
          <w:highlight w:val="none"/>
          <w:lang w:eastAsia="zh-CN"/>
        </w:rPr>
        <w:t>供应商响应文件</w:t>
      </w:r>
      <w:r>
        <w:rPr>
          <w:rFonts w:hint="eastAsia" w:ascii="宋体" w:hAnsi="宋体" w:cs="宋体"/>
          <w:b/>
          <w:bCs/>
          <w:color w:val="auto"/>
          <w:sz w:val="24"/>
          <w:highlight w:val="none"/>
        </w:rPr>
        <w:t>制作机器码一致”时视作废标。</w:t>
      </w:r>
    </w:p>
    <w:p w14:paraId="022C5EEB">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24</w:t>
      </w:r>
      <w:r>
        <w:rPr>
          <w:rFonts w:hint="eastAsia" w:ascii="宋体" w:hAnsi="宋体" w:cs="宋体"/>
          <w:b/>
          <w:bCs/>
          <w:color w:val="auto"/>
          <w:sz w:val="24"/>
          <w:highlight w:val="none"/>
        </w:rPr>
        <w:t>.响应文件的评价与比较</w:t>
      </w:r>
    </w:p>
    <w:p w14:paraId="1C81C06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24</w:t>
      </w:r>
      <w:r>
        <w:rPr>
          <w:rFonts w:hint="eastAsia" w:ascii="宋体" w:hAnsi="宋体" w:cs="宋体"/>
          <w:color w:val="auto"/>
          <w:sz w:val="24"/>
          <w:highlight w:val="none"/>
        </w:rPr>
        <w:t>.1 磋商小组将仅对按照磋商文件被确定为实质</w:t>
      </w:r>
      <w:r>
        <w:rPr>
          <w:rFonts w:hint="eastAsia" w:ascii="宋体" w:hAnsi="宋体" w:cs="宋体"/>
          <w:color w:val="auto"/>
          <w:sz w:val="24"/>
          <w:highlight w:val="none"/>
          <w:lang w:eastAsia="zh-CN"/>
        </w:rPr>
        <w:t>性</w:t>
      </w:r>
      <w:r>
        <w:rPr>
          <w:rFonts w:hint="eastAsia" w:ascii="宋体" w:hAnsi="宋体" w:cs="宋体"/>
          <w:color w:val="auto"/>
          <w:sz w:val="24"/>
          <w:highlight w:val="none"/>
        </w:rPr>
        <w:t>响应的响应文件进行详细评审。</w:t>
      </w:r>
    </w:p>
    <w:p w14:paraId="297C830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24</w:t>
      </w:r>
      <w:r>
        <w:rPr>
          <w:rFonts w:hint="eastAsia" w:ascii="宋体" w:hAnsi="宋体" w:cs="宋体"/>
          <w:color w:val="auto"/>
          <w:sz w:val="24"/>
          <w:highlight w:val="none"/>
        </w:rPr>
        <w:t>.2 在</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时不考虑合同条款中的价格调整规定在合同实施过程中所起的作用。</w:t>
      </w:r>
    </w:p>
    <w:p w14:paraId="4F1EE474">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25</w:t>
      </w:r>
      <w:r>
        <w:rPr>
          <w:rFonts w:hint="eastAsia" w:ascii="宋体" w:hAnsi="宋体" w:cs="宋体"/>
          <w:b/>
          <w:bCs/>
          <w:color w:val="auto"/>
          <w:sz w:val="24"/>
          <w:highlight w:val="none"/>
        </w:rPr>
        <w:t>.响应文件的澄清</w:t>
      </w:r>
    </w:p>
    <w:p w14:paraId="1A7EF4A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为了有助于响应文件的审查、评价和比较，根据需要，磋商小组可以要求供应商对响应文件中含义不明确的内容做必要的澄清或说明</w:t>
      </w:r>
      <w:r>
        <w:rPr>
          <w:rFonts w:hint="eastAsia" w:ascii="宋体" w:hAnsi="宋体" w:cs="宋体"/>
          <w:color w:val="auto"/>
          <w:sz w:val="24"/>
          <w:highlight w:val="none"/>
          <w:lang w:eastAsia="zh-CN"/>
        </w:rPr>
        <w:t>，</w:t>
      </w:r>
      <w:r>
        <w:rPr>
          <w:rFonts w:hint="eastAsia" w:ascii="宋体" w:hAnsi="宋体" w:cs="宋体"/>
          <w:color w:val="auto"/>
          <w:sz w:val="24"/>
          <w:highlight w:val="none"/>
        </w:rPr>
        <w:t>但是澄清或说明不得超出响应文件的范围或者改变响应文件的实质性内容</w:t>
      </w:r>
      <w:r>
        <w:rPr>
          <w:rFonts w:hint="eastAsia" w:ascii="宋体" w:hAnsi="宋体" w:cs="宋体"/>
          <w:color w:val="auto"/>
          <w:sz w:val="24"/>
          <w:highlight w:val="none"/>
          <w:lang w:eastAsia="zh-CN"/>
        </w:rPr>
        <w:t>。</w:t>
      </w:r>
      <w:r>
        <w:rPr>
          <w:rFonts w:hint="eastAsia" w:ascii="宋体" w:hAnsi="宋体" w:cs="宋体"/>
          <w:color w:val="auto"/>
          <w:sz w:val="24"/>
          <w:highlight w:val="none"/>
        </w:rPr>
        <w:t>澄清的要求和供应商的答复均应采取书面形式</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供应商的答复必须经法定代表人或法定代表人授权代表签字，并作为响应文件的组成部分。</w:t>
      </w:r>
    </w:p>
    <w:p w14:paraId="2C957FD4">
      <w:pPr>
        <w:adjustRightInd w:val="0"/>
        <w:snapToGrid w:val="0"/>
        <w:spacing w:line="360" w:lineRule="auto"/>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26.</w:t>
      </w:r>
      <w:r>
        <w:rPr>
          <w:rFonts w:hint="eastAsia" w:ascii="宋体" w:hAnsi="宋体" w:eastAsia="宋体" w:cs="宋体"/>
          <w:b/>
          <w:bCs/>
          <w:color w:val="auto"/>
          <w:sz w:val="24"/>
          <w:highlight w:val="none"/>
        </w:rPr>
        <w:t>评</w:t>
      </w:r>
      <w:r>
        <w:rPr>
          <w:rFonts w:hint="eastAsia" w:ascii="宋体" w:hAnsi="宋体" w:eastAsia="宋体" w:cs="宋体"/>
          <w:b/>
          <w:bCs/>
          <w:color w:val="auto"/>
          <w:sz w:val="24"/>
          <w:highlight w:val="none"/>
          <w:lang w:val="en-US" w:eastAsia="zh-CN"/>
        </w:rPr>
        <w:t>审</w:t>
      </w:r>
    </w:p>
    <w:p w14:paraId="2C5E7997">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办法按照《政府采购竞争性磋商采购方式管理暂行办法》，结合本项目具体情况制订。</w:t>
      </w:r>
    </w:p>
    <w:p w14:paraId="6314C3D0">
      <w:pPr>
        <w:adjustRightInd w:val="0"/>
        <w:snapToGrid w:val="0"/>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27</w:t>
      </w:r>
      <w:r>
        <w:rPr>
          <w:rFonts w:hint="eastAsia" w:ascii="宋体" w:hAnsi="宋体" w:cs="宋体"/>
          <w:b/>
          <w:bCs/>
          <w:color w:val="auto"/>
          <w:sz w:val="24"/>
          <w:highlight w:val="none"/>
        </w:rPr>
        <w:t>.磋商程序及定标</w:t>
      </w:r>
    </w:p>
    <w:p w14:paraId="344A3D69">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27</w:t>
      </w:r>
      <w:r>
        <w:rPr>
          <w:rFonts w:hint="eastAsia" w:ascii="宋体" w:hAnsi="宋体" w:cs="宋体"/>
          <w:color w:val="auto"/>
          <w:sz w:val="24"/>
          <w:highlight w:val="none"/>
        </w:rPr>
        <w:t>.1 磋商小组按照磋商文件中的</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原则、</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程序及评分标准评定供应商名次。</w:t>
      </w:r>
    </w:p>
    <w:p w14:paraId="79EBD161">
      <w:pPr>
        <w:adjustRightInd w:val="0"/>
        <w:snapToGrid w:val="0"/>
        <w:spacing w:line="440" w:lineRule="exact"/>
        <w:ind w:firstLine="480" w:firstLineChars="200"/>
        <w:jc w:val="left"/>
        <w:rPr>
          <w:rFonts w:ascii="宋体" w:hAnsi="宋体" w:cs="宋体"/>
          <w:color w:val="auto"/>
          <w:highlight w:val="none"/>
        </w:rPr>
      </w:pPr>
      <w:r>
        <w:rPr>
          <w:rFonts w:hint="eastAsia" w:ascii="宋体" w:hAnsi="宋体" w:cs="宋体"/>
          <w:color w:val="auto"/>
          <w:sz w:val="24"/>
          <w:highlight w:val="none"/>
          <w:lang w:val="en-US" w:eastAsia="zh-CN"/>
        </w:rPr>
        <w:t>27</w:t>
      </w:r>
      <w:r>
        <w:rPr>
          <w:rFonts w:hint="eastAsia" w:ascii="宋体" w:hAnsi="宋体" w:cs="宋体"/>
          <w:color w:val="auto"/>
          <w:sz w:val="24"/>
          <w:highlight w:val="none"/>
        </w:rPr>
        <w:t>.2 磋商小组起草</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报告，向采购人推荐3名成交候选供应商。采购人原则上应按磋商小组依法推荐的成交候选供应商顺序确定成交供应商。若前位成交候选供应商不再响应磋商文件或确有重大实质性问题</w:t>
      </w:r>
      <w:r>
        <w:rPr>
          <w:rFonts w:hint="eastAsia" w:ascii="宋体" w:hAnsi="宋体" w:cs="宋体"/>
          <w:color w:val="auto"/>
          <w:sz w:val="24"/>
          <w:highlight w:val="none"/>
          <w:lang w:eastAsia="zh-CN"/>
        </w:rPr>
        <w:t>，</w:t>
      </w:r>
      <w:r>
        <w:rPr>
          <w:rFonts w:hint="eastAsia" w:ascii="宋体" w:hAnsi="宋体" w:cs="宋体"/>
          <w:color w:val="auto"/>
          <w:sz w:val="24"/>
          <w:highlight w:val="none"/>
        </w:rPr>
        <w:t>可以按顺序向下确定成交供应商，也可以重新</w:t>
      </w:r>
      <w:r>
        <w:rPr>
          <w:rFonts w:hint="eastAsia" w:ascii="宋体" w:hAnsi="宋体" w:cs="宋体"/>
          <w:color w:val="auto"/>
          <w:sz w:val="24"/>
          <w:highlight w:val="none"/>
          <w:lang w:eastAsia="zh-CN"/>
        </w:rPr>
        <w:t>采购</w:t>
      </w:r>
      <w:r>
        <w:rPr>
          <w:rFonts w:hint="eastAsia" w:ascii="宋体" w:hAnsi="宋体" w:cs="宋体"/>
          <w:color w:val="auto"/>
          <w:sz w:val="24"/>
          <w:highlight w:val="none"/>
        </w:rPr>
        <w:t>。</w:t>
      </w:r>
    </w:p>
    <w:p w14:paraId="5CC5C71D">
      <w:pPr>
        <w:snapToGrid w:val="0"/>
        <w:spacing w:line="440" w:lineRule="exact"/>
        <w:jc w:val="center"/>
        <w:rPr>
          <w:rFonts w:ascii="宋体" w:hAnsi="宋体" w:cs="宋体"/>
          <w:b/>
          <w:color w:val="auto"/>
          <w:sz w:val="28"/>
          <w:szCs w:val="28"/>
          <w:highlight w:val="none"/>
        </w:rPr>
      </w:pPr>
    </w:p>
    <w:p w14:paraId="40A74C6B">
      <w:pPr>
        <w:snapToGrid w:val="0"/>
        <w:spacing w:line="440" w:lineRule="exact"/>
        <w:ind w:firstLine="3373" w:firstLineChars="1200"/>
        <w:rPr>
          <w:rFonts w:ascii="宋体" w:hAnsi="宋体" w:cs="宋体"/>
          <w:b/>
          <w:color w:val="auto"/>
          <w:sz w:val="28"/>
          <w:szCs w:val="28"/>
          <w:highlight w:val="none"/>
        </w:rPr>
      </w:pPr>
      <w:r>
        <w:rPr>
          <w:rFonts w:hint="eastAsia" w:ascii="宋体" w:hAnsi="宋体" w:cs="宋体"/>
          <w:b/>
          <w:color w:val="auto"/>
          <w:sz w:val="28"/>
          <w:szCs w:val="28"/>
          <w:highlight w:val="none"/>
        </w:rPr>
        <w:t>六、授予合同</w:t>
      </w:r>
    </w:p>
    <w:p w14:paraId="24189A8B">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.合同授予标准</w:t>
      </w:r>
    </w:p>
    <w:p w14:paraId="3D61B9F5">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 采购人将把合同授予响应文件实质上响应磋商文件且具有合理价格的成交供应商。</w:t>
      </w:r>
    </w:p>
    <w:p w14:paraId="41C88945">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 采购人在与成交供应商签订合同时，保留对货物（服务）予以增减的权力，但不得对单价或</w:t>
      </w:r>
      <w:r>
        <w:rPr>
          <w:rFonts w:hint="eastAsia" w:ascii="宋体" w:hAnsi="宋体" w:cs="宋体"/>
          <w:color w:val="auto"/>
          <w:sz w:val="24"/>
          <w:highlight w:val="none"/>
          <w:lang w:eastAsia="zh-CN"/>
        </w:rPr>
        <w:t>其他</w:t>
      </w:r>
      <w:r>
        <w:rPr>
          <w:rFonts w:hint="eastAsia" w:ascii="宋体" w:hAnsi="宋体" w:cs="宋体"/>
          <w:color w:val="auto"/>
          <w:sz w:val="24"/>
          <w:highlight w:val="none"/>
        </w:rPr>
        <w:t>条款和条件做任何改变。</w:t>
      </w:r>
    </w:p>
    <w:p w14:paraId="3D1E2BE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成交供应商无正当理由拒签合同的，采购人取消其</w:t>
      </w:r>
      <w:r>
        <w:rPr>
          <w:rFonts w:hint="eastAsia" w:ascii="宋体" w:hAnsi="宋体" w:cs="宋体"/>
          <w:color w:val="auto"/>
          <w:sz w:val="24"/>
          <w:highlight w:val="none"/>
          <w:lang w:eastAsia="zh-CN"/>
        </w:rPr>
        <w:t>成交</w:t>
      </w:r>
      <w:r>
        <w:rPr>
          <w:rFonts w:hint="eastAsia" w:ascii="宋体" w:hAnsi="宋体" w:cs="宋体"/>
          <w:color w:val="auto"/>
          <w:sz w:val="24"/>
          <w:highlight w:val="none"/>
        </w:rPr>
        <w:t>资格；给采购人造成损失的，成交供应商还应当予以赔偿。成交供应商和采购人不得私下订立背离合同实质性内容的协议，不得变更竞争性磋商文件和响应文件的实质性内容。</w:t>
      </w:r>
    </w:p>
    <w:p w14:paraId="32CD529A">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.成交通知</w:t>
      </w:r>
    </w:p>
    <w:p w14:paraId="07699DF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.1 在</w:t>
      </w:r>
      <w:r>
        <w:rPr>
          <w:rFonts w:hint="eastAsia" w:ascii="宋体" w:hAnsi="宋体" w:cs="宋体"/>
          <w:color w:val="auto"/>
          <w:sz w:val="24"/>
          <w:highlight w:val="none"/>
          <w:lang w:eastAsia="zh-CN"/>
        </w:rPr>
        <w:t>磋商</w:t>
      </w:r>
      <w:r>
        <w:rPr>
          <w:rFonts w:hint="eastAsia" w:ascii="宋体" w:hAnsi="宋体" w:cs="宋体"/>
          <w:color w:val="auto"/>
          <w:sz w:val="24"/>
          <w:highlight w:val="none"/>
        </w:rPr>
        <w:t>有效期内确定成交供应商后，采购人以书面形式通知成交供应商。</w:t>
      </w:r>
    </w:p>
    <w:p w14:paraId="3B51C09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成交通知书是合同的组成部分。</w:t>
      </w:r>
    </w:p>
    <w:p w14:paraId="079E9CA1">
      <w:pPr>
        <w:adjustRightInd w:val="0"/>
        <w:snapToGrid w:val="0"/>
        <w:spacing w:line="360" w:lineRule="auto"/>
        <w:ind w:firstLine="480" w:firstLineChars="200"/>
        <w:jc w:val="left"/>
        <w:rPr>
          <w:rFonts w:ascii="宋体" w:hAnsi="宋体" w:cs="宋体"/>
          <w:color w:val="auto"/>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.3 对未成交的供应商，不做任何未成交原因的解释，所有响应文件不予退还。</w:t>
      </w:r>
    </w:p>
    <w:p w14:paraId="28DDCDDB">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rPr>
        <w:t>.合同的签署</w:t>
      </w:r>
    </w:p>
    <w:p w14:paraId="06C8C71A">
      <w:pPr>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color w:val="auto"/>
          <w:sz w:val="24"/>
          <w:highlight w:val="none"/>
          <w:lang w:val="en-US" w:eastAsia="zh-CN"/>
        </w:rPr>
        <w:t>30</w:t>
      </w:r>
      <w:r>
        <w:rPr>
          <w:rFonts w:hint="eastAsia" w:ascii="宋体" w:hAnsi="宋体" w:cs="宋体"/>
          <w:color w:val="auto"/>
          <w:sz w:val="24"/>
          <w:highlight w:val="none"/>
        </w:rPr>
        <w:t xml:space="preserve">.1 </w:t>
      </w:r>
      <w:r>
        <w:rPr>
          <w:rFonts w:hint="eastAsia" w:ascii="宋体" w:hAnsi="宋体" w:cs="宋体"/>
          <w:bCs/>
          <w:color w:val="auto"/>
          <w:sz w:val="24"/>
          <w:highlight w:val="none"/>
        </w:rPr>
        <w:t>成交供应商应当在领取《成交通知书》之日起30日内，按照磋商文件确定的事项与采购人签订政府采购合同。</w:t>
      </w:r>
    </w:p>
    <w:p w14:paraId="54C82FF5">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30</w:t>
      </w:r>
      <w:r>
        <w:rPr>
          <w:rFonts w:hint="eastAsia" w:ascii="宋体" w:hAnsi="宋体" w:cs="宋体"/>
          <w:color w:val="auto"/>
          <w:sz w:val="24"/>
          <w:highlight w:val="none"/>
        </w:rPr>
        <w:t>.2 磋商文件、响应文件及澄清文件及成交供应商承诺等均作为合同的不可分割的组成部分。</w:t>
      </w:r>
    </w:p>
    <w:p w14:paraId="0C6A72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
          <w:color w:val="auto"/>
          <w:sz w:val="24"/>
          <w:szCs w:val="28"/>
          <w:highlight w:val="none"/>
        </w:rPr>
      </w:pPr>
      <w:r>
        <w:rPr>
          <w:rFonts w:hint="eastAsia" w:ascii="宋体" w:hAnsi="宋体" w:cs="宋体"/>
          <w:color w:val="auto"/>
          <w:sz w:val="24"/>
          <w:highlight w:val="none"/>
          <w:lang w:val="en-US" w:eastAsia="zh-CN"/>
        </w:rPr>
        <w:t>30</w:t>
      </w:r>
      <w:r>
        <w:rPr>
          <w:rFonts w:hint="eastAsia" w:ascii="宋体" w:hAnsi="宋体" w:cs="宋体"/>
          <w:color w:val="auto"/>
          <w:sz w:val="24"/>
          <w:highlight w:val="none"/>
        </w:rPr>
        <w:t>.3 如果成交</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不按其响应文件承诺和磋商文件要求签订合同，</w:t>
      </w:r>
      <w:bookmarkStart w:id="12" w:name="_Toc304458159"/>
      <w:bookmarkStart w:id="13" w:name="_Toc270"/>
      <w:bookmarkStart w:id="14" w:name="_Toc235473932"/>
      <w:bookmarkStart w:id="15" w:name="_Toc304967951"/>
      <w:bookmarkStart w:id="16" w:name="_Toc244074263"/>
      <w:bookmarkStart w:id="17" w:name="_Toc248824927"/>
      <w:r>
        <w:rPr>
          <w:rFonts w:hint="eastAsia" w:ascii="宋体" w:hAnsi="宋体" w:cs="宋体"/>
          <w:color w:val="auto"/>
          <w:sz w:val="24"/>
          <w:highlight w:val="none"/>
        </w:rPr>
        <w:t>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5A7AC35C">
      <w:pPr>
        <w:snapToGrid w:val="0"/>
        <w:spacing w:line="440" w:lineRule="exact"/>
        <w:jc w:val="center"/>
        <w:rPr>
          <w:rFonts w:ascii="宋体" w:hAnsi="宋体" w:cs="宋体"/>
          <w:b/>
          <w:color w:val="auto"/>
          <w:sz w:val="28"/>
          <w:szCs w:val="28"/>
          <w:highlight w:val="none"/>
        </w:rPr>
      </w:pPr>
    </w:p>
    <w:p w14:paraId="20C3B069">
      <w:pPr>
        <w:snapToGrid w:val="0"/>
        <w:spacing w:line="440" w:lineRule="exact"/>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七、重新</w:t>
      </w:r>
      <w:bookmarkEnd w:id="12"/>
      <w:bookmarkEnd w:id="13"/>
      <w:bookmarkEnd w:id="14"/>
      <w:bookmarkEnd w:id="15"/>
      <w:bookmarkEnd w:id="16"/>
      <w:bookmarkEnd w:id="17"/>
      <w:r>
        <w:rPr>
          <w:rFonts w:hint="eastAsia" w:ascii="宋体" w:hAnsi="宋体" w:cs="宋体"/>
          <w:b/>
          <w:color w:val="auto"/>
          <w:sz w:val="28"/>
          <w:szCs w:val="28"/>
          <w:highlight w:val="none"/>
          <w:lang w:eastAsia="zh-CN"/>
        </w:rPr>
        <w:t>采购</w:t>
      </w:r>
      <w:r>
        <w:rPr>
          <w:rFonts w:hint="eastAsia" w:ascii="宋体" w:hAnsi="宋体" w:cs="宋体"/>
          <w:b/>
          <w:color w:val="auto"/>
          <w:sz w:val="28"/>
          <w:szCs w:val="28"/>
          <w:highlight w:val="none"/>
        </w:rPr>
        <w:t>和</w:t>
      </w:r>
      <w:r>
        <w:rPr>
          <w:rFonts w:hint="eastAsia" w:ascii="宋体" w:hAnsi="宋体" w:cs="宋体"/>
          <w:b/>
          <w:color w:val="auto"/>
          <w:sz w:val="28"/>
          <w:szCs w:val="28"/>
          <w:highlight w:val="none"/>
          <w:lang w:eastAsia="zh-CN"/>
        </w:rPr>
        <w:t>终止采购</w:t>
      </w:r>
    </w:p>
    <w:p w14:paraId="75CE9548">
      <w:pPr>
        <w:adjustRightInd w:val="0"/>
        <w:snapToGrid w:val="0"/>
        <w:spacing w:line="440" w:lineRule="exact"/>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31</w:t>
      </w:r>
      <w:r>
        <w:rPr>
          <w:rFonts w:hint="eastAsia" w:ascii="宋体" w:hAnsi="宋体" w:cs="宋体"/>
          <w:b/>
          <w:bCs/>
          <w:color w:val="auto"/>
          <w:sz w:val="24"/>
          <w:highlight w:val="none"/>
        </w:rPr>
        <w:t>.重新</w:t>
      </w:r>
      <w:r>
        <w:rPr>
          <w:rFonts w:hint="eastAsia" w:ascii="宋体" w:hAnsi="宋体" w:cs="宋体"/>
          <w:b/>
          <w:bCs/>
          <w:color w:val="auto"/>
          <w:sz w:val="24"/>
          <w:highlight w:val="none"/>
          <w:lang w:eastAsia="zh-CN"/>
        </w:rPr>
        <w:t>采购</w:t>
      </w:r>
    </w:p>
    <w:p w14:paraId="72AED579">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有下列情形之一的，采购人将重新</w:t>
      </w:r>
      <w:r>
        <w:rPr>
          <w:rFonts w:hint="eastAsia" w:ascii="宋体" w:hAnsi="宋体" w:cs="宋体"/>
          <w:color w:val="auto"/>
          <w:sz w:val="24"/>
          <w:highlight w:val="none"/>
          <w:lang w:eastAsia="zh-CN"/>
        </w:rPr>
        <w:t>采购</w:t>
      </w:r>
      <w:r>
        <w:rPr>
          <w:rFonts w:hint="eastAsia" w:ascii="宋体" w:hAnsi="宋体" w:cs="宋体"/>
          <w:color w:val="auto"/>
          <w:sz w:val="24"/>
          <w:highlight w:val="none"/>
        </w:rPr>
        <w:t>：</w:t>
      </w:r>
    </w:p>
    <w:p w14:paraId="33FEBECD">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响应文件提交</w:t>
      </w:r>
      <w:r>
        <w:rPr>
          <w:rFonts w:hint="eastAsia" w:ascii="宋体" w:hAnsi="宋体" w:cs="宋体"/>
          <w:color w:val="auto"/>
          <w:sz w:val="24"/>
          <w:highlight w:val="none"/>
        </w:rPr>
        <w:t>截止时间止，供应商少于3个的；</w:t>
      </w:r>
    </w:p>
    <w:p w14:paraId="19640726">
      <w:pPr>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（2）符合专业条件的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或对磋商文件做实质性响应的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不足3家的；</w:t>
      </w:r>
    </w:p>
    <w:p w14:paraId="415DB19A">
      <w:pPr>
        <w:tabs>
          <w:tab w:val="left" w:pos="702"/>
        </w:tabs>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p w14:paraId="44ACB763">
      <w:pPr>
        <w:tabs>
          <w:tab w:val="left" w:pos="657"/>
        </w:tabs>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（4）供应商的报价均超过了采购预算，采购人不能支付的。</w:t>
      </w:r>
    </w:p>
    <w:p w14:paraId="599AC2A9">
      <w:pPr>
        <w:spacing w:line="360" w:lineRule="auto"/>
        <w:rPr>
          <w:rFonts w:hint="eastAsia" w:ascii="宋体" w:hAnsi="宋体" w:eastAsia="宋体" w:cs="宋体"/>
          <w:b/>
          <w:color w:val="auto"/>
          <w:sz w:val="24"/>
          <w:highlight w:val="none"/>
          <w:lang w:eastAsia="zh-CN"/>
        </w:rPr>
      </w:pPr>
      <w:r>
        <w:rPr>
          <w:rFonts w:hint="eastAsia" w:ascii="宋体" w:hAnsi="宋体" w:cs="宋体"/>
          <w:b/>
          <w:bCs/>
          <w:color w:val="auto"/>
          <w:sz w:val="24"/>
          <w:highlight w:val="none"/>
          <w:lang w:val="en-US" w:eastAsia="zh-CN"/>
        </w:rPr>
        <w:t>32</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终止采购</w:t>
      </w:r>
    </w:p>
    <w:p w14:paraId="0BE668EF">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因重大变故，采购任务取消的</w:t>
      </w:r>
      <w:r>
        <w:rPr>
          <w:rFonts w:hint="eastAsia" w:ascii="宋体" w:hAnsi="宋体" w:cs="宋体"/>
          <w:color w:val="auto"/>
          <w:sz w:val="24"/>
          <w:highlight w:val="none"/>
          <w:lang w:eastAsia="zh-CN"/>
        </w:rPr>
        <w:t>应终止采购</w:t>
      </w:r>
      <w:r>
        <w:rPr>
          <w:rFonts w:hint="eastAsia" w:ascii="宋体" w:hAnsi="宋体" w:cs="宋体"/>
          <w:color w:val="auto"/>
          <w:sz w:val="24"/>
          <w:highlight w:val="none"/>
        </w:rPr>
        <w:t>。</w:t>
      </w:r>
    </w:p>
    <w:p w14:paraId="7CB5718E">
      <w:pPr>
        <w:pStyle w:val="11"/>
        <w:rPr>
          <w:color w:val="auto"/>
          <w:highlight w:val="none"/>
        </w:rPr>
      </w:pPr>
    </w:p>
    <w:p w14:paraId="02F991AB">
      <w:pPr>
        <w:snapToGrid w:val="0"/>
        <w:spacing w:line="480" w:lineRule="auto"/>
        <w:ind w:firstLine="1687" w:firstLineChars="600"/>
        <w:rPr>
          <w:rFonts w:ascii="宋体" w:hAnsi="宋体" w:cs="宋体"/>
          <w:b/>
          <w:color w:val="auto"/>
          <w:sz w:val="28"/>
          <w:szCs w:val="28"/>
          <w:highlight w:val="none"/>
        </w:rPr>
      </w:pPr>
      <w:bookmarkStart w:id="18" w:name="_Toc31466"/>
      <w:bookmarkStart w:id="19" w:name="_Toc304967952"/>
      <w:bookmarkStart w:id="20" w:name="_Toc244074264"/>
      <w:bookmarkStart w:id="21" w:name="_Toc304458160"/>
      <w:bookmarkStart w:id="22" w:name="_Toc248824928"/>
      <w:bookmarkStart w:id="23" w:name="_Toc235473933"/>
      <w:r>
        <w:rPr>
          <w:rFonts w:hint="eastAsia" w:ascii="宋体" w:hAnsi="宋体" w:cs="宋体"/>
          <w:b/>
          <w:color w:val="auto"/>
          <w:sz w:val="28"/>
          <w:szCs w:val="28"/>
          <w:highlight w:val="none"/>
        </w:rPr>
        <w:t xml:space="preserve"> 八、纪律要求、投诉、监督、质疑、处罚</w:t>
      </w:r>
      <w:bookmarkEnd w:id="18"/>
      <w:bookmarkEnd w:id="19"/>
      <w:bookmarkEnd w:id="20"/>
      <w:bookmarkEnd w:id="21"/>
      <w:bookmarkEnd w:id="22"/>
      <w:bookmarkEnd w:id="23"/>
    </w:p>
    <w:p w14:paraId="15B8CB56">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33</w:t>
      </w:r>
      <w:r>
        <w:rPr>
          <w:rFonts w:hint="eastAsia" w:ascii="宋体" w:hAnsi="宋体" w:cs="宋体"/>
          <w:b/>
          <w:bCs/>
          <w:color w:val="auto"/>
          <w:sz w:val="24"/>
          <w:highlight w:val="none"/>
        </w:rPr>
        <w:t>.对采购人的纪律要求</w:t>
      </w:r>
    </w:p>
    <w:p w14:paraId="01ABB2F9">
      <w:pPr>
        <w:spacing w:line="360" w:lineRule="auto"/>
        <w:ind w:firstLine="420"/>
        <w:rPr>
          <w:rFonts w:ascii="宋体" w:hAnsi="宋体" w:cs="宋体"/>
          <w:color w:val="auto"/>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不得泄露采购</w:t>
      </w:r>
      <w:r>
        <w:rPr>
          <w:rFonts w:hint="eastAsia" w:ascii="宋体" w:hAnsi="宋体" w:cs="宋体"/>
          <w:color w:val="auto"/>
          <w:sz w:val="24"/>
          <w:highlight w:val="none"/>
        </w:rPr>
        <w:t>活动中应当保密的情况和资料，不得与供应商串通损害国家利益、社会公共利益或者他人合法权益。</w:t>
      </w:r>
    </w:p>
    <w:p w14:paraId="4F7F913A">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34</w:t>
      </w:r>
      <w:r>
        <w:rPr>
          <w:rFonts w:hint="eastAsia" w:ascii="宋体" w:hAnsi="宋体" w:cs="宋体"/>
          <w:b/>
          <w:bCs/>
          <w:color w:val="auto"/>
          <w:sz w:val="24"/>
          <w:highlight w:val="none"/>
        </w:rPr>
        <w:t>.对供应商的纪律要求</w:t>
      </w:r>
    </w:p>
    <w:p w14:paraId="34A51D3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供应商不得相互串通投标或者与采购人串通投标，不得向采购人或者磋商小组成员行贿谋取</w:t>
      </w:r>
      <w:r>
        <w:rPr>
          <w:rFonts w:hint="eastAsia" w:ascii="宋体" w:hAnsi="宋体" w:cs="宋体"/>
          <w:color w:val="auto"/>
          <w:sz w:val="24"/>
          <w:highlight w:val="none"/>
          <w:lang w:eastAsia="zh-CN"/>
        </w:rPr>
        <w:t>成交</w:t>
      </w:r>
      <w:r>
        <w:rPr>
          <w:rFonts w:hint="eastAsia" w:ascii="宋体" w:hAnsi="宋体" w:cs="宋体"/>
          <w:color w:val="auto"/>
          <w:sz w:val="24"/>
          <w:highlight w:val="none"/>
        </w:rPr>
        <w:t>，不得以他人名义投标或者以其他方式弄虚作假骗取</w:t>
      </w:r>
      <w:r>
        <w:rPr>
          <w:rFonts w:hint="eastAsia" w:ascii="宋体" w:hAnsi="宋体" w:cs="宋体"/>
          <w:color w:val="auto"/>
          <w:sz w:val="24"/>
          <w:highlight w:val="none"/>
          <w:lang w:eastAsia="zh-CN"/>
        </w:rPr>
        <w:t>成交</w:t>
      </w:r>
      <w:r>
        <w:rPr>
          <w:rFonts w:hint="eastAsia" w:ascii="宋体" w:hAnsi="宋体" w:cs="宋体"/>
          <w:color w:val="auto"/>
          <w:sz w:val="24"/>
          <w:highlight w:val="none"/>
        </w:rPr>
        <w:t>；供应商不得以任何方式干扰、影响</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工作。</w:t>
      </w:r>
    </w:p>
    <w:p w14:paraId="0F727EC4">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35</w:t>
      </w:r>
      <w:r>
        <w:rPr>
          <w:rFonts w:hint="eastAsia" w:ascii="宋体" w:hAnsi="宋体" w:cs="宋体"/>
          <w:b/>
          <w:bCs/>
          <w:color w:val="auto"/>
          <w:sz w:val="24"/>
          <w:highlight w:val="none"/>
        </w:rPr>
        <w:t>.对磋商小组成员的纪律要求</w:t>
      </w:r>
    </w:p>
    <w:p w14:paraId="15DEFD3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磋商小组成员不得收受他人的财物或者其他好处，不得向他人</w:t>
      </w:r>
      <w:r>
        <w:rPr>
          <w:rFonts w:hint="eastAsia" w:ascii="宋体" w:hAnsi="宋体" w:cs="宋体"/>
          <w:color w:val="auto"/>
          <w:sz w:val="24"/>
          <w:highlight w:val="none"/>
          <w:lang w:eastAsia="zh-CN"/>
        </w:rPr>
        <w:t>透露</w:t>
      </w:r>
      <w:r>
        <w:rPr>
          <w:rFonts w:hint="eastAsia" w:ascii="宋体" w:hAnsi="宋体" w:cs="宋体"/>
          <w:color w:val="auto"/>
          <w:sz w:val="24"/>
          <w:highlight w:val="none"/>
        </w:rPr>
        <w:t>对响应文件的评审和比较、成交候选供应商的推荐情况以及</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有关的其他情况。在</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活动中，磋商小组成员不得擅离职守，影响</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程序正常进行，不得使用第三章“评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办法”没有规定的评审因素和标准进行</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w:t>
      </w:r>
    </w:p>
    <w:p w14:paraId="6426B228">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.对与</w:t>
      </w:r>
      <w:r>
        <w:rPr>
          <w:rFonts w:hint="eastAsia" w:ascii="宋体" w:hAnsi="宋体" w:cs="宋体"/>
          <w:b/>
          <w:bCs/>
          <w:color w:val="auto"/>
          <w:sz w:val="24"/>
          <w:highlight w:val="none"/>
          <w:lang w:val="en-US" w:eastAsia="zh-CN"/>
        </w:rPr>
        <w:t>评审</w:t>
      </w:r>
      <w:r>
        <w:rPr>
          <w:rFonts w:hint="eastAsia" w:ascii="宋体" w:hAnsi="宋体" w:cs="宋体"/>
          <w:b/>
          <w:bCs/>
          <w:color w:val="auto"/>
          <w:sz w:val="24"/>
          <w:highlight w:val="none"/>
        </w:rPr>
        <w:t>活动有关的工作人员的纪律要求</w:t>
      </w:r>
    </w:p>
    <w:p w14:paraId="60DD607E">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与</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活动有关的工作人员不得收受他人的财物或者其他好处，不得向他人</w:t>
      </w:r>
      <w:r>
        <w:rPr>
          <w:rFonts w:hint="eastAsia" w:ascii="宋体" w:hAnsi="宋体" w:cs="宋体"/>
          <w:color w:val="auto"/>
          <w:sz w:val="24"/>
          <w:highlight w:val="none"/>
          <w:lang w:eastAsia="zh-CN"/>
        </w:rPr>
        <w:t>透露</w:t>
      </w:r>
      <w:r>
        <w:rPr>
          <w:rFonts w:hint="eastAsia" w:ascii="宋体" w:hAnsi="宋体" w:cs="宋体"/>
          <w:color w:val="auto"/>
          <w:sz w:val="24"/>
          <w:highlight w:val="none"/>
        </w:rPr>
        <w:t>对响应文件的评审和比较、成交候选供应商的推荐情况以及</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有关的其他情况。在</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活动中，与</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活动有关的工作人员不得擅离职守，影响</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程序正常进行。</w:t>
      </w:r>
    </w:p>
    <w:p w14:paraId="73AD3B4C">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.质疑与投诉</w:t>
      </w:r>
    </w:p>
    <w:p w14:paraId="427149AB">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 供应商认为竞争性磋商文件、采购过程、成交结果使自己的权益受到损害的，可以在知道或者应知其权益受到损害之日起七个工作日内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以书面形式</w:t>
      </w:r>
      <w:r>
        <w:rPr>
          <w:rFonts w:hint="eastAsia" w:ascii="宋体" w:hAnsi="宋体" w:cs="宋体"/>
          <w:color w:val="auto"/>
          <w:sz w:val="24"/>
          <w:highlight w:val="none"/>
        </w:rPr>
        <w:t>向采购人、代理机构提出质疑</w:t>
      </w:r>
      <w:r>
        <w:rPr>
          <w:rFonts w:hint="eastAsia" w:ascii="宋体" w:hAnsi="宋体" w:cs="宋体"/>
          <w:color w:val="auto"/>
          <w:sz w:val="24"/>
          <w:highlight w:val="none"/>
          <w:lang w:eastAsia="zh-CN"/>
        </w:rPr>
        <w:t>；</w:t>
      </w:r>
      <w:r>
        <w:rPr>
          <w:rFonts w:hint="eastAsia" w:ascii="宋体" w:hAnsi="宋体" w:cs="宋体"/>
          <w:color w:val="auto"/>
          <w:sz w:val="24"/>
          <w:highlight w:val="none"/>
        </w:rPr>
        <w:t>如对采购人、采购代理机构的答复不满意或者采购人、采购代理机构未在规定的时间内作出答复的</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供应商可以在答复期满后15个工作日内向相关监督部门提起书面投诉。</w:t>
      </w:r>
      <w:r>
        <w:rPr>
          <w:rFonts w:hint="eastAsia" w:ascii="宋体" w:hAnsi="宋体" w:cs="宋体"/>
          <w:color w:val="auto"/>
          <w:sz w:val="24"/>
          <w:highlight w:val="none"/>
          <w:lang w:eastAsia="zh-CN"/>
        </w:rPr>
        <w:t>（</w:t>
      </w:r>
      <w:r>
        <w:rPr>
          <w:rFonts w:hint="eastAsia" w:ascii="宋体" w:hAnsi="宋体" w:cs="宋体"/>
          <w:color w:val="auto"/>
          <w:sz w:val="24"/>
          <w:highlight w:val="none"/>
        </w:rPr>
        <w:t>具体程序按《政府采购质疑和投诉办法》文件执行）</w:t>
      </w:r>
    </w:p>
    <w:p w14:paraId="02B7BF34">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 供应商的质疑和投诉必须以实名书面形式按竞争性磋商文件及有关规定的程序递交，质疑和投诉的内容必须有充分的事实和法律依据，否则采购单位或有关行政监督部门有</w:t>
      </w:r>
      <w:r>
        <w:rPr>
          <w:rFonts w:hint="eastAsia" w:ascii="宋体" w:hAnsi="宋体" w:cs="宋体"/>
          <w:color w:val="auto"/>
          <w:sz w:val="24"/>
          <w:highlight w:val="none"/>
          <w:lang w:eastAsia="zh-CN"/>
        </w:rPr>
        <w:t>权</w:t>
      </w:r>
      <w:r>
        <w:rPr>
          <w:rFonts w:hint="eastAsia" w:ascii="宋体" w:hAnsi="宋体" w:cs="宋体"/>
          <w:color w:val="auto"/>
          <w:sz w:val="24"/>
          <w:highlight w:val="none"/>
        </w:rPr>
        <w:t>拒绝受理；对于歪曲事实或采用不正当手段恶意质疑和投诉的供应商，有关行政监督部门将依法予以处罚，并记入不良记录。</w:t>
      </w:r>
    </w:p>
    <w:p w14:paraId="4F1CBFFA">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.处罚</w:t>
      </w:r>
    </w:p>
    <w:p w14:paraId="2EE27AF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本次</w:t>
      </w:r>
      <w:r>
        <w:rPr>
          <w:rFonts w:hint="eastAsia" w:ascii="宋体" w:hAnsi="宋体" w:cs="宋体"/>
          <w:color w:val="auto"/>
          <w:sz w:val="24"/>
          <w:highlight w:val="none"/>
          <w:lang w:eastAsia="zh-CN"/>
        </w:rPr>
        <w:t>采购</w:t>
      </w:r>
      <w:r>
        <w:rPr>
          <w:rFonts w:hint="eastAsia" w:ascii="宋体" w:hAnsi="宋体" w:cs="宋体"/>
          <w:color w:val="auto"/>
          <w:sz w:val="24"/>
          <w:highlight w:val="none"/>
        </w:rPr>
        <w:t>的采购人、供应商、磋商小组成员及相关人员等参与</w:t>
      </w:r>
      <w:r>
        <w:rPr>
          <w:rFonts w:hint="eastAsia" w:ascii="宋体" w:hAnsi="宋体" w:cs="宋体"/>
          <w:color w:val="auto"/>
          <w:sz w:val="24"/>
          <w:highlight w:val="none"/>
          <w:lang w:eastAsia="zh-CN"/>
        </w:rPr>
        <w:t>采购</w:t>
      </w:r>
      <w:r>
        <w:rPr>
          <w:rFonts w:hint="eastAsia" w:ascii="宋体" w:hAnsi="宋体" w:cs="宋体"/>
          <w:color w:val="auto"/>
          <w:sz w:val="24"/>
          <w:highlight w:val="none"/>
        </w:rPr>
        <w:t>活动的各单位及个人，均应在</w:t>
      </w:r>
      <w:r>
        <w:rPr>
          <w:rFonts w:hint="eastAsia" w:ascii="宋体" w:hAnsi="宋体" w:cs="宋体"/>
          <w:color w:val="auto"/>
          <w:sz w:val="24"/>
          <w:highlight w:val="none"/>
          <w:lang w:eastAsia="zh-CN"/>
        </w:rPr>
        <w:t>采购</w:t>
      </w:r>
      <w:r>
        <w:rPr>
          <w:rFonts w:hint="eastAsia" w:ascii="宋体" w:hAnsi="宋体" w:cs="宋体"/>
          <w:color w:val="auto"/>
          <w:sz w:val="24"/>
          <w:highlight w:val="none"/>
        </w:rPr>
        <w:t>、</w:t>
      </w:r>
      <w:r>
        <w:rPr>
          <w:rFonts w:hint="eastAsia" w:ascii="宋体" w:hAnsi="宋体" w:cs="宋体"/>
          <w:color w:val="auto"/>
          <w:sz w:val="24"/>
          <w:highlight w:val="none"/>
          <w:lang w:eastAsia="zh-CN"/>
        </w:rPr>
        <w:t>响应采购</w:t>
      </w:r>
      <w:r>
        <w:rPr>
          <w:rFonts w:hint="eastAsia" w:ascii="宋体" w:hAnsi="宋体" w:cs="宋体"/>
          <w:color w:val="auto"/>
          <w:sz w:val="24"/>
          <w:highlight w:val="none"/>
        </w:rPr>
        <w:t>、合同执行等过程中保持廉洁并遵守职业道德；如不遵守国家相关法律和规定，或是有腐败、欺诈行为，将按国家有关规定予以处罚。</w:t>
      </w:r>
    </w:p>
    <w:p w14:paraId="236BB8C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因供应商在</w:t>
      </w:r>
      <w:r>
        <w:rPr>
          <w:rFonts w:hint="eastAsia" w:ascii="宋体" w:hAnsi="宋体" w:cs="宋体"/>
          <w:color w:val="auto"/>
          <w:sz w:val="24"/>
          <w:highlight w:val="none"/>
          <w:lang w:eastAsia="zh-CN"/>
        </w:rPr>
        <w:t>响应采购活动</w:t>
      </w:r>
      <w:r>
        <w:rPr>
          <w:rFonts w:hint="eastAsia" w:ascii="宋体" w:hAnsi="宋体" w:cs="宋体"/>
          <w:color w:val="auto"/>
          <w:sz w:val="24"/>
          <w:highlight w:val="none"/>
        </w:rPr>
        <w:t>过程中串标、围标或采用其他违法行为获取</w:t>
      </w:r>
      <w:r>
        <w:rPr>
          <w:rFonts w:hint="eastAsia" w:ascii="宋体" w:hAnsi="宋体" w:cs="宋体"/>
          <w:color w:val="auto"/>
          <w:sz w:val="24"/>
          <w:highlight w:val="none"/>
          <w:lang w:eastAsia="zh-CN"/>
        </w:rPr>
        <w:t>成交</w:t>
      </w:r>
      <w:r>
        <w:rPr>
          <w:rFonts w:hint="eastAsia" w:ascii="宋体" w:hAnsi="宋体" w:cs="宋体"/>
          <w:color w:val="auto"/>
          <w:sz w:val="24"/>
          <w:highlight w:val="none"/>
        </w:rPr>
        <w:t>的，一旦被有关单位发现，采购人有权单方解除合同，同时供应商应赔偿由此给采购人所带来的一切损失。</w:t>
      </w:r>
      <w:bookmarkStart w:id="24" w:name="_Toc244074265"/>
      <w:bookmarkStart w:id="25" w:name="_Toc248824929"/>
      <w:bookmarkStart w:id="26" w:name="_Toc28337"/>
      <w:bookmarkStart w:id="27" w:name="_Toc235473934"/>
      <w:bookmarkStart w:id="28" w:name="_Toc304967953"/>
      <w:bookmarkStart w:id="29" w:name="_Toc304458161"/>
    </w:p>
    <w:p w14:paraId="6C80DA53">
      <w:pPr>
        <w:snapToGrid w:val="0"/>
        <w:spacing w:line="360" w:lineRule="auto"/>
        <w:ind w:firstLine="3614" w:firstLineChars="1500"/>
        <w:rPr>
          <w:rFonts w:ascii="宋体" w:hAnsi="宋体" w:cs="宋体"/>
          <w:color w:val="auto"/>
          <w:sz w:val="24"/>
          <w:highlight w:val="none"/>
        </w:rPr>
      </w:pPr>
      <w:r>
        <w:rPr>
          <w:rFonts w:hint="eastAsia" w:ascii="宋体" w:hAnsi="宋体" w:cs="宋体"/>
          <w:b/>
          <w:color w:val="auto"/>
          <w:sz w:val="24"/>
          <w:highlight w:val="none"/>
        </w:rPr>
        <w:t>九、其 他</w:t>
      </w:r>
    </w:p>
    <w:bookmarkEnd w:id="24"/>
    <w:bookmarkEnd w:id="25"/>
    <w:bookmarkEnd w:id="26"/>
    <w:bookmarkEnd w:id="27"/>
    <w:bookmarkEnd w:id="28"/>
    <w:bookmarkEnd w:id="29"/>
    <w:p w14:paraId="55532A50">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.本磋商文件解释权属采购人所有。</w:t>
      </w:r>
    </w:p>
    <w:p w14:paraId="5539BAA2">
      <w:pPr>
        <w:pageBreakBefore w:val="0"/>
        <w:overflowPunct/>
        <w:topLinePunct w:val="0"/>
        <w:bidi w:val="0"/>
        <w:adjustRightInd/>
        <w:snapToGrid/>
        <w:spacing w:line="360" w:lineRule="auto"/>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b/>
          <w:bCs/>
          <w:color w:val="auto"/>
          <w:sz w:val="28"/>
          <w:szCs w:val="28"/>
          <w:highlight w:val="none"/>
          <w:lang w:eastAsia="zh-CN"/>
        </w:rPr>
        <w:t>附件一：</w:t>
      </w:r>
      <w:r>
        <w:rPr>
          <w:rFonts w:hint="eastAsia" w:ascii="宋体" w:hAnsi="宋体" w:eastAsia="宋体" w:cs="宋体"/>
          <w:b/>
          <w:bCs/>
          <w:color w:val="auto"/>
          <w:sz w:val="28"/>
          <w:szCs w:val="28"/>
          <w:highlight w:val="none"/>
          <w:lang w:val="en-US" w:eastAsia="zh-CN"/>
        </w:rPr>
        <w:t>中小企业划型标准规定</w:t>
      </w:r>
    </w:p>
    <w:p w14:paraId="03A0C9C8">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一、根据《中华人民共和国中小企业促进法》和《国务院关于进一步促进中小企业发展的若干意见》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国发〔2009〕36号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，制定本规定。</w:t>
      </w:r>
    </w:p>
    <w:p w14:paraId="46CB50E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二、中小企业划分为中型、小型、微型三种类型，具体标准根据企业从业人员、营业收入、资产总额等指标，结合行业特点制定。</w:t>
      </w:r>
    </w:p>
    <w:p w14:paraId="7AD7696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A9AB81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四、各行业划型标准为：</w:t>
      </w:r>
    </w:p>
    <w:p w14:paraId="15BEAF2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（一）农、林、牧、渔业。营业收入20000万元以下的为中小微型企业。其中，营业收入500万元及以上的为中型企业，营业收入50万元及以上的为小型企业，营业收入50万元以下的为微型企业。</w:t>
      </w:r>
    </w:p>
    <w:p w14:paraId="7E6E0EA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54B0F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1FE7C1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B683B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D579AE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C92B3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3F92F3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63864B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6E416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E181A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F530C9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5CDEED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A1BC21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AF35DD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713112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（十六）其他未列明行业。从业人员300人以下的为中小微型企业。其中，从业人员100人及以上的为中型企业；从业人员10人及以上的为小型企业；从业人员10人以下的为微型企业。</w:t>
      </w:r>
    </w:p>
    <w:p w14:paraId="2A8C33D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五、企业类型的划分以统计部门的统计数据为依据。</w:t>
      </w:r>
    </w:p>
    <w:p w14:paraId="5AADC6D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六、本规定适用于在中华人民共和国境内依法设立的各类所有制和各种组织形式的企业。个体工商户和本规定以外的行业，参照本规定进行划型。</w:t>
      </w:r>
    </w:p>
    <w:p w14:paraId="606234C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69ABD3FE">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八、本规定由工业和信息化部、国家统计局会同有关部门根据《国民经济行业分类》修订情况和企业发展变化情况适时修订。</w:t>
      </w:r>
    </w:p>
    <w:p w14:paraId="08C6A558">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九、本规定由工业和信息化部、国家统计局会同有关部门负责解释。</w:t>
      </w:r>
    </w:p>
    <w:p w14:paraId="785B142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十、本规定自发布之日起执行，原国家经贸委、原国家计委、财政部和国家统计局2003年颁布的《中小企业标准暂行规定》同时废止。</w:t>
      </w:r>
    </w:p>
    <w:p w14:paraId="64DF717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1BC8EAA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eastAsia="zh-CN"/>
        </w:rPr>
        <w:t>二</w:t>
      </w:r>
      <w:r>
        <w:rPr>
          <w:rFonts w:hint="eastAsia" w:ascii="宋体" w:hAnsi="宋体" w:cs="宋体"/>
          <w:b/>
          <w:bCs/>
          <w:color w:val="auto"/>
          <w:sz w:val="28"/>
          <w:szCs w:val="28"/>
          <w:highlight w:val="none"/>
        </w:rPr>
        <w:t>：中国境内生产的组件成本核算基本规则</w:t>
      </w:r>
    </w:p>
    <w:p w14:paraId="1E5308A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rPr>
          <w:rFonts w:hint="eastAsia" w:ascii="宋体" w:hAnsi="宋体" w:eastAsia="宋体" w:cs="宋体"/>
          <w:i w:val="0"/>
          <w:iCs w:val="0"/>
          <w:caps w:val="0"/>
          <w:color w:val="auto"/>
          <w:spacing w:val="0"/>
          <w:sz w:val="24"/>
          <w:szCs w:val="24"/>
          <w:highlight w:val="none"/>
        </w:rPr>
      </w:pPr>
    </w:p>
    <w:p w14:paraId="036CC4E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center"/>
        <w:rPr>
          <w:rFonts w:hint="eastAsia" w:ascii="宋体" w:hAnsi="宋体" w:eastAsia="宋体" w:cs="宋体"/>
          <w:i w:val="0"/>
          <w:iCs w:val="0"/>
          <w:caps w:val="0"/>
          <w:color w:val="auto"/>
          <w:spacing w:val="0"/>
          <w:sz w:val="28"/>
          <w:szCs w:val="28"/>
          <w:highlight w:val="none"/>
        </w:rPr>
      </w:pPr>
      <w:r>
        <w:rPr>
          <w:rStyle w:val="34"/>
          <w:rFonts w:hint="eastAsia" w:ascii="宋体" w:hAnsi="宋体" w:eastAsia="宋体" w:cs="宋体"/>
          <w:i w:val="0"/>
          <w:iCs w:val="0"/>
          <w:caps w:val="0"/>
          <w:color w:val="auto"/>
          <w:spacing w:val="0"/>
          <w:sz w:val="28"/>
          <w:szCs w:val="28"/>
          <w:highlight w:val="none"/>
          <w:shd w:val="clear" w:fill="FFFFFF"/>
        </w:rPr>
        <w:t>中国境内生产的组件成本核算基本规则</w:t>
      </w:r>
    </w:p>
    <w:p w14:paraId="1B84349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rPr>
          <w:rFonts w:hint="eastAsia" w:ascii="宋体" w:hAnsi="宋体" w:eastAsia="宋体" w:cs="宋体"/>
          <w:i w:val="0"/>
          <w:iCs w:val="0"/>
          <w:caps w:val="0"/>
          <w:color w:val="auto"/>
          <w:spacing w:val="0"/>
          <w:sz w:val="24"/>
          <w:szCs w:val="24"/>
          <w:highlight w:val="none"/>
        </w:rPr>
      </w:pPr>
    </w:p>
    <w:p w14:paraId="786B78A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540524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一、产品的一级组件是指直接组成产品的组件。产品的二级组件是指直接组成产品一级组件的组件。一级组件不可分解的，视同二级组件。</w:t>
      </w:r>
    </w:p>
    <w:p w14:paraId="77EF295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二、二级组件在中国境内生产的，其全部成本计入中国境内生产的组件成本；二级组件不在中国境内生产的，其成本不计入中国境内生产的组件成本。</w:t>
      </w:r>
    </w:p>
    <w:p w14:paraId="1FAF94F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三、产品总成本和组件成本以相关会计核算数据、采购合同、进货记录等为基础进行计算。</w:t>
      </w:r>
    </w:p>
    <w:p w14:paraId="0552AF9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四、需要对成本核算规则予以进一步明确的其他有关事项，由财政部会同有关部门另行规定。</w:t>
      </w:r>
    </w:p>
    <w:p w14:paraId="07959BBF">
      <w:pPr>
        <w:spacing w:line="360" w:lineRule="auto"/>
        <w:rPr>
          <w:rFonts w:hint="eastAsia" w:ascii="宋体" w:hAnsi="宋体" w:eastAsia="宋体" w:cs="宋体"/>
          <w:color w:val="auto"/>
          <w:sz w:val="24"/>
          <w:szCs w:val="24"/>
          <w:highlight w:val="none"/>
          <w:lang w:eastAsia="zh-CN"/>
        </w:rPr>
      </w:pPr>
    </w:p>
    <w:p w14:paraId="758F0DE5">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bCs/>
          <w:color w:val="auto"/>
          <w:sz w:val="24"/>
          <w:szCs w:val="24"/>
          <w:highlight w:val="none"/>
          <w:lang w:eastAsia="zh-CN"/>
        </w:rPr>
      </w:pPr>
    </w:p>
    <w:p w14:paraId="5E4552D2">
      <w:pPr>
        <w:spacing w:line="360" w:lineRule="auto"/>
        <w:rPr>
          <w:rFonts w:hint="eastAsia" w:ascii="宋体" w:hAnsi="宋体" w:eastAsia="宋体" w:cs="宋体"/>
          <w:bCs/>
          <w:color w:val="auto"/>
          <w:sz w:val="36"/>
          <w:szCs w:val="36"/>
          <w:highlight w:val="none"/>
        </w:rPr>
      </w:pPr>
      <w:r>
        <w:rPr>
          <w:rFonts w:hint="eastAsia" w:ascii="宋体" w:hAnsi="宋体" w:eastAsia="宋体" w:cs="宋体"/>
          <w:b/>
          <w:color w:val="auto"/>
          <w:kern w:val="0"/>
          <w:sz w:val="24"/>
          <w:highlight w:val="none"/>
        </w:rPr>
        <w:br w:type="page"/>
      </w:r>
      <w:bookmarkStart w:id="30" w:name="_Toc9525"/>
      <w:bookmarkStart w:id="31" w:name="_Toc436423313"/>
    </w:p>
    <w:p w14:paraId="14E69C5F">
      <w:pPr>
        <w:pStyle w:val="4"/>
        <w:spacing w:line="440" w:lineRule="exact"/>
        <w:jc w:val="center"/>
        <w:rPr>
          <w:rFonts w:hint="eastAsia" w:ascii="宋体" w:hAnsi="宋体" w:eastAsia="宋体" w:cs="宋体"/>
          <w:bCs/>
          <w:color w:val="auto"/>
          <w:sz w:val="36"/>
          <w:szCs w:val="36"/>
          <w:highlight w:val="none"/>
        </w:rPr>
      </w:pPr>
      <w:bookmarkStart w:id="32" w:name="_Toc7731"/>
      <w:r>
        <w:rPr>
          <w:rFonts w:hint="eastAsia" w:ascii="宋体" w:hAnsi="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第三章  评</w:t>
      </w:r>
      <w:r>
        <w:rPr>
          <w:rFonts w:hint="eastAsia" w:ascii="宋体" w:hAnsi="宋体" w:cs="宋体"/>
          <w:bCs/>
          <w:color w:val="auto"/>
          <w:sz w:val="36"/>
          <w:szCs w:val="36"/>
          <w:highlight w:val="none"/>
          <w:lang w:val="en-US" w:eastAsia="zh-CN"/>
        </w:rPr>
        <w:t>审</w:t>
      </w:r>
      <w:r>
        <w:rPr>
          <w:rFonts w:hint="eastAsia" w:ascii="宋体" w:hAnsi="宋体" w:eastAsia="宋体" w:cs="宋体"/>
          <w:bCs/>
          <w:color w:val="auto"/>
          <w:sz w:val="36"/>
          <w:szCs w:val="36"/>
          <w:highlight w:val="none"/>
        </w:rPr>
        <w:t>办法</w:t>
      </w:r>
      <w:bookmarkEnd w:id="30"/>
      <w:bookmarkEnd w:id="32"/>
    </w:p>
    <w:p w14:paraId="25D41B03">
      <w:pPr>
        <w:spacing w:after="0" w:line="360" w:lineRule="auto"/>
        <w:jc w:val="both"/>
        <w:rPr>
          <w:rFonts w:hint="eastAsia"/>
          <w:color w:val="auto"/>
          <w:highlight w:val="none"/>
        </w:rPr>
      </w:pPr>
      <w:bookmarkStart w:id="33" w:name="_Toc261618204"/>
      <w:bookmarkStart w:id="34" w:name="_Toc256145678"/>
      <w:bookmarkStart w:id="35" w:name="_Toc247085758"/>
      <w:bookmarkStart w:id="36" w:name="_Toc323387787"/>
      <w:bookmarkStart w:id="37" w:name="_Toc246996986"/>
      <w:bookmarkStart w:id="38" w:name="_Toc248985521"/>
      <w:bookmarkStart w:id="39" w:name="_Toc246996243"/>
      <w:bookmarkStart w:id="40" w:name="_Toc2790"/>
      <w:bookmarkStart w:id="41" w:name="_Toc152042377"/>
      <w:bookmarkStart w:id="42" w:name="_Toc152045600"/>
      <w:bookmarkStart w:id="43" w:name="_Toc179632618"/>
      <w:bookmarkStart w:id="44" w:name="_Toc144974567"/>
      <w:r>
        <w:rPr>
          <w:rFonts w:hint="eastAsia" w:ascii="宋体" w:hAnsi="宋体" w:eastAsia="宋体" w:cs="宋体"/>
          <w:b/>
          <w:color w:val="auto"/>
          <w:sz w:val="28"/>
          <w:szCs w:val="28"/>
          <w:highlight w:val="none"/>
        </w:rPr>
        <w:t>评</w:t>
      </w:r>
      <w:r>
        <w:rPr>
          <w:rFonts w:hint="eastAsia" w:ascii="宋体" w:hAnsi="宋体" w:eastAsia="宋体" w:cs="宋体"/>
          <w:b/>
          <w:color w:val="auto"/>
          <w:sz w:val="28"/>
          <w:szCs w:val="28"/>
          <w:highlight w:val="none"/>
          <w:lang w:eastAsia="zh-CN"/>
        </w:rPr>
        <w:t>审</w:t>
      </w:r>
      <w:r>
        <w:rPr>
          <w:rFonts w:hint="eastAsia" w:ascii="宋体" w:hAnsi="宋体" w:eastAsia="宋体" w:cs="宋体"/>
          <w:b/>
          <w:color w:val="auto"/>
          <w:sz w:val="28"/>
          <w:szCs w:val="28"/>
          <w:highlight w:val="none"/>
        </w:rPr>
        <w:t>办法前附表</w:t>
      </w:r>
    </w:p>
    <w:tbl>
      <w:tblPr>
        <w:tblStyle w:val="117"/>
        <w:tblW w:w="8799" w:type="dxa"/>
        <w:tblInd w:w="4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9"/>
        <w:gridCol w:w="696"/>
        <w:gridCol w:w="6424"/>
      </w:tblGrid>
      <w:tr w14:paraId="44B9C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679" w:type="dxa"/>
            <w:tcBorders>
              <w:bottom w:val="single" w:color="auto" w:sz="4" w:space="0"/>
            </w:tcBorders>
            <w:vAlign w:val="top"/>
          </w:tcPr>
          <w:p w14:paraId="5A7937F3">
            <w:pPr>
              <w:pStyle w:val="118"/>
              <w:spacing w:before="135" w:line="218" w:lineRule="auto"/>
              <w:ind w:left="116"/>
              <w:rPr>
                <w:rFonts w:hint="eastAsia" w:ascii="宋体" w:hAnsi="宋体" w:eastAsia="宋体" w:cs="宋体"/>
                <w:color w:val="auto"/>
                <w:highlight w:val="none"/>
              </w:rPr>
            </w:pPr>
            <w:r>
              <w:rPr>
                <w:rFonts w:hint="eastAsia" w:ascii="宋体" w:hAnsi="宋体" w:eastAsia="宋体" w:cs="宋体"/>
                <w:color w:val="auto"/>
                <w:spacing w:val="-3"/>
                <w:highlight w:val="none"/>
              </w:rPr>
              <w:t>评审内容</w:t>
            </w:r>
          </w:p>
        </w:tc>
        <w:tc>
          <w:tcPr>
            <w:tcW w:w="696" w:type="dxa"/>
            <w:tcBorders>
              <w:bottom w:val="single" w:color="auto" w:sz="4" w:space="0"/>
            </w:tcBorders>
            <w:vAlign w:val="top"/>
          </w:tcPr>
          <w:p w14:paraId="26919BDF">
            <w:pPr>
              <w:pStyle w:val="118"/>
              <w:spacing w:before="135" w:line="218" w:lineRule="auto"/>
              <w:ind w:left="124"/>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6424" w:type="dxa"/>
            <w:tcBorders>
              <w:bottom w:val="single" w:color="auto" w:sz="4" w:space="0"/>
            </w:tcBorders>
            <w:vAlign w:val="top"/>
          </w:tcPr>
          <w:p w14:paraId="5042BF43">
            <w:pPr>
              <w:pStyle w:val="118"/>
              <w:spacing w:before="135" w:line="218" w:lineRule="auto"/>
              <w:ind w:left="2513"/>
              <w:rPr>
                <w:rFonts w:hint="eastAsia" w:ascii="宋体" w:hAnsi="宋体" w:eastAsia="宋体" w:cs="宋体"/>
                <w:color w:val="auto"/>
                <w:highlight w:val="none"/>
              </w:rPr>
            </w:pPr>
            <w:r>
              <w:rPr>
                <w:rFonts w:hint="eastAsia" w:ascii="宋体" w:hAnsi="宋体" w:eastAsia="宋体" w:cs="宋体"/>
                <w:color w:val="auto"/>
                <w:spacing w:val="-3"/>
                <w:highlight w:val="none"/>
              </w:rPr>
              <w:t>评审标准</w:t>
            </w:r>
          </w:p>
        </w:tc>
      </w:tr>
      <w:tr w14:paraId="4EF99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679" w:type="dxa"/>
            <w:tcBorders>
              <w:top w:val="nil"/>
              <w:left w:val="single" w:color="auto" w:sz="4" w:space="0"/>
            </w:tcBorders>
            <w:vAlign w:val="center"/>
          </w:tcPr>
          <w:p w14:paraId="780D6829">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资格评审</w:t>
            </w:r>
          </w:p>
        </w:tc>
        <w:tc>
          <w:tcPr>
            <w:tcW w:w="696" w:type="dxa"/>
            <w:vAlign w:val="center"/>
          </w:tcPr>
          <w:p w14:paraId="3AEE0B67">
            <w:pPr>
              <w:pStyle w:val="118"/>
              <w:spacing w:before="78" w:line="183"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p>
        </w:tc>
        <w:tc>
          <w:tcPr>
            <w:tcW w:w="6424" w:type="dxa"/>
            <w:tcBorders>
              <w:right w:val="single" w:color="auto" w:sz="4" w:space="0"/>
            </w:tcBorders>
            <w:vAlign w:val="center"/>
          </w:tcPr>
          <w:p w14:paraId="4DA12218">
            <w:pPr>
              <w:pStyle w:val="118"/>
              <w:keepNext w:val="0"/>
              <w:keepLines w:val="0"/>
              <w:pageBreakBefore w:val="0"/>
              <w:widowControl w:val="0"/>
              <w:kinsoku/>
              <w:wordWrap/>
              <w:overflowPunct/>
              <w:topLinePunct w:val="0"/>
              <w:autoSpaceDE/>
              <w:autoSpaceDN/>
              <w:bidi w:val="0"/>
              <w:adjustRightInd/>
              <w:snapToGrid/>
              <w:spacing w:before="131" w:line="218" w:lineRule="auto"/>
              <w:ind w:firstLine="400" w:firstLineChars="200"/>
              <w:jc w:val="left"/>
              <w:textAlignment w:val="auto"/>
              <w:rPr>
                <w:rFonts w:hint="eastAsia" w:ascii="宋体" w:hAnsi="宋体" w:eastAsia="宋体" w:cs="宋体"/>
                <w:color w:val="auto"/>
                <w:spacing w:val="-5"/>
                <w:highlight w:val="none"/>
              </w:rPr>
            </w:pPr>
            <w:r>
              <w:rPr>
                <w:rFonts w:hint="eastAsia" w:ascii="宋体" w:hAnsi="宋体" w:eastAsia="宋体" w:cs="宋体"/>
                <w:color w:val="auto"/>
                <w:spacing w:val="-5"/>
                <w:highlight w:val="none"/>
                <w:lang w:val="en-US" w:eastAsia="zh-CN"/>
              </w:rPr>
              <w:t>符合竞争性磋商公告二、申请人资格要求</w:t>
            </w:r>
          </w:p>
        </w:tc>
      </w:tr>
      <w:tr w14:paraId="5364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1679" w:type="dxa"/>
            <w:vMerge w:val="restart"/>
            <w:tcBorders>
              <w:top w:val="single" w:color="auto" w:sz="4" w:space="0"/>
              <w:bottom w:val="nil"/>
            </w:tcBorders>
            <w:vAlign w:val="center"/>
          </w:tcPr>
          <w:p w14:paraId="41C29C52">
            <w:pPr>
              <w:pStyle w:val="118"/>
              <w:spacing w:before="78" w:line="221" w:lineRule="auto"/>
              <w:ind w:left="11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形式性评审</w:t>
            </w:r>
          </w:p>
        </w:tc>
        <w:tc>
          <w:tcPr>
            <w:tcW w:w="696" w:type="dxa"/>
            <w:tcBorders>
              <w:top w:val="single" w:color="auto" w:sz="4" w:space="0"/>
            </w:tcBorders>
            <w:vAlign w:val="center"/>
          </w:tcPr>
          <w:p w14:paraId="6489DA59">
            <w:pPr>
              <w:pStyle w:val="118"/>
              <w:spacing w:before="172" w:line="184" w:lineRule="auto"/>
              <w:ind w:left="131"/>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6424" w:type="dxa"/>
            <w:tcBorders>
              <w:top w:val="single" w:color="auto" w:sz="4" w:space="0"/>
            </w:tcBorders>
            <w:vAlign w:val="center"/>
          </w:tcPr>
          <w:p w14:paraId="6947E34B">
            <w:pPr>
              <w:pStyle w:val="118"/>
              <w:keepNext w:val="0"/>
              <w:keepLines w:val="0"/>
              <w:pageBreakBefore w:val="0"/>
              <w:widowControl w:val="0"/>
              <w:kinsoku/>
              <w:wordWrap/>
              <w:overflowPunct/>
              <w:topLinePunct w:val="0"/>
              <w:autoSpaceDE/>
              <w:autoSpaceDN/>
              <w:bidi w:val="0"/>
              <w:adjustRightInd/>
              <w:snapToGrid/>
              <w:spacing w:before="135" w:line="215" w:lineRule="auto"/>
              <w:ind w:left="594"/>
              <w:jc w:val="left"/>
              <w:textAlignment w:val="auto"/>
              <w:rPr>
                <w:rFonts w:hint="eastAsia" w:ascii="宋体" w:hAnsi="宋体" w:eastAsia="宋体" w:cs="宋体"/>
                <w:color w:val="auto"/>
                <w:highlight w:val="none"/>
              </w:rPr>
            </w:pPr>
            <w:r>
              <w:rPr>
                <w:rFonts w:hint="eastAsia" w:ascii="宋体" w:hAnsi="宋体" w:eastAsia="宋体" w:cs="宋体"/>
                <w:color w:val="auto"/>
                <w:spacing w:val="-1"/>
                <w:highlight w:val="none"/>
              </w:rPr>
              <w:t>供应商名称与营业执照一致</w:t>
            </w:r>
          </w:p>
        </w:tc>
      </w:tr>
      <w:tr w14:paraId="6C12C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1679" w:type="dxa"/>
            <w:vMerge w:val="continue"/>
            <w:tcBorders>
              <w:top w:val="nil"/>
              <w:bottom w:val="nil"/>
            </w:tcBorders>
            <w:vAlign w:val="center"/>
          </w:tcPr>
          <w:p w14:paraId="57C8FB81">
            <w:pPr>
              <w:jc w:val="center"/>
              <w:rPr>
                <w:rFonts w:hint="eastAsia" w:ascii="宋体" w:hAnsi="宋体" w:eastAsia="宋体" w:cs="宋体"/>
                <w:color w:val="auto"/>
                <w:sz w:val="21"/>
                <w:highlight w:val="none"/>
              </w:rPr>
            </w:pPr>
          </w:p>
        </w:tc>
        <w:tc>
          <w:tcPr>
            <w:tcW w:w="696" w:type="dxa"/>
            <w:vAlign w:val="center"/>
          </w:tcPr>
          <w:p w14:paraId="7E7CFB93">
            <w:pPr>
              <w:pStyle w:val="118"/>
              <w:spacing w:before="173" w:line="183" w:lineRule="auto"/>
              <w:ind w:left="116"/>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6424" w:type="dxa"/>
            <w:vAlign w:val="center"/>
          </w:tcPr>
          <w:p w14:paraId="4C99764A">
            <w:pPr>
              <w:pStyle w:val="118"/>
              <w:keepNext w:val="0"/>
              <w:keepLines w:val="0"/>
              <w:pageBreakBefore w:val="0"/>
              <w:widowControl w:val="0"/>
              <w:kinsoku/>
              <w:wordWrap/>
              <w:overflowPunct/>
              <w:topLinePunct w:val="0"/>
              <w:autoSpaceDE/>
              <w:autoSpaceDN/>
              <w:bidi w:val="0"/>
              <w:adjustRightInd/>
              <w:snapToGrid/>
              <w:spacing w:before="135" w:line="215" w:lineRule="auto"/>
              <w:ind w:left="597"/>
              <w:jc w:val="left"/>
              <w:textAlignment w:val="auto"/>
              <w:rPr>
                <w:rFonts w:hint="eastAsia" w:ascii="宋体" w:hAnsi="宋体" w:eastAsia="宋体" w:cs="宋体"/>
                <w:color w:val="auto"/>
                <w:highlight w:val="none"/>
              </w:rPr>
            </w:pPr>
            <w:r>
              <w:rPr>
                <w:rFonts w:hint="eastAsia" w:ascii="宋体" w:hAnsi="宋体" w:eastAsia="宋体" w:cs="宋体"/>
                <w:color w:val="auto"/>
                <w:spacing w:val="-1"/>
                <w:highlight w:val="none"/>
                <w:lang w:val="en-US" w:eastAsia="zh-CN"/>
              </w:rPr>
              <w:t>磋商</w:t>
            </w:r>
            <w:r>
              <w:rPr>
                <w:rFonts w:hint="eastAsia" w:ascii="宋体" w:hAnsi="宋体" w:eastAsia="宋体" w:cs="宋体"/>
                <w:color w:val="auto"/>
                <w:spacing w:val="-1"/>
                <w:highlight w:val="none"/>
              </w:rPr>
              <w:t>函有法定代表人或其委托代理人签字或盖章并加盖单位公章</w:t>
            </w:r>
          </w:p>
        </w:tc>
      </w:tr>
      <w:tr w14:paraId="6646B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1679" w:type="dxa"/>
            <w:vMerge w:val="continue"/>
            <w:tcBorders>
              <w:top w:val="nil"/>
            </w:tcBorders>
            <w:vAlign w:val="center"/>
          </w:tcPr>
          <w:p w14:paraId="3D8F1C4C">
            <w:pPr>
              <w:jc w:val="center"/>
              <w:rPr>
                <w:rFonts w:hint="eastAsia" w:ascii="宋体" w:hAnsi="宋体" w:eastAsia="宋体" w:cs="宋体"/>
                <w:color w:val="auto"/>
                <w:sz w:val="21"/>
                <w:highlight w:val="none"/>
              </w:rPr>
            </w:pPr>
          </w:p>
        </w:tc>
        <w:tc>
          <w:tcPr>
            <w:tcW w:w="696" w:type="dxa"/>
            <w:vAlign w:val="center"/>
          </w:tcPr>
          <w:p w14:paraId="585D52D4">
            <w:pPr>
              <w:pStyle w:val="118"/>
              <w:spacing w:before="172" w:line="183" w:lineRule="auto"/>
              <w:ind w:left="118"/>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6424" w:type="dxa"/>
            <w:vAlign w:val="center"/>
          </w:tcPr>
          <w:p w14:paraId="6E6D1D2B">
            <w:pPr>
              <w:pStyle w:val="118"/>
              <w:keepNext w:val="0"/>
              <w:keepLines w:val="0"/>
              <w:pageBreakBefore w:val="0"/>
              <w:widowControl w:val="0"/>
              <w:kinsoku/>
              <w:wordWrap/>
              <w:overflowPunct/>
              <w:topLinePunct w:val="0"/>
              <w:autoSpaceDE/>
              <w:autoSpaceDN/>
              <w:bidi w:val="0"/>
              <w:adjustRightInd/>
              <w:snapToGrid/>
              <w:spacing w:before="135" w:line="215" w:lineRule="auto"/>
              <w:ind w:left="597"/>
              <w:jc w:val="left"/>
              <w:textAlignment w:val="auto"/>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响应</w:t>
            </w:r>
            <w:r>
              <w:rPr>
                <w:rFonts w:hint="eastAsia" w:ascii="宋体" w:hAnsi="宋体" w:eastAsia="宋体" w:cs="宋体"/>
                <w:color w:val="auto"/>
                <w:spacing w:val="-1"/>
                <w:highlight w:val="none"/>
              </w:rPr>
              <w:t>文件格式符合</w:t>
            </w:r>
            <w:r>
              <w:rPr>
                <w:rFonts w:hint="eastAsia" w:ascii="宋体" w:hAnsi="宋体" w:eastAsia="宋体" w:cs="宋体"/>
                <w:color w:val="auto"/>
                <w:spacing w:val="-1"/>
                <w:highlight w:val="none"/>
                <w:lang w:val="en-US" w:eastAsia="zh-CN"/>
              </w:rPr>
              <w:t>磋商</w:t>
            </w:r>
            <w:r>
              <w:rPr>
                <w:rFonts w:hint="eastAsia" w:ascii="宋体" w:hAnsi="宋体" w:eastAsia="宋体" w:cs="宋体"/>
                <w:color w:val="auto"/>
                <w:spacing w:val="-1"/>
                <w:highlight w:val="none"/>
              </w:rPr>
              <w:t>文件格式要求</w:t>
            </w:r>
          </w:p>
        </w:tc>
      </w:tr>
      <w:tr w14:paraId="5ED9D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679" w:type="dxa"/>
            <w:vMerge w:val="restart"/>
            <w:tcBorders>
              <w:bottom w:val="nil"/>
            </w:tcBorders>
            <w:vAlign w:val="center"/>
          </w:tcPr>
          <w:p w14:paraId="5DF03F82">
            <w:pPr>
              <w:pStyle w:val="118"/>
              <w:spacing w:before="78" w:line="221" w:lineRule="auto"/>
              <w:ind w:left="129"/>
              <w:jc w:val="center"/>
              <w:rPr>
                <w:rFonts w:hint="eastAsia" w:ascii="宋体" w:hAnsi="宋体" w:eastAsia="宋体" w:cs="宋体"/>
                <w:color w:val="auto"/>
                <w:highlight w:val="none"/>
              </w:rPr>
            </w:pPr>
            <w:r>
              <w:rPr>
                <w:rFonts w:hint="eastAsia" w:ascii="宋体" w:hAnsi="宋体" w:eastAsia="宋体" w:cs="宋体"/>
                <w:color w:val="auto"/>
                <w:spacing w:val="-5"/>
                <w:highlight w:val="none"/>
              </w:rPr>
              <w:t>响应性评审</w:t>
            </w:r>
          </w:p>
        </w:tc>
        <w:tc>
          <w:tcPr>
            <w:tcW w:w="696" w:type="dxa"/>
            <w:vAlign w:val="center"/>
          </w:tcPr>
          <w:p w14:paraId="1158AC29">
            <w:pPr>
              <w:pStyle w:val="118"/>
              <w:spacing w:before="171" w:line="184" w:lineRule="auto"/>
              <w:ind w:left="131"/>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6424" w:type="dxa"/>
            <w:vAlign w:val="center"/>
          </w:tcPr>
          <w:p w14:paraId="42B5C629">
            <w:pPr>
              <w:pStyle w:val="118"/>
              <w:keepNext w:val="0"/>
              <w:keepLines w:val="0"/>
              <w:pageBreakBefore w:val="0"/>
              <w:widowControl w:val="0"/>
              <w:kinsoku/>
              <w:wordWrap/>
              <w:overflowPunct/>
              <w:topLinePunct w:val="0"/>
              <w:autoSpaceDE/>
              <w:autoSpaceDN/>
              <w:bidi w:val="0"/>
              <w:adjustRightInd/>
              <w:snapToGrid/>
              <w:spacing w:before="134" w:line="216" w:lineRule="auto"/>
              <w:ind w:left="595"/>
              <w:jc w:val="left"/>
              <w:textAlignment w:val="auto"/>
              <w:rPr>
                <w:rFonts w:hint="eastAsia" w:ascii="宋体" w:hAnsi="宋体" w:eastAsia="宋体" w:cs="宋体"/>
                <w:color w:val="auto"/>
                <w:highlight w:val="none"/>
              </w:rPr>
            </w:pPr>
            <w:r>
              <w:rPr>
                <w:rFonts w:hint="eastAsia" w:ascii="宋体" w:hAnsi="宋体" w:eastAsia="宋体" w:cs="宋体"/>
                <w:color w:val="auto"/>
                <w:spacing w:val="-1"/>
                <w:highlight w:val="none"/>
              </w:rPr>
              <w:t>质保期符合</w:t>
            </w:r>
            <w:r>
              <w:rPr>
                <w:rFonts w:hint="eastAsia" w:ascii="宋体" w:hAnsi="宋体" w:eastAsia="宋体" w:cs="宋体"/>
                <w:color w:val="auto"/>
                <w:spacing w:val="-1"/>
                <w:highlight w:val="none"/>
                <w:lang w:val="en-US" w:eastAsia="zh-CN"/>
              </w:rPr>
              <w:t>磋商</w:t>
            </w:r>
            <w:r>
              <w:rPr>
                <w:rFonts w:hint="eastAsia" w:ascii="宋体" w:hAnsi="宋体" w:eastAsia="宋体" w:cs="宋体"/>
                <w:color w:val="auto"/>
                <w:spacing w:val="-1"/>
                <w:highlight w:val="none"/>
              </w:rPr>
              <w:t>文件供应商须知要求</w:t>
            </w:r>
          </w:p>
        </w:tc>
      </w:tr>
      <w:tr w14:paraId="6BD55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679" w:type="dxa"/>
            <w:vMerge w:val="continue"/>
            <w:tcBorders>
              <w:top w:val="nil"/>
              <w:bottom w:val="nil"/>
            </w:tcBorders>
            <w:vAlign w:val="center"/>
          </w:tcPr>
          <w:p w14:paraId="1A223FB5">
            <w:pPr>
              <w:jc w:val="center"/>
              <w:rPr>
                <w:rFonts w:hint="eastAsia" w:ascii="宋体" w:hAnsi="宋体" w:eastAsia="宋体" w:cs="宋体"/>
                <w:color w:val="auto"/>
                <w:sz w:val="21"/>
                <w:highlight w:val="none"/>
              </w:rPr>
            </w:pPr>
          </w:p>
        </w:tc>
        <w:tc>
          <w:tcPr>
            <w:tcW w:w="696" w:type="dxa"/>
            <w:vAlign w:val="center"/>
          </w:tcPr>
          <w:p w14:paraId="0429D031">
            <w:pPr>
              <w:pStyle w:val="118"/>
              <w:spacing w:before="174" w:line="183" w:lineRule="auto"/>
              <w:ind w:left="116"/>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6424" w:type="dxa"/>
            <w:vAlign w:val="center"/>
          </w:tcPr>
          <w:p w14:paraId="3C032625">
            <w:pPr>
              <w:pStyle w:val="118"/>
              <w:keepNext w:val="0"/>
              <w:keepLines w:val="0"/>
              <w:pageBreakBefore w:val="0"/>
              <w:widowControl w:val="0"/>
              <w:kinsoku/>
              <w:wordWrap/>
              <w:overflowPunct/>
              <w:topLinePunct w:val="0"/>
              <w:autoSpaceDE/>
              <w:autoSpaceDN/>
              <w:bidi w:val="0"/>
              <w:adjustRightInd/>
              <w:snapToGrid/>
              <w:spacing w:before="136" w:line="214" w:lineRule="auto"/>
              <w:ind w:left="599"/>
              <w:jc w:val="left"/>
              <w:textAlignment w:val="auto"/>
              <w:rPr>
                <w:rFonts w:hint="eastAsia" w:ascii="宋体" w:hAnsi="宋体" w:eastAsia="宋体" w:cs="宋体"/>
                <w:color w:val="auto"/>
                <w:highlight w:val="none"/>
              </w:rPr>
            </w:pPr>
            <w:r>
              <w:rPr>
                <w:rFonts w:hint="eastAsia" w:ascii="宋体" w:hAnsi="宋体" w:eastAsia="宋体" w:cs="宋体"/>
                <w:color w:val="auto"/>
                <w:spacing w:val="-1"/>
                <w:highlight w:val="none"/>
              </w:rPr>
              <w:t>交货期符合</w:t>
            </w:r>
            <w:r>
              <w:rPr>
                <w:rFonts w:hint="eastAsia" w:ascii="宋体" w:hAnsi="宋体" w:eastAsia="宋体" w:cs="宋体"/>
                <w:color w:val="auto"/>
                <w:spacing w:val="-1"/>
                <w:highlight w:val="none"/>
                <w:lang w:val="en-US" w:eastAsia="zh-CN"/>
              </w:rPr>
              <w:t>磋商</w:t>
            </w:r>
            <w:r>
              <w:rPr>
                <w:rFonts w:hint="eastAsia" w:ascii="宋体" w:hAnsi="宋体" w:eastAsia="宋体" w:cs="宋体"/>
                <w:color w:val="auto"/>
                <w:spacing w:val="-1"/>
                <w:highlight w:val="none"/>
              </w:rPr>
              <w:t>文件供应商须知要求</w:t>
            </w:r>
          </w:p>
        </w:tc>
      </w:tr>
      <w:tr w14:paraId="62F14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679" w:type="dxa"/>
            <w:vMerge w:val="continue"/>
            <w:tcBorders>
              <w:top w:val="nil"/>
              <w:bottom w:val="nil"/>
            </w:tcBorders>
            <w:vAlign w:val="center"/>
          </w:tcPr>
          <w:p w14:paraId="3CF7DF61">
            <w:pPr>
              <w:jc w:val="center"/>
              <w:rPr>
                <w:rFonts w:hint="eastAsia" w:ascii="宋体" w:hAnsi="宋体" w:eastAsia="宋体" w:cs="宋体"/>
                <w:color w:val="auto"/>
                <w:sz w:val="21"/>
                <w:highlight w:val="none"/>
              </w:rPr>
            </w:pPr>
          </w:p>
        </w:tc>
        <w:tc>
          <w:tcPr>
            <w:tcW w:w="696" w:type="dxa"/>
            <w:vAlign w:val="center"/>
          </w:tcPr>
          <w:p w14:paraId="6D87FD02">
            <w:pPr>
              <w:pStyle w:val="118"/>
              <w:spacing w:before="174" w:line="183" w:lineRule="auto"/>
              <w:ind w:left="116" w:left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p>
        </w:tc>
        <w:tc>
          <w:tcPr>
            <w:tcW w:w="6424" w:type="dxa"/>
            <w:shd w:val="clear" w:color="auto" w:fill="auto"/>
            <w:vAlign w:val="center"/>
          </w:tcPr>
          <w:p w14:paraId="3B5EF611">
            <w:pPr>
              <w:pStyle w:val="118"/>
              <w:keepNext w:val="0"/>
              <w:keepLines w:val="0"/>
              <w:pageBreakBefore w:val="0"/>
              <w:widowControl w:val="0"/>
              <w:kinsoku/>
              <w:wordWrap/>
              <w:overflowPunct/>
              <w:topLinePunct w:val="0"/>
              <w:autoSpaceDE/>
              <w:autoSpaceDN/>
              <w:bidi w:val="0"/>
              <w:adjustRightInd/>
              <w:snapToGrid/>
              <w:spacing w:before="136" w:line="214" w:lineRule="auto"/>
              <w:ind w:left="599" w:leftChars="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highlight w:val="none"/>
                <w:lang w:val="en-US" w:eastAsia="zh-CN"/>
              </w:rPr>
              <w:t>合同履行期限</w:t>
            </w:r>
            <w:r>
              <w:rPr>
                <w:rFonts w:hint="eastAsia" w:ascii="宋体" w:hAnsi="宋体" w:eastAsia="宋体" w:cs="宋体"/>
                <w:color w:val="auto"/>
                <w:spacing w:val="-1"/>
                <w:highlight w:val="none"/>
              </w:rPr>
              <w:t>符合</w:t>
            </w:r>
            <w:r>
              <w:rPr>
                <w:rFonts w:hint="eastAsia" w:ascii="宋体" w:hAnsi="宋体" w:eastAsia="宋体" w:cs="宋体"/>
                <w:color w:val="auto"/>
                <w:spacing w:val="-1"/>
                <w:highlight w:val="none"/>
                <w:lang w:val="en-US" w:eastAsia="zh-CN"/>
              </w:rPr>
              <w:t>磋商</w:t>
            </w:r>
            <w:r>
              <w:rPr>
                <w:rFonts w:hint="eastAsia" w:ascii="宋体" w:hAnsi="宋体" w:eastAsia="宋体" w:cs="宋体"/>
                <w:color w:val="auto"/>
                <w:spacing w:val="-1"/>
                <w:highlight w:val="none"/>
              </w:rPr>
              <w:t>文件供应商须知要求</w:t>
            </w:r>
          </w:p>
        </w:tc>
      </w:tr>
      <w:tr w14:paraId="2610F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679" w:type="dxa"/>
            <w:vMerge w:val="continue"/>
            <w:tcBorders>
              <w:top w:val="nil"/>
              <w:bottom w:val="nil"/>
            </w:tcBorders>
            <w:vAlign w:val="center"/>
          </w:tcPr>
          <w:p w14:paraId="124917FE">
            <w:pPr>
              <w:jc w:val="center"/>
              <w:rPr>
                <w:rFonts w:hint="eastAsia" w:ascii="宋体" w:hAnsi="宋体" w:eastAsia="宋体" w:cs="宋体"/>
                <w:color w:val="auto"/>
                <w:sz w:val="21"/>
                <w:highlight w:val="none"/>
              </w:rPr>
            </w:pPr>
          </w:p>
        </w:tc>
        <w:tc>
          <w:tcPr>
            <w:tcW w:w="696" w:type="dxa"/>
            <w:vAlign w:val="center"/>
          </w:tcPr>
          <w:p w14:paraId="4727B881">
            <w:pPr>
              <w:pStyle w:val="118"/>
              <w:spacing w:before="174" w:line="183" w:lineRule="auto"/>
              <w:ind w:left="118" w:lef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6424" w:type="dxa"/>
            <w:shd w:val="clear" w:color="auto" w:fill="auto"/>
            <w:vAlign w:val="center"/>
          </w:tcPr>
          <w:p w14:paraId="6626C54F">
            <w:pPr>
              <w:pStyle w:val="118"/>
              <w:keepNext w:val="0"/>
              <w:keepLines w:val="0"/>
              <w:pageBreakBefore w:val="0"/>
              <w:widowControl w:val="0"/>
              <w:kinsoku/>
              <w:wordWrap/>
              <w:overflowPunct/>
              <w:topLinePunct w:val="0"/>
              <w:autoSpaceDE/>
              <w:autoSpaceDN/>
              <w:bidi w:val="0"/>
              <w:adjustRightInd/>
              <w:snapToGrid/>
              <w:spacing w:before="136" w:line="214" w:lineRule="auto"/>
              <w:ind w:left="597"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
                <w:highlight w:val="none"/>
                <w:lang w:val="en-US" w:eastAsia="zh-CN"/>
              </w:rPr>
              <w:t>磋商</w:t>
            </w:r>
            <w:r>
              <w:rPr>
                <w:rFonts w:hint="eastAsia" w:ascii="宋体" w:hAnsi="宋体" w:eastAsia="宋体" w:cs="宋体"/>
                <w:color w:val="auto"/>
                <w:spacing w:val="-1"/>
                <w:highlight w:val="none"/>
              </w:rPr>
              <w:t>有效期符合</w:t>
            </w:r>
            <w:r>
              <w:rPr>
                <w:rFonts w:hint="eastAsia" w:ascii="宋体" w:hAnsi="宋体" w:eastAsia="宋体" w:cs="宋体"/>
                <w:color w:val="auto"/>
                <w:spacing w:val="-1"/>
                <w:highlight w:val="none"/>
                <w:lang w:val="en-US" w:eastAsia="zh-CN"/>
              </w:rPr>
              <w:t>磋商</w:t>
            </w:r>
            <w:r>
              <w:rPr>
                <w:rFonts w:hint="eastAsia" w:ascii="宋体" w:hAnsi="宋体" w:eastAsia="宋体" w:cs="宋体"/>
                <w:color w:val="auto"/>
                <w:spacing w:val="-1"/>
                <w:highlight w:val="none"/>
              </w:rPr>
              <w:t>文件供应商须知要求</w:t>
            </w:r>
          </w:p>
        </w:tc>
      </w:tr>
      <w:tr w14:paraId="67807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679" w:type="dxa"/>
            <w:vMerge w:val="continue"/>
            <w:tcBorders>
              <w:top w:val="nil"/>
              <w:bottom w:val="nil"/>
            </w:tcBorders>
            <w:vAlign w:val="center"/>
          </w:tcPr>
          <w:p w14:paraId="5967C08B">
            <w:pPr>
              <w:jc w:val="center"/>
              <w:rPr>
                <w:rFonts w:hint="eastAsia" w:ascii="宋体" w:hAnsi="宋体" w:eastAsia="宋体" w:cs="宋体"/>
                <w:color w:val="auto"/>
                <w:sz w:val="21"/>
                <w:highlight w:val="none"/>
              </w:rPr>
            </w:pPr>
          </w:p>
        </w:tc>
        <w:tc>
          <w:tcPr>
            <w:tcW w:w="696" w:type="dxa"/>
            <w:vAlign w:val="center"/>
          </w:tcPr>
          <w:p w14:paraId="64B6CFFE">
            <w:pPr>
              <w:pStyle w:val="118"/>
              <w:spacing w:before="174" w:line="182" w:lineRule="auto"/>
              <w:ind w:left="118" w:left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6424" w:type="dxa"/>
            <w:vAlign w:val="center"/>
          </w:tcPr>
          <w:p w14:paraId="6872B72F">
            <w:pPr>
              <w:pStyle w:val="118"/>
              <w:keepNext w:val="0"/>
              <w:keepLines w:val="0"/>
              <w:pageBreakBefore w:val="0"/>
              <w:widowControl w:val="0"/>
              <w:kinsoku/>
              <w:wordWrap/>
              <w:overflowPunct/>
              <w:topLinePunct w:val="0"/>
              <w:autoSpaceDE/>
              <w:autoSpaceDN/>
              <w:bidi w:val="0"/>
              <w:adjustRightInd/>
              <w:snapToGrid/>
              <w:spacing w:before="136" w:line="214" w:lineRule="auto"/>
              <w:ind w:left="597"/>
              <w:jc w:val="left"/>
              <w:textAlignment w:val="auto"/>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响应报价</w:t>
            </w:r>
            <w:r>
              <w:rPr>
                <w:rFonts w:hint="eastAsia" w:ascii="宋体" w:hAnsi="宋体" w:eastAsia="宋体" w:cs="宋体"/>
                <w:color w:val="auto"/>
                <w:spacing w:val="-1"/>
                <w:highlight w:val="none"/>
              </w:rPr>
              <w:t>符合</w:t>
            </w:r>
            <w:r>
              <w:rPr>
                <w:rFonts w:hint="eastAsia" w:ascii="宋体" w:hAnsi="宋体" w:eastAsia="宋体" w:cs="宋体"/>
                <w:color w:val="auto"/>
                <w:spacing w:val="-1"/>
                <w:highlight w:val="none"/>
                <w:lang w:val="en-US" w:eastAsia="zh-CN"/>
              </w:rPr>
              <w:t>磋商</w:t>
            </w:r>
            <w:r>
              <w:rPr>
                <w:rFonts w:hint="eastAsia" w:ascii="宋体" w:hAnsi="宋体" w:eastAsia="宋体" w:cs="宋体"/>
                <w:color w:val="auto"/>
                <w:spacing w:val="-1"/>
                <w:highlight w:val="none"/>
              </w:rPr>
              <w:t>文件要求</w:t>
            </w:r>
          </w:p>
        </w:tc>
      </w:tr>
      <w:tr w14:paraId="12CD7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1679" w:type="dxa"/>
            <w:vMerge w:val="continue"/>
            <w:tcBorders>
              <w:top w:val="nil"/>
            </w:tcBorders>
            <w:vAlign w:val="center"/>
          </w:tcPr>
          <w:p w14:paraId="7D7371C6">
            <w:pPr>
              <w:jc w:val="center"/>
              <w:rPr>
                <w:rFonts w:hint="eastAsia" w:ascii="宋体" w:hAnsi="宋体" w:eastAsia="宋体" w:cs="宋体"/>
                <w:color w:val="auto"/>
                <w:sz w:val="21"/>
                <w:highlight w:val="none"/>
              </w:rPr>
            </w:pPr>
          </w:p>
        </w:tc>
        <w:tc>
          <w:tcPr>
            <w:tcW w:w="696" w:type="dxa"/>
            <w:vAlign w:val="center"/>
          </w:tcPr>
          <w:p w14:paraId="71C83780">
            <w:pPr>
              <w:pStyle w:val="118"/>
              <w:spacing w:before="174" w:line="182" w:lineRule="auto"/>
              <w:ind w:left="118"/>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p>
        </w:tc>
        <w:tc>
          <w:tcPr>
            <w:tcW w:w="6424" w:type="dxa"/>
            <w:vAlign w:val="center"/>
          </w:tcPr>
          <w:p w14:paraId="4D4F862C">
            <w:pPr>
              <w:pStyle w:val="118"/>
              <w:keepNext w:val="0"/>
              <w:keepLines w:val="0"/>
              <w:pageBreakBefore w:val="0"/>
              <w:widowControl w:val="0"/>
              <w:kinsoku/>
              <w:wordWrap/>
              <w:overflowPunct/>
              <w:topLinePunct w:val="0"/>
              <w:autoSpaceDE/>
              <w:autoSpaceDN/>
              <w:bidi w:val="0"/>
              <w:adjustRightInd/>
              <w:snapToGrid/>
              <w:spacing w:before="135" w:line="218" w:lineRule="auto"/>
              <w:ind w:left="595"/>
              <w:jc w:val="left"/>
              <w:textAlignment w:val="auto"/>
              <w:rPr>
                <w:rFonts w:hint="eastAsia" w:ascii="宋体" w:hAnsi="宋体" w:eastAsia="宋体" w:cs="宋体"/>
                <w:color w:val="auto"/>
                <w:highlight w:val="none"/>
              </w:rPr>
            </w:pPr>
            <w:r>
              <w:rPr>
                <w:rFonts w:hint="eastAsia" w:ascii="宋体" w:hAnsi="宋体" w:eastAsia="宋体" w:cs="宋体"/>
                <w:color w:val="auto"/>
                <w:spacing w:val="-1"/>
                <w:highlight w:val="none"/>
              </w:rPr>
              <w:t>其他要求符合</w:t>
            </w:r>
            <w:r>
              <w:rPr>
                <w:rFonts w:hint="eastAsia" w:ascii="宋体" w:hAnsi="宋体" w:eastAsia="宋体" w:cs="宋体"/>
                <w:color w:val="auto"/>
                <w:spacing w:val="-1"/>
                <w:highlight w:val="none"/>
                <w:lang w:val="en-US" w:eastAsia="zh-CN"/>
              </w:rPr>
              <w:t>磋商</w:t>
            </w:r>
            <w:r>
              <w:rPr>
                <w:rFonts w:hint="eastAsia" w:ascii="宋体" w:hAnsi="宋体" w:eastAsia="宋体" w:cs="宋体"/>
                <w:color w:val="auto"/>
                <w:spacing w:val="-1"/>
                <w:highlight w:val="none"/>
              </w:rPr>
              <w:t>文件要求</w:t>
            </w:r>
          </w:p>
        </w:tc>
      </w:tr>
    </w:tbl>
    <w:p w14:paraId="62A8C55E">
      <w:pPr>
        <w:rPr>
          <w:rFonts w:hint="eastAsia" w:ascii="宋体" w:hAnsi="宋体" w:eastAsia="宋体" w:cs="宋体"/>
          <w:color w:val="auto"/>
          <w:highlight w:val="none"/>
        </w:rPr>
      </w:pPr>
    </w:p>
    <w:p w14:paraId="0CFB70CC">
      <w:pPr>
        <w:ind w:firstLine="281" w:firstLineChars="100"/>
        <w:jc w:val="both"/>
        <w:rPr>
          <w:rFonts w:hint="eastAsia" w:ascii="宋体" w:hAnsi="宋体" w:eastAsia="宋体" w:cs="宋体"/>
          <w:b/>
          <w:bCs/>
          <w:color w:val="auto"/>
          <w:sz w:val="28"/>
          <w:szCs w:val="28"/>
          <w:highlight w:val="none"/>
          <w:lang w:val="zh-TW" w:eastAsia="zh-TW" w:bidi="zh-TW"/>
        </w:rPr>
      </w:pPr>
    </w:p>
    <w:p w14:paraId="692CE2F7">
      <w:pPr>
        <w:ind w:firstLine="281" w:firstLineChars="100"/>
        <w:jc w:val="both"/>
        <w:rPr>
          <w:rFonts w:hint="eastAsia" w:ascii="宋体" w:hAnsi="宋体" w:eastAsia="宋体" w:cs="宋体"/>
          <w:b/>
          <w:bCs/>
          <w:color w:val="auto"/>
          <w:sz w:val="28"/>
          <w:szCs w:val="28"/>
          <w:highlight w:val="none"/>
          <w:lang w:val="zh-TW" w:eastAsia="zh-TW" w:bidi="zh-TW"/>
        </w:rPr>
      </w:pPr>
    </w:p>
    <w:p w14:paraId="5D733759">
      <w:pPr>
        <w:ind w:firstLine="281" w:firstLineChars="100"/>
        <w:jc w:val="both"/>
        <w:rPr>
          <w:rFonts w:hint="eastAsia" w:ascii="宋体" w:hAnsi="宋体" w:eastAsia="宋体" w:cs="宋体"/>
          <w:b/>
          <w:bCs/>
          <w:color w:val="auto"/>
          <w:sz w:val="28"/>
          <w:szCs w:val="28"/>
          <w:highlight w:val="none"/>
          <w:lang w:val="zh-TW" w:eastAsia="zh-TW" w:bidi="zh-TW"/>
        </w:rPr>
      </w:pPr>
      <w:r>
        <w:rPr>
          <w:rFonts w:hint="eastAsia" w:ascii="宋体" w:hAnsi="宋体" w:eastAsia="宋体" w:cs="宋体"/>
          <w:b/>
          <w:bCs/>
          <w:color w:val="auto"/>
          <w:sz w:val="28"/>
          <w:szCs w:val="28"/>
          <w:highlight w:val="none"/>
          <w:lang w:val="zh-TW" w:eastAsia="zh-TW" w:bidi="zh-TW"/>
        </w:rPr>
        <w:t>评</w:t>
      </w:r>
      <w:r>
        <w:rPr>
          <w:rFonts w:hint="eastAsia" w:ascii="宋体" w:hAnsi="宋体" w:eastAsia="宋体" w:cs="宋体"/>
          <w:b/>
          <w:bCs/>
          <w:color w:val="auto"/>
          <w:sz w:val="28"/>
          <w:szCs w:val="28"/>
          <w:highlight w:val="none"/>
          <w:lang w:val="zh-TW" w:eastAsia="zh-CN" w:bidi="zh-TW"/>
        </w:rPr>
        <w:t>审</w:t>
      </w:r>
      <w:r>
        <w:rPr>
          <w:rFonts w:hint="eastAsia" w:ascii="宋体" w:hAnsi="宋体" w:eastAsia="宋体" w:cs="宋体"/>
          <w:b/>
          <w:bCs/>
          <w:color w:val="auto"/>
          <w:sz w:val="28"/>
          <w:szCs w:val="28"/>
          <w:highlight w:val="none"/>
          <w:lang w:val="zh-TW" w:eastAsia="zh-TW" w:bidi="zh-TW"/>
        </w:rPr>
        <w:t>细则</w:t>
      </w:r>
    </w:p>
    <w:bookmarkEnd w:id="31"/>
    <w:bookmarkEnd w:id="33"/>
    <w:bookmarkEnd w:id="34"/>
    <w:bookmarkEnd w:id="35"/>
    <w:bookmarkEnd w:id="36"/>
    <w:bookmarkEnd w:id="37"/>
    <w:bookmarkEnd w:id="38"/>
    <w:bookmarkEnd w:id="39"/>
    <w:bookmarkEnd w:id="40"/>
    <w:bookmarkEnd w:id="41"/>
    <w:bookmarkEnd w:id="42"/>
    <w:bookmarkEnd w:id="43"/>
    <w:bookmarkEnd w:id="44"/>
    <w:tbl>
      <w:tblPr>
        <w:tblStyle w:val="117"/>
        <w:tblpPr w:leftFromText="180" w:rightFromText="180" w:vertAnchor="text" w:horzAnchor="page" w:tblpX="1043" w:tblpY="290"/>
        <w:tblOverlap w:val="never"/>
        <w:tblW w:w="988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984"/>
        <w:gridCol w:w="2138"/>
        <w:gridCol w:w="5940"/>
      </w:tblGrid>
      <w:tr w14:paraId="768CE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822" w:type="dxa"/>
            <w:tcBorders>
              <w:top w:val="single" w:color="000000" w:sz="10" w:space="0"/>
              <w:left w:val="single" w:color="000000" w:sz="10" w:space="0"/>
              <w:bottom w:val="single" w:color="auto" w:sz="4" w:space="0"/>
            </w:tcBorders>
            <w:vAlign w:val="center"/>
          </w:tcPr>
          <w:p w14:paraId="115AD31F">
            <w:pPr>
              <w:jc w:val="both"/>
              <w:rPr>
                <w:rFonts w:hint="eastAsia" w:ascii="宋体" w:hAnsi="宋体" w:eastAsia="宋体" w:cs="宋体"/>
                <w:b/>
                <w:bCs/>
                <w:color w:val="auto"/>
                <w:sz w:val="28"/>
                <w:szCs w:val="28"/>
                <w:highlight w:val="none"/>
                <w:lang w:val="zh-TW" w:bidi="zh-TW"/>
              </w:rPr>
            </w:pPr>
            <w:r>
              <w:rPr>
                <w:rFonts w:hint="eastAsia" w:ascii="宋体" w:hAnsi="宋体" w:eastAsia="宋体" w:cs="宋体"/>
                <w:b/>
                <w:bCs/>
                <w:color w:val="auto"/>
                <w:sz w:val="28"/>
                <w:szCs w:val="28"/>
                <w:highlight w:val="none"/>
                <w:lang w:val="en-US" w:eastAsia="en-US" w:bidi="zh-TW"/>
              </w:rPr>
              <w:t>序号</w:t>
            </w:r>
          </w:p>
        </w:tc>
        <w:tc>
          <w:tcPr>
            <w:tcW w:w="9062" w:type="dxa"/>
            <w:gridSpan w:val="3"/>
            <w:tcBorders>
              <w:top w:val="single" w:color="000000" w:sz="10" w:space="0"/>
              <w:bottom w:val="single" w:color="auto" w:sz="4" w:space="0"/>
              <w:right w:val="single" w:color="000000" w:sz="10" w:space="0"/>
            </w:tcBorders>
            <w:vAlign w:val="center"/>
          </w:tcPr>
          <w:p w14:paraId="67A8445B">
            <w:pPr>
              <w:ind w:firstLine="281" w:firstLineChars="100"/>
              <w:jc w:val="center"/>
              <w:rPr>
                <w:rFonts w:hint="eastAsia" w:ascii="宋体" w:hAnsi="宋体" w:eastAsia="宋体" w:cs="宋体"/>
                <w:b/>
                <w:bCs/>
                <w:color w:val="auto"/>
                <w:sz w:val="28"/>
                <w:szCs w:val="28"/>
                <w:highlight w:val="none"/>
                <w:lang w:val="zh-TW" w:bidi="zh-TW"/>
              </w:rPr>
            </w:pPr>
            <w:r>
              <w:rPr>
                <w:rFonts w:hint="eastAsia" w:ascii="宋体" w:hAnsi="宋体" w:eastAsia="宋体" w:cs="宋体"/>
                <w:b/>
                <w:bCs/>
                <w:color w:val="auto"/>
                <w:sz w:val="28"/>
                <w:szCs w:val="28"/>
                <w:highlight w:val="none"/>
                <w:lang w:val="zh-TW" w:bidi="zh-TW"/>
              </w:rPr>
              <w:t>评审标准</w:t>
            </w:r>
          </w:p>
        </w:tc>
      </w:tr>
      <w:tr w14:paraId="368C2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22" w:type="dxa"/>
            <w:vMerge w:val="restart"/>
            <w:tcBorders>
              <w:top w:val="single" w:color="auto" w:sz="4" w:space="0"/>
              <w:left w:val="single" w:color="000000" w:sz="10" w:space="0"/>
            </w:tcBorders>
            <w:vAlign w:val="center"/>
          </w:tcPr>
          <w:p w14:paraId="6866D2DE">
            <w:pPr>
              <w:pStyle w:val="118"/>
              <w:spacing w:before="78" w:line="184" w:lineRule="auto"/>
              <w:ind w:left="36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22" w:type="dxa"/>
            <w:gridSpan w:val="2"/>
            <w:vMerge w:val="restart"/>
            <w:tcBorders>
              <w:top w:val="single" w:color="auto" w:sz="4" w:space="0"/>
            </w:tcBorders>
            <w:vAlign w:val="center"/>
          </w:tcPr>
          <w:p w14:paraId="6D9006A9">
            <w:pPr>
              <w:pStyle w:val="118"/>
              <w:spacing w:before="78" w:line="220" w:lineRule="auto"/>
              <w:ind w:left="1196"/>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分值构成</w:t>
            </w:r>
          </w:p>
        </w:tc>
        <w:tc>
          <w:tcPr>
            <w:tcW w:w="5940" w:type="dxa"/>
            <w:tcBorders>
              <w:top w:val="single" w:color="000000" w:sz="10" w:space="0"/>
              <w:right w:val="single" w:color="000000" w:sz="10" w:space="0"/>
            </w:tcBorders>
            <w:vAlign w:val="center"/>
          </w:tcPr>
          <w:p w14:paraId="112E8077">
            <w:pPr>
              <w:pStyle w:val="118"/>
              <w:spacing w:before="207" w:line="219" w:lineRule="auto"/>
              <w:ind w:left="596"/>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报价</w:t>
            </w:r>
            <w:r>
              <w:rPr>
                <w:rFonts w:hint="eastAsia" w:ascii="宋体" w:hAnsi="宋体" w:eastAsia="宋体" w:cs="宋体"/>
                <w:color w:val="auto"/>
                <w:spacing w:val="-2"/>
                <w:sz w:val="21"/>
                <w:szCs w:val="21"/>
                <w:highlight w:val="none"/>
                <w:lang w:eastAsia="zh-CN"/>
              </w:rPr>
              <w:t>部分</w:t>
            </w:r>
            <w:r>
              <w:rPr>
                <w:rFonts w:hint="eastAsia" w:ascii="宋体" w:hAnsi="宋体" w:eastAsia="宋体" w:cs="宋体"/>
                <w:color w:val="auto"/>
                <w:spacing w:val="-2"/>
                <w:sz w:val="21"/>
                <w:szCs w:val="21"/>
                <w:highlight w:val="none"/>
              </w:rPr>
              <w:t>：0</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
                <w:sz w:val="21"/>
                <w:szCs w:val="21"/>
                <w:highlight w:val="none"/>
              </w:rPr>
              <w:t>分</w:t>
            </w:r>
          </w:p>
        </w:tc>
      </w:tr>
      <w:tr w14:paraId="327F9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822" w:type="dxa"/>
            <w:vMerge w:val="continue"/>
            <w:tcBorders>
              <w:top w:val="nil"/>
              <w:left w:val="single" w:color="000000" w:sz="10" w:space="0"/>
              <w:bottom w:val="nil"/>
            </w:tcBorders>
            <w:vAlign w:val="center"/>
          </w:tcPr>
          <w:p w14:paraId="5C2660E3">
            <w:pPr>
              <w:jc w:val="center"/>
              <w:rPr>
                <w:rFonts w:hint="eastAsia" w:ascii="宋体" w:hAnsi="宋体" w:eastAsia="宋体" w:cs="宋体"/>
                <w:color w:val="auto"/>
                <w:sz w:val="21"/>
                <w:szCs w:val="21"/>
                <w:highlight w:val="none"/>
              </w:rPr>
            </w:pPr>
          </w:p>
        </w:tc>
        <w:tc>
          <w:tcPr>
            <w:tcW w:w="3122" w:type="dxa"/>
            <w:gridSpan w:val="2"/>
            <w:vMerge w:val="continue"/>
            <w:tcBorders>
              <w:top w:val="nil"/>
              <w:bottom w:val="nil"/>
            </w:tcBorders>
            <w:vAlign w:val="center"/>
          </w:tcPr>
          <w:p w14:paraId="6821C189">
            <w:pPr>
              <w:jc w:val="center"/>
              <w:rPr>
                <w:rFonts w:hint="eastAsia" w:ascii="宋体" w:hAnsi="宋体" w:eastAsia="宋体" w:cs="宋体"/>
                <w:color w:val="auto"/>
                <w:sz w:val="21"/>
                <w:szCs w:val="21"/>
                <w:highlight w:val="none"/>
              </w:rPr>
            </w:pPr>
          </w:p>
        </w:tc>
        <w:tc>
          <w:tcPr>
            <w:tcW w:w="5940" w:type="dxa"/>
            <w:tcBorders>
              <w:right w:val="single" w:color="000000" w:sz="10" w:space="0"/>
            </w:tcBorders>
            <w:vAlign w:val="center"/>
          </w:tcPr>
          <w:p w14:paraId="58C37B72">
            <w:pPr>
              <w:pStyle w:val="118"/>
              <w:spacing w:before="205" w:line="220" w:lineRule="auto"/>
              <w:ind w:left="594"/>
              <w:jc w:val="lef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技术部分：</w:t>
            </w:r>
            <w:r>
              <w:rPr>
                <w:rFonts w:hint="eastAsia" w:ascii="宋体" w:hAnsi="宋体" w:eastAsia="宋体" w:cs="宋体"/>
                <w:color w:val="auto"/>
                <w:spacing w:val="-2"/>
                <w:sz w:val="21"/>
                <w:szCs w:val="21"/>
                <w:highlight w:val="none"/>
                <w:lang w:val="en-US" w:eastAsia="zh-CN"/>
              </w:rPr>
              <w:t>45</w:t>
            </w:r>
            <w:r>
              <w:rPr>
                <w:rFonts w:hint="eastAsia" w:ascii="宋体" w:hAnsi="宋体" w:eastAsia="宋体" w:cs="宋体"/>
                <w:color w:val="auto"/>
                <w:spacing w:val="-2"/>
                <w:sz w:val="21"/>
                <w:szCs w:val="21"/>
                <w:highlight w:val="none"/>
              </w:rPr>
              <w:t>分</w:t>
            </w:r>
          </w:p>
        </w:tc>
      </w:tr>
      <w:tr w14:paraId="68810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822" w:type="dxa"/>
            <w:vMerge w:val="continue"/>
            <w:tcBorders>
              <w:top w:val="nil"/>
              <w:left w:val="single" w:color="000000" w:sz="10" w:space="0"/>
            </w:tcBorders>
            <w:vAlign w:val="center"/>
          </w:tcPr>
          <w:p w14:paraId="32E49141">
            <w:pPr>
              <w:jc w:val="center"/>
              <w:rPr>
                <w:rFonts w:hint="eastAsia" w:ascii="宋体" w:hAnsi="宋体" w:eastAsia="宋体" w:cs="宋体"/>
                <w:color w:val="auto"/>
                <w:sz w:val="21"/>
                <w:szCs w:val="21"/>
                <w:highlight w:val="none"/>
              </w:rPr>
            </w:pPr>
          </w:p>
        </w:tc>
        <w:tc>
          <w:tcPr>
            <w:tcW w:w="3122" w:type="dxa"/>
            <w:gridSpan w:val="2"/>
            <w:vMerge w:val="continue"/>
            <w:tcBorders>
              <w:top w:val="nil"/>
            </w:tcBorders>
            <w:vAlign w:val="center"/>
          </w:tcPr>
          <w:p w14:paraId="4644D6EE">
            <w:pPr>
              <w:jc w:val="center"/>
              <w:rPr>
                <w:rFonts w:hint="eastAsia" w:ascii="宋体" w:hAnsi="宋体" w:eastAsia="宋体" w:cs="宋体"/>
                <w:color w:val="auto"/>
                <w:sz w:val="21"/>
                <w:szCs w:val="21"/>
                <w:highlight w:val="none"/>
              </w:rPr>
            </w:pPr>
          </w:p>
        </w:tc>
        <w:tc>
          <w:tcPr>
            <w:tcW w:w="5940" w:type="dxa"/>
            <w:tcBorders>
              <w:right w:val="single" w:color="000000" w:sz="10" w:space="0"/>
            </w:tcBorders>
            <w:vAlign w:val="center"/>
          </w:tcPr>
          <w:p w14:paraId="6EA53C7C">
            <w:pPr>
              <w:pStyle w:val="118"/>
              <w:spacing w:before="205" w:line="220" w:lineRule="auto"/>
              <w:ind w:left="596"/>
              <w:jc w:val="lef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其他</w:t>
            </w:r>
            <w:r>
              <w:rPr>
                <w:rFonts w:hint="eastAsia" w:ascii="宋体" w:hAnsi="宋体" w:eastAsia="宋体" w:cs="宋体"/>
                <w:color w:val="auto"/>
                <w:spacing w:val="-2"/>
                <w:sz w:val="21"/>
                <w:szCs w:val="21"/>
                <w:highlight w:val="none"/>
              </w:rPr>
              <w:t>部分：</w:t>
            </w:r>
            <w:r>
              <w:rPr>
                <w:rFonts w:hint="eastAsia" w:ascii="宋体" w:hAnsi="宋体" w:eastAsia="宋体" w:cs="宋体"/>
                <w:color w:val="auto"/>
                <w:spacing w:val="-2"/>
                <w:sz w:val="21"/>
                <w:szCs w:val="21"/>
                <w:highlight w:val="none"/>
                <w:lang w:val="en-US" w:eastAsia="zh-CN"/>
              </w:rPr>
              <w:t>55</w:t>
            </w:r>
            <w:r>
              <w:rPr>
                <w:rFonts w:hint="eastAsia" w:ascii="宋体" w:hAnsi="宋体" w:eastAsia="宋体" w:cs="宋体"/>
                <w:color w:val="auto"/>
                <w:spacing w:val="-2"/>
                <w:sz w:val="21"/>
                <w:szCs w:val="21"/>
                <w:highlight w:val="none"/>
              </w:rPr>
              <w:t>分</w:t>
            </w:r>
          </w:p>
        </w:tc>
      </w:tr>
      <w:tr w14:paraId="3DCEA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22" w:type="dxa"/>
            <w:tcBorders>
              <w:left w:val="single" w:color="000000" w:sz="10" w:space="0"/>
            </w:tcBorders>
            <w:vAlign w:val="top"/>
          </w:tcPr>
          <w:p w14:paraId="496C1563">
            <w:pPr>
              <w:spacing w:line="301" w:lineRule="auto"/>
              <w:rPr>
                <w:rFonts w:hint="eastAsia" w:ascii="宋体" w:hAnsi="宋体" w:eastAsia="宋体" w:cs="宋体"/>
                <w:color w:val="auto"/>
                <w:sz w:val="21"/>
                <w:szCs w:val="21"/>
                <w:highlight w:val="none"/>
              </w:rPr>
            </w:pPr>
          </w:p>
          <w:p w14:paraId="169346F7">
            <w:pPr>
              <w:pStyle w:val="118"/>
              <w:spacing w:before="78" w:line="184" w:lineRule="auto"/>
              <w:ind w:left="242"/>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1.1</w:t>
            </w:r>
          </w:p>
        </w:tc>
        <w:tc>
          <w:tcPr>
            <w:tcW w:w="984" w:type="dxa"/>
            <w:vAlign w:val="center"/>
          </w:tcPr>
          <w:p w14:paraId="0B984E7F">
            <w:pPr>
              <w:pStyle w:val="118"/>
              <w:keepNext w:val="0"/>
              <w:keepLines w:val="0"/>
              <w:pageBreakBefore w:val="0"/>
              <w:widowControl/>
              <w:kinsoku w:val="0"/>
              <w:wordWrap/>
              <w:overflowPunct/>
              <w:topLinePunct w:val="0"/>
              <w:autoSpaceDE w:val="0"/>
              <w:autoSpaceDN w:val="0"/>
              <w:bidi w:val="0"/>
              <w:adjustRightInd w:val="0"/>
              <w:snapToGrid w:val="0"/>
              <w:spacing w:before="133" w:line="300" w:lineRule="exact"/>
              <w:ind w:left="108"/>
              <w:jc w:val="center"/>
              <w:textAlignment w:val="baseline"/>
              <w:rPr>
                <w:rFonts w:hint="eastAsia" w:ascii="宋体" w:hAnsi="宋体" w:eastAsia="宋体" w:cs="宋体"/>
                <w:color w:val="auto"/>
                <w:position w:val="13"/>
                <w:sz w:val="21"/>
                <w:szCs w:val="21"/>
                <w:highlight w:val="none"/>
                <w:lang w:eastAsia="zh-CN"/>
              </w:rPr>
            </w:pPr>
            <w:r>
              <w:rPr>
                <w:rFonts w:hint="eastAsia" w:ascii="宋体" w:hAnsi="宋体" w:eastAsia="宋体" w:cs="宋体"/>
                <w:color w:val="auto"/>
                <w:position w:val="13"/>
                <w:sz w:val="21"/>
                <w:szCs w:val="21"/>
                <w:highlight w:val="none"/>
              </w:rPr>
              <w:t>报价</w:t>
            </w:r>
            <w:r>
              <w:rPr>
                <w:rFonts w:hint="eastAsia" w:ascii="宋体" w:hAnsi="宋体" w:eastAsia="宋体" w:cs="宋体"/>
                <w:color w:val="auto"/>
                <w:position w:val="13"/>
                <w:sz w:val="21"/>
                <w:szCs w:val="21"/>
                <w:highlight w:val="none"/>
                <w:lang w:eastAsia="zh-CN"/>
              </w:rPr>
              <w:t>部分</w:t>
            </w:r>
          </w:p>
          <w:p w14:paraId="42E65CD2">
            <w:pPr>
              <w:pStyle w:val="118"/>
              <w:keepNext w:val="0"/>
              <w:keepLines w:val="0"/>
              <w:pageBreakBefore w:val="0"/>
              <w:widowControl/>
              <w:kinsoku w:val="0"/>
              <w:wordWrap/>
              <w:overflowPunct/>
              <w:topLinePunct w:val="0"/>
              <w:autoSpaceDE w:val="0"/>
              <w:autoSpaceDN w:val="0"/>
              <w:bidi w:val="0"/>
              <w:adjustRightInd w:val="0"/>
              <w:snapToGrid w:val="0"/>
              <w:spacing w:before="133" w:line="300" w:lineRule="exact"/>
              <w:ind w:left="108"/>
              <w:jc w:val="center"/>
              <w:textAlignment w:val="baseline"/>
              <w:rPr>
                <w:rFonts w:hint="eastAsia" w:ascii="宋体" w:hAnsi="宋体" w:eastAsia="宋体" w:cs="宋体"/>
                <w:color w:val="auto"/>
                <w:position w:val="13"/>
                <w:sz w:val="21"/>
                <w:szCs w:val="21"/>
                <w:highlight w:val="none"/>
              </w:rPr>
            </w:pPr>
            <w:r>
              <w:rPr>
                <w:rFonts w:hint="eastAsia" w:ascii="宋体" w:hAnsi="宋体" w:eastAsia="宋体" w:cs="宋体"/>
                <w:color w:val="auto"/>
                <w:position w:val="13"/>
                <w:sz w:val="21"/>
                <w:szCs w:val="21"/>
                <w:highlight w:val="none"/>
              </w:rPr>
              <w:t>（0分）</w:t>
            </w:r>
          </w:p>
        </w:tc>
        <w:tc>
          <w:tcPr>
            <w:tcW w:w="8078" w:type="dxa"/>
            <w:gridSpan w:val="2"/>
            <w:tcBorders>
              <w:right w:val="single" w:color="000000" w:sz="10" w:space="0"/>
            </w:tcBorders>
            <w:vAlign w:val="center"/>
          </w:tcPr>
          <w:p w14:paraId="75D90DBB">
            <w:pPr>
              <w:pStyle w:val="118"/>
              <w:keepNext w:val="0"/>
              <w:keepLines w:val="0"/>
              <w:pageBreakBefore w:val="0"/>
              <w:widowControl/>
              <w:kinsoku w:val="0"/>
              <w:wordWrap/>
              <w:overflowPunct/>
              <w:topLinePunct w:val="0"/>
              <w:autoSpaceDE w:val="0"/>
              <w:autoSpaceDN w:val="0"/>
              <w:bidi w:val="0"/>
              <w:adjustRightInd w:val="0"/>
              <w:snapToGrid w:val="0"/>
              <w:spacing w:before="135" w:line="360" w:lineRule="auto"/>
              <w:ind w:left="114" w:right="32"/>
              <w:jc w:val="both"/>
              <w:textAlignment w:val="baseline"/>
              <w:rPr>
                <w:rFonts w:hint="eastAsia" w:ascii="宋体" w:hAnsi="宋体" w:eastAsia="宋体" w:cs="宋体"/>
                <w:color w:val="auto"/>
                <w:position w:val="13"/>
                <w:sz w:val="21"/>
                <w:szCs w:val="21"/>
                <w:highlight w:val="none"/>
              </w:rPr>
            </w:pPr>
            <w:r>
              <w:rPr>
                <w:rFonts w:hint="eastAsia" w:ascii="宋体" w:hAnsi="宋体" w:eastAsia="宋体" w:cs="宋体"/>
                <w:color w:val="auto"/>
                <w:spacing w:val="2"/>
                <w:sz w:val="21"/>
                <w:szCs w:val="21"/>
                <w:highlight w:val="none"/>
              </w:rPr>
              <w:t>本项目来源于惠民免费殡葬资金</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产品具体需求数量不确定，本着执行惠民政策</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本项目采用固定单价进行采购，报价部分不作为评审因素。</w:t>
            </w:r>
          </w:p>
        </w:tc>
      </w:tr>
      <w:tr w14:paraId="70928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822" w:type="dxa"/>
            <w:vMerge w:val="restart"/>
            <w:tcBorders>
              <w:left w:val="single" w:color="000000" w:sz="10" w:space="0"/>
            </w:tcBorders>
            <w:vAlign w:val="top"/>
          </w:tcPr>
          <w:p w14:paraId="1DAB01F4">
            <w:pPr>
              <w:jc w:val="center"/>
              <w:rPr>
                <w:rFonts w:hint="eastAsia" w:ascii="宋体" w:hAnsi="宋体" w:eastAsia="宋体" w:cs="宋体"/>
                <w:color w:val="auto"/>
                <w:sz w:val="21"/>
                <w:szCs w:val="21"/>
                <w:highlight w:val="none"/>
              </w:rPr>
            </w:pPr>
          </w:p>
          <w:p w14:paraId="33F6DF48">
            <w:pPr>
              <w:jc w:val="center"/>
              <w:rPr>
                <w:rFonts w:hint="eastAsia" w:ascii="宋体" w:hAnsi="宋体" w:eastAsia="宋体" w:cs="宋体"/>
                <w:color w:val="auto"/>
                <w:sz w:val="21"/>
                <w:szCs w:val="21"/>
                <w:highlight w:val="none"/>
              </w:rPr>
            </w:pPr>
          </w:p>
          <w:p w14:paraId="07FEE3CD">
            <w:pPr>
              <w:jc w:val="center"/>
              <w:rPr>
                <w:rFonts w:hint="eastAsia" w:ascii="宋体" w:hAnsi="宋体" w:eastAsia="宋体" w:cs="宋体"/>
                <w:color w:val="auto"/>
                <w:sz w:val="21"/>
                <w:szCs w:val="21"/>
                <w:highlight w:val="none"/>
              </w:rPr>
            </w:pPr>
          </w:p>
          <w:p w14:paraId="43A91F28">
            <w:pPr>
              <w:pStyle w:val="118"/>
              <w:spacing w:before="78" w:line="184" w:lineRule="auto"/>
              <w:ind w:left="242"/>
              <w:jc w:val="both"/>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1.2</w:t>
            </w:r>
          </w:p>
        </w:tc>
        <w:tc>
          <w:tcPr>
            <w:tcW w:w="984" w:type="dxa"/>
            <w:vMerge w:val="restart"/>
            <w:vAlign w:val="center"/>
          </w:tcPr>
          <w:p w14:paraId="4F125D54">
            <w:pPr>
              <w:pStyle w:val="118"/>
              <w:spacing w:before="78" w:line="220" w:lineRule="auto"/>
              <w:ind w:left="222"/>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技术</w:t>
            </w:r>
          </w:p>
          <w:p w14:paraId="3EF4DB89">
            <w:pPr>
              <w:pStyle w:val="118"/>
              <w:spacing w:before="78" w:line="220" w:lineRule="auto"/>
              <w:ind w:left="222"/>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部</w:t>
            </w:r>
            <w:r>
              <w:rPr>
                <w:rFonts w:hint="eastAsia" w:ascii="宋体" w:hAnsi="宋体" w:eastAsia="宋体" w:cs="宋体"/>
                <w:color w:val="auto"/>
                <w:sz w:val="21"/>
                <w:szCs w:val="21"/>
                <w:highlight w:val="none"/>
              </w:rPr>
              <w:t>分</w:t>
            </w:r>
          </w:p>
          <w:p w14:paraId="0315BA5B">
            <w:pPr>
              <w:pStyle w:val="118"/>
              <w:spacing w:before="132" w:line="221" w:lineRule="auto"/>
              <w:ind w:left="115"/>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5"/>
                <w:sz w:val="21"/>
                <w:szCs w:val="21"/>
                <w:highlight w:val="none"/>
                <w:lang w:val="en-US" w:eastAsia="zh-CN"/>
              </w:rPr>
              <w:t>45</w:t>
            </w:r>
            <w:r>
              <w:rPr>
                <w:rFonts w:hint="eastAsia" w:ascii="宋体" w:hAnsi="宋体" w:eastAsia="宋体" w:cs="宋体"/>
                <w:color w:val="auto"/>
                <w:spacing w:val="-5"/>
                <w:sz w:val="21"/>
                <w:szCs w:val="21"/>
                <w:highlight w:val="none"/>
              </w:rPr>
              <w:t>分）</w:t>
            </w:r>
          </w:p>
        </w:tc>
        <w:tc>
          <w:tcPr>
            <w:tcW w:w="2138" w:type="dxa"/>
            <w:vAlign w:val="center"/>
          </w:tcPr>
          <w:p w14:paraId="0549E317">
            <w:pPr>
              <w:pStyle w:val="118"/>
              <w:keepNext w:val="0"/>
              <w:keepLines w:val="0"/>
              <w:pageBreakBefore w:val="0"/>
              <w:widowControl/>
              <w:kinsoku w:val="0"/>
              <w:wordWrap/>
              <w:overflowPunct/>
              <w:topLinePunct w:val="0"/>
              <w:autoSpaceDE w:val="0"/>
              <w:autoSpaceDN w:val="0"/>
              <w:bidi w:val="0"/>
              <w:adjustRightInd w:val="0"/>
              <w:snapToGrid w:val="0"/>
              <w:spacing w:before="135" w:line="360" w:lineRule="auto"/>
              <w:ind w:left="114" w:right="32" w:firstLine="214" w:firstLineChars="1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技术参数</w:t>
            </w:r>
          </w:p>
          <w:p w14:paraId="5B854D52">
            <w:pPr>
              <w:pStyle w:val="118"/>
              <w:keepNext w:val="0"/>
              <w:keepLines w:val="0"/>
              <w:pageBreakBefore w:val="0"/>
              <w:widowControl/>
              <w:kinsoku w:val="0"/>
              <w:wordWrap/>
              <w:overflowPunct/>
              <w:topLinePunct w:val="0"/>
              <w:autoSpaceDE w:val="0"/>
              <w:autoSpaceDN w:val="0"/>
              <w:bidi w:val="0"/>
              <w:adjustRightInd w:val="0"/>
              <w:snapToGrid w:val="0"/>
              <w:spacing w:before="135" w:line="360" w:lineRule="auto"/>
              <w:ind w:left="114" w:right="32"/>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（0-</w:t>
            </w:r>
            <w:r>
              <w:rPr>
                <w:rFonts w:hint="eastAsia" w:ascii="宋体" w:hAnsi="宋体" w:eastAsia="宋体" w:cs="宋体"/>
                <w:color w:val="auto"/>
                <w:spacing w:val="2"/>
                <w:sz w:val="21"/>
                <w:szCs w:val="21"/>
                <w:highlight w:val="none"/>
                <w:lang w:val="en-US" w:eastAsia="zh-CN"/>
              </w:rPr>
              <w:t>25</w:t>
            </w:r>
            <w:r>
              <w:rPr>
                <w:rFonts w:hint="eastAsia" w:ascii="宋体" w:hAnsi="宋体" w:eastAsia="宋体" w:cs="宋体"/>
                <w:color w:val="auto"/>
                <w:spacing w:val="2"/>
                <w:sz w:val="21"/>
                <w:szCs w:val="21"/>
                <w:highlight w:val="none"/>
              </w:rPr>
              <w:t>分）</w:t>
            </w:r>
          </w:p>
        </w:tc>
        <w:tc>
          <w:tcPr>
            <w:tcW w:w="5940" w:type="dxa"/>
            <w:tcBorders>
              <w:right w:val="single" w:color="000000" w:sz="10" w:space="0"/>
            </w:tcBorders>
            <w:vAlign w:val="center"/>
          </w:tcPr>
          <w:p w14:paraId="41047651">
            <w:pPr>
              <w:pStyle w:val="118"/>
              <w:keepNext w:val="0"/>
              <w:keepLines w:val="0"/>
              <w:pageBreakBefore w:val="0"/>
              <w:widowControl/>
              <w:kinsoku w:val="0"/>
              <w:wordWrap/>
              <w:overflowPunct/>
              <w:topLinePunct w:val="0"/>
              <w:autoSpaceDE w:val="0"/>
              <w:autoSpaceDN w:val="0"/>
              <w:bidi w:val="0"/>
              <w:adjustRightInd w:val="0"/>
              <w:snapToGrid w:val="0"/>
              <w:spacing w:before="135" w:line="360" w:lineRule="auto"/>
              <w:ind w:left="114" w:right="32"/>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所投产品技术指标或功能完全满足</w:t>
            </w:r>
            <w:r>
              <w:rPr>
                <w:rFonts w:hint="eastAsia" w:ascii="宋体" w:hAnsi="宋体" w:eastAsia="宋体" w:cs="宋体"/>
                <w:color w:val="auto"/>
                <w:spacing w:val="2"/>
                <w:sz w:val="21"/>
                <w:szCs w:val="21"/>
                <w:highlight w:val="none"/>
                <w:lang w:eastAsia="zh-CN"/>
              </w:rPr>
              <w:t>磋商文件</w:t>
            </w:r>
            <w:r>
              <w:rPr>
                <w:rFonts w:hint="eastAsia" w:ascii="宋体" w:hAnsi="宋体" w:eastAsia="宋体" w:cs="宋体"/>
                <w:color w:val="auto"/>
                <w:spacing w:val="2"/>
                <w:sz w:val="21"/>
                <w:szCs w:val="21"/>
                <w:highlight w:val="none"/>
              </w:rPr>
              <w:t>要求的得</w:t>
            </w:r>
            <w:r>
              <w:rPr>
                <w:rFonts w:hint="eastAsia" w:ascii="宋体" w:hAnsi="宋体" w:eastAsia="宋体" w:cs="宋体"/>
                <w:color w:val="auto"/>
                <w:spacing w:val="2"/>
                <w:sz w:val="21"/>
                <w:szCs w:val="21"/>
                <w:highlight w:val="none"/>
                <w:lang w:val="en-US" w:eastAsia="zh-CN"/>
              </w:rPr>
              <w:t>25</w:t>
            </w:r>
            <w:r>
              <w:rPr>
                <w:rFonts w:hint="eastAsia" w:ascii="宋体" w:hAnsi="宋体" w:eastAsia="宋体" w:cs="宋体"/>
                <w:color w:val="auto"/>
                <w:spacing w:val="2"/>
                <w:sz w:val="21"/>
                <w:szCs w:val="21"/>
                <w:highlight w:val="none"/>
              </w:rPr>
              <w:t>分</w:t>
            </w:r>
            <w:r>
              <w:rPr>
                <w:rFonts w:hint="eastAsia" w:ascii="宋体" w:hAnsi="宋体" w:eastAsia="宋体" w:cs="宋体"/>
                <w:color w:val="auto"/>
                <w:spacing w:val="2"/>
                <w:sz w:val="21"/>
                <w:szCs w:val="21"/>
                <w:highlight w:val="none"/>
                <w:lang w:eastAsia="zh-CN"/>
              </w:rPr>
              <w:t>，每有一条不满足得</w:t>
            </w:r>
            <w:r>
              <w:rPr>
                <w:rFonts w:hint="eastAsia" w:ascii="宋体" w:hAnsi="宋体" w:eastAsia="宋体" w:cs="宋体"/>
                <w:color w:val="auto"/>
                <w:spacing w:val="2"/>
                <w:sz w:val="21"/>
                <w:szCs w:val="21"/>
                <w:highlight w:val="none"/>
                <w:lang w:val="en-US" w:eastAsia="zh-CN"/>
              </w:rPr>
              <w:t>1分，扣完为止</w:t>
            </w:r>
            <w:r>
              <w:rPr>
                <w:rFonts w:hint="eastAsia" w:ascii="宋体" w:hAnsi="宋体" w:eastAsia="宋体" w:cs="宋体"/>
                <w:color w:val="auto"/>
                <w:spacing w:val="2"/>
                <w:sz w:val="21"/>
                <w:szCs w:val="21"/>
                <w:highlight w:val="none"/>
              </w:rPr>
              <w:t>。</w:t>
            </w:r>
          </w:p>
        </w:tc>
      </w:tr>
      <w:tr w14:paraId="51A34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822" w:type="dxa"/>
            <w:vMerge w:val="continue"/>
            <w:tcBorders>
              <w:left w:val="single" w:color="000000" w:sz="10" w:space="0"/>
            </w:tcBorders>
            <w:vAlign w:val="top"/>
          </w:tcPr>
          <w:p w14:paraId="5A9C54B6">
            <w:pPr>
              <w:pStyle w:val="118"/>
              <w:spacing w:before="78" w:line="184" w:lineRule="auto"/>
              <w:ind w:left="242"/>
              <w:jc w:val="both"/>
              <w:rPr>
                <w:rFonts w:hint="eastAsia" w:ascii="宋体" w:hAnsi="宋体" w:eastAsia="宋体" w:cs="宋体"/>
                <w:color w:val="auto"/>
                <w:spacing w:val="-10"/>
                <w:sz w:val="21"/>
                <w:szCs w:val="21"/>
                <w:highlight w:val="none"/>
              </w:rPr>
            </w:pPr>
          </w:p>
        </w:tc>
        <w:tc>
          <w:tcPr>
            <w:tcW w:w="984" w:type="dxa"/>
            <w:vMerge w:val="continue"/>
            <w:vAlign w:val="center"/>
          </w:tcPr>
          <w:p w14:paraId="2F9CE656">
            <w:pPr>
              <w:pStyle w:val="118"/>
              <w:spacing w:before="132" w:line="221" w:lineRule="auto"/>
              <w:ind w:left="115"/>
              <w:jc w:val="center"/>
              <w:rPr>
                <w:rFonts w:hint="eastAsia" w:ascii="宋体" w:hAnsi="宋体" w:eastAsia="宋体" w:cs="宋体"/>
                <w:color w:val="auto"/>
                <w:spacing w:val="-5"/>
                <w:sz w:val="21"/>
                <w:szCs w:val="21"/>
                <w:highlight w:val="none"/>
              </w:rPr>
            </w:pPr>
          </w:p>
        </w:tc>
        <w:tc>
          <w:tcPr>
            <w:tcW w:w="2138" w:type="dxa"/>
            <w:vAlign w:val="center"/>
          </w:tcPr>
          <w:p w14:paraId="49205A52">
            <w:pPr>
              <w:pStyle w:val="118"/>
              <w:keepNext w:val="0"/>
              <w:keepLines w:val="0"/>
              <w:pageBreakBefore w:val="0"/>
              <w:widowControl/>
              <w:kinsoku w:val="0"/>
              <w:wordWrap/>
              <w:overflowPunct/>
              <w:topLinePunct w:val="0"/>
              <w:autoSpaceDE w:val="0"/>
              <w:autoSpaceDN w:val="0"/>
              <w:bidi w:val="0"/>
              <w:adjustRightInd w:val="0"/>
              <w:snapToGrid w:val="0"/>
              <w:spacing w:before="135" w:line="360" w:lineRule="auto"/>
              <w:ind w:left="114" w:right="32"/>
              <w:jc w:val="both"/>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遗体袋样品</w:t>
            </w:r>
          </w:p>
          <w:p w14:paraId="4D41B318">
            <w:pPr>
              <w:pStyle w:val="118"/>
              <w:keepNext w:val="0"/>
              <w:keepLines w:val="0"/>
              <w:pageBreakBefore w:val="0"/>
              <w:widowControl/>
              <w:kinsoku w:val="0"/>
              <w:wordWrap/>
              <w:overflowPunct/>
              <w:topLinePunct w:val="0"/>
              <w:autoSpaceDE w:val="0"/>
              <w:autoSpaceDN w:val="0"/>
              <w:bidi w:val="0"/>
              <w:adjustRightInd w:val="0"/>
              <w:snapToGrid w:val="0"/>
              <w:spacing w:before="135" w:line="360" w:lineRule="auto"/>
              <w:ind w:left="114" w:right="32"/>
              <w:jc w:val="both"/>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（0-</w:t>
            </w:r>
            <w:r>
              <w:rPr>
                <w:rFonts w:hint="eastAsia" w:ascii="宋体" w:hAnsi="宋体" w:eastAsia="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rPr>
              <w:t>分）</w:t>
            </w:r>
          </w:p>
        </w:tc>
        <w:tc>
          <w:tcPr>
            <w:tcW w:w="5940" w:type="dxa"/>
            <w:tcBorders>
              <w:right w:val="single" w:color="000000" w:sz="10" w:space="0"/>
            </w:tcBorders>
            <w:vAlign w:val="center"/>
          </w:tcPr>
          <w:p w14:paraId="73FBD76B">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结合采购人需求提供遗体袋样品，根据产品的质量品质、材质优劣、韧性和方便性等进行评分。</w:t>
            </w:r>
          </w:p>
          <w:p w14:paraId="3A73DC6B">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样品质量好、材质好、韧性强、操作方便得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68AE1C3E">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样品质量和材质相对较好、韧性一般、操作较方便得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6C1B0C1E">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样品质量品质较差得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3C7D386D">
            <w:pPr>
              <w:spacing w:line="360" w:lineRule="auto"/>
              <w:jc w:val="both"/>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）未提供的得0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r>
      <w:tr w14:paraId="46D9C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822" w:type="dxa"/>
            <w:vMerge w:val="continue"/>
            <w:tcBorders>
              <w:left w:val="single" w:color="000000" w:sz="10" w:space="0"/>
            </w:tcBorders>
            <w:vAlign w:val="top"/>
          </w:tcPr>
          <w:p w14:paraId="4153EA04">
            <w:pPr>
              <w:pStyle w:val="118"/>
              <w:spacing w:before="78" w:line="184" w:lineRule="auto"/>
              <w:ind w:left="242"/>
              <w:jc w:val="both"/>
              <w:rPr>
                <w:rFonts w:hint="eastAsia" w:ascii="宋体" w:hAnsi="宋体" w:eastAsia="宋体" w:cs="宋体"/>
                <w:color w:val="auto"/>
                <w:spacing w:val="-10"/>
                <w:sz w:val="21"/>
                <w:szCs w:val="21"/>
                <w:highlight w:val="none"/>
              </w:rPr>
            </w:pPr>
          </w:p>
        </w:tc>
        <w:tc>
          <w:tcPr>
            <w:tcW w:w="984" w:type="dxa"/>
            <w:vMerge w:val="continue"/>
            <w:vAlign w:val="center"/>
          </w:tcPr>
          <w:p w14:paraId="732F7AF6">
            <w:pPr>
              <w:pStyle w:val="118"/>
              <w:spacing w:before="132" w:line="221" w:lineRule="auto"/>
              <w:ind w:left="115"/>
              <w:jc w:val="center"/>
              <w:rPr>
                <w:rFonts w:hint="eastAsia" w:ascii="宋体" w:hAnsi="宋体" w:eastAsia="宋体" w:cs="宋体"/>
                <w:color w:val="auto"/>
                <w:spacing w:val="-5"/>
                <w:sz w:val="21"/>
                <w:szCs w:val="21"/>
                <w:highlight w:val="none"/>
              </w:rPr>
            </w:pPr>
          </w:p>
        </w:tc>
        <w:tc>
          <w:tcPr>
            <w:tcW w:w="2138" w:type="dxa"/>
            <w:vAlign w:val="center"/>
          </w:tcPr>
          <w:p w14:paraId="12411D28">
            <w:pPr>
              <w:pStyle w:val="118"/>
              <w:keepNext w:val="0"/>
              <w:keepLines w:val="0"/>
              <w:pageBreakBefore w:val="0"/>
              <w:widowControl/>
              <w:kinsoku w:val="0"/>
              <w:wordWrap/>
              <w:overflowPunct/>
              <w:topLinePunct w:val="0"/>
              <w:autoSpaceDE w:val="0"/>
              <w:autoSpaceDN w:val="0"/>
              <w:bidi w:val="0"/>
              <w:adjustRightInd w:val="0"/>
              <w:snapToGrid w:val="0"/>
              <w:spacing w:before="135" w:line="360" w:lineRule="auto"/>
              <w:ind w:left="114" w:right="32"/>
              <w:jc w:val="both"/>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骨灰盒样品</w:t>
            </w:r>
          </w:p>
          <w:p w14:paraId="26949D95">
            <w:pPr>
              <w:pStyle w:val="118"/>
              <w:keepNext w:val="0"/>
              <w:keepLines w:val="0"/>
              <w:pageBreakBefore w:val="0"/>
              <w:widowControl/>
              <w:kinsoku w:val="0"/>
              <w:wordWrap/>
              <w:overflowPunct/>
              <w:topLinePunct w:val="0"/>
              <w:autoSpaceDE w:val="0"/>
              <w:autoSpaceDN w:val="0"/>
              <w:bidi w:val="0"/>
              <w:adjustRightInd w:val="0"/>
              <w:snapToGrid w:val="0"/>
              <w:spacing w:before="135" w:line="360" w:lineRule="auto"/>
              <w:ind w:left="114" w:right="32"/>
              <w:jc w:val="both"/>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（0-</w:t>
            </w:r>
            <w:r>
              <w:rPr>
                <w:rFonts w:hint="eastAsia" w:ascii="宋体" w:hAnsi="宋体" w:eastAsia="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rPr>
              <w:t>分）</w:t>
            </w:r>
          </w:p>
        </w:tc>
        <w:tc>
          <w:tcPr>
            <w:tcW w:w="5940" w:type="dxa"/>
            <w:tcBorders>
              <w:right w:val="single" w:color="000000" w:sz="10" w:space="0"/>
            </w:tcBorders>
            <w:vAlign w:val="center"/>
          </w:tcPr>
          <w:p w14:paraId="3C7BD5CA">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结合采购人需求提供两</w:t>
            </w:r>
            <w:r>
              <w:rPr>
                <w:rFonts w:hint="eastAsia" w:ascii="宋体" w:hAnsi="宋体" w:cs="宋体"/>
                <w:color w:val="auto"/>
                <w:sz w:val="21"/>
                <w:szCs w:val="21"/>
                <w:highlight w:val="none"/>
                <w:lang w:val="en-US" w:eastAsia="zh-CN"/>
              </w:rPr>
              <w:t>种类型的</w:t>
            </w:r>
            <w:r>
              <w:rPr>
                <w:rFonts w:hint="eastAsia" w:ascii="宋体" w:hAnsi="宋体" w:eastAsia="宋体" w:cs="宋体"/>
                <w:color w:val="auto"/>
                <w:sz w:val="21"/>
                <w:szCs w:val="21"/>
                <w:highlight w:val="none"/>
                <w:lang w:val="en-US" w:eastAsia="zh-CN"/>
              </w:rPr>
              <w:t>骨灰盒样品，根据产品的质量品质、外观、物理性能、工艺优劣等进行评分。</w:t>
            </w:r>
          </w:p>
          <w:p w14:paraId="1A49DD81">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）美观协调无瑕疵、安装牢固、结构平稳、接口平整，全部满足</w:t>
            </w:r>
            <w:r>
              <w:rPr>
                <w:rFonts w:hint="eastAsia" w:ascii="宋体" w:hAnsi="宋体" w:eastAsia="宋体" w:cs="宋体"/>
                <w:color w:val="auto"/>
                <w:sz w:val="21"/>
                <w:szCs w:val="21"/>
                <w:highlight w:val="none"/>
                <w:lang w:val="en-US" w:eastAsia="zh-CN"/>
              </w:rPr>
              <w:t>得10分；</w:t>
            </w:r>
          </w:p>
          <w:p w14:paraId="3CE1FA23">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）美观但有细微瑕疵、安装较为牢固、结构较为平稳、接口较为平整，全部满足</w:t>
            </w:r>
            <w:r>
              <w:rPr>
                <w:rFonts w:hint="eastAsia" w:ascii="宋体" w:hAnsi="宋体" w:eastAsia="宋体" w:cs="宋体"/>
                <w:color w:val="auto"/>
                <w:sz w:val="21"/>
                <w:szCs w:val="21"/>
                <w:highlight w:val="none"/>
                <w:lang w:val="en-US" w:eastAsia="zh-CN"/>
              </w:rPr>
              <w:t>得6分；</w:t>
            </w:r>
          </w:p>
          <w:p w14:paraId="3B4D2F52">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）有明显瑕疵、安装不够牢固、结构不够平稳、接口不平整，出现以上任意情形只</w:t>
            </w:r>
            <w:r>
              <w:rPr>
                <w:rFonts w:hint="eastAsia" w:ascii="宋体" w:hAnsi="宋体" w:eastAsia="宋体" w:cs="宋体"/>
                <w:color w:val="auto"/>
                <w:sz w:val="21"/>
                <w:szCs w:val="21"/>
                <w:highlight w:val="none"/>
                <w:lang w:val="en-US" w:eastAsia="zh-CN"/>
              </w:rPr>
              <w:t>得2分；</w:t>
            </w:r>
          </w:p>
          <w:p w14:paraId="0AC32E49">
            <w:pPr>
              <w:pStyle w:val="118"/>
              <w:keepNext w:val="0"/>
              <w:keepLines w:val="0"/>
              <w:pageBreakBefore w:val="0"/>
              <w:widowControl/>
              <w:kinsoku w:val="0"/>
              <w:wordWrap/>
              <w:overflowPunct/>
              <w:topLinePunct w:val="0"/>
              <w:autoSpaceDE w:val="0"/>
              <w:autoSpaceDN w:val="0"/>
              <w:bidi w:val="0"/>
              <w:adjustRightInd w:val="0"/>
              <w:snapToGrid w:val="0"/>
              <w:spacing w:before="135" w:line="360" w:lineRule="auto"/>
              <w:ind w:right="32"/>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）未提供的得0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r>
      <w:tr w14:paraId="49E34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822" w:type="dxa"/>
            <w:vMerge w:val="restart"/>
            <w:tcBorders>
              <w:left w:val="single" w:color="000000" w:sz="10" w:space="0"/>
            </w:tcBorders>
            <w:vAlign w:val="top"/>
          </w:tcPr>
          <w:p w14:paraId="22945603">
            <w:pPr>
              <w:jc w:val="center"/>
              <w:rPr>
                <w:rFonts w:hint="eastAsia" w:ascii="宋体" w:hAnsi="宋体" w:eastAsia="宋体" w:cs="宋体"/>
                <w:snapToGrid w:val="0"/>
                <w:color w:val="auto"/>
                <w:spacing w:val="2"/>
                <w:kern w:val="0"/>
                <w:sz w:val="21"/>
                <w:szCs w:val="21"/>
                <w:highlight w:val="none"/>
                <w:lang w:val="en-US" w:eastAsia="zh-CN" w:bidi="ar-SA"/>
              </w:rPr>
            </w:pPr>
          </w:p>
          <w:p w14:paraId="7572ACE1">
            <w:pPr>
              <w:jc w:val="center"/>
              <w:rPr>
                <w:rFonts w:hint="eastAsia" w:ascii="宋体" w:hAnsi="宋体" w:eastAsia="宋体" w:cs="宋体"/>
                <w:snapToGrid w:val="0"/>
                <w:color w:val="auto"/>
                <w:spacing w:val="2"/>
                <w:kern w:val="0"/>
                <w:sz w:val="21"/>
                <w:szCs w:val="21"/>
                <w:highlight w:val="none"/>
                <w:lang w:val="en-US" w:eastAsia="zh-CN" w:bidi="ar-SA"/>
              </w:rPr>
            </w:pPr>
          </w:p>
          <w:p w14:paraId="30012AED">
            <w:pPr>
              <w:jc w:val="center"/>
              <w:rPr>
                <w:rFonts w:hint="eastAsia" w:ascii="宋体" w:hAnsi="宋体" w:eastAsia="宋体" w:cs="宋体"/>
                <w:snapToGrid w:val="0"/>
                <w:color w:val="auto"/>
                <w:spacing w:val="2"/>
                <w:kern w:val="0"/>
                <w:sz w:val="21"/>
                <w:szCs w:val="21"/>
                <w:highlight w:val="none"/>
                <w:lang w:val="en-US" w:eastAsia="zh-CN" w:bidi="ar-SA"/>
              </w:rPr>
            </w:pPr>
          </w:p>
          <w:p w14:paraId="39AF2944">
            <w:pPr>
              <w:jc w:val="center"/>
              <w:rPr>
                <w:rFonts w:hint="eastAsia" w:ascii="宋体" w:hAnsi="宋体" w:eastAsia="宋体" w:cs="宋体"/>
                <w:snapToGrid w:val="0"/>
                <w:color w:val="auto"/>
                <w:spacing w:val="2"/>
                <w:kern w:val="0"/>
                <w:sz w:val="21"/>
                <w:szCs w:val="21"/>
                <w:highlight w:val="none"/>
                <w:lang w:val="en-US" w:eastAsia="zh-CN" w:bidi="ar-SA"/>
              </w:rPr>
            </w:pPr>
          </w:p>
          <w:p w14:paraId="08DE7616">
            <w:pPr>
              <w:jc w:val="center"/>
              <w:rPr>
                <w:rFonts w:hint="eastAsia" w:ascii="宋体" w:hAnsi="宋体" w:eastAsia="宋体" w:cs="宋体"/>
                <w:snapToGrid w:val="0"/>
                <w:color w:val="auto"/>
                <w:spacing w:val="2"/>
                <w:kern w:val="0"/>
                <w:sz w:val="21"/>
                <w:szCs w:val="21"/>
                <w:highlight w:val="none"/>
                <w:lang w:val="en-US" w:eastAsia="zh-CN" w:bidi="ar-SA"/>
              </w:rPr>
            </w:pPr>
          </w:p>
          <w:p w14:paraId="6569E513">
            <w:pPr>
              <w:pStyle w:val="119"/>
              <w:rPr>
                <w:rFonts w:hint="eastAsia" w:ascii="宋体" w:hAnsi="宋体" w:eastAsia="宋体" w:cs="宋体"/>
                <w:snapToGrid w:val="0"/>
                <w:color w:val="auto"/>
                <w:spacing w:val="2"/>
                <w:kern w:val="0"/>
                <w:sz w:val="21"/>
                <w:szCs w:val="21"/>
                <w:highlight w:val="none"/>
                <w:lang w:val="en-US" w:eastAsia="zh-CN" w:bidi="ar-SA"/>
              </w:rPr>
            </w:pPr>
          </w:p>
          <w:p w14:paraId="3243B79A">
            <w:pPr>
              <w:rPr>
                <w:rFonts w:hint="eastAsia" w:ascii="宋体" w:hAnsi="宋体" w:eastAsia="宋体" w:cs="宋体"/>
                <w:snapToGrid w:val="0"/>
                <w:color w:val="auto"/>
                <w:spacing w:val="2"/>
                <w:kern w:val="0"/>
                <w:sz w:val="21"/>
                <w:szCs w:val="21"/>
                <w:highlight w:val="none"/>
                <w:lang w:val="en-US" w:eastAsia="zh-CN" w:bidi="ar-SA"/>
              </w:rPr>
            </w:pPr>
          </w:p>
          <w:p w14:paraId="5D0B6ADE">
            <w:pPr>
              <w:pStyle w:val="119"/>
              <w:rPr>
                <w:rFonts w:hint="eastAsia" w:ascii="宋体" w:hAnsi="宋体" w:eastAsia="宋体" w:cs="宋体"/>
                <w:snapToGrid w:val="0"/>
                <w:color w:val="auto"/>
                <w:spacing w:val="2"/>
                <w:kern w:val="0"/>
                <w:sz w:val="21"/>
                <w:szCs w:val="21"/>
                <w:highlight w:val="none"/>
                <w:lang w:val="en-US" w:eastAsia="zh-CN" w:bidi="ar-SA"/>
              </w:rPr>
            </w:pPr>
          </w:p>
          <w:p w14:paraId="5CC3B29C">
            <w:pPr>
              <w:rPr>
                <w:rFonts w:hint="eastAsia" w:ascii="宋体" w:hAnsi="宋体" w:eastAsia="宋体" w:cs="宋体"/>
                <w:snapToGrid w:val="0"/>
                <w:color w:val="auto"/>
                <w:spacing w:val="2"/>
                <w:kern w:val="0"/>
                <w:sz w:val="21"/>
                <w:szCs w:val="21"/>
                <w:highlight w:val="none"/>
                <w:lang w:val="en-US" w:eastAsia="zh-CN" w:bidi="ar-SA"/>
              </w:rPr>
            </w:pPr>
          </w:p>
          <w:p w14:paraId="3718FBB0">
            <w:pPr>
              <w:pStyle w:val="119"/>
              <w:rPr>
                <w:rFonts w:hint="eastAsia" w:ascii="宋体" w:hAnsi="宋体" w:eastAsia="宋体" w:cs="宋体"/>
                <w:color w:val="auto"/>
                <w:highlight w:val="none"/>
                <w:lang w:val="en-US" w:eastAsia="zh-CN"/>
              </w:rPr>
            </w:pPr>
          </w:p>
          <w:p w14:paraId="0EBB808C">
            <w:pPr>
              <w:jc w:val="center"/>
              <w:rPr>
                <w:rFonts w:hint="eastAsia" w:ascii="宋体" w:hAnsi="宋体" w:eastAsia="宋体" w:cs="宋体"/>
                <w:snapToGrid w:val="0"/>
                <w:color w:val="auto"/>
                <w:spacing w:val="2"/>
                <w:kern w:val="0"/>
                <w:sz w:val="21"/>
                <w:szCs w:val="21"/>
                <w:highlight w:val="none"/>
                <w:lang w:val="en-US" w:eastAsia="zh-CN" w:bidi="ar-SA"/>
              </w:rPr>
            </w:pPr>
          </w:p>
          <w:p w14:paraId="50E3C858">
            <w:pPr>
              <w:jc w:val="center"/>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zh-CN" w:bidi="ar-SA"/>
              </w:rPr>
              <w:t>1.3</w:t>
            </w:r>
          </w:p>
        </w:tc>
        <w:tc>
          <w:tcPr>
            <w:tcW w:w="984" w:type="dxa"/>
            <w:vMerge w:val="restart"/>
            <w:tcBorders>
              <w:right w:val="single" w:color="auto" w:sz="4" w:space="0"/>
            </w:tcBorders>
            <w:vAlign w:val="center"/>
          </w:tcPr>
          <w:p w14:paraId="23B01CC9">
            <w:pPr>
              <w:spacing w:line="247" w:lineRule="auto"/>
              <w:jc w:val="center"/>
              <w:rPr>
                <w:rFonts w:hint="eastAsia" w:ascii="宋体" w:hAnsi="宋体" w:eastAsia="宋体" w:cs="宋体"/>
                <w:snapToGrid w:val="0"/>
                <w:color w:val="auto"/>
                <w:spacing w:val="2"/>
                <w:kern w:val="0"/>
                <w:sz w:val="21"/>
                <w:szCs w:val="21"/>
                <w:highlight w:val="none"/>
                <w:lang w:val="en-US" w:eastAsia="en-US" w:bidi="ar-SA"/>
              </w:rPr>
            </w:pPr>
          </w:p>
          <w:p w14:paraId="2DE4932C">
            <w:pPr>
              <w:pStyle w:val="118"/>
              <w:spacing w:before="1" w:line="220" w:lineRule="auto"/>
              <w:ind w:left="106"/>
              <w:jc w:val="center"/>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zh-CN" w:bidi="ar-SA"/>
              </w:rPr>
              <w:t>其他</w:t>
            </w:r>
          </w:p>
          <w:p w14:paraId="0247FD37">
            <w:pPr>
              <w:pStyle w:val="118"/>
              <w:spacing w:before="1" w:line="220" w:lineRule="auto"/>
              <w:ind w:left="106"/>
              <w:jc w:val="center"/>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部分</w:t>
            </w:r>
          </w:p>
          <w:p w14:paraId="25E3070B">
            <w:pPr>
              <w:pStyle w:val="118"/>
              <w:spacing w:before="1" w:line="220" w:lineRule="auto"/>
              <w:ind w:left="106"/>
              <w:jc w:val="center"/>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zh-CN" w:bidi="ar-SA"/>
              </w:rPr>
              <w:t>（55分）</w:t>
            </w:r>
          </w:p>
        </w:tc>
        <w:tc>
          <w:tcPr>
            <w:tcW w:w="2138" w:type="dxa"/>
            <w:tcBorders>
              <w:left w:val="single" w:color="auto" w:sz="4" w:space="0"/>
            </w:tcBorders>
            <w:vAlign w:val="center"/>
          </w:tcPr>
          <w:p w14:paraId="20684484">
            <w:pPr>
              <w:pStyle w:val="118"/>
              <w:spacing w:before="78" w:line="360" w:lineRule="auto"/>
              <w:ind w:left="106"/>
              <w:jc w:val="both"/>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color w:val="auto"/>
                <w:sz w:val="21"/>
                <w:szCs w:val="21"/>
                <w:highlight w:val="none"/>
              </w:rPr>
              <w:t>产品综合实力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5940" w:type="dxa"/>
            <w:tcBorders>
              <w:right w:val="single" w:color="000000" w:sz="10" w:space="0"/>
            </w:tcBorders>
            <w:vAlign w:val="center"/>
          </w:tcPr>
          <w:p w14:paraId="67A0F45E">
            <w:pPr>
              <w:spacing w:line="360" w:lineRule="auto"/>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color w:val="auto"/>
                <w:sz w:val="21"/>
                <w:szCs w:val="21"/>
                <w:highlight w:val="none"/>
                <w:lang w:eastAsia="zh-CN"/>
              </w:rPr>
              <w:t>产品物理/化学性能、耐腐蚀性完全满足要求，核心指标优于要求：</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分；产品性能基本满足要求，无明显短板：</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分；产品性能仅达到最低要求：</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分；未提供或性能难以满足使用：0分。</w:t>
            </w:r>
          </w:p>
        </w:tc>
      </w:tr>
      <w:tr w14:paraId="5E264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822" w:type="dxa"/>
            <w:vMerge w:val="continue"/>
            <w:tcBorders>
              <w:left w:val="single" w:color="000000" w:sz="10" w:space="0"/>
            </w:tcBorders>
            <w:vAlign w:val="top"/>
          </w:tcPr>
          <w:p w14:paraId="467FAE22">
            <w:pPr>
              <w:jc w:val="center"/>
              <w:rPr>
                <w:rFonts w:hint="eastAsia" w:ascii="宋体" w:hAnsi="宋体" w:eastAsia="宋体" w:cs="宋体"/>
                <w:snapToGrid w:val="0"/>
                <w:color w:val="auto"/>
                <w:spacing w:val="2"/>
                <w:kern w:val="0"/>
                <w:sz w:val="21"/>
                <w:szCs w:val="21"/>
                <w:highlight w:val="none"/>
                <w:lang w:val="en-US" w:eastAsia="zh-CN" w:bidi="ar-SA"/>
              </w:rPr>
            </w:pPr>
          </w:p>
        </w:tc>
        <w:tc>
          <w:tcPr>
            <w:tcW w:w="984" w:type="dxa"/>
            <w:vMerge w:val="continue"/>
            <w:tcBorders>
              <w:right w:val="single" w:color="auto" w:sz="4" w:space="0"/>
            </w:tcBorders>
            <w:vAlign w:val="top"/>
          </w:tcPr>
          <w:p w14:paraId="226605EE">
            <w:pPr>
              <w:pStyle w:val="118"/>
              <w:spacing w:before="78" w:line="420" w:lineRule="exact"/>
              <w:ind w:left="106"/>
              <w:rPr>
                <w:rFonts w:ascii="宋体" w:hAnsi="宋体" w:eastAsia="宋体" w:cs="宋体"/>
                <w:snapToGrid w:val="0"/>
                <w:color w:val="auto"/>
                <w:spacing w:val="2"/>
                <w:kern w:val="0"/>
                <w:sz w:val="21"/>
                <w:szCs w:val="21"/>
                <w:highlight w:val="none"/>
                <w:lang w:val="en-US" w:eastAsia="en-US" w:bidi="ar-SA"/>
              </w:rPr>
            </w:pPr>
          </w:p>
        </w:tc>
        <w:tc>
          <w:tcPr>
            <w:tcW w:w="2138" w:type="dxa"/>
            <w:tcBorders>
              <w:left w:val="single" w:color="auto" w:sz="4" w:space="0"/>
            </w:tcBorders>
            <w:vAlign w:val="center"/>
          </w:tcPr>
          <w:p w14:paraId="41ABE603">
            <w:pPr>
              <w:pStyle w:val="118"/>
              <w:spacing w:before="78" w:line="360" w:lineRule="auto"/>
              <w:ind w:left="106"/>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color w:val="auto"/>
                <w:sz w:val="21"/>
                <w:szCs w:val="21"/>
                <w:highlight w:val="none"/>
              </w:rPr>
              <w:t>生产工艺与技术先进性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5940" w:type="dxa"/>
            <w:tcBorders>
              <w:right w:val="single" w:color="000000" w:sz="10" w:space="0"/>
            </w:tcBorders>
            <w:vAlign w:val="center"/>
          </w:tcPr>
          <w:p w14:paraId="2D31961F">
            <w:pPr>
              <w:spacing w:line="360" w:lineRule="auto"/>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color w:val="auto"/>
                <w:sz w:val="21"/>
                <w:szCs w:val="21"/>
                <w:highlight w:val="none"/>
                <w:lang w:eastAsia="zh-CN"/>
              </w:rPr>
              <w:t>生产工艺流程规范、技术成熟，选材/雕刻/安装工艺有明确技术标准且优于行业常规：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分；生产工艺符合行业标准，技术成熟度一般，工艺无明显缺陷：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分；生产工艺仅满足基本要求，无细化标准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分；未提供或工艺差：0分。</w:t>
            </w:r>
          </w:p>
        </w:tc>
      </w:tr>
      <w:tr w14:paraId="29441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822" w:type="dxa"/>
            <w:vMerge w:val="continue"/>
            <w:tcBorders>
              <w:left w:val="single" w:color="000000" w:sz="10" w:space="0"/>
            </w:tcBorders>
            <w:vAlign w:val="top"/>
          </w:tcPr>
          <w:p w14:paraId="3936F7D1">
            <w:pPr>
              <w:jc w:val="center"/>
              <w:rPr>
                <w:rFonts w:hint="eastAsia" w:ascii="宋体" w:hAnsi="宋体" w:eastAsia="宋体" w:cs="宋体"/>
                <w:snapToGrid w:val="0"/>
                <w:color w:val="auto"/>
                <w:spacing w:val="2"/>
                <w:kern w:val="0"/>
                <w:sz w:val="21"/>
                <w:szCs w:val="21"/>
                <w:highlight w:val="none"/>
                <w:lang w:val="en-US" w:eastAsia="zh-CN" w:bidi="ar-SA"/>
              </w:rPr>
            </w:pPr>
          </w:p>
        </w:tc>
        <w:tc>
          <w:tcPr>
            <w:tcW w:w="984" w:type="dxa"/>
            <w:vMerge w:val="continue"/>
            <w:tcBorders>
              <w:right w:val="single" w:color="auto" w:sz="4" w:space="0"/>
            </w:tcBorders>
            <w:vAlign w:val="top"/>
          </w:tcPr>
          <w:p w14:paraId="48E212BA">
            <w:pPr>
              <w:pStyle w:val="118"/>
              <w:spacing w:before="78" w:line="420" w:lineRule="exact"/>
              <w:ind w:left="106"/>
              <w:rPr>
                <w:rFonts w:ascii="宋体" w:hAnsi="宋体" w:eastAsia="宋体" w:cs="宋体"/>
                <w:snapToGrid w:val="0"/>
                <w:color w:val="auto"/>
                <w:spacing w:val="2"/>
                <w:kern w:val="0"/>
                <w:sz w:val="21"/>
                <w:szCs w:val="21"/>
                <w:highlight w:val="none"/>
                <w:lang w:val="en-US" w:eastAsia="en-US" w:bidi="ar-SA"/>
              </w:rPr>
            </w:pPr>
          </w:p>
        </w:tc>
        <w:tc>
          <w:tcPr>
            <w:tcW w:w="2138" w:type="dxa"/>
            <w:tcBorders>
              <w:left w:val="single" w:color="auto" w:sz="4" w:space="0"/>
            </w:tcBorders>
            <w:vAlign w:val="center"/>
          </w:tcPr>
          <w:p w14:paraId="2BCF6E44">
            <w:pPr>
              <w:pStyle w:val="118"/>
              <w:spacing w:before="78" w:line="360" w:lineRule="auto"/>
              <w:ind w:left="106"/>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color w:val="auto"/>
                <w:sz w:val="21"/>
                <w:szCs w:val="21"/>
                <w:highlight w:val="none"/>
              </w:rPr>
              <w:t>项目服务与实施方案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5940" w:type="dxa"/>
            <w:tcBorders>
              <w:right w:val="single" w:color="000000" w:sz="10" w:space="0"/>
            </w:tcBorders>
            <w:vAlign w:val="center"/>
          </w:tcPr>
          <w:p w14:paraId="48E45024">
            <w:pPr>
              <w:spacing w:line="360" w:lineRule="auto"/>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color w:val="auto"/>
                <w:sz w:val="21"/>
                <w:szCs w:val="21"/>
                <w:highlight w:val="none"/>
                <w:lang w:eastAsia="zh-CN"/>
              </w:rPr>
              <w:t>方案内容完整，包含供货、安装、配合服务等，贴合项目实际且可操作性强：5分；方案内容较完整，核心服务环节覆盖，可操作性一般：3分；方案内容简单，仅列明基本服务事项：1分；无服务/实施方案：0分。</w:t>
            </w:r>
          </w:p>
        </w:tc>
      </w:tr>
      <w:tr w14:paraId="63733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822" w:type="dxa"/>
            <w:vMerge w:val="continue"/>
            <w:tcBorders>
              <w:left w:val="single" w:color="000000" w:sz="10" w:space="0"/>
            </w:tcBorders>
            <w:vAlign w:val="top"/>
          </w:tcPr>
          <w:p w14:paraId="20AA9294">
            <w:pPr>
              <w:jc w:val="center"/>
              <w:rPr>
                <w:rFonts w:hint="eastAsia" w:ascii="宋体" w:hAnsi="宋体" w:eastAsia="宋体" w:cs="宋体"/>
                <w:snapToGrid w:val="0"/>
                <w:color w:val="auto"/>
                <w:spacing w:val="2"/>
                <w:kern w:val="0"/>
                <w:sz w:val="21"/>
                <w:szCs w:val="21"/>
                <w:highlight w:val="none"/>
                <w:lang w:val="en-US" w:eastAsia="zh-CN" w:bidi="ar-SA"/>
              </w:rPr>
            </w:pPr>
          </w:p>
        </w:tc>
        <w:tc>
          <w:tcPr>
            <w:tcW w:w="984" w:type="dxa"/>
            <w:vMerge w:val="continue"/>
            <w:tcBorders>
              <w:right w:val="single" w:color="auto" w:sz="4" w:space="0"/>
            </w:tcBorders>
            <w:vAlign w:val="top"/>
          </w:tcPr>
          <w:p w14:paraId="441A24DB">
            <w:pPr>
              <w:pStyle w:val="118"/>
              <w:spacing w:before="78" w:line="420" w:lineRule="exact"/>
              <w:ind w:left="106"/>
              <w:rPr>
                <w:rFonts w:ascii="宋体" w:hAnsi="宋体" w:eastAsia="宋体" w:cs="宋体"/>
                <w:snapToGrid w:val="0"/>
                <w:color w:val="auto"/>
                <w:spacing w:val="2"/>
                <w:kern w:val="0"/>
                <w:sz w:val="21"/>
                <w:szCs w:val="21"/>
                <w:highlight w:val="none"/>
                <w:lang w:val="en-US" w:eastAsia="en-US" w:bidi="ar-SA"/>
              </w:rPr>
            </w:pPr>
          </w:p>
        </w:tc>
        <w:tc>
          <w:tcPr>
            <w:tcW w:w="2138" w:type="dxa"/>
            <w:tcBorders>
              <w:left w:val="single" w:color="auto" w:sz="4" w:space="0"/>
            </w:tcBorders>
            <w:vAlign w:val="center"/>
          </w:tcPr>
          <w:p w14:paraId="185793C7">
            <w:pPr>
              <w:pStyle w:val="118"/>
              <w:spacing w:before="78" w:line="360" w:lineRule="auto"/>
              <w:ind w:left="106"/>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color w:val="auto"/>
                <w:sz w:val="21"/>
                <w:szCs w:val="21"/>
                <w:highlight w:val="none"/>
              </w:rPr>
              <w:t>供货期计划及保障措施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5940" w:type="dxa"/>
            <w:tcBorders>
              <w:right w:val="single" w:color="000000" w:sz="10" w:space="0"/>
            </w:tcBorders>
            <w:vAlign w:val="center"/>
          </w:tcPr>
          <w:p w14:paraId="3032EAD8">
            <w:pPr>
              <w:spacing w:line="360" w:lineRule="auto"/>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color w:val="auto"/>
                <w:sz w:val="21"/>
                <w:szCs w:val="21"/>
                <w:highlight w:val="none"/>
                <w:lang w:eastAsia="zh-CN"/>
              </w:rPr>
              <w:t>供货计划细化到周/批次，保障措施（人员、物流、库存）完善，可确保按时按质交货：5分；供货计划有明确节点，保障措施较完善，基本满足交货期要求：3分；仅简单承诺交货期，无具体计划和保障措施：1分；未明确供货计划：0分。</w:t>
            </w:r>
          </w:p>
        </w:tc>
      </w:tr>
      <w:tr w14:paraId="5A1FE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822" w:type="dxa"/>
            <w:vMerge w:val="continue"/>
            <w:tcBorders>
              <w:left w:val="single" w:color="000000" w:sz="10" w:space="0"/>
            </w:tcBorders>
            <w:vAlign w:val="top"/>
          </w:tcPr>
          <w:p w14:paraId="22C8492F">
            <w:pPr>
              <w:jc w:val="center"/>
              <w:rPr>
                <w:rFonts w:hint="eastAsia" w:ascii="宋体" w:hAnsi="宋体" w:eastAsia="宋体" w:cs="宋体"/>
                <w:snapToGrid w:val="0"/>
                <w:color w:val="auto"/>
                <w:spacing w:val="2"/>
                <w:kern w:val="0"/>
                <w:sz w:val="21"/>
                <w:szCs w:val="21"/>
                <w:highlight w:val="none"/>
                <w:lang w:val="en-US" w:eastAsia="zh-CN" w:bidi="ar-SA"/>
              </w:rPr>
            </w:pPr>
          </w:p>
        </w:tc>
        <w:tc>
          <w:tcPr>
            <w:tcW w:w="984" w:type="dxa"/>
            <w:vMerge w:val="continue"/>
            <w:tcBorders>
              <w:right w:val="single" w:color="auto" w:sz="4" w:space="0"/>
            </w:tcBorders>
            <w:vAlign w:val="top"/>
          </w:tcPr>
          <w:p w14:paraId="1BB672DA">
            <w:pPr>
              <w:pStyle w:val="118"/>
              <w:spacing w:before="78" w:line="420" w:lineRule="exact"/>
              <w:ind w:left="106"/>
              <w:rPr>
                <w:rFonts w:ascii="宋体" w:hAnsi="宋体" w:eastAsia="宋体" w:cs="宋体"/>
                <w:snapToGrid w:val="0"/>
                <w:color w:val="auto"/>
                <w:spacing w:val="2"/>
                <w:kern w:val="0"/>
                <w:sz w:val="21"/>
                <w:szCs w:val="21"/>
                <w:highlight w:val="none"/>
                <w:lang w:val="en-US" w:eastAsia="en-US" w:bidi="ar-SA"/>
              </w:rPr>
            </w:pPr>
          </w:p>
        </w:tc>
        <w:tc>
          <w:tcPr>
            <w:tcW w:w="2138" w:type="dxa"/>
            <w:tcBorders>
              <w:left w:val="single" w:color="auto" w:sz="4" w:space="0"/>
            </w:tcBorders>
            <w:vAlign w:val="center"/>
          </w:tcPr>
          <w:p w14:paraId="0EB438AC">
            <w:pPr>
              <w:pStyle w:val="118"/>
              <w:spacing w:before="78" w:line="360" w:lineRule="auto"/>
              <w:ind w:left="106"/>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color w:val="auto"/>
                <w:sz w:val="21"/>
                <w:szCs w:val="21"/>
                <w:highlight w:val="none"/>
              </w:rPr>
              <w:t>供货服务方案合理性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5940" w:type="dxa"/>
            <w:tcBorders>
              <w:right w:val="single" w:color="000000" w:sz="10" w:space="0"/>
            </w:tcBorders>
            <w:vAlign w:val="center"/>
          </w:tcPr>
          <w:p w14:paraId="18FD6213">
            <w:pPr>
              <w:spacing w:line="360" w:lineRule="auto"/>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color w:val="auto"/>
                <w:sz w:val="21"/>
                <w:szCs w:val="21"/>
                <w:highlight w:val="none"/>
                <w:lang w:eastAsia="zh-CN"/>
              </w:rPr>
              <w:t>服务理念清晰、目标明确，方案切实可行、经济实用，贴合采购人实际需求：</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分；服务理念和目标较明确，方案基本可行，无明显不合理：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分；服务方案简单，仅列明基本服务方向：1分；无供货服务方案：0分。</w:t>
            </w:r>
          </w:p>
        </w:tc>
      </w:tr>
      <w:tr w14:paraId="2498E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22" w:type="dxa"/>
            <w:vMerge w:val="continue"/>
            <w:tcBorders>
              <w:left w:val="single" w:color="000000" w:sz="10" w:space="0"/>
            </w:tcBorders>
            <w:vAlign w:val="top"/>
          </w:tcPr>
          <w:p w14:paraId="3AD0BF12">
            <w:pPr>
              <w:jc w:val="center"/>
              <w:rPr>
                <w:rFonts w:hint="eastAsia" w:ascii="宋体" w:hAnsi="宋体" w:eastAsia="宋体" w:cs="宋体"/>
                <w:snapToGrid w:val="0"/>
                <w:color w:val="auto"/>
                <w:spacing w:val="2"/>
                <w:kern w:val="0"/>
                <w:sz w:val="21"/>
                <w:szCs w:val="21"/>
                <w:highlight w:val="none"/>
                <w:lang w:val="en-US" w:eastAsia="zh-CN" w:bidi="ar-SA"/>
              </w:rPr>
            </w:pPr>
          </w:p>
        </w:tc>
        <w:tc>
          <w:tcPr>
            <w:tcW w:w="984" w:type="dxa"/>
            <w:vMerge w:val="continue"/>
            <w:tcBorders>
              <w:right w:val="single" w:color="auto" w:sz="4" w:space="0"/>
            </w:tcBorders>
            <w:vAlign w:val="top"/>
          </w:tcPr>
          <w:p w14:paraId="5D9D64F3">
            <w:pPr>
              <w:pStyle w:val="118"/>
              <w:spacing w:before="78" w:line="420" w:lineRule="exact"/>
              <w:ind w:left="106"/>
              <w:rPr>
                <w:rFonts w:ascii="宋体" w:hAnsi="宋体" w:eastAsia="宋体" w:cs="宋体"/>
                <w:snapToGrid w:val="0"/>
                <w:color w:val="auto"/>
                <w:spacing w:val="2"/>
                <w:kern w:val="0"/>
                <w:sz w:val="21"/>
                <w:szCs w:val="21"/>
                <w:highlight w:val="none"/>
                <w:lang w:val="en-US" w:eastAsia="en-US" w:bidi="ar-SA"/>
              </w:rPr>
            </w:pPr>
          </w:p>
        </w:tc>
        <w:tc>
          <w:tcPr>
            <w:tcW w:w="2138" w:type="dxa"/>
            <w:tcBorders>
              <w:left w:val="single" w:color="auto" w:sz="4" w:space="0"/>
            </w:tcBorders>
            <w:vAlign w:val="center"/>
          </w:tcPr>
          <w:p w14:paraId="0600E4F5">
            <w:pPr>
              <w:pStyle w:val="118"/>
              <w:spacing w:before="78" w:line="360" w:lineRule="auto"/>
              <w:ind w:left="106"/>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color w:val="auto"/>
                <w:sz w:val="21"/>
                <w:szCs w:val="21"/>
                <w:highlight w:val="none"/>
              </w:rPr>
              <w:t>项目验收方案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5940" w:type="dxa"/>
            <w:tcBorders>
              <w:right w:val="single" w:color="000000" w:sz="10" w:space="0"/>
            </w:tcBorders>
            <w:vAlign w:val="center"/>
          </w:tcPr>
          <w:p w14:paraId="210C0B38">
            <w:pPr>
              <w:spacing w:line="360" w:lineRule="auto"/>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color w:val="auto"/>
                <w:sz w:val="21"/>
                <w:szCs w:val="21"/>
                <w:highlight w:val="none"/>
                <w:lang w:eastAsia="zh-CN"/>
              </w:rPr>
              <w:t>验收方案包含验收标准、流程、节点、检测方法，可量化且贴合项目要求：</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分；验收方案有基本标准和流程，可操作性一般：</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分；仅简单列明验收事项，无具体标准/流程：1分；无验收方案：0分。</w:t>
            </w:r>
          </w:p>
        </w:tc>
      </w:tr>
      <w:tr w14:paraId="1B830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822" w:type="dxa"/>
            <w:vMerge w:val="continue"/>
            <w:tcBorders>
              <w:left w:val="single" w:color="000000" w:sz="10" w:space="0"/>
            </w:tcBorders>
            <w:vAlign w:val="top"/>
          </w:tcPr>
          <w:p w14:paraId="788A5872">
            <w:pPr>
              <w:jc w:val="center"/>
              <w:rPr>
                <w:rFonts w:hint="eastAsia" w:ascii="宋体" w:hAnsi="宋体" w:eastAsia="宋体" w:cs="宋体"/>
                <w:snapToGrid w:val="0"/>
                <w:color w:val="auto"/>
                <w:spacing w:val="2"/>
                <w:kern w:val="0"/>
                <w:sz w:val="21"/>
                <w:szCs w:val="21"/>
                <w:highlight w:val="none"/>
                <w:lang w:val="en-US" w:eastAsia="zh-CN" w:bidi="ar-SA"/>
              </w:rPr>
            </w:pPr>
          </w:p>
        </w:tc>
        <w:tc>
          <w:tcPr>
            <w:tcW w:w="984" w:type="dxa"/>
            <w:vMerge w:val="continue"/>
            <w:tcBorders>
              <w:right w:val="single" w:color="auto" w:sz="4" w:space="0"/>
            </w:tcBorders>
            <w:vAlign w:val="top"/>
          </w:tcPr>
          <w:p w14:paraId="166E4B04">
            <w:pPr>
              <w:pStyle w:val="118"/>
              <w:spacing w:before="78" w:line="420" w:lineRule="exact"/>
              <w:ind w:left="106"/>
              <w:rPr>
                <w:rFonts w:ascii="宋体" w:hAnsi="宋体" w:eastAsia="宋体" w:cs="宋体"/>
                <w:snapToGrid w:val="0"/>
                <w:color w:val="auto"/>
                <w:spacing w:val="2"/>
                <w:kern w:val="0"/>
                <w:sz w:val="21"/>
                <w:szCs w:val="21"/>
                <w:highlight w:val="none"/>
                <w:lang w:val="en-US" w:eastAsia="en-US" w:bidi="ar-SA"/>
              </w:rPr>
            </w:pPr>
          </w:p>
        </w:tc>
        <w:tc>
          <w:tcPr>
            <w:tcW w:w="2138" w:type="dxa"/>
            <w:tcBorders>
              <w:left w:val="single" w:color="auto" w:sz="4" w:space="0"/>
            </w:tcBorders>
            <w:vAlign w:val="center"/>
          </w:tcPr>
          <w:p w14:paraId="1616C99F">
            <w:pPr>
              <w:pStyle w:val="118"/>
              <w:spacing w:before="78" w:line="360" w:lineRule="auto"/>
              <w:ind w:left="106"/>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color w:val="auto"/>
                <w:sz w:val="21"/>
                <w:szCs w:val="21"/>
                <w:highlight w:val="none"/>
              </w:rPr>
              <w:t>质量管理目标及措施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5940" w:type="dxa"/>
            <w:tcBorders>
              <w:right w:val="single" w:color="000000" w:sz="10" w:space="0"/>
            </w:tcBorders>
            <w:vAlign w:val="center"/>
          </w:tcPr>
          <w:p w14:paraId="7D78DF11">
            <w:pPr>
              <w:spacing w:line="360" w:lineRule="auto"/>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color w:val="auto"/>
                <w:sz w:val="21"/>
                <w:szCs w:val="21"/>
                <w:highlight w:val="none"/>
                <w:lang w:eastAsia="zh-CN"/>
              </w:rPr>
              <w:t>质量管理目标明确（如合格率100%），质量保证措施（生产、检验、售后）完善且可落地：</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分；有质量管理目标，保证措施较完善，基本满足质量要求：</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分；仅简单承诺质量合格，无具体措施：1分；无质量目标及措施：0分。</w:t>
            </w:r>
          </w:p>
        </w:tc>
      </w:tr>
      <w:tr w14:paraId="7C91F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822" w:type="dxa"/>
            <w:vMerge w:val="continue"/>
            <w:tcBorders>
              <w:left w:val="single" w:color="000000" w:sz="10" w:space="0"/>
            </w:tcBorders>
            <w:vAlign w:val="top"/>
          </w:tcPr>
          <w:p w14:paraId="1284D92B">
            <w:pPr>
              <w:rPr>
                <w:rFonts w:ascii="宋体" w:hAnsi="宋体" w:eastAsia="宋体" w:cs="宋体"/>
                <w:snapToGrid w:val="0"/>
                <w:color w:val="auto"/>
                <w:spacing w:val="2"/>
                <w:kern w:val="0"/>
                <w:sz w:val="21"/>
                <w:szCs w:val="21"/>
                <w:highlight w:val="none"/>
                <w:lang w:val="en-US" w:eastAsia="en-US" w:bidi="ar-SA"/>
              </w:rPr>
            </w:pPr>
          </w:p>
        </w:tc>
        <w:tc>
          <w:tcPr>
            <w:tcW w:w="984" w:type="dxa"/>
            <w:vMerge w:val="continue"/>
            <w:tcBorders>
              <w:right w:val="single" w:color="auto" w:sz="4" w:space="0"/>
            </w:tcBorders>
            <w:vAlign w:val="top"/>
          </w:tcPr>
          <w:p w14:paraId="2645D076">
            <w:pPr>
              <w:pStyle w:val="118"/>
              <w:spacing w:before="78" w:line="420" w:lineRule="exact"/>
              <w:ind w:left="106"/>
              <w:rPr>
                <w:rFonts w:ascii="宋体" w:hAnsi="宋体" w:eastAsia="宋体" w:cs="宋体"/>
                <w:snapToGrid w:val="0"/>
                <w:color w:val="auto"/>
                <w:spacing w:val="2"/>
                <w:kern w:val="0"/>
                <w:sz w:val="21"/>
                <w:szCs w:val="21"/>
                <w:highlight w:val="none"/>
                <w:lang w:val="en-US" w:eastAsia="en-US" w:bidi="ar-SA"/>
              </w:rPr>
            </w:pPr>
          </w:p>
        </w:tc>
        <w:tc>
          <w:tcPr>
            <w:tcW w:w="2138" w:type="dxa"/>
            <w:tcBorders>
              <w:left w:val="single" w:color="auto" w:sz="4" w:space="0"/>
            </w:tcBorders>
            <w:vAlign w:val="center"/>
          </w:tcPr>
          <w:p w14:paraId="1CDA125F">
            <w:pPr>
              <w:pStyle w:val="118"/>
              <w:spacing w:before="78" w:line="360" w:lineRule="auto"/>
              <w:ind w:left="106"/>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color w:val="auto"/>
                <w:sz w:val="21"/>
                <w:szCs w:val="21"/>
                <w:highlight w:val="none"/>
              </w:rPr>
              <w:t>突发情况应急供货能力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5940" w:type="dxa"/>
            <w:tcBorders>
              <w:right w:val="single" w:color="000000" w:sz="10" w:space="0"/>
            </w:tcBorders>
            <w:vAlign w:val="center"/>
          </w:tcPr>
          <w:p w14:paraId="48331608">
            <w:pPr>
              <w:pStyle w:val="118"/>
              <w:spacing w:before="144" w:line="360" w:lineRule="auto"/>
              <w:ind w:left="113" w:right="95" w:hanging="3"/>
              <w:jc w:val="both"/>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en-US" w:bidi="ar-SA"/>
              </w:rPr>
              <w:t>应急方案包含缺货、物流中断、产能不足等场景，应对措施具体、有备用资源（如备用供应商/库存）：5分</w:t>
            </w:r>
            <w:r>
              <w:rPr>
                <w:rFonts w:hint="eastAsia" w:ascii="宋体" w:hAnsi="宋体" w:eastAsia="宋体" w:cs="宋体"/>
                <w:snapToGrid w:val="0"/>
                <w:color w:val="auto"/>
                <w:spacing w:val="2"/>
                <w:kern w:val="0"/>
                <w:sz w:val="21"/>
                <w:szCs w:val="21"/>
                <w:highlight w:val="none"/>
                <w:lang w:val="en-US" w:eastAsia="zh-CN" w:bidi="ar-SA"/>
              </w:rPr>
              <w:t>；</w:t>
            </w:r>
            <w:r>
              <w:rPr>
                <w:rFonts w:hint="eastAsia" w:ascii="宋体" w:hAnsi="宋体" w:eastAsia="宋体" w:cs="宋体"/>
                <w:snapToGrid w:val="0"/>
                <w:color w:val="auto"/>
                <w:spacing w:val="2"/>
                <w:kern w:val="0"/>
                <w:sz w:val="21"/>
                <w:szCs w:val="21"/>
                <w:highlight w:val="none"/>
                <w:lang w:val="en-US" w:eastAsia="en-US" w:bidi="ar-SA"/>
              </w:rPr>
              <w:t>应急方案覆盖主要突发场景，有基本应对措施：3分</w:t>
            </w:r>
            <w:r>
              <w:rPr>
                <w:rFonts w:hint="eastAsia" w:ascii="宋体" w:hAnsi="宋体" w:eastAsia="宋体" w:cs="宋体"/>
                <w:snapToGrid w:val="0"/>
                <w:color w:val="auto"/>
                <w:spacing w:val="2"/>
                <w:kern w:val="0"/>
                <w:sz w:val="21"/>
                <w:szCs w:val="21"/>
                <w:highlight w:val="none"/>
                <w:lang w:val="en-US" w:eastAsia="zh-CN" w:bidi="ar-SA"/>
              </w:rPr>
              <w:t>；</w:t>
            </w:r>
            <w:r>
              <w:rPr>
                <w:rFonts w:hint="eastAsia" w:ascii="宋体" w:hAnsi="宋体" w:eastAsia="宋体" w:cs="宋体"/>
                <w:snapToGrid w:val="0"/>
                <w:color w:val="auto"/>
                <w:spacing w:val="2"/>
                <w:kern w:val="0"/>
                <w:sz w:val="21"/>
                <w:szCs w:val="21"/>
                <w:highlight w:val="none"/>
                <w:lang w:val="en-US" w:eastAsia="en-US" w:bidi="ar-SA"/>
              </w:rPr>
              <w:t>仅简单承诺应急供货，无具体方案：1分</w:t>
            </w:r>
            <w:r>
              <w:rPr>
                <w:rFonts w:hint="eastAsia" w:ascii="宋体" w:hAnsi="宋体" w:eastAsia="宋体" w:cs="宋体"/>
                <w:snapToGrid w:val="0"/>
                <w:color w:val="auto"/>
                <w:spacing w:val="2"/>
                <w:kern w:val="0"/>
                <w:sz w:val="21"/>
                <w:szCs w:val="21"/>
                <w:highlight w:val="none"/>
                <w:lang w:val="en-US" w:eastAsia="zh-CN" w:bidi="ar-SA"/>
              </w:rPr>
              <w:t>；</w:t>
            </w:r>
            <w:r>
              <w:rPr>
                <w:rFonts w:hint="eastAsia" w:ascii="宋体" w:hAnsi="宋体" w:eastAsia="宋体" w:cs="宋体"/>
                <w:snapToGrid w:val="0"/>
                <w:color w:val="auto"/>
                <w:spacing w:val="2"/>
                <w:kern w:val="0"/>
                <w:sz w:val="21"/>
                <w:szCs w:val="21"/>
                <w:highlight w:val="none"/>
                <w:lang w:val="en-US" w:eastAsia="en-US" w:bidi="ar-SA"/>
              </w:rPr>
              <w:t>无应急供货方案：0分</w:t>
            </w:r>
            <w:r>
              <w:rPr>
                <w:rFonts w:hint="eastAsia" w:ascii="宋体" w:hAnsi="宋体" w:eastAsia="宋体" w:cs="宋体"/>
                <w:snapToGrid w:val="0"/>
                <w:color w:val="auto"/>
                <w:spacing w:val="2"/>
                <w:kern w:val="0"/>
                <w:sz w:val="21"/>
                <w:szCs w:val="21"/>
                <w:highlight w:val="none"/>
                <w:lang w:val="en-US" w:eastAsia="zh-CN" w:bidi="ar-SA"/>
              </w:rPr>
              <w:t>。</w:t>
            </w:r>
          </w:p>
        </w:tc>
      </w:tr>
      <w:tr w14:paraId="59F8B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822" w:type="dxa"/>
            <w:vMerge w:val="continue"/>
            <w:tcBorders>
              <w:left w:val="single" w:color="000000" w:sz="10" w:space="0"/>
            </w:tcBorders>
            <w:vAlign w:val="top"/>
          </w:tcPr>
          <w:p w14:paraId="4C8894BA">
            <w:pPr>
              <w:rPr>
                <w:rFonts w:ascii="宋体" w:hAnsi="宋体" w:eastAsia="宋体" w:cs="宋体"/>
                <w:snapToGrid w:val="0"/>
                <w:color w:val="auto"/>
                <w:spacing w:val="2"/>
                <w:kern w:val="0"/>
                <w:sz w:val="21"/>
                <w:szCs w:val="21"/>
                <w:highlight w:val="none"/>
                <w:lang w:val="en-US" w:eastAsia="en-US" w:bidi="ar-SA"/>
              </w:rPr>
            </w:pPr>
          </w:p>
        </w:tc>
        <w:tc>
          <w:tcPr>
            <w:tcW w:w="984" w:type="dxa"/>
            <w:vMerge w:val="continue"/>
            <w:tcBorders>
              <w:right w:val="single" w:color="auto" w:sz="4" w:space="0"/>
            </w:tcBorders>
            <w:vAlign w:val="top"/>
          </w:tcPr>
          <w:p w14:paraId="23D3CFFD">
            <w:pPr>
              <w:pStyle w:val="118"/>
              <w:spacing w:before="78" w:line="420" w:lineRule="exact"/>
              <w:ind w:left="106"/>
              <w:rPr>
                <w:rFonts w:ascii="宋体" w:hAnsi="宋体" w:eastAsia="宋体" w:cs="宋体"/>
                <w:snapToGrid w:val="0"/>
                <w:color w:val="auto"/>
                <w:spacing w:val="2"/>
                <w:kern w:val="0"/>
                <w:sz w:val="21"/>
                <w:szCs w:val="21"/>
                <w:highlight w:val="none"/>
                <w:lang w:val="en-US" w:eastAsia="en-US" w:bidi="ar-SA"/>
              </w:rPr>
            </w:pPr>
          </w:p>
        </w:tc>
        <w:tc>
          <w:tcPr>
            <w:tcW w:w="2138" w:type="dxa"/>
            <w:tcBorders>
              <w:left w:val="single" w:color="auto" w:sz="4" w:space="0"/>
            </w:tcBorders>
            <w:vAlign w:val="center"/>
          </w:tcPr>
          <w:p w14:paraId="43B9F923">
            <w:pPr>
              <w:pStyle w:val="118"/>
              <w:spacing w:before="78" w:line="360" w:lineRule="auto"/>
              <w:ind w:left="106" w:lef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包装、贮存、运输方案</w:t>
            </w:r>
            <w:r>
              <w:rPr>
                <w:rFonts w:hint="eastAsia" w:ascii="宋体" w:hAnsi="宋体" w:eastAsia="宋体" w:cs="宋体"/>
                <w:snapToGrid w:val="0"/>
                <w:color w:val="auto"/>
                <w:spacing w:val="2"/>
                <w:kern w:val="0"/>
                <w:sz w:val="21"/>
                <w:szCs w:val="21"/>
                <w:highlight w:val="none"/>
                <w:lang w:val="en-US" w:eastAsia="en-US" w:bidi="ar-SA"/>
              </w:rPr>
              <w:t>（</w:t>
            </w:r>
            <w:r>
              <w:rPr>
                <w:rFonts w:hint="eastAsia" w:ascii="宋体" w:hAnsi="宋体" w:eastAsia="宋体" w:cs="宋体"/>
                <w:snapToGrid w:val="0"/>
                <w:color w:val="auto"/>
                <w:spacing w:val="2"/>
                <w:kern w:val="0"/>
                <w:sz w:val="21"/>
                <w:szCs w:val="21"/>
                <w:highlight w:val="none"/>
                <w:lang w:val="en-US" w:eastAsia="zh-CN" w:bidi="ar-SA"/>
              </w:rPr>
              <w:t>5</w:t>
            </w:r>
            <w:r>
              <w:rPr>
                <w:rFonts w:hint="eastAsia" w:ascii="宋体" w:hAnsi="宋体" w:eastAsia="宋体" w:cs="宋体"/>
                <w:snapToGrid w:val="0"/>
                <w:color w:val="auto"/>
                <w:spacing w:val="2"/>
                <w:kern w:val="0"/>
                <w:sz w:val="21"/>
                <w:szCs w:val="21"/>
                <w:highlight w:val="none"/>
                <w:lang w:val="en-US" w:eastAsia="en-US" w:bidi="ar-SA"/>
              </w:rPr>
              <w:t>分）</w:t>
            </w:r>
          </w:p>
        </w:tc>
        <w:tc>
          <w:tcPr>
            <w:tcW w:w="5940" w:type="dxa"/>
            <w:tcBorders>
              <w:right w:val="single" w:color="000000" w:sz="10" w:space="0"/>
            </w:tcBorders>
            <w:vAlign w:val="center"/>
          </w:tcPr>
          <w:p w14:paraId="331160D9">
            <w:pPr>
              <w:spacing w:line="360" w:lineRule="auto"/>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color w:val="auto"/>
                <w:sz w:val="21"/>
                <w:szCs w:val="21"/>
                <w:highlight w:val="none"/>
                <w:lang w:eastAsia="zh-CN"/>
              </w:rPr>
              <w:t xml:space="preserve"> 方案针对殡葬用品特性设计，细节完善，远超采购人实际需求（如防潮/密封/专车运输）：</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分；方案完整，贴合采购人实际需求，可保障货物完好：</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分；方案简单，仅基本响应采购要求，无细节设计：1分；无相关方案/缺项：0分。</w:t>
            </w:r>
          </w:p>
        </w:tc>
      </w:tr>
      <w:tr w14:paraId="595F5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822" w:type="dxa"/>
            <w:vMerge w:val="continue"/>
            <w:tcBorders>
              <w:left w:val="single" w:color="000000" w:sz="10" w:space="0"/>
            </w:tcBorders>
            <w:vAlign w:val="top"/>
          </w:tcPr>
          <w:p w14:paraId="03D3DED1">
            <w:pPr>
              <w:rPr>
                <w:rFonts w:ascii="宋体" w:hAnsi="宋体" w:eastAsia="宋体" w:cs="宋体"/>
                <w:snapToGrid w:val="0"/>
                <w:color w:val="auto"/>
                <w:spacing w:val="2"/>
                <w:kern w:val="0"/>
                <w:sz w:val="21"/>
                <w:szCs w:val="21"/>
                <w:highlight w:val="none"/>
                <w:lang w:val="en-US" w:eastAsia="en-US" w:bidi="ar-SA"/>
              </w:rPr>
            </w:pPr>
          </w:p>
        </w:tc>
        <w:tc>
          <w:tcPr>
            <w:tcW w:w="984" w:type="dxa"/>
            <w:vMerge w:val="continue"/>
            <w:tcBorders>
              <w:right w:val="single" w:color="auto" w:sz="4" w:space="0"/>
            </w:tcBorders>
            <w:vAlign w:val="top"/>
          </w:tcPr>
          <w:p w14:paraId="0AE8A61C">
            <w:pPr>
              <w:pStyle w:val="118"/>
              <w:spacing w:before="1" w:line="220" w:lineRule="auto"/>
              <w:ind w:left="325" w:leftChars="0"/>
              <w:jc w:val="left"/>
              <w:rPr>
                <w:rFonts w:ascii="宋体" w:hAnsi="宋体" w:eastAsia="宋体" w:cs="宋体"/>
                <w:snapToGrid w:val="0"/>
                <w:color w:val="auto"/>
                <w:spacing w:val="2"/>
                <w:kern w:val="0"/>
                <w:sz w:val="21"/>
                <w:szCs w:val="21"/>
                <w:highlight w:val="none"/>
                <w:lang w:val="en-US" w:eastAsia="en-US" w:bidi="ar-SA"/>
              </w:rPr>
            </w:pPr>
          </w:p>
        </w:tc>
        <w:tc>
          <w:tcPr>
            <w:tcW w:w="2138" w:type="dxa"/>
            <w:tcBorders>
              <w:left w:val="single" w:color="auto" w:sz="4" w:space="0"/>
            </w:tcBorders>
            <w:vAlign w:val="center"/>
          </w:tcPr>
          <w:p w14:paraId="6D76EB42">
            <w:pPr>
              <w:pStyle w:val="118"/>
              <w:spacing w:before="251" w:line="360" w:lineRule="auto"/>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售后服务承诺（</w:t>
            </w:r>
            <w:r>
              <w:rPr>
                <w:rFonts w:hint="eastAsia" w:ascii="宋体" w:hAnsi="宋体" w:eastAsia="宋体" w:cs="宋体"/>
                <w:snapToGrid w:val="0"/>
                <w:color w:val="auto"/>
                <w:spacing w:val="2"/>
                <w:kern w:val="0"/>
                <w:sz w:val="21"/>
                <w:szCs w:val="21"/>
                <w:highlight w:val="none"/>
                <w:lang w:val="en-US" w:eastAsia="zh-CN" w:bidi="ar-SA"/>
              </w:rPr>
              <w:t>5</w:t>
            </w:r>
            <w:r>
              <w:rPr>
                <w:rFonts w:hint="eastAsia" w:ascii="宋体" w:hAnsi="宋体" w:eastAsia="宋体" w:cs="宋体"/>
                <w:snapToGrid w:val="0"/>
                <w:color w:val="auto"/>
                <w:spacing w:val="2"/>
                <w:kern w:val="0"/>
                <w:sz w:val="21"/>
                <w:szCs w:val="21"/>
                <w:highlight w:val="none"/>
                <w:lang w:val="en-US" w:eastAsia="en-US" w:bidi="ar-SA"/>
              </w:rPr>
              <w:t>分）</w:t>
            </w:r>
          </w:p>
        </w:tc>
        <w:tc>
          <w:tcPr>
            <w:tcW w:w="5940" w:type="dxa"/>
            <w:tcBorders>
              <w:right w:val="single" w:color="000000" w:sz="10" w:space="0"/>
            </w:tcBorders>
            <w:vAlign w:val="center"/>
          </w:tcPr>
          <w:p w14:paraId="072E1CC5">
            <w:pPr>
              <w:pStyle w:val="118"/>
              <w:spacing w:before="149" w:line="360" w:lineRule="auto"/>
              <w:ind w:left="111" w:leftChars="0"/>
              <w:jc w:val="both"/>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en-US" w:bidi="ar-SA"/>
              </w:rPr>
              <w:t>质保期内免费服务（维修/更换/补货）响应时间≤24小时，质保期外服务有明确成本价标准，且有专人对接：</w:t>
            </w:r>
            <w:r>
              <w:rPr>
                <w:rFonts w:hint="eastAsia" w:ascii="宋体" w:hAnsi="宋体" w:eastAsia="宋体" w:cs="宋体"/>
                <w:snapToGrid w:val="0"/>
                <w:color w:val="auto"/>
                <w:spacing w:val="2"/>
                <w:kern w:val="0"/>
                <w:sz w:val="21"/>
                <w:szCs w:val="21"/>
                <w:highlight w:val="none"/>
                <w:lang w:val="en-US" w:eastAsia="zh-CN" w:bidi="ar-SA"/>
              </w:rPr>
              <w:t>5</w:t>
            </w:r>
            <w:r>
              <w:rPr>
                <w:rFonts w:hint="eastAsia" w:ascii="宋体" w:hAnsi="宋体" w:eastAsia="宋体" w:cs="宋体"/>
                <w:snapToGrid w:val="0"/>
                <w:color w:val="auto"/>
                <w:spacing w:val="2"/>
                <w:kern w:val="0"/>
                <w:sz w:val="21"/>
                <w:szCs w:val="21"/>
                <w:highlight w:val="none"/>
                <w:lang w:val="en-US" w:eastAsia="en-US" w:bidi="ar-SA"/>
              </w:rPr>
              <w:t>分</w:t>
            </w:r>
            <w:r>
              <w:rPr>
                <w:rFonts w:hint="eastAsia" w:ascii="宋体" w:hAnsi="宋体" w:eastAsia="宋体" w:cs="宋体"/>
                <w:snapToGrid w:val="0"/>
                <w:color w:val="auto"/>
                <w:spacing w:val="2"/>
                <w:kern w:val="0"/>
                <w:sz w:val="21"/>
                <w:szCs w:val="21"/>
                <w:highlight w:val="none"/>
                <w:lang w:val="en-US" w:eastAsia="zh-CN" w:bidi="ar-SA"/>
              </w:rPr>
              <w:t>；</w:t>
            </w:r>
            <w:r>
              <w:rPr>
                <w:rFonts w:hint="eastAsia" w:ascii="宋体" w:hAnsi="宋体" w:eastAsia="宋体" w:cs="宋体"/>
                <w:snapToGrid w:val="0"/>
                <w:color w:val="auto"/>
                <w:spacing w:val="2"/>
                <w:kern w:val="0"/>
                <w:sz w:val="21"/>
                <w:szCs w:val="21"/>
                <w:highlight w:val="none"/>
                <w:lang w:val="en-US" w:eastAsia="en-US" w:bidi="ar-SA"/>
              </w:rPr>
              <w:t>质保期内服务响应时间≤48小时，质保期外有服务承诺，无明确收费标准：</w:t>
            </w:r>
            <w:r>
              <w:rPr>
                <w:rFonts w:hint="eastAsia" w:ascii="宋体" w:hAnsi="宋体" w:eastAsia="宋体" w:cs="宋体"/>
                <w:snapToGrid w:val="0"/>
                <w:color w:val="auto"/>
                <w:spacing w:val="2"/>
                <w:kern w:val="0"/>
                <w:sz w:val="21"/>
                <w:szCs w:val="21"/>
                <w:highlight w:val="none"/>
                <w:lang w:val="en-US" w:eastAsia="zh-CN" w:bidi="ar-SA"/>
              </w:rPr>
              <w:t>3</w:t>
            </w:r>
            <w:r>
              <w:rPr>
                <w:rFonts w:hint="eastAsia" w:ascii="宋体" w:hAnsi="宋体" w:eastAsia="宋体" w:cs="宋体"/>
                <w:snapToGrid w:val="0"/>
                <w:color w:val="auto"/>
                <w:spacing w:val="2"/>
                <w:kern w:val="0"/>
                <w:sz w:val="21"/>
                <w:szCs w:val="21"/>
                <w:highlight w:val="none"/>
                <w:lang w:val="en-US" w:eastAsia="en-US" w:bidi="ar-SA"/>
              </w:rPr>
              <w:t>分</w:t>
            </w:r>
            <w:r>
              <w:rPr>
                <w:rFonts w:hint="eastAsia" w:ascii="宋体" w:hAnsi="宋体" w:eastAsia="宋体" w:cs="宋体"/>
                <w:snapToGrid w:val="0"/>
                <w:color w:val="auto"/>
                <w:spacing w:val="2"/>
                <w:kern w:val="0"/>
                <w:sz w:val="21"/>
                <w:szCs w:val="21"/>
                <w:highlight w:val="none"/>
                <w:lang w:val="en-US" w:eastAsia="zh-CN" w:bidi="ar-SA"/>
              </w:rPr>
              <w:t>；</w:t>
            </w:r>
            <w:r>
              <w:rPr>
                <w:rFonts w:hint="eastAsia" w:ascii="宋体" w:hAnsi="宋体" w:eastAsia="宋体" w:cs="宋体"/>
                <w:snapToGrid w:val="0"/>
                <w:color w:val="auto"/>
                <w:spacing w:val="2"/>
                <w:kern w:val="0"/>
                <w:sz w:val="21"/>
                <w:szCs w:val="21"/>
                <w:highlight w:val="none"/>
                <w:lang w:val="en-US" w:eastAsia="en-US" w:bidi="ar-SA"/>
              </w:rPr>
              <w:t>仅按磋商文件要求承诺基本售后服务，无额外细化：</w:t>
            </w:r>
            <w:r>
              <w:rPr>
                <w:rFonts w:hint="eastAsia" w:ascii="宋体" w:hAnsi="宋体" w:eastAsia="宋体" w:cs="宋体"/>
                <w:snapToGrid w:val="0"/>
                <w:color w:val="auto"/>
                <w:spacing w:val="2"/>
                <w:kern w:val="0"/>
                <w:sz w:val="21"/>
                <w:szCs w:val="21"/>
                <w:highlight w:val="none"/>
                <w:lang w:val="en-US" w:eastAsia="zh-CN" w:bidi="ar-SA"/>
              </w:rPr>
              <w:t>1</w:t>
            </w:r>
            <w:r>
              <w:rPr>
                <w:rFonts w:hint="eastAsia" w:ascii="宋体" w:hAnsi="宋体" w:eastAsia="宋体" w:cs="宋体"/>
                <w:snapToGrid w:val="0"/>
                <w:color w:val="auto"/>
                <w:spacing w:val="2"/>
                <w:kern w:val="0"/>
                <w:sz w:val="21"/>
                <w:szCs w:val="21"/>
                <w:highlight w:val="none"/>
                <w:lang w:val="en-US" w:eastAsia="en-US" w:bidi="ar-SA"/>
              </w:rPr>
              <w:t>分</w:t>
            </w:r>
            <w:r>
              <w:rPr>
                <w:rFonts w:hint="eastAsia" w:ascii="宋体" w:hAnsi="宋体" w:eastAsia="宋体" w:cs="宋体"/>
                <w:snapToGrid w:val="0"/>
                <w:color w:val="auto"/>
                <w:spacing w:val="2"/>
                <w:kern w:val="0"/>
                <w:sz w:val="21"/>
                <w:szCs w:val="21"/>
                <w:highlight w:val="none"/>
                <w:lang w:val="en-US" w:eastAsia="zh-CN" w:bidi="ar-SA"/>
              </w:rPr>
              <w:t>；无</w:t>
            </w:r>
            <w:r>
              <w:rPr>
                <w:rFonts w:hint="eastAsia" w:ascii="宋体" w:hAnsi="宋体" w:eastAsia="宋体" w:cs="宋体"/>
                <w:snapToGrid w:val="0"/>
                <w:color w:val="auto"/>
                <w:spacing w:val="2"/>
                <w:kern w:val="0"/>
                <w:sz w:val="21"/>
                <w:szCs w:val="21"/>
                <w:highlight w:val="none"/>
                <w:lang w:val="en-US" w:eastAsia="en-US" w:bidi="ar-SA"/>
              </w:rPr>
              <w:t>售后服务承诺</w:t>
            </w:r>
            <w:r>
              <w:rPr>
                <w:rFonts w:hint="eastAsia" w:ascii="宋体" w:hAnsi="宋体" w:eastAsia="宋体" w:cs="宋体"/>
                <w:snapToGrid w:val="0"/>
                <w:color w:val="auto"/>
                <w:spacing w:val="2"/>
                <w:kern w:val="0"/>
                <w:sz w:val="21"/>
                <w:szCs w:val="21"/>
                <w:highlight w:val="none"/>
                <w:lang w:val="en-US" w:eastAsia="zh-CN" w:bidi="ar-SA"/>
              </w:rPr>
              <w:t>或承诺明显敷衍</w:t>
            </w:r>
            <w:r>
              <w:rPr>
                <w:rFonts w:hint="eastAsia" w:ascii="宋体" w:hAnsi="宋体" w:eastAsia="宋体" w:cs="宋体"/>
                <w:snapToGrid w:val="0"/>
                <w:color w:val="auto"/>
                <w:spacing w:val="2"/>
                <w:kern w:val="0"/>
                <w:sz w:val="21"/>
                <w:szCs w:val="21"/>
                <w:highlight w:val="none"/>
                <w:lang w:val="en-US" w:eastAsia="en-US" w:bidi="ar-SA"/>
              </w:rPr>
              <w:t>：0分</w:t>
            </w:r>
            <w:r>
              <w:rPr>
                <w:rFonts w:hint="eastAsia" w:ascii="宋体" w:hAnsi="宋体" w:eastAsia="宋体" w:cs="宋体"/>
                <w:snapToGrid w:val="0"/>
                <w:color w:val="auto"/>
                <w:spacing w:val="2"/>
                <w:kern w:val="0"/>
                <w:sz w:val="21"/>
                <w:szCs w:val="21"/>
                <w:highlight w:val="none"/>
                <w:lang w:val="en-US" w:eastAsia="zh-CN" w:bidi="ar-SA"/>
              </w:rPr>
              <w:t>。</w:t>
            </w:r>
          </w:p>
        </w:tc>
      </w:tr>
      <w:tr w14:paraId="4C0B1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822" w:type="dxa"/>
            <w:vMerge w:val="continue"/>
            <w:tcBorders>
              <w:left w:val="single" w:color="000000" w:sz="10" w:space="0"/>
            </w:tcBorders>
            <w:vAlign w:val="top"/>
          </w:tcPr>
          <w:p w14:paraId="14F56B0C">
            <w:pPr>
              <w:rPr>
                <w:rFonts w:ascii="宋体" w:hAnsi="宋体" w:eastAsia="宋体" w:cs="宋体"/>
                <w:snapToGrid w:val="0"/>
                <w:color w:val="auto"/>
                <w:spacing w:val="2"/>
                <w:kern w:val="0"/>
                <w:sz w:val="21"/>
                <w:szCs w:val="21"/>
                <w:highlight w:val="none"/>
                <w:lang w:val="en-US" w:eastAsia="en-US" w:bidi="ar-SA"/>
              </w:rPr>
            </w:pPr>
          </w:p>
        </w:tc>
        <w:tc>
          <w:tcPr>
            <w:tcW w:w="984" w:type="dxa"/>
            <w:vMerge w:val="continue"/>
            <w:tcBorders>
              <w:right w:val="single" w:color="auto" w:sz="4" w:space="0"/>
            </w:tcBorders>
            <w:vAlign w:val="top"/>
          </w:tcPr>
          <w:p w14:paraId="5F45EC01">
            <w:pPr>
              <w:pStyle w:val="118"/>
              <w:spacing w:line="218" w:lineRule="auto"/>
              <w:ind w:left="106" w:leftChars="0"/>
              <w:jc w:val="left"/>
              <w:rPr>
                <w:rFonts w:ascii="宋体" w:hAnsi="宋体" w:eastAsia="宋体" w:cs="宋体"/>
                <w:snapToGrid w:val="0"/>
                <w:color w:val="auto"/>
                <w:spacing w:val="2"/>
                <w:kern w:val="0"/>
                <w:sz w:val="21"/>
                <w:szCs w:val="21"/>
                <w:highlight w:val="none"/>
                <w:lang w:val="en-US" w:eastAsia="en-US" w:bidi="ar-SA"/>
              </w:rPr>
            </w:pPr>
          </w:p>
        </w:tc>
        <w:tc>
          <w:tcPr>
            <w:tcW w:w="2138" w:type="dxa"/>
            <w:tcBorders>
              <w:left w:val="single" w:color="auto" w:sz="4" w:space="0"/>
            </w:tcBorders>
            <w:vAlign w:val="center"/>
          </w:tcPr>
          <w:p w14:paraId="65017890">
            <w:pPr>
              <w:pStyle w:val="118"/>
              <w:spacing w:before="251" w:line="360" w:lineRule="auto"/>
              <w:jc w:val="both"/>
              <w:rPr>
                <w:rFonts w:hint="eastAsia" w:ascii="宋体" w:hAnsi="宋体" w:eastAsia="宋体" w:cs="宋体"/>
                <w:snapToGrid w:val="0"/>
                <w:color w:val="auto"/>
                <w:spacing w:val="2"/>
                <w:kern w:val="0"/>
                <w:sz w:val="21"/>
                <w:szCs w:val="21"/>
                <w:highlight w:val="none"/>
                <w:lang w:val="en-US" w:eastAsia="en-US" w:bidi="ar-SA"/>
              </w:rPr>
            </w:pPr>
            <w:r>
              <w:rPr>
                <w:rFonts w:hint="eastAsia" w:ascii="宋体" w:hAnsi="宋体" w:eastAsia="宋体" w:cs="宋体"/>
                <w:snapToGrid w:val="0"/>
                <w:color w:val="auto"/>
                <w:spacing w:val="2"/>
                <w:kern w:val="0"/>
                <w:sz w:val="21"/>
                <w:szCs w:val="21"/>
                <w:highlight w:val="none"/>
                <w:lang w:val="en-US" w:eastAsia="en-US" w:bidi="ar-SA"/>
              </w:rPr>
              <w:t>综合评价（</w:t>
            </w:r>
            <w:r>
              <w:rPr>
                <w:rFonts w:hint="eastAsia" w:ascii="宋体" w:hAnsi="宋体" w:eastAsia="宋体" w:cs="宋体"/>
                <w:snapToGrid w:val="0"/>
                <w:color w:val="auto"/>
                <w:spacing w:val="2"/>
                <w:kern w:val="0"/>
                <w:sz w:val="21"/>
                <w:szCs w:val="21"/>
                <w:highlight w:val="none"/>
                <w:lang w:val="en-US" w:eastAsia="zh-CN" w:bidi="ar-SA"/>
              </w:rPr>
              <w:t>2</w:t>
            </w:r>
            <w:r>
              <w:rPr>
                <w:rFonts w:hint="eastAsia" w:ascii="宋体" w:hAnsi="宋体" w:eastAsia="宋体" w:cs="宋体"/>
                <w:snapToGrid w:val="0"/>
                <w:color w:val="auto"/>
                <w:spacing w:val="2"/>
                <w:kern w:val="0"/>
                <w:sz w:val="21"/>
                <w:szCs w:val="21"/>
                <w:highlight w:val="none"/>
                <w:lang w:val="en-US" w:eastAsia="en-US" w:bidi="ar-SA"/>
              </w:rPr>
              <w:t>分）</w:t>
            </w:r>
          </w:p>
        </w:tc>
        <w:tc>
          <w:tcPr>
            <w:tcW w:w="5940" w:type="dxa"/>
            <w:tcBorders>
              <w:right w:val="single" w:color="000000" w:sz="10" w:space="0"/>
            </w:tcBorders>
            <w:vAlign w:val="center"/>
          </w:tcPr>
          <w:p w14:paraId="736AFEE9">
            <w:pPr>
              <w:pStyle w:val="118"/>
              <w:spacing w:before="1" w:line="360" w:lineRule="auto"/>
              <w:ind w:left="112" w:leftChars="0"/>
              <w:jc w:val="both"/>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en-US" w:bidi="ar-SA"/>
              </w:rPr>
              <w:t>供应商商誉良好（无不良经营记录），综合实力较强，响应文件编制规范、内容完整：</w:t>
            </w:r>
            <w:r>
              <w:rPr>
                <w:rFonts w:hint="eastAsia" w:ascii="宋体" w:hAnsi="宋体" w:eastAsia="宋体" w:cs="宋体"/>
                <w:snapToGrid w:val="0"/>
                <w:color w:val="auto"/>
                <w:spacing w:val="2"/>
                <w:kern w:val="0"/>
                <w:sz w:val="21"/>
                <w:szCs w:val="21"/>
                <w:highlight w:val="none"/>
                <w:lang w:val="en-US" w:eastAsia="zh-CN" w:bidi="ar-SA"/>
              </w:rPr>
              <w:t>2</w:t>
            </w:r>
            <w:r>
              <w:rPr>
                <w:rFonts w:hint="eastAsia" w:ascii="宋体" w:hAnsi="宋体" w:eastAsia="宋体" w:cs="宋体"/>
                <w:snapToGrid w:val="0"/>
                <w:color w:val="auto"/>
                <w:spacing w:val="2"/>
                <w:kern w:val="0"/>
                <w:sz w:val="21"/>
                <w:szCs w:val="21"/>
                <w:highlight w:val="none"/>
                <w:lang w:val="en-US" w:eastAsia="en-US" w:bidi="ar-SA"/>
              </w:rPr>
              <w:t>分</w:t>
            </w:r>
            <w:r>
              <w:rPr>
                <w:rFonts w:hint="eastAsia" w:ascii="宋体" w:hAnsi="宋体" w:eastAsia="宋体" w:cs="宋体"/>
                <w:snapToGrid w:val="0"/>
                <w:color w:val="auto"/>
                <w:spacing w:val="2"/>
                <w:kern w:val="0"/>
                <w:sz w:val="21"/>
                <w:szCs w:val="21"/>
                <w:highlight w:val="none"/>
                <w:lang w:val="en-US" w:eastAsia="zh-CN" w:bidi="ar-SA"/>
              </w:rPr>
              <w:t>；</w:t>
            </w:r>
            <w:r>
              <w:rPr>
                <w:rFonts w:hint="eastAsia" w:ascii="宋体" w:hAnsi="宋体" w:eastAsia="宋体" w:cs="宋体"/>
                <w:snapToGrid w:val="0"/>
                <w:color w:val="auto"/>
                <w:spacing w:val="2"/>
                <w:kern w:val="0"/>
                <w:sz w:val="21"/>
                <w:szCs w:val="21"/>
                <w:highlight w:val="none"/>
                <w:lang w:val="en-US" w:eastAsia="en-US" w:bidi="ar-SA"/>
              </w:rPr>
              <w:t>供应商无不良记录，响应文件编制基本规范，无明显遗漏：</w:t>
            </w:r>
            <w:r>
              <w:rPr>
                <w:rFonts w:hint="eastAsia" w:ascii="宋体" w:hAnsi="宋体" w:eastAsia="宋体" w:cs="宋体"/>
                <w:snapToGrid w:val="0"/>
                <w:color w:val="auto"/>
                <w:spacing w:val="2"/>
                <w:kern w:val="0"/>
                <w:sz w:val="21"/>
                <w:szCs w:val="21"/>
                <w:highlight w:val="none"/>
                <w:lang w:val="en-US" w:eastAsia="zh-CN" w:bidi="ar-SA"/>
              </w:rPr>
              <w:t>1</w:t>
            </w:r>
            <w:r>
              <w:rPr>
                <w:rFonts w:hint="eastAsia" w:ascii="宋体" w:hAnsi="宋体" w:eastAsia="宋体" w:cs="宋体"/>
                <w:snapToGrid w:val="0"/>
                <w:color w:val="auto"/>
                <w:spacing w:val="2"/>
                <w:kern w:val="0"/>
                <w:sz w:val="21"/>
                <w:szCs w:val="21"/>
                <w:highlight w:val="none"/>
                <w:lang w:val="en-US" w:eastAsia="en-US" w:bidi="ar-SA"/>
              </w:rPr>
              <w:t>分</w:t>
            </w:r>
            <w:r>
              <w:rPr>
                <w:rFonts w:hint="eastAsia" w:ascii="宋体" w:hAnsi="宋体" w:eastAsia="宋体" w:cs="宋体"/>
                <w:snapToGrid w:val="0"/>
                <w:color w:val="auto"/>
                <w:spacing w:val="2"/>
                <w:kern w:val="0"/>
                <w:sz w:val="21"/>
                <w:szCs w:val="21"/>
                <w:highlight w:val="none"/>
                <w:lang w:val="en-US" w:eastAsia="zh-CN" w:bidi="ar-SA"/>
              </w:rPr>
              <w:t>；</w:t>
            </w:r>
            <w:r>
              <w:rPr>
                <w:rFonts w:hint="eastAsia" w:ascii="宋体" w:hAnsi="宋体" w:eastAsia="宋体" w:cs="宋体"/>
                <w:snapToGrid w:val="0"/>
                <w:color w:val="auto"/>
                <w:spacing w:val="2"/>
                <w:kern w:val="0"/>
                <w:sz w:val="21"/>
                <w:szCs w:val="21"/>
                <w:highlight w:val="none"/>
                <w:lang w:val="en-US" w:eastAsia="en-US" w:bidi="ar-SA"/>
              </w:rPr>
              <w:t>响应文件编制混乱、内容缺失，或供应商有轻微经营不良记录：0分</w:t>
            </w:r>
            <w:r>
              <w:rPr>
                <w:rFonts w:hint="eastAsia" w:ascii="宋体" w:hAnsi="宋体" w:eastAsia="宋体" w:cs="宋体"/>
                <w:snapToGrid w:val="0"/>
                <w:color w:val="auto"/>
                <w:spacing w:val="2"/>
                <w:kern w:val="0"/>
                <w:sz w:val="21"/>
                <w:szCs w:val="21"/>
                <w:highlight w:val="none"/>
                <w:lang w:val="en-US" w:eastAsia="zh-CN" w:bidi="ar-SA"/>
              </w:rPr>
              <w:t>。</w:t>
            </w:r>
          </w:p>
        </w:tc>
      </w:tr>
    </w:tbl>
    <w:p w14:paraId="40683111">
      <w:pPr>
        <w:ind w:firstLine="281" w:firstLineChars="100"/>
        <w:rPr>
          <w:rFonts w:hint="eastAsia" w:ascii="宋体" w:hAnsi="宋体" w:cs="宋体"/>
          <w:b/>
          <w:bCs/>
          <w:color w:val="auto"/>
          <w:sz w:val="28"/>
          <w:szCs w:val="28"/>
          <w:highlight w:val="none"/>
          <w:lang w:val="zh-TW" w:bidi="zh-TW"/>
        </w:rPr>
      </w:pPr>
    </w:p>
    <w:p w14:paraId="4DAE5B9D">
      <w:pPr>
        <w:ind w:firstLine="281" w:firstLineChars="100"/>
        <w:rPr>
          <w:rFonts w:ascii="宋体" w:hAnsi="宋体" w:cs="宋体"/>
          <w:b/>
          <w:bCs/>
          <w:color w:val="auto"/>
          <w:sz w:val="28"/>
          <w:szCs w:val="28"/>
          <w:highlight w:val="none"/>
          <w:lang w:val="zh-TW" w:bidi="zh-TW"/>
        </w:rPr>
      </w:pPr>
      <w:r>
        <w:rPr>
          <w:rFonts w:hint="eastAsia" w:ascii="宋体" w:hAnsi="宋体" w:cs="宋体"/>
          <w:b/>
          <w:bCs/>
          <w:color w:val="auto"/>
          <w:sz w:val="28"/>
          <w:szCs w:val="28"/>
          <w:highlight w:val="none"/>
          <w:lang w:val="zh-TW" w:bidi="zh-TW"/>
        </w:rPr>
        <w:t>评审方法</w:t>
      </w:r>
    </w:p>
    <w:p w14:paraId="34FD6FF3">
      <w:pPr>
        <w:adjustRightInd w:val="0"/>
        <w:snapToGrid w:val="0"/>
        <w:spacing w:line="360" w:lineRule="auto"/>
        <w:ind w:firstLine="480" w:firstLineChars="200"/>
        <w:jc w:val="left"/>
        <w:rPr>
          <w:rFonts w:ascii="宋体" w:hAnsi="宋体" w:cs="宋体"/>
          <w:color w:val="auto"/>
          <w:sz w:val="24"/>
          <w:highlight w:val="none"/>
        </w:rPr>
      </w:pPr>
      <w:bookmarkStart w:id="45" w:name="_Toc5920"/>
      <w:bookmarkStart w:id="46" w:name="_Toc26533"/>
      <w:bookmarkStart w:id="47" w:name="_Toc6135"/>
      <w:bookmarkStart w:id="48" w:name="_Toc9376"/>
      <w:bookmarkStart w:id="49" w:name="_Toc13454"/>
      <w:bookmarkStart w:id="50" w:name="_Toc30234"/>
      <w:bookmarkStart w:id="51" w:name="_Toc30895"/>
      <w:bookmarkStart w:id="52" w:name="_Toc3406"/>
      <w:bookmarkStart w:id="53" w:name="_Toc4003"/>
      <w:bookmarkStart w:id="54" w:name="_Toc17219"/>
      <w:r>
        <w:rPr>
          <w:rFonts w:hint="eastAsia" w:ascii="宋体" w:hAnsi="宋体" w:cs="宋体"/>
          <w:color w:val="auto"/>
          <w:sz w:val="24"/>
          <w:highlight w:val="none"/>
        </w:rPr>
        <w:t>本次项目的评审方法采用《政府采购竞争性磋商采购方式管理暂行办法》中的“综合评分法”，由磋商小组采用综合评分法对提交最后报价的供应商的响应文件综合评分，响应文件满足磋商文件全部实质性要求且按评审因素的量化指标评审得分最高的供应商为成交供应商。</w:t>
      </w:r>
    </w:p>
    <w:p w14:paraId="79BC95EA">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1、评审标准</w:t>
      </w:r>
      <w:bookmarkEnd w:id="45"/>
      <w:bookmarkEnd w:id="46"/>
      <w:bookmarkEnd w:id="47"/>
      <w:bookmarkEnd w:id="48"/>
      <w:bookmarkEnd w:id="49"/>
      <w:bookmarkEnd w:id="50"/>
      <w:bookmarkEnd w:id="51"/>
      <w:bookmarkEnd w:id="52"/>
      <w:bookmarkEnd w:id="53"/>
      <w:bookmarkEnd w:id="54"/>
    </w:p>
    <w:p w14:paraId="52D02DA4">
      <w:pPr>
        <w:adjustRightInd w:val="0"/>
        <w:snapToGrid w:val="0"/>
        <w:spacing w:line="360" w:lineRule="auto"/>
        <w:jc w:val="left"/>
        <w:rPr>
          <w:rFonts w:ascii="宋体" w:hAnsi="宋体" w:cs="宋体"/>
          <w:b/>
          <w:bCs/>
          <w:color w:val="auto"/>
          <w:sz w:val="24"/>
          <w:highlight w:val="none"/>
        </w:rPr>
      </w:pPr>
      <w:bookmarkStart w:id="55" w:name="_Toc11754"/>
      <w:bookmarkStart w:id="56" w:name="_Toc25181"/>
      <w:bookmarkStart w:id="57" w:name="_Toc31651"/>
      <w:bookmarkStart w:id="58" w:name="_Toc10856"/>
      <w:bookmarkStart w:id="59" w:name="_Toc5467"/>
      <w:bookmarkStart w:id="60" w:name="_Toc17735"/>
      <w:bookmarkStart w:id="61" w:name="_Toc27094"/>
      <w:bookmarkStart w:id="62" w:name="_Toc29139"/>
      <w:bookmarkStart w:id="63" w:name="_Toc28336"/>
      <w:bookmarkStart w:id="64" w:name="_Toc7259"/>
      <w:bookmarkStart w:id="65" w:name="_Toc6724"/>
      <w:r>
        <w:rPr>
          <w:rFonts w:hint="eastAsia" w:ascii="宋体" w:hAnsi="宋体" w:cs="宋体"/>
          <w:b/>
          <w:bCs/>
          <w:color w:val="auto"/>
          <w:sz w:val="24"/>
          <w:highlight w:val="none"/>
        </w:rPr>
        <w:t>1.1初步评审标准</w:t>
      </w:r>
      <w:bookmarkEnd w:id="55"/>
      <w:bookmarkEnd w:id="56"/>
    </w:p>
    <w:p w14:paraId="1773BB55">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资格评审标准：见评审办法前附表。</w:t>
      </w:r>
    </w:p>
    <w:p w14:paraId="4DE65BAF">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1.1.2 </w:t>
      </w:r>
      <w:r>
        <w:rPr>
          <w:rFonts w:hint="eastAsia" w:ascii="宋体" w:hAnsi="宋体" w:cs="宋体"/>
          <w:color w:val="auto"/>
          <w:sz w:val="24"/>
          <w:highlight w:val="none"/>
          <w:lang w:eastAsia="zh-CN"/>
        </w:rPr>
        <w:t>形式</w:t>
      </w:r>
      <w:r>
        <w:rPr>
          <w:rFonts w:hint="eastAsia" w:ascii="宋体" w:hAnsi="宋体" w:cs="宋体"/>
          <w:color w:val="auto"/>
          <w:sz w:val="24"/>
          <w:highlight w:val="none"/>
        </w:rPr>
        <w:t>评审标准：见评审办法前附表。</w:t>
      </w:r>
    </w:p>
    <w:p w14:paraId="79438F08">
      <w:pPr>
        <w:adjustRightInd w:val="0"/>
        <w:snapToGrid w:val="0"/>
        <w:spacing w:line="360" w:lineRule="auto"/>
        <w:ind w:firstLine="480" w:firstLineChars="200"/>
        <w:jc w:val="left"/>
        <w:rPr>
          <w:color w:val="auto"/>
          <w:highlight w:val="none"/>
        </w:rPr>
      </w:pPr>
      <w:r>
        <w:rPr>
          <w:rFonts w:hint="eastAsia" w:ascii="宋体" w:hAnsi="宋体" w:cs="宋体"/>
          <w:color w:val="auto"/>
          <w:sz w:val="24"/>
          <w:highlight w:val="none"/>
        </w:rPr>
        <w:t>1.1.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响应性</w:t>
      </w:r>
      <w:r>
        <w:rPr>
          <w:rFonts w:hint="eastAsia" w:ascii="宋体" w:hAnsi="宋体" w:cs="宋体"/>
          <w:color w:val="auto"/>
          <w:sz w:val="24"/>
          <w:highlight w:val="none"/>
        </w:rPr>
        <w:t>评审标准：见评审办法前附表。</w:t>
      </w:r>
    </w:p>
    <w:bookmarkEnd w:id="57"/>
    <w:bookmarkEnd w:id="58"/>
    <w:bookmarkEnd w:id="59"/>
    <w:bookmarkEnd w:id="60"/>
    <w:bookmarkEnd w:id="61"/>
    <w:bookmarkEnd w:id="62"/>
    <w:bookmarkEnd w:id="63"/>
    <w:bookmarkEnd w:id="64"/>
    <w:bookmarkEnd w:id="65"/>
    <w:p w14:paraId="648655AE">
      <w:pPr>
        <w:adjustRightInd w:val="0"/>
        <w:snapToGrid w:val="0"/>
        <w:spacing w:line="360" w:lineRule="auto"/>
        <w:jc w:val="left"/>
        <w:rPr>
          <w:rFonts w:ascii="宋体" w:hAnsi="宋体" w:cs="宋体"/>
          <w:color w:val="auto"/>
          <w:sz w:val="24"/>
          <w:highlight w:val="none"/>
        </w:rPr>
      </w:pPr>
      <w:r>
        <w:rPr>
          <w:rFonts w:hint="eastAsia" w:ascii="宋体" w:hAnsi="宋体" w:cs="宋体"/>
          <w:b/>
          <w:bCs/>
          <w:color w:val="auto"/>
          <w:sz w:val="24"/>
          <w:highlight w:val="none"/>
        </w:rPr>
        <w:t>1.2评分标准</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见评审办法前附表。</w:t>
      </w:r>
    </w:p>
    <w:p w14:paraId="1091D672">
      <w:pPr>
        <w:adjustRightInd w:val="0"/>
        <w:snapToGrid w:val="0"/>
        <w:spacing w:line="360" w:lineRule="auto"/>
        <w:jc w:val="left"/>
        <w:rPr>
          <w:rFonts w:ascii="宋体" w:hAnsi="宋体" w:cs="宋体"/>
          <w:b/>
          <w:bCs/>
          <w:color w:val="auto"/>
          <w:sz w:val="24"/>
          <w:highlight w:val="none"/>
        </w:rPr>
      </w:pPr>
      <w:bookmarkStart w:id="66" w:name="_Toc1740"/>
      <w:bookmarkStart w:id="67" w:name="_Toc5149"/>
      <w:bookmarkStart w:id="68" w:name="_Toc29125"/>
      <w:bookmarkStart w:id="69" w:name="_Toc28724"/>
      <w:bookmarkStart w:id="70" w:name="_Toc22175"/>
      <w:bookmarkStart w:id="71" w:name="_Toc4338"/>
      <w:bookmarkStart w:id="72" w:name="_Toc21732"/>
      <w:bookmarkStart w:id="73" w:name="_Toc16356"/>
      <w:bookmarkStart w:id="74" w:name="_Toc26726"/>
      <w:bookmarkStart w:id="75" w:name="_Toc5605"/>
      <w:r>
        <w:rPr>
          <w:rFonts w:hint="eastAsia" w:ascii="宋体" w:hAnsi="宋体" w:cs="宋体"/>
          <w:b/>
          <w:bCs/>
          <w:color w:val="auto"/>
          <w:sz w:val="24"/>
          <w:highlight w:val="none"/>
        </w:rPr>
        <w:t>2、评审程序</w:t>
      </w:r>
      <w:bookmarkEnd w:id="66"/>
      <w:bookmarkEnd w:id="67"/>
      <w:bookmarkEnd w:id="68"/>
      <w:bookmarkEnd w:id="69"/>
      <w:bookmarkEnd w:id="70"/>
      <w:bookmarkEnd w:id="71"/>
      <w:bookmarkEnd w:id="72"/>
      <w:bookmarkEnd w:id="73"/>
      <w:bookmarkEnd w:id="74"/>
      <w:bookmarkEnd w:id="75"/>
    </w:p>
    <w:p w14:paraId="45DC8BE9">
      <w:pPr>
        <w:adjustRightInd w:val="0"/>
        <w:snapToGrid w:val="0"/>
        <w:spacing w:line="360" w:lineRule="auto"/>
        <w:jc w:val="left"/>
        <w:rPr>
          <w:rFonts w:ascii="宋体" w:hAnsi="宋体" w:cs="宋体"/>
          <w:b/>
          <w:bCs/>
          <w:color w:val="auto"/>
          <w:sz w:val="24"/>
          <w:highlight w:val="none"/>
        </w:rPr>
      </w:pPr>
      <w:bookmarkStart w:id="76" w:name="_Toc7036"/>
      <w:bookmarkStart w:id="77" w:name="_Toc9613"/>
      <w:bookmarkStart w:id="78" w:name="_Toc18983"/>
      <w:bookmarkStart w:id="79" w:name="_Toc32083"/>
      <w:bookmarkStart w:id="80" w:name="_Toc10682"/>
      <w:bookmarkStart w:id="81" w:name="_Toc17957"/>
      <w:bookmarkStart w:id="82" w:name="_Toc26056"/>
      <w:bookmarkStart w:id="83" w:name="_Toc3824"/>
      <w:bookmarkStart w:id="84" w:name="_Toc5708"/>
      <w:bookmarkStart w:id="85" w:name="_Toc1654"/>
      <w:bookmarkStart w:id="86" w:name="_Toc9443"/>
      <w:r>
        <w:rPr>
          <w:rFonts w:hint="eastAsia" w:ascii="宋体" w:hAnsi="宋体" w:cs="宋体"/>
          <w:b/>
          <w:bCs/>
          <w:color w:val="auto"/>
          <w:sz w:val="24"/>
          <w:highlight w:val="none"/>
        </w:rPr>
        <w:t>2.1初步评审</w:t>
      </w:r>
      <w:bookmarkEnd w:id="76"/>
      <w:bookmarkEnd w:id="77"/>
      <w:bookmarkEnd w:id="78"/>
      <w:bookmarkEnd w:id="79"/>
      <w:bookmarkEnd w:id="80"/>
      <w:bookmarkEnd w:id="81"/>
      <w:bookmarkEnd w:id="82"/>
      <w:bookmarkEnd w:id="83"/>
      <w:bookmarkEnd w:id="84"/>
      <w:bookmarkEnd w:id="85"/>
      <w:bookmarkEnd w:id="86"/>
    </w:p>
    <w:p w14:paraId="38F041D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2.1.1 磋商小组依据本章评审办法前附表规定的标准，对供应商的响应文件进行初步评审，以确定其是否满足竞争性磋商文件的实质性要求，有一项不符合评审标准的，磋商小组应当认定其响应文件无效，并及时告知有关供应商。</w:t>
      </w:r>
    </w:p>
    <w:p w14:paraId="741A8090">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2.1.2 磋商报价有算术错误及其他错误的，磋商小组按以下原则要求供应商对磋商报价进行修正。</w:t>
      </w:r>
    </w:p>
    <w:p w14:paraId="37C2FBA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（1）大写金额和小写金额不一致的，以大写金额为准，但大写金额文字存在错误的，应当先对大写金额的文字错误进行澄清、说明或者更正，再行修正。</w:t>
      </w:r>
    </w:p>
    <w:p w14:paraId="4E3C88A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（2）总价金额与按单价汇总金额不一致的，以单价金额计算结果为准，但单价或者单价汇总金额存在数字或者文字错误的，应当先对数字或者文字错误进行澄清、说明或者更正，再行修正。</w:t>
      </w:r>
    </w:p>
    <w:p w14:paraId="0352A8B0">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（3）单价金额小数点或者百分比有明显错误的，以总价为准，修正单价。</w:t>
      </w:r>
    </w:p>
    <w:p w14:paraId="151E28C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同时出现两种以上不一致的，按照上述规定的顺序修正。修正后的报价应当采用书面形式，并加盖公章或者由法定代表人或其授权的代表签字，供应商不确认的，其</w:t>
      </w:r>
      <w:r>
        <w:rPr>
          <w:rFonts w:hint="eastAsia" w:ascii="宋体" w:hAnsi="宋体" w:cs="宋体"/>
          <w:color w:val="auto"/>
          <w:sz w:val="24"/>
          <w:highlight w:val="none"/>
          <w:lang w:eastAsia="zh-CN"/>
        </w:rPr>
        <w:t>响应</w:t>
      </w:r>
      <w:r>
        <w:rPr>
          <w:rFonts w:hint="eastAsia" w:ascii="宋体" w:hAnsi="宋体" w:cs="宋体"/>
          <w:color w:val="auto"/>
          <w:sz w:val="24"/>
          <w:highlight w:val="none"/>
        </w:rPr>
        <w:t>无效。</w:t>
      </w:r>
    </w:p>
    <w:p w14:paraId="410E2C2A">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2.2磋商</w:t>
      </w:r>
    </w:p>
    <w:p w14:paraId="57C10CA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2.2.1 磋商小组</w:t>
      </w:r>
      <w:r>
        <w:rPr>
          <w:rFonts w:hint="eastAsia" w:ascii="宋体" w:hAnsi="宋体" w:cs="宋体"/>
          <w:color w:val="auto"/>
          <w:sz w:val="24"/>
          <w:highlight w:val="none"/>
          <w:lang w:eastAsia="zh-CN"/>
        </w:rPr>
        <w:t>可以</w:t>
      </w:r>
      <w:r>
        <w:rPr>
          <w:rFonts w:hint="eastAsia" w:ascii="宋体" w:hAnsi="宋体" w:cs="宋体"/>
          <w:color w:val="auto"/>
          <w:sz w:val="24"/>
          <w:highlight w:val="none"/>
        </w:rPr>
        <w:t>集中与单一供应商分别进行磋商</w:t>
      </w:r>
      <w:r>
        <w:rPr>
          <w:rFonts w:hint="eastAsia" w:ascii="宋体" w:hAnsi="宋体" w:cs="宋体"/>
          <w:color w:val="auto"/>
          <w:sz w:val="24"/>
          <w:highlight w:val="none"/>
          <w:lang w:eastAsia="zh-CN"/>
        </w:rPr>
        <w:t>，</w:t>
      </w:r>
      <w:r>
        <w:rPr>
          <w:rFonts w:hint="eastAsia" w:ascii="宋体" w:hAnsi="宋体" w:cs="宋体"/>
          <w:color w:val="auto"/>
          <w:sz w:val="24"/>
          <w:highlight w:val="none"/>
        </w:rPr>
        <w:t>但磋商的任何一方不得透露与磋商有关的其他供应商的商业秘密、技术资料、价格和其他信息。</w:t>
      </w:r>
    </w:p>
    <w:p w14:paraId="240ED110">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2.2.2 在磋商过程中，磋商小组可以根据竞争性磋商文件和磋商情况实质性变动采购需求中的技术、服务要求以及合同草案条款，但不得变动竞争性磋商文件中的其他内容。实质性变动的内容，须经采购人代表确认。</w:t>
      </w:r>
    </w:p>
    <w:p w14:paraId="6777125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2.2.3 对竞争性磋商文件作出的实质性变动是竞争性磋商文件的有效组成部分，磋商小组应当以书面形式同时通知所有参加磋商的供应商。</w:t>
      </w:r>
    </w:p>
    <w:p w14:paraId="540D8B77">
      <w:pPr>
        <w:adjustRightInd w:val="0"/>
        <w:snapToGrid w:val="0"/>
        <w:spacing w:line="360" w:lineRule="auto"/>
        <w:ind w:firstLine="480" w:firstLineChars="200"/>
        <w:jc w:val="left"/>
        <w:rPr>
          <w:rFonts w:ascii="宋体" w:hAnsi="宋体" w:cs="宋体"/>
          <w:color w:val="auto"/>
          <w:sz w:val="24"/>
          <w:highlight w:val="none"/>
        </w:rPr>
      </w:pPr>
      <w:bookmarkStart w:id="87" w:name="_Toc10132"/>
      <w:bookmarkStart w:id="88" w:name="_Toc30428"/>
      <w:bookmarkStart w:id="89" w:name="_Toc18705"/>
      <w:bookmarkStart w:id="90" w:name="_Toc13336"/>
      <w:bookmarkStart w:id="91" w:name="_Toc22449"/>
      <w:bookmarkStart w:id="92" w:name="_Toc18430"/>
      <w:bookmarkStart w:id="93" w:name="_Toc26213"/>
      <w:bookmarkStart w:id="94" w:name="_Toc24391"/>
      <w:bookmarkStart w:id="95" w:name="_Toc1221"/>
      <w:bookmarkStart w:id="96" w:name="_Toc8285"/>
      <w:bookmarkStart w:id="97" w:name="_Toc12089"/>
      <w:r>
        <w:rPr>
          <w:rFonts w:hint="eastAsia" w:ascii="宋体" w:hAnsi="宋体" w:cs="宋体"/>
          <w:color w:val="auto"/>
          <w:sz w:val="24"/>
          <w:highlight w:val="none"/>
        </w:rPr>
        <w:t>2.2.4 最后报价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最后报价是供应商响应文件的有效组成部分。</w:t>
      </w:r>
    </w:p>
    <w:p w14:paraId="2DC18C19">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依据《政府采购竞争性磋商采购方式管 理暂行办法》（财库〔2014〕214 号）及财政部关于政府采购竞争性磋商采购方式管理暂行办法有关问题的补充通知（财库〔2015〕124 号）相关规定，符合《政府采购竞争性磋商采 购方式管理暂行办法》（财库〔2014〕214 号）第三条（一）政府购买服务项目（含政府和社会资本合作项目）、（四）市场竞争不充分的科研项目以及需要扶持的科技成果转化项目情形的，提交最后报价的供应商可以为 2 家。</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注：财政部关于政府采购竞争性磋商采购方式管理暂行办法有关问题的补充通知（财库〔2015〕124 号）相关规定：政府购买服务项目（含政府和社会资本合作项目），在采购过程中符合要求的供应商（社会资本）只有 2 家的，竞争性磋商采购活动可以继续进行。采购过程中符合要求的供应商（社会资本）只有 1 家的，采购人（项目实施机构）或者采购代理机构应当终止竞争性磋商采购活动，发布项目终止公告并说明原因，重新开展采购活动。</w:t>
      </w:r>
    </w:p>
    <w:p w14:paraId="12669BB2">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2.3详细评审</w:t>
      </w:r>
      <w:bookmarkEnd w:id="87"/>
      <w:bookmarkEnd w:id="88"/>
      <w:bookmarkEnd w:id="89"/>
      <w:bookmarkEnd w:id="90"/>
      <w:bookmarkEnd w:id="91"/>
      <w:bookmarkEnd w:id="92"/>
      <w:bookmarkEnd w:id="93"/>
      <w:bookmarkEnd w:id="94"/>
      <w:bookmarkEnd w:id="95"/>
      <w:bookmarkEnd w:id="96"/>
      <w:bookmarkEnd w:id="97"/>
    </w:p>
    <w:p w14:paraId="056FA99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2.3.1 磋商小组按本章评审方法规定的量化因素和分值进行打分，并计算出综合得分。</w:t>
      </w:r>
    </w:p>
    <w:p w14:paraId="0E54083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（1）按本章规定的评审因素和分值对技术部分算出得分</w:t>
      </w:r>
      <w:r>
        <w:rPr>
          <w:rFonts w:hint="eastAsia" w:ascii="宋体" w:hAnsi="宋体" w:cs="宋体"/>
          <w:color w:val="auto"/>
          <w:sz w:val="24"/>
          <w:highlight w:val="none"/>
          <w:lang w:val="en-US" w:eastAsia="zh-CN"/>
        </w:rPr>
        <w:t>A</w:t>
      </w:r>
      <w:r>
        <w:rPr>
          <w:rFonts w:hint="eastAsia" w:ascii="宋体" w:hAnsi="宋体" w:cs="宋体"/>
          <w:color w:val="auto"/>
          <w:sz w:val="24"/>
          <w:highlight w:val="none"/>
        </w:rPr>
        <w:t>；</w:t>
      </w:r>
    </w:p>
    <w:p w14:paraId="48CC984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）按本章规定的评审因素和分值对</w:t>
      </w:r>
      <w:r>
        <w:rPr>
          <w:rFonts w:hint="eastAsia" w:ascii="宋体" w:hAnsi="宋体" w:cs="宋体"/>
          <w:color w:val="auto"/>
          <w:sz w:val="24"/>
          <w:highlight w:val="none"/>
          <w:lang w:eastAsia="zh-CN"/>
        </w:rPr>
        <w:t>其他</w:t>
      </w:r>
      <w:r>
        <w:rPr>
          <w:rFonts w:hint="eastAsia" w:ascii="宋体" w:hAnsi="宋体" w:cs="宋体"/>
          <w:color w:val="auto"/>
          <w:sz w:val="24"/>
          <w:highlight w:val="none"/>
        </w:rPr>
        <w:t>部分算出得分</w:t>
      </w:r>
      <w:r>
        <w:rPr>
          <w:rFonts w:hint="eastAsia" w:ascii="宋体" w:hAnsi="宋体" w:cs="宋体"/>
          <w:color w:val="auto"/>
          <w:sz w:val="24"/>
          <w:highlight w:val="none"/>
          <w:lang w:val="en-US" w:eastAsia="zh-CN"/>
        </w:rPr>
        <w:t>B</w:t>
      </w:r>
      <w:r>
        <w:rPr>
          <w:rFonts w:hint="eastAsia" w:ascii="宋体" w:hAnsi="宋体" w:cs="宋体"/>
          <w:color w:val="auto"/>
          <w:sz w:val="24"/>
          <w:highlight w:val="none"/>
        </w:rPr>
        <w:t>。</w:t>
      </w:r>
    </w:p>
    <w:p w14:paraId="6BFB85C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2.3.2 评分分值计算保留小数点后两位，小数点后第三位“四舍五入”。</w:t>
      </w:r>
    </w:p>
    <w:p w14:paraId="2B48324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2.3.3 供应商得分=A+B。</w:t>
      </w:r>
    </w:p>
    <w:p w14:paraId="0BBCD75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2.3.4 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w:t>
      </w:r>
      <w:r>
        <w:rPr>
          <w:rFonts w:hint="eastAsia" w:ascii="宋体" w:hAnsi="宋体" w:cs="宋体"/>
          <w:color w:val="auto"/>
          <w:sz w:val="24"/>
          <w:highlight w:val="none"/>
          <w:lang w:eastAsia="zh-CN"/>
        </w:rPr>
        <w:t>响应</w:t>
      </w:r>
      <w:r>
        <w:rPr>
          <w:rFonts w:hint="eastAsia" w:ascii="宋体" w:hAnsi="宋体" w:cs="宋体"/>
          <w:color w:val="auto"/>
          <w:sz w:val="24"/>
          <w:highlight w:val="none"/>
        </w:rPr>
        <w:t>处理。</w:t>
      </w:r>
    </w:p>
    <w:p w14:paraId="669DAB0C">
      <w:pPr>
        <w:adjustRightInd w:val="0"/>
        <w:snapToGrid w:val="0"/>
        <w:spacing w:line="360" w:lineRule="auto"/>
        <w:jc w:val="left"/>
        <w:rPr>
          <w:rFonts w:ascii="宋体" w:hAnsi="宋体" w:cs="宋体"/>
          <w:b/>
          <w:bCs/>
          <w:color w:val="auto"/>
          <w:sz w:val="24"/>
          <w:highlight w:val="none"/>
        </w:rPr>
      </w:pPr>
      <w:bookmarkStart w:id="98" w:name="_Toc11722"/>
      <w:bookmarkStart w:id="99" w:name="_Toc18381"/>
      <w:bookmarkStart w:id="100" w:name="_Toc9150"/>
      <w:bookmarkStart w:id="101" w:name="_Toc6048"/>
      <w:bookmarkStart w:id="102" w:name="_Toc2162"/>
      <w:bookmarkStart w:id="103" w:name="_Toc12279"/>
      <w:bookmarkStart w:id="104" w:name="_Toc30364"/>
      <w:bookmarkStart w:id="105" w:name="_Toc5640"/>
      <w:bookmarkStart w:id="106" w:name="_Toc7845"/>
      <w:bookmarkStart w:id="107" w:name="_Toc18083"/>
      <w:r>
        <w:rPr>
          <w:rFonts w:hint="eastAsia" w:ascii="宋体" w:hAnsi="宋体" w:cs="宋体"/>
          <w:b/>
          <w:bCs/>
          <w:color w:val="auto"/>
          <w:sz w:val="24"/>
          <w:highlight w:val="none"/>
        </w:rPr>
        <w:t>2.4响应文件的澄清</w:t>
      </w:r>
      <w:bookmarkEnd w:id="98"/>
      <w:bookmarkEnd w:id="99"/>
      <w:bookmarkEnd w:id="100"/>
      <w:bookmarkEnd w:id="101"/>
      <w:bookmarkEnd w:id="102"/>
      <w:bookmarkEnd w:id="103"/>
      <w:bookmarkEnd w:id="104"/>
      <w:bookmarkEnd w:id="105"/>
      <w:bookmarkEnd w:id="106"/>
      <w:bookmarkEnd w:id="107"/>
    </w:p>
    <w:p w14:paraId="49B7DD0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2.4.1 在评审过程中，磋商小组可以书面形式要求供应商对响应文件中含义不明确、对同类问题表述不一致或者有明显文字和计算错误的内容</w:t>
      </w:r>
      <w:r>
        <w:rPr>
          <w:rFonts w:hint="eastAsia" w:ascii="宋体" w:hAnsi="宋体" w:cs="宋体"/>
          <w:color w:val="auto"/>
          <w:sz w:val="24"/>
          <w:highlight w:val="none"/>
          <w:lang w:eastAsia="zh-CN"/>
        </w:rPr>
        <w:t>做必要</w:t>
      </w:r>
      <w:r>
        <w:rPr>
          <w:rFonts w:hint="eastAsia" w:ascii="宋体" w:hAnsi="宋体" w:cs="宋体"/>
          <w:color w:val="auto"/>
          <w:sz w:val="24"/>
          <w:highlight w:val="none"/>
        </w:rPr>
        <w:t>的澄清、说明或补正。澄清、说明或补正应以书面方式进行，并加盖公章，或者由法定代表人或其授权的代表签字。磋商小组不接受供应商主动提出的澄清、说明或补正。</w:t>
      </w:r>
    </w:p>
    <w:p w14:paraId="2DA71E1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2.4.2 澄清、说明或补正不得超出响应文件的范围且不得改变响应文件的实质性内容，并构成响应文件的组成部分。</w:t>
      </w:r>
    </w:p>
    <w:p w14:paraId="7F399225">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2.4.3 磋商小组对供应商提交的澄清、说明或补正有疑问的，可以要求供应商进一步澄清、说明或补正，直至满足磋商小组的要求。</w:t>
      </w:r>
    </w:p>
    <w:p w14:paraId="54F90CA6">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2.4.4磋商小组应当认真审查有关证明文件。磋商小组对供应商所出具的《关于符合本国产品标准的声明函》的完整性、准确性进行审查，评审中发现《关于符合本国产品标准的声明函》内容含义不明确、同类事项与响应文件表述不一致或者有明显文字错误等情况的，应当以书面形式要求供应商作出必要的澄清、说明或者补正。经澄清、说明或者补正的《关于符合本国产品标准的声明函》或证明材料仍然不符合要求的，供应商提供的相关产品视为不符合本国产品标准。</w:t>
      </w:r>
    </w:p>
    <w:p w14:paraId="1F77D4C4">
      <w:pPr>
        <w:adjustRightInd w:val="0"/>
        <w:snapToGrid w:val="0"/>
        <w:spacing w:line="360" w:lineRule="auto"/>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2.5相同品牌产品磋商的规定</w:t>
      </w:r>
    </w:p>
    <w:p w14:paraId="461F2F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2.5.1采用最低评标价法的采购项目，提供相同品牌产品的不同供应商参加同一合同项下响应的，以其中通过资格审查、符合性审查且报价最低的参加评审；报价相同的，由采购人或者采购人委托磋商小组按照磋商文件规定的方式确定一个参加评审的供应商，磋商文件未规定的采取随机抽取方式确定，其他响应无效。</w:t>
      </w:r>
    </w:p>
    <w:p w14:paraId="363911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2.5.2使用综合评分法的采购项目，提供相同品牌产品且通过资格审查、符合性审查的不同供应商参加同一合同项下响应的，按一家供应商计算，评审后得分最高的同品牌供应商获得成交人推荐资格；评审得分相同的，报价最低的同品牌供应商获得成交人推荐资格，报价也相同或者磋商文件未规定的采取随机抽取方式确定，其他同品牌供应商不作为成交候选人。</w:t>
      </w:r>
    </w:p>
    <w:p w14:paraId="7DD0F6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2.5.3非单一产品采购项目，采购人应当根据采购项目技术构成、产品价格比重等合理确定核心产品，并在磋商文件中载明。多家供应商提供的核心产品品牌相同的，按前两款规定处理。</w:t>
      </w:r>
    </w:p>
    <w:p w14:paraId="7112C5EB">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评审结果</w:t>
      </w:r>
    </w:p>
    <w:p w14:paraId="4127C7E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磋商小组应当根据综合评分情况，按照评审得分由高到低顺序推荐3名成交候选供应商，并编写评审报告。评审得分相同的，按照技术指标优劣顺序推荐。</w:t>
      </w:r>
    </w:p>
    <w:p w14:paraId="7C05D535">
      <w:pPr>
        <w:adjustRightInd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3.执行政府相关政策</w:t>
      </w:r>
    </w:p>
    <w:p w14:paraId="7B659FF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采购人应当在货物服务招标投标活动中落实节约能源、保护环境、扶持不发达地区和少数民族地区、促进中小企业发展</w:t>
      </w:r>
      <w:r>
        <w:rPr>
          <w:rFonts w:hint="eastAsia" w:ascii="宋体" w:hAnsi="宋体" w:cs="宋体"/>
          <w:color w:val="auto"/>
          <w:sz w:val="24"/>
          <w:highlight w:val="none"/>
          <w:lang w:eastAsia="zh-CN"/>
        </w:rPr>
        <w:t>、</w:t>
      </w:r>
      <w:r>
        <w:rPr>
          <w:rFonts w:hint="eastAsia" w:ascii="宋体" w:hAnsi="宋体" w:eastAsia="宋体" w:cs="宋体"/>
          <w:color w:val="auto"/>
          <w:kern w:val="0"/>
          <w:sz w:val="24"/>
          <w:szCs w:val="21"/>
          <w:highlight w:val="none"/>
          <w:lang w:val="en-US" w:eastAsia="zh-CN" w:bidi="ar-SA"/>
        </w:rPr>
        <w:t>实施本国产品标准及相关政策</w:t>
      </w:r>
      <w:r>
        <w:rPr>
          <w:rFonts w:hint="eastAsia" w:ascii="宋体" w:hAnsi="宋体" w:cs="宋体"/>
          <w:color w:val="auto"/>
          <w:sz w:val="24"/>
          <w:highlight w:val="none"/>
        </w:rPr>
        <w:t>等政府采购政策之规定，制定以下优惠政策： </w:t>
      </w:r>
    </w:p>
    <w:p w14:paraId="3072B8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3.1 评审过程中，在同等条件下，优先采购具有环境标志、节能产品。（环境标志是指由财政部、国家环境保护总局颁布的“环境标志产品政府采购清单”中的有效期内的产品；节能产品是指由财政部、国家发展和改革委员会颁布的“节能产品政府采购清单”中的有效期内的产品）。</w:t>
      </w:r>
    </w:p>
    <w:p w14:paraId="3090B2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3.2 根据《政府采购促进中小企业发展</w:t>
      </w:r>
      <w:r>
        <w:rPr>
          <w:rFonts w:hint="eastAsia" w:ascii="宋体" w:hAnsi="宋体" w:cs="宋体"/>
          <w:color w:val="auto"/>
          <w:sz w:val="24"/>
          <w:highlight w:val="none"/>
          <w:lang w:val="en-US" w:eastAsia="zh-CN"/>
        </w:rPr>
        <w:t>管理</w:t>
      </w:r>
      <w:r>
        <w:rPr>
          <w:rFonts w:hint="eastAsia" w:ascii="宋体" w:hAnsi="宋体" w:cs="宋体"/>
          <w:color w:val="auto"/>
          <w:sz w:val="24"/>
          <w:highlight w:val="none"/>
        </w:rPr>
        <w:t>办法》（财库[2020]46号），属小型、微型企业制造的货物（产品），享受价格扣除。供应商须提供企业出具的《中小企业声明函》并加盖企业公章，其划型标准严格按照国家工信部、国家统计局、国家发改委、财政部出台的《中小企业划型标准规定》（工信部联企业【2011】300号）执行。供应商提供的《小型、微型企业声明函》资料必须真实，否则，按照有关规定予以处理。</w:t>
      </w:r>
    </w:p>
    <w:p w14:paraId="231700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3.3 根据财政部、民政部、中国残疾人联合会《关于促进残疾人就业政府采购政策的通知》（财库〔2017〕141号）规定，属残疾人福利性单位制造的货物（产品），享受价格扣除。供应商须提供企业出具的《残疾人福利性单位声明函》并加盖企业公章。供应商提供的《残疾人福利性单位声明函》资料必须真实，否则，按照有关规定予以处理。</w:t>
      </w:r>
    </w:p>
    <w:p w14:paraId="753B6F06">
      <w:pPr>
        <w:pStyle w:val="47"/>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3.4 根据财政部、司法部《关于政府采购支持监狱企业发展有关问题的通知》（财库〔2014〕68号）规定，监狱企业视同小型、微型企业，享受预留份额、评审中价格扣除等政府采购促进中小企业发展的政府采购政策。监狱企业参加政府采购活动时</w:t>
      </w:r>
      <w:r>
        <w:rPr>
          <w:rFonts w:hint="eastAsia" w:ascii="宋体" w:hAnsi="宋体" w:cs="宋体"/>
          <w:color w:val="auto"/>
          <w:highlight w:val="none"/>
          <w:lang w:eastAsia="zh-CN"/>
        </w:rPr>
        <w:t>，</w:t>
      </w:r>
      <w:r>
        <w:rPr>
          <w:rFonts w:hint="eastAsia" w:ascii="宋体" w:hAnsi="宋体" w:cs="宋体"/>
          <w:color w:val="auto"/>
          <w:highlight w:val="none"/>
        </w:rPr>
        <w:t>应当提供由省级以上监狱管理局、戒毒管理局</w:t>
      </w:r>
      <w:r>
        <w:rPr>
          <w:rFonts w:hint="eastAsia" w:ascii="宋体" w:hAnsi="宋体" w:cs="宋体"/>
          <w:color w:val="auto"/>
          <w:highlight w:val="none"/>
          <w:lang w:eastAsia="zh-CN"/>
        </w:rPr>
        <w:t>（</w:t>
      </w:r>
      <w:r>
        <w:rPr>
          <w:rFonts w:hint="eastAsia" w:ascii="宋体" w:hAnsi="宋体" w:cs="宋体"/>
          <w:color w:val="auto"/>
          <w:highlight w:val="none"/>
        </w:rPr>
        <w:t>含新疆生产建设兵团</w:t>
      </w:r>
      <w:r>
        <w:rPr>
          <w:rFonts w:hint="eastAsia" w:ascii="宋体" w:hAnsi="宋体" w:cs="宋体"/>
          <w:color w:val="auto"/>
          <w:highlight w:val="none"/>
          <w:lang w:eastAsia="zh-CN"/>
        </w:rPr>
        <w:t>）</w:t>
      </w:r>
      <w:r>
        <w:rPr>
          <w:rFonts w:hint="eastAsia" w:ascii="宋体" w:hAnsi="宋体" w:cs="宋体"/>
          <w:color w:val="auto"/>
          <w:highlight w:val="none"/>
        </w:rPr>
        <w:t>出具的属于监狱企业的证明文件</w:t>
      </w:r>
      <w:r>
        <w:rPr>
          <w:rFonts w:hint="eastAsia" w:ascii="宋体" w:hAnsi="宋体" w:cs="宋体"/>
          <w:color w:val="auto"/>
          <w:highlight w:val="none"/>
          <w:lang w:eastAsia="zh-CN"/>
        </w:rPr>
        <w:t>，</w:t>
      </w:r>
      <w:r>
        <w:rPr>
          <w:rFonts w:hint="eastAsia" w:ascii="宋体" w:hAnsi="宋体" w:cs="宋体"/>
          <w:color w:val="auto"/>
          <w:highlight w:val="none"/>
        </w:rPr>
        <w:t>材料不全的不予折扣。经评委会审核确认投标供应商属于监狱企业的</w:t>
      </w:r>
      <w:r>
        <w:rPr>
          <w:rFonts w:hint="eastAsia" w:ascii="宋体" w:hAnsi="宋体" w:cs="宋体"/>
          <w:color w:val="auto"/>
          <w:highlight w:val="none"/>
          <w:lang w:eastAsia="zh-CN"/>
        </w:rPr>
        <w:t>，</w:t>
      </w:r>
      <w:r>
        <w:rPr>
          <w:rFonts w:hint="eastAsia" w:ascii="宋体" w:hAnsi="宋体" w:cs="宋体"/>
          <w:color w:val="auto"/>
          <w:highlight w:val="none"/>
        </w:rPr>
        <w:t>在评审时视同小微企业。</w:t>
      </w:r>
    </w:p>
    <w:p w14:paraId="7F577AEE">
      <w:pPr>
        <w:pStyle w:val="47"/>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3.5</w:t>
      </w:r>
      <w:r>
        <w:rPr>
          <w:rFonts w:hint="eastAsia" w:ascii="宋体" w:hAnsi="宋体" w:eastAsia="宋体" w:cs="宋体"/>
          <w:color w:val="auto"/>
          <w:kern w:val="0"/>
          <w:sz w:val="24"/>
          <w:szCs w:val="21"/>
          <w:highlight w:val="none"/>
          <w:lang w:val="en-US" w:eastAsia="zh-CN" w:bidi="ar-SA"/>
        </w:rPr>
        <w:t>根据《国务院办公厅关于在政府采购中实施本国产品标准及相关政策的通知》（国办发〔2025〕34号），供应商为本项目提供的产品为本国产品的，应提供《关</w:t>
      </w:r>
      <w:r>
        <w:rPr>
          <w:rFonts w:hint="eastAsia" w:ascii="宋体" w:hAnsi="宋体" w:cs="宋体"/>
          <w:color w:val="auto"/>
          <w:highlight w:val="none"/>
          <w:lang w:val="en-US" w:eastAsia="zh-CN"/>
        </w:rPr>
        <w:t>于符合本国产品标准的声明函》或财政部会同有关部门规定的有关证明文件。</w:t>
      </w:r>
    </w:p>
    <w:p w14:paraId="7E8D2B71">
      <w:pPr>
        <w:pStyle w:val="47"/>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kern w:val="0"/>
          <w:sz w:val="24"/>
          <w:highlight w:val="none"/>
          <w:lang w:bidi="ar"/>
        </w:rPr>
      </w:pPr>
      <w:r>
        <w:rPr>
          <w:rFonts w:hint="eastAsia" w:ascii="宋体" w:hAnsi="宋体" w:cs="宋体"/>
          <w:color w:val="auto"/>
          <w:highlight w:val="none"/>
        </w:rPr>
        <w:t>3.</w:t>
      </w:r>
      <w:r>
        <w:rPr>
          <w:rFonts w:hint="eastAsia" w:ascii="宋体" w:hAnsi="宋体" w:cs="宋体"/>
          <w:color w:val="auto"/>
          <w:highlight w:val="none"/>
          <w:lang w:val="en-US" w:eastAsia="zh-CN"/>
        </w:rPr>
        <w:t>6</w:t>
      </w:r>
      <w:r>
        <w:rPr>
          <w:rFonts w:hint="eastAsia" w:ascii="宋体" w:hAnsi="宋体" w:cs="宋体"/>
          <w:color w:val="auto"/>
          <w:highlight w:val="none"/>
        </w:rPr>
        <w:t>其他政策：本项目优先采购向我国企业转让技术、与我国企业签订消化吸收</w:t>
      </w:r>
      <w:r>
        <w:rPr>
          <w:rFonts w:hint="eastAsia" w:ascii="宋体" w:hAnsi="宋体" w:cs="宋体"/>
          <w:color w:val="auto"/>
          <w:kern w:val="0"/>
          <w:sz w:val="24"/>
          <w:highlight w:val="none"/>
          <w:lang w:bidi="ar"/>
        </w:rPr>
        <w:t>再创新方案的供应商的进口产品（本条适用于进口产品）。</w:t>
      </w:r>
    </w:p>
    <w:p w14:paraId="48E7BF8C">
      <w:pPr>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bidi="ar"/>
        </w:rPr>
        <w:br w:type="page"/>
      </w:r>
    </w:p>
    <w:p w14:paraId="2797C8C9">
      <w:pPr>
        <w:pStyle w:val="4"/>
        <w:spacing w:line="440" w:lineRule="exact"/>
        <w:jc w:val="center"/>
        <w:rPr>
          <w:rFonts w:hint="eastAsia" w:ascii="宋体" w:hAnsi="宋体" w:eastAsia="宋体" w:cs="宋体"/>
          <w:bCs/>
          <w:color w:val="auto"/>
          <w:sz w:val="36"/>
          <w:szCs w:val="36"/>
          <w:highlight w:val="none"/>
          <w:lang w:val="en-US" w:eastAsia="zh-CN"/>
        </w:rPr>
      </w:pPr>
      <w:bookmarkStart w:id="108" w:name="_Toc16556"/>
      <w:bookmarkStart w:id="109" w:name="_Toc5549"/>
      <w:bookmarkStart w:id="110" w:name="_Toc2212"/>
      <w:bookmarkStart w:id="111" w:name="_Toc31974"/>
      <w:bookmarkStart w:id="112" w:name="_Toc26257"/>
      <w:bookmarkStart w:id="113" w:name="_Toc29868"/>
      <w:bookmarkStart w:id="114" w:name="_Toc2854"/>
      <w:bookmarkStart w:id="115" w:name="_Toc56315406"/>
      <w:bookmarkStart w:id="116" w:name="_Toc8053"/>
    </w:p>
    <w:p w14:paraId="5F209A6E">
      <w:pPr>
        <w:pStyle w:val="4"/>
        <w:spacing w:line="440" w:lineRule="exact"/>
        <w:jc w:val="center"/>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lang w:val="en-US" w:eastAsia="zh-CN"/>
        </w:rPr>
        <w:t xml:space="preserve">第四章  </w:t>
      </w:r>
      <w:bookmarkEnd w:id="108"/>
      <w:bookmarkEnd w:id="109"/>
      <w:bookmarkEnd w:id="110"/>
      <w:bookmarkEnd w:id="111"/>
      <w:bookmarkEnd w:id="112"/>
      <w:bookmarkEnd w:id="113"/>
      <w:bookmarkEnd w:id="114"/>
      <w:bookmarkEnd w:id="115"/>
      <w:r>
        <w:rPr>
          <w:rFonts w:hint="eastAsia" w:ascii="宋体" w:hAnsi="宋体" w:eastAsia="宋体" w:cs="宋体"/>
          <w:bCs/>
          <w:color w:val="auto"/>
          <w:sz w:val="36"/>
          <w:szCs w:val="36"/>
          <w:highlight w:val="none"/>
          <w:lang w:val="en-US" w:eastAsia="zh-CN"/>
        </w:rPr>
        <w:t>合同条款及格式（参考文本）</w:t>
      </w:r>
      <w:bookmarkEnd w:id="116"/>
    </w:p>
    <w:p w14:paraId="1B4C507E">
      <w:pPr>
        <w:pStyle w:val="83"/>
        <w:jc w:val="center"/>
        <w:rPr>
          <w:rFonts w:hint="eastAsia" w:ascii="宋体" w:hAnsi="宋体" w:eastAsia="宋体" w:cs="宋体"/>
          <w:color w:val="auto"/>
          <w:sz w:val="24"/>
          <w:szCs w:val="32"/>
          <w:highlight w:val="none"/>
          <w:lang w:eastAsia="zh-CN"/>
        </w:rPr>
      </w:pPr>
    </w:p>
    <w:p w14:paraId="41E74C2A">
      <w:pPr>
        <w:keepNext w:val="0"/>
        <w:keepLines w:val="0"/>
        <w:widowControl/>
        <w:suppressLineNumbers w:val="0"/>
        <w:kinsoku w:val="0"/>
        <w:autoSpaceDE w:val="0"/>
        <w:autoSpaceDN w:val="0"/>
        <w:adjustRightInd w:val="0"/>
        <w:snapToGrid w:val="0"/>
        <w:spacing w:before="212" w:beforeAutospacing="0" w:after="0" w:afterAutospacing="0"/>
        <w:ind w:left="3749"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3"/>
          <w:kern w:val="0"/>
          <w:sz w:val="24"/>
          <w:szCs w:val="24"/>
          <w:highlight w:val="none"/>
          <w:lang w:val="en-US" w:eastAsia="zh-CN" w:bidi="ar"/>
        </w:rPr>
        <w:t>（以实际签订为准）</w:t>
      </w:r>
    </w:p>
    <w:p w14:paraId="4BF907A3">
      <w:pPr>
        <w:keepNext w:val="0"/>
        <w:keepLines w:val="0"/>
        <w:widowControl/>
        <w:suppressLineNumbers w:val="0"/>
        <w:kinsoku w:val="0"/>
        <w:autoSpaceDE w:val="0"/>
        <w:autoSpaceDN w:val="0"/>
        <w:adjustRightInd w:val="0"/>
        <w:snapToGrid w:val="0"/>
        <w:spacing w:before="78" w:beforeAutospacing="0" w:after="0" w:afterAutospacing="0" w:line="240" w:lineRule="auto"/>
        <w:ind w:left="548" w:right="0"/>
        <w:jc w:val="left"/>
        <w:textAlignment w:val="baseline"/>
        <w:rPr>
          <w:rFonts w:hint="eastAsia" w:ascii="宋体" w:hAnsi="宋体" w:eastAsia="宋体" w:cs="宋体"/>
          <w:snapToGrid/>
          <w:color w:val="auto"/>
          <w:kern w:val="0"/>
          <w:sz w:val="21"/>
          <w:szCs w:val="21"/>
          <w:highlight w:val="none"/>
          <w:lang w:val="en-US" w:eastAsia="zh-CN" w:bidi="ar"/>
        </w:rPr>
      </w:pPr>
      <w:r>
        <w:rPr>
          <w:rFonts w:hint="eastAsia" w:ascii="Arial" w:hAnsi="Arial" w:cs="Arial"/>
          <w:snapToGrid/>
          <w:color w:val="auto"/>
          <w:kern w:val="0"/>
          <w:sz w:val="21"/>
          <w:szCs w:val="21"/>
          <w:highlight w:val="none"/>
          <w:lang w:val="en-US" w:eastAsia="zh-CN" w:bidi="ar"/>
        </w:rPr>
        <w:t xml:space="preserve"> </w:t>
      </w:r>
      <w:r>
        <w:rPr>
          <w:rFonts w:hint="eastAsia" w:ascii="宋体" w:hAnsi="宋体" w:eastAsia="宋体" w:cs="宋体"/>
          <w:snapToGrid/>
          <w:color w:val="auto"/>
          <w:spacing w:val="-3"/>
          <w:kern w:val="0"/>
          <w:sz w:val="24"/>
          <w:szCs w:val="24"/>
          <w:highlight w:val="none"/>
          <w:lang w:val="en-US" w:eastAsia="zh-CN" w:bidi="ar"/>
        </w:rPr>
        <w:t>合同编号：</w:t>
      </w:r>
      <w:r>
        <w:rPr>
          <w:rFonts w:hint="eastAsia" w:ascii="宋体" w:hAnsi="宋体" w:eastAsia="宋体" w:cs="宋体"/>
          <w:snapToGrid/>
          <w:color w:val="auto"/>
          <w:kern w:val="0"/>
          <w:sz w:val="24"/>
          <w:szCs w:val="24"/>
          <w:highlight w:val="none"/>
          <w:u w:val="single"/>
          <w:lang w:val="en-US" w:eastAsia="zh-CN" w:bidi="ar"/>
        </w:rPr>
        <w:t xml:space="preserve">      </w:t>
      </w:r>
      <w:r>
        <w:rPr>
          <w:rFonts w:hint="eastAsia" w:ascii="宋体" w:hAnsi="宋体" w:eastAsia="宋体" w:cs="宋体"/>
          <w:snapToGrid/>
          <w:color w:val="auto"/>
          <w:kern w:val="0"/>
          <w:sz w:val="21"/>
          <w:szCs w:val="21"/>
          <w:highlight w:val="none"/>
          <w:lang w:val="en-US" w:eastAsia="zh-CN" w:bidi="ar"/>
        </w:rPr>
        <w:t xml:space="preserve"> </w:t>
      </w:r>
    </w:p>
    <w:p w14:paraId="72996186">
      <w:pPr>
        <w:keepNext w:val="0"/>
        <w:keepLines w:val="0"/>
        <w:widowControl/>
        <w:suppressLineNumbers w:val="0"/>
        <w:kinsoku w:val="0"/>
        <w:autoSpaceDE w:val="0"/>
        <w:autoSpaceDN w:val="0"/>
        <w:adjustRightInd w:val="0"/>
        <w:snapToGrid w:val="0"/>
        <w:spacing w:before="78" w:beforeAutospacing="0" w:after="0" w:afterAutospacing="0" w:line="240" w:lineRule="auto"/>
        <w:ind w:left="548"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1"/>
          <w:kern w:val="0"/>
          <w:sz w:val="24"/>
          <w:szCs w:val="24"/>
          <w:highlight w:val="none"/>
          <w:lang w:val="en-US" w:eastAsia="zh-CN" w:bidi="ar"/>
        </w:rPr>
        <w:t>甲方</w:t>
      </w:r>
      <w:r>
        <w:rPr>
          <w:rFonts w:hint="eastAsia" w:ascii="宋体" w:hAnsi="宋体" w:eastAsia="宋体" w:cs="宋体"/>
          <w:snapToGrid/>
          <w:color w:val="auto"/>
          <w:spacing w:val="-17"/>
          <w:kern w:val="0"/>
          <w:sz w:val="24"/>
          <w:szCs w:val="24"/>
          <w:highlight w:val="none"/>
          <w:lang w:val="en-US" w:eastAsia="zh-CN" w:bidi="ar"/>
        </w:rPr>
        <w:t>：</w:t>
      </w:r>
      <w:r>
        <w:rPr>
          <w:rFonts w:hint="eastAsia" w:ascii="宋体" w:hAnsi="宋体" w:eastAsia="宋体" w:cs="宋体"/>
          <w:snapToGrid/>
          <w:color w:val="auto"/>
          <w:kern w:val="0"/>
          <w:sz w:val="24"/>
          <w:szCs w:val="24"/>
          <w:highlight w:val="none"/>
          <w:u w:val="single"/>
          <w:lang w:val="en-US" w:eastAsia="zh-CN" w:bidi="ar"/>
        </w:rPr>
        <w:t xml:space="preserve">       </w:t>
      </w:r>
      <w:r>
        <w:rPr>
          <w:rFonts w:hint="eastAsia" w:ascii="宋体" w:hAnsi="宋体" w:eastAsia="宋体" w:cs="宋体"/>
          <w:snapToGrid/>
          <w:color w:val="auto"/>
          <w:spacing w:val="-17"/>
          <w:kern w:val="0"/>
          <w:sz w:val="24"/>
          <w:szCs w:val="24"/>
          <w:highlight w:val="none"/>
          <w:lang w:val="en-US" w:eastAsia="zh-CN" w:bidi="ar"/>
        </w:rPr>
        <w:t>（</w:t>
      </w:r>
      <w:r>
        <w:rPr>
          <w:rFonts w:hint="eastAsia" w:ascii="宋体" w:hAnsi="宋体" w:eastAsia="宋体" w:cs="宋体"/>
          <w:snapToGrid/>
          <w:color w:val="auto"/>
          <w:spacing w:val="1"/>
          <w:kern w:val="0"/>
          <w:sz w:val="24"/>
          <w:szCs w:val="24"/>
          <w:highlight w:val="none"/>
          <w:lang w:val="en-US" w:eastAsia="zh-CN" w:bidi="ar"/>
        </w:rPr>
        <w:t>使用方）            乙方</w:t>
      </w:r>
      <w:r>
        <w:rPr>
          <w:rFonts w:hint="eastAsia" w:ascii="宋体" w:hAnsi="宋体" w:eastAsia="宋体" w:cs="宋体"/>
          <w:snapToGrid/>
          <w:color w:val="auto"/>
          <w:spacing w:val="-17"/>
          <w:kern w:val="0"/>
          <w:sz w:val="24"/>
          <w:szCs w:val="24"/>
          <w:highlight w:val="none"/>
          <w:lang w:val="en-US" w:eastAsia="zh-CN" w:bidi="ar"/>
        </w:rPr>
        <w:t>：</w:t>
      </w:r>
      <w:r>
        <w:rPr>
          <w:rFonts w:hint="eastAsia" w:ascii="宋体" w:hAnsi="宋体" w:eastAsia="宋体" w:cs="宋体"/>
          <w:snapToGrid/>
          <w:color w:val="auto"/>
          <w:kern w:val="0"/>
          <w:sz w:val="24"/>
          <w:szCs w:val="24"/>
          <w:highlight w:val="none"/>
          <w:u w:val="single"/>
          <w:lang w:val="en-US" w:eastAsia="zh-CN" w:bidi="ar"/>
        </w:rPr>
        <w:t xml:space="preserve">         </w:t>
      </w:r>
      <w:r>
        <w:rPr>
          <w:rFonts w:hint="eastAsia" w:ascii="宋体" w:hAnsi="宋体" w:eastAsia="宋体" w:cs="宋体"/>
          <w:snapToGrid/>
          <w:color w:val="auto"/>
          <w:spacing w:val="-17"/>
          <w:kern w:val="0"/>
          <w:sz w:val="24"/>
          <w:szCs w:val="24"/>
          <w:highlight w:val="none"/>
          <w:lang w:val="en-US" w:eastAsia="zh-CN" w:bidi="ar"/>
        </w:rPr>
        <w:t>（</w:t>
      </w:r>
      <w:r>
        <w:rPr>
          <w:rFonts w:hint="eastAsia" w:ascii="宋体" w:hAnsi="宋体" w:eastAsia="宋体" w:cs="宋体"/>
          <w:snapToGrid/>
          <w:color w:val="auto"/>
          <w:spacing w:val="1"/>
          <w:kern w:val="0"/>
          <w:sz w:val="24"/>
          <w:szCs w:val="24"/>
          <w:highlight w:val="none"/>
          <w:lang w:val="en-US" w:eastAsia="zh-CN" w:bidi="ar"/>
        </w:rPr>
        <w:t>供货方）</w:t>
      </w:r>
    </w:p>
    <w:p w14:paraId="73417B08">
      <w:pPr>
        <w:keepNext w:val="0"/>
        <w:keepLines w:val="0"/>
        <w:widowControl/>
        <w:suppressLineNumbers w:val="0"/>
        <w:kinsoku w:val="0"/>
        <w:autoSpaceDE w:val="0"/>
        <w:autoSpaceDN w:val="0"/>
        <w:adjustRightInd w:val="0"/>
        <w:snapToGrid w:val="0"/>
        <w:spacing w:before="78" w:beforeAutospacing="0" w:after="0" w:afterAutospacing="0" w:line="240" w:lineRule="auto"/>
        <w:ind w:left="548"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3"/>
          <w:kern w:val="0"/>
          <w:position w:val="32"/>
          <w:sz w:val="24"/>
          <w:szCs w:val="24"/>
          <w:highlight w:val="none"/>
          <w:lang w:val="en-US" w:eastAsia="zh-CN" w:bidi="ar"/>
        </w:rPr>
        <w:t>甲乙双方经协商，达成以下条款：</w:t>
      </w:r>
    </w:p>
    <w:p w14:paraId="1B683F24">
      <w:pPr>
        <w:keepNext w:val="0"/>
        <w:keepLines w:val="0"/>
        <w:widowControl/>
        <w:suppressLineNumbers w:val="0"/>
        <w:kinsoku w:val="0"/>
        <w:autoSpaceDE w:val="0"/>
        <w:autoSpaceDN w:val="0"/>
        <w:adjustRightInd w:val="0"/>
        <w:snapToGrid w:val="0"/>
        <w:spacing w:before="1" w:beforeAutospacing="0" w:after="0" w:afterAutospacing="0" w:line="240" w:lineRule="auto"/>
        <w:ind w:left="47"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1"/>
          <w:kern w:val="0"/>
          <w:sz w:val="24"/>
          <w:szCs w:val="24"/>
          <w:highlight w:val="none"/>
          <w:lang w:val="en-US" w:eastAsia="zh-CN" w:bidi="ar"/>
        </w:rPr>
        <w:t>第一条  采购商品清单及合同价格</w:t>
      </w:r>
    </w:p>
    <w:tbl>
      <w:tblPr>
        <w:tblStyle w:val="117"/>
        <w:tblW w:w="8922" w:type="dxa"/>
        <w:tblInd w:w="4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1304"/>
        <w:gridCol w:w="2308"/>
        <w:gridCol w:w="1784"/>
        <w:gridCol w:w="2009"/>
        <w:gridCol w:w="1517"/>
      </w:tblGrid>
      <w:tr w14:paraId="3F88A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304" w:type="dxa"/>
            <w:tcBorders>
              <w:top w:val="single" w:color="000000" w:sz="2" w:space="0"/>
              <w:left w:val="single" w:color="000000" w:sz="2" w:space="0"/>
              <w:bottom w:val="single" w:color="000000" w:sz="2" w:space="0"/>
              <w:right w:val="single" w:color="000000" w:sz="2" w:space="0"/>
            </w:tcBorders>
            <w:shd w:val="clear" w:color="auto" w:fill="auto"/>
            <w:vAlign w:val="top"/>
          </w:tcPr>
          <w:p w14:paraId="3B1C731B">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snapToGrid/>
                <w:color w:val="auto"/>
                <w:kern w:val="0"/>
                <w:sz w:val="21"/>
                <w:szCs w:val="21"/>
                <w:highlight w:val="none"/>
                <w:lang w:val="en-US" w:eastAsia="zh-CN" w:bidi="ar"/>
              </w:rPr>
              <w:t xml:space="preserve"> </w:t>
            </w:r>
          </w:p>
          <w:p w14:paraId="0943B0F5">
            <w:pPr>
              <w:pStyle w:val="27"/>
              <w:keepNext w:val="0"/>
              <w:keepLines w:val="0"/>
              <w:widowControl/>
              <w:suppressLineNumbers w:val="0"/>
              <w:kinsoku w:val="0"/>
              <w:autoSpaceDE w:val="0"/>
              <w:autoSpaceDN w:val="0"/>
              <w:adjustRightInd w:val="0"/>
              <w:snapToGrid w:val="0"/>
              <w:spacing w:before="78" w:beforeAutospacing="0" w:after="0" w:afterAutospacing="0" w:line="240" w:lineRule="auto"/>
              <w:ind w:left="586"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5"/>
                <w:kern w:val="0"/>
                <w:sz w:val="24"/>
                <w:szCs w:val="24"/>
                <w:highlight w:val="none"/>
                <w:lang w:val="en-US" w:eastAsia="zh-CN" w:bidi="ar"/>
              </w:rPr>
              <w:t>序号</w:t>
            </w:r>
          </w:p>
        </w:tc>
        <w:tc>
          <w:tcPr>
            <w:tcW w:w="2308" w:type="dxa"/>
            <w:tcBorders>
              <w:top w:val="single" w:color="000000" w:sz="2" w:space="0"/>
              <w:left w:val="single" w:color="000000" w:sz="2" w:space="0"/>
              <w:bottom w:val="single" w:color="000000" w:sz="2" w:space="0"/>
              <w:right w:val="single" w:color="000000" w:sz="2" w:space="0"/>
            </w:tcBorders>
            <w:shd w:val="clear" w:color="auto" w:fill="auto"/>
            <w:vAlign w:val="top"/>
          </w:tcPr>
          <w:p w14:paraId="1B94721E">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p w14:paraId="2F338832">
            <w:pPr>
              <w:pStyle w:val="27"/>
              <w:keepNext w:val="0"/>
              <w:keepLines w:val="0"/>
              <w:widowControl/>
              <w:suppressLineNumbers w:val="0"/>
              <w:kinsoku w:val="0"/>
              <w:autoSpaceDE w:val="0"/>
              <w:autoSpaceDN w:val="0"/>
              <w:adjustRightInd w:val="0"/>
              <w:snapToGrid w:val="0"/>
              <w:spacing w:before="78" w:beforeAutospacing="0" w:after="0" w:afterAutospacing="0" w:line="240" w:lineRule="auto"/>
              <w:ind w:left="584"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7"/>
                <w:kern w:val="0"/>
                <w:sz w:val="24"/>
                <w:szCs w:val="24"/>
                <w:highlight w:val="none"/>
                <w:lang w:val="en-US" w:eastAsia="zh-CN" w:bidi="ar"/>
              </w:rPr>
              <w:t>名称</w:t>
            </w:r>
          </w:p>
        </w:tc>
        <w:tc>
          <w:tcPr>
            <w:tcW w:w="1784" w:type="dxa"/>
            <w:tcBorders>
              <w:top w:val="single" w:color="000000" w:sz="2" w:space="0"/>
              <w:left w:val="single" w:color="000000" w:sz="2" w:space="0"/>
              <w:bottom w:val="single" w:color="000000" w:sz="2" w:space="0"/>
              <w:right w:val="single" w:color="000000" w:sz="2" w:space="0"/>
            </w:tcBorders>
            <w:shd w:val="clear" w:color="auto" w:fill="auto"/>
            <w:vAlign w:val="top"/>
          </w:tcPr>
          <w:p w14:paraId="5299C251">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p w14:paraId="252C5D88">
            <w:pPr>
              <w:pStyle w:val="27"/>
              <w:keepNext w:val="0"/>
              <w:keepLines w:val="0"/>
              <w:widowControl/>
              <w:suppressLineNumbers w:val="0"/>
              <w:kinsoku w:val="0"/>
              <w:autoSpaceDE w:val="0"/>
              <w:autoSpaceDN w:val="0"/>
              <w:adjustRightInd w:val="0"/>
              <w:snapToGrid w:val="0"/>
              <w:spacing w:before="78" w:beforeAutospacing="0" w:after="0" w:afterAutospacing="0" w:line="240" w:lineRule="auto"/>
              <w:ind w:left="587"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6"/>
                <w:kern w:val="0"/>
                <w:sz w:val="24"/>
                <w:szCs w:val="24"/>
                <w:highlight w:val="none"/>
                <w:lang w:val="en-US" w:eastAsia="zh-CN" w:bidi="ar"/>
              </w:rPr>
              <w:t>数量</w:t>
            </w:r>
          </w:p>
        </w:tc>
        <w:tc>
          <w:tcPr>
            <w:tcW w:w="2009" w:type="dxa"/>
            <w:tcBorders>
              <w:top w:val="single" w:color="000000" w:sz="2" w:space="0"/>
              <w:left w:val="single" w:color="000000" w:sz="2" w:space="0"/>
              <w:bottom w:val="single" w:color="000000" w:sz="2" w:space="0"/>
              <w:right w:val="single" w:color="000000" w:sz="2" w:space="0"/>
            </w:tcBorders>
            <w:shd w:val="clear" w:color="auto" w:fill="auto"/>
            <w:vAlign w:val="top"/>
          </w:tcPr>
          <w:p w14:paraId="20033895">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p w14:paraId="58731ABF">
            <w:pPr>
              <w:pStyle w:val="27"/>
              <w:keepNext w:val="0"/>
              <w:keepLines w:val="0"/>
              <w:widowControl/>
              <w:suppressLineNumbers w:val="0"/>
              <w:kinsoku w:val="0"/>
              <w:autoSpaceDE w:val="0"/>
              <w:autoSpaceDN w:val="0"/>
              <w:adjustRightInd w:val="0"/>
              <w:snapToGrid w:val="0"/>
              <w:spacing w:before="78" w:beforeAutospacing="0" w:after="0" w:afterAutospacing="0" w:line="240" w:lineRule="auto"/>
              <w:ind w:left="0" w:right="0"/>
              <w:jc w:val="righ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5"/>
                <w:kern w:val="0"/>
                <w:sz w:val="24"/>
                <w:szCs w:val="24"/>
                <w:highlight w:val="none"/>
                <w:lang w:val="en-US" w:eastAsia="zh-CN" w:bidi="ar"/>
              </w:rPr>
              <w:t>报价（元）</w:t>
            </w:r>
          </w:p>
        </w:tc>
        <w:tc>
          <w:tcPr>
            <w:tcW w:w="1517" w:type="dxa"/>
            <w:tcBorders>
              <w:top w:val="single" w:color="000000" w:sz="2" w:space="0"/>
              <w:left w:val="single" w:color="000000" w:sz="2" w:space="0"/>
              <w:bottom w:val="single" w:color="000000" w:sz="2" w:space="0"/>
              <w:right w:val="single" w:color="000000" w:sz="2" w:space="0"/>
            </w:tcBorders>
            <w:shd w:val="clear" w:color="auto" w:fill="auto"/>
            <w:vAlign w:val="top"/>
          </w:tcPr>
          <w:p w14:paraId="7D8467D7">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p w14:paraId="5A1CCBB7">
            <w:pPr>
              <w:pStyle w:val="27"/>
              <w:keepNext w:val="0"/>
              <w:keepLines w:val="0"/>
              <w:widowControl/>
              <w:suppressLineNumbers w:val="0"/>
              <w:kinsoku w:val="0"/>
              <w:autoSpaceDE w:val="0"/>
              <w:autoSpaceDN w:val="0"/>
              <w:adjustRightInd w:val="0"/>
              <w:snapToGrid w:val="0"/>
              <w:spacing w:before="78" w:beforeAutospacing="0" w:after="0" w:afterAutospacing="0" w:line="240" w:lineRule="auto"/>
              <w:ind w:left="589"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7"/>
                <w:kern w:val="0"/>
                <w:sz w:val="24"/>
                <w:szCs w:val="24"/>
                <w:highlight w:val="none"/>
                <w:lang w:val="en-US" w:eastAsia="zh-CN" w:bidi="ar"/>
              </w:rPr>
              <w:t>备注</w:t>
            </w:r>
          </w:p>
        </w:tc>
      </w:tr>
      <w:tr w14:paraId="526A1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27" w:hRule="atLeast"/>
        </w:trPr>
        <w:tc>
          <w:tcPr>
            <w:tcW w:w="1304" w:type="dxa"/>
            <w:tcBorders>
              <w:top w:val="single" w:color="000000" w:sz="2" w:space="0"/>
              <w:left w:val="single" w:color="000000" w:sz="2" w:space="0"/>
              <w:bottom w:val="single" w:color="000000" w:sz="2" w:space="0"/>
              <w:right w:val="single" w:color="000000" w:sz="2" w:space="0"/>
            </w:tcBorders>
            <w:shd w:val="clear" w:color="auto" w:fill="auto"/>
            <w:vAlign w:val="top"/>
          </w:tcPr>
          <w:p w14:paraId="116D94FC">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p w14:paraId="238F28BC">
            <w:pPr>
              <w:pStyle w:val="27"/>
              <w:keepNext w:val="0"/>
              <w:keepLines w:val="0"/>
              <w:widowControl/>
              <w:suppressLineNumbers w:val="0"/>
              <w:kinsoku w:val="0"/>
              <w:autoSpaceDE w:val="0"/>
              <w:autoSpaceDN w:val="0"/>
              <w:adjustRightInd w:val="0"/>
              <w:snapToGrid w:val="0"/>
              <w:spacing w:before="78" w:beforeAutospacing="0" w:after="0" w:afterAutospacing="0" w:line="240" w:lineRule="auto"/>
              <w:ind w:left="605"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4"/>
                <w:szCs w:val="24"/>
                <w:highlight w:val="none"/>
                <w:lang w:val="en-US" w:eastAsia="zh-CN" w:bidi="ar"/>
              </w:rPr>
              <w:t>1</w:t>
            </w:r>
          </w:p>
        </w:tc>
        <w:tc>
          <w:tcPr>
            <w:tcW w:w="2308" w:type="dxa"/>
            <w:tcBorders>
              <w:top w:val="single" w:color="000000" w:sz="2" w:space="0"/>
              <w:left w:val="single" w:color="000000" w:sz="2" w:space="0"/>
              <w:bottom w:val="single" w:color="000000" w:sz="2" w:space="0"/>
              <w:right w:val="single" w:color="000000" w:sz="2" w:space="0"/>
            </w:tcBorders>
            <w:shd w:val="clear" w:color="auto" w:fill="auto"/>
            <w:vAlign w:val="top"/>
          </w:tcPr>
          <w:p w14:paraId="17FEDA81">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c>
          <w:tcPr>
            <w:tcW w:w="1784" w:type="dxa"/>
            <w:tcBorders>
              <w:top w:val="single" w:color="000000" w:sz="2" w:space="0"/>
              <w:left w:val="single" w:color="000000" w:sz="2" w:space="0"/>
              <w:bottom w:val="single" w:color="000000" w:sz="2" w:space="0"/>
              <w:right w:val="single" w:color="000000" w:sz="2" w:space="0"/>
            </w:tcBorders>
            <w:shd w:val="clear" w:color="auto" w:fill="auto"/>
            <w:vAlign w:val="top"/>
          </w:tcPr>
          <w:p w14:paraId="7D2B1468">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c>
          <w:tcPr>
            <w:tcW w:w="2009" w:type="dxa"/>
            <w:tcBorders>
              <w:top w:val="single" w:color="000000" w:sz="2" w:space="0"/>
              <w:left w:val="single" w:color="000000" w:sz="2" w:space="0"/>
              <w:bottom w:val="single" w:color="000000" w:sz="2" w:space="0"/>
              <w:right w:val="single" w:color="000000" w:sz="2" w:space="0"/>
            </w:tcBorders>
            <w:shd w:val="clear" w:color="auto" w:fill="auto"/>
            <w:vAlign w:val="top"/>
          </w:tcPr>
          <w:p w14:paraId="0237AE07">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c>
          <w:tcPr>
            <w:tcW w:w="1517" w:type="dxa"/>
            <w:tcBorders>
              <w:top w:val="single" w:color="000000" w:sz="2" w:space="0"/>
              <w:left w:val="single" w:color="000000" w:sz="2" w:space="0"/>
              <w:bottom w:val="single" w:color="000000" w:sz="2" w:space="0"/>
              <w:right w:val="single" w:color="000000" w:sz="2" w:space="0"/>
            </w:tcBorders>
            <w:shd w:val="clear" w:color="auto" w:fill="auto"/>
            <w:vAlign w:val="top"/>
          </w:tcPr>
          <w:p w14:paraId="3370CF19">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r>
      <w:tr w14:paraId="79A78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27" w:hRule="atLeast"/>
        </w:trPr>
        <w:tc>
          <w:tcPr>
            <w:tcW w:w="1304" w:type="dxa"/>
            <w:tcBorders>
              <w:top w:val="single" w:color="000000" w:sz="2" w:space="0"/>
              <w:left w:val="single" w:color="000000" w:sz="2" w:space="0"/>
              <w:bottom w:val="single" w:color="000000" w:sz="2" w:space="0"/>
              <w:right w:val="single" w:color="000000" w:sz="2" w:space="0"/>
            </w:tcBorders>
            <w:shd w:val="clear" w:color="auto" w:fill="auto"/>
            <w:vAlign w:val="top"/>
          </w:tcPr>
          <w:p w14:paraId="02997D9B">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p w14:paraId="1161BB94">
            <w:pPr>
              <w:pStyle w:val="27"/>
              <w:keepNext w:val="0"/>
              <w:keepLines w:val="0"/>
              <w:widowControl/>
              <w:suppressLineNumbers w:val="0"/>
              <w:kinsoku w:val="0"/>
              <w:autoSpaceDE w:val="0"/>
              <w:autoSpaceDN w:val="0"/>
              <w:adjustRightInd w:val="0"/>
              <w:snapToGrid w:val="0"/>
              <w:spacing w:before="78" w:beforeAutospacing="0" w:after="0" w:afterAutospacing="0" w:line="240" w:lineRule="auto"/>
              <w:ind w:left="590"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4"/>
                <w:szCs w:val="24"/>
                <w:highlight w:val="none"/>
                <w:lang w:val="en-US" w:eastAsia="zh-CN" w:bidi="ar"/>
              </w:rPr>
              <w:t>2</w:t>
            </w:r>
          </w:p>
        </w:tc>
        <w:tc>
          <w:tcPr>
            <w:tcW w:w="2308" w:type="dxa"/>
            <w:tcBorders>
              <w:top w:val="single" w:color="000000" w:sz="2" w:space="0"/>
              <w:left w:val="single" w:color="000000" w:sz="2" w:space="0"/>
              <w:bottom w:val="single" w:color="000000" w:sz="2" w:space="0"/>
              <w:right w:val="single" w:color="000000" w:sz="2" w:space="0"/>
            </w:tcBorders>
            <w:shd w:val="clear" w:color="auto" w:fill="auto"/>
            <w:vAlign w:val="top"/>
          </w:tcPr>
          <w:p w14:paraId="42F01B3C">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c>
          <w:tcPr>
            <w:tcW w:w="1784" w:type="dxa"/>
            <w:tcBorders>
              <w:top w:val="single" w:color="000000" w:sz="2" w:space="0"/>
              <w:left w:val="single" w:color="000000" w:sz="2" w:space="0"/>
              <w:bottom w:val="single" w:color="000000" w:sz="2" w:space="0"/>
              <w:right w:val="single" w:color="000000" w:sz="2" w:space="0"/>
            </w:tcBorders>
            <w:shd w:val="clear" w:color="auto" w:fill="auto"/>
            <w:vAlign w:val="top"/>
          </w:tcPr>
          <w:p w14:paraId="3013FE60">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c>
          <w:tcPr>
            <w:tcW w:w="2009" w:type="dxa"/>
            <w:tcBorders>
              <w:top w:val="single" w:color="000000" w:sz="2" w:space="0"/>
              <w:left w:val="single" w:color="000000" w:sz="2" w:space="0"/>
              <w:bottom w:val="single" w:color="000000" w:sz="2" w:space="0"/>
              <w:right w:val="single" w:color="000000" w:sz="2" w:space="0"/>
            </w:tcBorders>
            <w:shd w:val="clear" w:color="auto" w:fill="auto"/>
            <w:vAlign w:val="top"/>
          </w:tcPr>
          <w:p w14:paraId="11EFC4F0">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c>
          <w:tcPr>
            <w:tcW w:w="1517" w:type="dxa"/>
            <w:tcBorders>
              <w:top w:val="single" w:color="000000" w:sz="2" w:space="0"/>
              <w:left w:val="single" w:color="000000" w:sz="2" w:space="0"/>
              <w:bottom w:val="single" w:color="000000" w:sz="2" w:space="0"/>
              <w:right w:val="single" w:color="000000" w:sz="2" w:space="0"/>
            </w:tcBorders>
            <w:shd w:val="clear" w:color="auto" w:fill="auto"/>
            <w:vAlign w:val="top"/>
          </w:tcPr>
          <w:p w14:paraId="041D8709">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r>
      <w:tr w14:paraId="43361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27" w:hRule="atLeast"/>
        </w:trPr>
        <w:tc>
          <w:tcPr>
            <w:tcW w:w="1304" w:type="dxa"/>
            <w:tcBorders>
              <w:top w:val="single" w:color="000000" w:sz="2" w:space="0"/>
              <w:left w:val="single" w:color="000000" w:sz="2" w:space="0"/>
              <w:bottom w:val="single" w:color="000000" w:sz="2" w:space="0"/>
              <w:right w:val="single" w:color="000000" w:sz="2" w:space="0"/>
            </w:tcBorders>
            <w:shd w:val="clear" w:color="auto" w:fill="auto"/>
            <w:vAlign w:val="top"/>
          </w:tcPr>
          <w:p w14:paraId="5F1E1724">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p w14:paraId="532B8289">
            <w:pPr>
              <w:pStyle w:val="27"/>
              <w:keepNext w:val="0"/>
              <w:keepLines w:val="0"/>
              <w:widowControl/>
              <w:suppressLineNumbers w:val="0"/>
              <w:kinsoku w:val="0"/>
              <w:autoSpaceDE w:val="0"/>
              <w:autoSpaceDN w:val="0"/>
              <w:adjustRightInd w:val="0"/>
              <w:snapToGrid w:val="0"/>
              <w:spacing w:before="78" w:beforeAutospacing="0" w:after="0" w:afterAutospacing="0" w:line="240" w:lineRule="auto"/>
              <w:ind w:left="592"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4"/>
                <w:szCs w:val="24"/>
                <w:highlight w:val="none"/>
                <w:lang w:val="en-US" w:eastAsia="zh-CN" w:bidi="ar"/>
              </w:rPr>
              <w:t>3</w:t>
            </w:r>
          </w:p>
        </w:tc>
        <w:tc>
          <w:tcPr>
            <w:tcW w:w="2308" w:type="dxa"/>
            <w:tcBorders>
              <w:top w:val="single" w:color="000000" w:sz="2" w:space="0"/>
              <w:left w:val="single" w:color="000000" w:sz="2" w:space="0"/>
              <w:bottom w:val="single" w:color="000000" w:sz="2" w:space="0"/>
              <w:right w:val="single" w:color="000000" w:sz="2" w:space="0"/>
            </w:tcBorders>
            <w:shd w:val="clear" w:color="auto" w:fill="auto"/>
            <w:vAlign w:val="top"/>
          </w:tcPr>
          <w:p w14:paraId="717C6D4B">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c>
          <w:tcPr>
            <w:tcW w:w="1784" w:type="dxa"/>
            <w:tcBorders>
              <w:top w:val="single" w:color="000000" w:sz="2" w:space="0"/>
              <w:left w:val="single" w:color="000000" w:sz="2" w:space="0"/>
              <w:bottom w:val="single" w:color="000000" w:sz="2" w:space="0"/>
              <w:right w:val="single" w:color="000000" w:sz="2" w:space="0"/>
            </w:tcBorders>
            <w:shd w:val="clear" w:color="auto" w:fill="auto"/>
            <w:vAlign w:val="top"/>
          </w:tcPr>
          <w:p w14:paraId="611B0C8A">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c>
          <w:tcPr>
            <w:tcW w:w="2009" w:type="dxa"/>
            <w:tcBorders>
              <w:top w:val="single" w:color="000000" w:sz="2" w:space="0"/>
              <w:left w:val="single" w:color="000000" w:sz="2" w:space="0"/>
              <w:bottom w:val="single" w:color="000000" w:sz="2" w:space="0"/>
              <w:right w:val="single" w:color="000000" w:sz="2" w:space="0"/>
            </w:tcBorders>
            <w:shd w:val="clear" w:color="auto" w:fill="auto"/>
            <w:vAlign w:val="top"/>
          </w:tcPr>
          <w:p w14:paraId="4D80D8DF">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c>
          <w:tcPr>
            <w:tcW w:w="1517" w:type="dxa"/>
            <w:tcBorders>
              <w:top w:val="single" w:color="000000" w:sz="2" w:space="0"/>
              <w:left w:val="single" w:color="000000" w:sz="2" w:space="0"/>
              <w:bottom w:val="single" w:color="000000" w:sz="2" w:space="0"/>
              <w:right w:val="single" w:color="000000" w:sz="2" w:space="0"/>
            </w:tcBorders>
            <w:shd w:val="clear" w:color="auto" w:fill="auto"/>
            <w:vAlign w:val="top"/>
          </w:tcPr>
          <w:p w14:paraId="6B8AF76A">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r>
      <w:tr w14:paraId="63F85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27" w:hRule="atLeast"/>
        </w:trPr>
        <w:tc>
          <w:tcPr>
            <w:tcW w:w="1304" w:type="dxa"/>
            <w:tcBorders>
              <w:top w:val="single" w:color="000000" w:sz="2" w:space="0"/>
              <w:left w:val="single" w:color="000000" w:sz="2" w:space="0"/>
              <w:bottom w:val="single" w:color="000000" w:sz="2" w:space="0"/>
              <w:right w:val="single" w:color="000000" w:sz="2" w:space="0"/>
            </w:tcBorders>
            <w:shd w:val="clear" w:color="auto" w:fill="auto"/>
            <w:vAlign w:val="top"/>
          </w:tcPr>
          <w:p w14:paraId="5B61F9E9">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p w14:paraId="69908A20">
            <w:pPr>
              <w:pStyle w:val="27"/>
              <w:keepNext w:val="0"/>
              <w:keepLines w:val="0"/>
              <w:widowControl/>
              <w:suppressLineNumbers w:val="0"/>
              <w:kinsoku w:val="0"/>
              <w:autoSpaceDE w:val="0"/>
              <w:autoSpaceDN w:val="0"/>
              <w:adjustRightInd w:val="0"/>
              <w:snapToGrid w:val="0"/>
              <w:spacing w:before="78" w:beforeAutospacing="0" w:after="0" w:afterAutospacing="0" w:line="240" w:lineRule="auto"/>
              <w:ind w:left="602"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13"/>
                <w:kern w:val="0"/>
                <w:position w:val="3"/>
                <w:sz w:val="24"/>
                <w:szCs w:val="24"/>
                <w:highlight w:val="none"/>
                <w:lang w:val="en-US" w:eastAsia="zh-CN" w:bidi="ar"/>
              </w:rPr>
              <w:t>……</w:t>
            </w:r>
          </w:p>
        </w:tc>
        <w:tc>
          <w:tcPr>
            <w:tcW w:w="2308" w:type="dxa"/>
            <w:tcBorders>
              <w:top w:val="single" w:color="000000" w:sz="2" w:space="0"/>
              <w:left w:val="single" w:color="000000" w:sz="2" w:space="0"/>
              <w:bottom w:val="single" w:color="000000" w:sz="2" w:space="0"/>
              <w:right w:val="single" w:color="000000" w:sz="2" w:space="0"/>
            </w:tcBorders>
            <w:shd w:val="clear" w:color="auto" w:fill="auto"/>
            <w:vAlign w:val="top"/>
          </w:tcPr>
          <w:p w14:paraId="7056CB3E">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c>
          <w:tcPr>
            <w:tcW w:w="1784" w:type="dxa"/>
            <w:tcBorders>
              <w:top w:val="single" w:color="000000" w:sz="2" w:space="0"/>
              <w:left w:val="single" w:color="000000" w:sz="2" w:space="0"/>
              <w:bottom w:val="single" w:color="000000" w:sz="2" w:space="0"/>
              <w:right w:val="single" w:color="000000" w:sz="2" w:space="0"/>
            </w:tcBorders>
            <w:shd w:val="clear" w:color="auto" w:fill="auto"/>
            <w:vAlign w:val="top"/>
          </w:tcPr>
          <w:p w14:paraId="61BE9302">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c>
          <w:tcPr>
            <w:tcW w:w="2009" w:type="dxa"/>
            <w:tcBorders>
              <w:top w:val="single" w:color="000000" w:sz="2" w:space="0"/>
              <w:left w:val="single" w:color="000000" w:sz="2" w:space="0"/>
              <w:bottom w:val="single" w:color="000000" w:sz="2" w:space="0"/>
              <w:right w:val="single" w:color="000000" w:sz="2" w:space="0"/>
            </w:tcBorders>
            <w:shd w:val="clear" w:color="auto" w:fill="auto"/>
            <w:vAlign w:val="top"/>
          </w:tcPr>
          <w:p w14:paraId="36C7588B">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c>
          <w:tcPr>
            <w:tcW w:w="1517" w:type="dxa"/>
            <w:tcBorders>
              <w:top w:val="single" w:color="000000" w:sz="2" w:space="0"/>
              <w:left w:val="single" w:color="000000" w:sz="2" w:space="0"/>
              <w:bottom w:val="single" w:color="000000" w:sz="2" w:space="0"/>
              <w:right w:val="single" w:color="000000" w:sz="2" w:space="0"/>
            </w:tcBorders>
            <w:shd w:val="clear" w:color="auto" w:fill="auto"/>
            <w:vAlign w:val="top"/>
          </w:tcPr>
          <w:p w14:paraId="087144F4">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r>
      <w:tr w14:paraId="07ED2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27" w:hRule="atLeast"/>
        </w:trPr>
        <w:tc>
          <w:tcPr>
            <w:tcW w:w="5396"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14:paraId="4223FC88">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p w14:paraId="1161EDAE">
            <w:pPr>
              <w:pStyle w:val="27"/>
              <w:keepNext w:val="0"/>
              <w:keepLines w:val="0"/>
              <w:widowControl/>
              <w:suppressLineNumbers w:val="0"/>
              <w:kinsoku w:val="0"/>
              <w:autoSpaceDE w:val="0"/>
              <w:autoSpaceDN w:val="0"/>
              <w:adjustRightInd w:val="0"/>
              <w:snapToGrid w:val="0"/>
              <w:spacing w:before="78" w:beforeAutospacing="0" w:after="0" w:afterAutospacing="0" w:line="240" w:lineRule="auto"/>
              <w:ind w:left="588"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6"/>
                <w:kern w:val="0"/>
                <w:sz w:val="24"/>
                <w:szCs w:val="24"/>
                <w:highlight w:val="none"/>
                <w:lang w:val="en-US" w:eastAsia="zh-CN" w:bidi="ar"/>
              </w:rPr>
              <w:t>合计</w:t>
            </w:r>
          </w:p>
        </w:tc>
        <w:tc>
          <w:tcPr>
            <w:tcW w:w="2009" w:type="dxa"/>
            <w:tcBorders>
              <w:top w:val="single" w:color="000000" w:sz="2" w:space="0"/>
              <w:left w:val="single" w:color="000000" w:sz="2" w:space="0"/>
              <w:bottom w:val="single" w:color="000000" w:sz="2" w:space="0"/>
              <w:right w:val="single" w:color="000000" w:sz="2" w:space="0"/>
            </w:tcBorders>
            <w:shd w:val="clear" w:color="auto" w:fill="auto"/>
            <w:vAlign w:val="top"/>
          </w:tcPr>
          <w:p w14:paraId="766E0122">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c>
          <w:tcPr>
            <w:tcW w:w="1517" w:type="dxa"/>
            <w:tcBorders>
              <w:top w:val="single" w:color="000000" w:sz="2" w:space="0"/>
              <w:left w:val="single" w:color="000000" w:sz="2" w:space="0"/>
              <w:bottom w:val="single" w:color="000000" w:sz="2" w:space="0"/>
              <w:right w:val="single" w:color="000000" w:sz="2" w:space="0"/>
            </w:tcBorders>
            <w:shd w:val="clear" w:color="auto" w:fill="auto"/>
            <w:vAlign w:val="top"/>
          </w:tcPr>
          <w:p w14:paraId="4704AD44">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left"/>
              <w:textAlignment w:val="baseline"/>
              <w:rPr>
                <w:rFonts w:hint="eastAsia" w:ascii="宋体" w:hAnsi="宋体" w:eastAsia="宋体" w:cs="宋体"/>
                <w:color w:val="auto"/>
                <w:kern w:val="0"/>
                <w:sz w:val="21"/>
                <w:szCs w:val="21"/>
                <w:highlight w:val="none"/>
              </w:rPr>
            </w:pPr>
          </w:p>
        </w:tc>
      </w:tr>
    </w:tbl>
    <w:p w14:paraId="5C43BA98">
      <w:pPr>
        <w:keepNext w:val="0"/>
        <w:keepLines w:val="0"/>
        <w:widowControl/>
        <w:suppressLineNumbers w:val="0"/>
        <w:kinsoku w:val="0"/>
        <w:autoSpaceDE w:val="0"/>
        <w:autoSpaceDN w:val="0"/>
        <w:adjustRightInd w:val="0"/>
        <w:snapToGrid w:val="0"/>
        <w:spacing w:before="196" w:beforeAutospacing="0" w:after="0" w:afterAutospacing="0" w:line="360" w:lineRule="auto"/>
        <w:ind w:left="997"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2"/>
          <w:kern w:val="0"/>
          <w:sz w:val="24"/>
          <w:szCs w:val="24"/>
          <w:highlight w:val="none"/>
          <w:lang w:val="en-US" w:eastAsia="zh-CN" w:bidi="ar"/>
        </w:rPr>
        <w:t>注：详见附件清单；</w:t>
      </w:r>
    </w:p>
    <w:p w14:paraId="03E04FFA">
      <w:pPr>
        <w:keepNext w:val="0"/>
        <w:keepLines w:val="0"/>
        <w:widowControl/>
        <w:suppressLineNumbers w:val="0"/>
        <w:kinsoku w:val="0"/>
        <w:autoSpaceDE w:val="0"/>
        <w:autoSpaceDN w:val="0"/>
        <w:adjustRightInd w:val="0"/>
        <w:snapToGrid w:val="0"/>
        <w:spacing w:before="78" w:beforeAutospacing="0" w:after="0" w:afterAutospacing="0" w:line="360" w:lineRule="auto"/>
        <w:ind w:left="1000"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1"/>
          <w:kern w:val="0"/>
          <w:position w:val="32"/>
          <w:sz w:val="24"/>
          <w:szCs w:val="24"/>
          <w:highlight w:val="none"/>
          <w:lang w:val="en-US" w:eastAsia="zh-CN" w:bidi="ar"/>
        </w:rPr>
        <w:t>2.以上合同总价包括运抵使用单位的</w:t>
      </w:r>
      <w:r>
        <w:rPr>
          <w:rFonts w:hint="eastAsia" w:ascii="宋体" w:hAnsi="宋体" w:cs="宋体"/>
          <w:snapToGrid/>
          <w:color w:val="auto"/>
          <w:spacing w:val="-1"/>
          <w:kern w:val="0"/>
          <w:position w:val="32"/>
          <w:sz w:val="24"/>
          <w:szCs w:val="24"/>
          <w:highlight w:val="none"/>
          <w:lang w:val="en-US" w:eastAsia="zh-CN" w:bidi="ar"/>
        </w:rPr>
        <w:t>运输</w:t>
      </w:r>
      <w:r>
        <w:rPr>
          <w:rFonts w:hint="eastAsia" w:ascii="宋体" w:hAnsi="宋体" w:eastAsia="宋体" w:cs="宋体"/>
          <w:snapToGrid/>
          <w:color w:val="auto"/>
          <w:spacing w:val="-1"/>
          <w:kern w:val="0"/>
          <w:position w:val="32"/>
          <w:sz w:val="24"/>
          <w:szCs w:val="24"/>
          <w:highlight w:val="none"/>
          <w:lang w:val="en-US" w:eastAsia="zh-CN" w:bidi="ar"/>
        </w:rPr>
        <w:t>等</w:t>
      </w:r>
      <w:r>
        <w:rPr>
          <w:rFonts w:hint="eastAsia" w:ascii="宋体" w:hAnsi="宋体" w:cs="宋体"/>
          <w:snapToGrid/>
          <w:color w:val="auto"/>
          <w:spacing w:val="-1"/>
          <w:kern w:val="0"/>
          <w:position w:val="32"/>
          <w:sz w:val="24"/>
          <w:szCs w:val="24"/>
          <w:highlight w:val="none"/>
          <w:lang w:val="en-US" w:eastAsia="zh-CN" w:bidi="ar"/>
        </w:rPr>
        <w:t>全部费用</w:t>
      </w:r>
      <w:r>
        <w:rPr>
          <w:rFonts w:hint="eastAsia" w:ascii="宋体" w:hAnsi="宋体" w:eastAsia="宋体" w:cs="宋体"/>
          <w:snapToGrid/>
          <w:color w:val="auto"/>
          <w:spacing w:val="-1"/>
          <w:kern w:val="0"/>
          <w:position w:val="32"/>
          <w:sz w:val="24"/>
          <w:szCs w:val="24"/>
          <w:highlight w:val="none"/>
          <w:lang w:val="en-US" w:eastAsia="zh-CN" w:bidi="ar"/>
        </w:rPr>
        <w:t>；</w:t>
      </w:r>
    </w:p>
    <w:p w14:paraId="7D83DF26">
      <w:pPr>
        <w:keepNext w:val="0"/>
        <w:keepLines w:val="0"/>
        <w:widowControl/>
        <w:suppressLineNumbers w:val="0"/>
        <w:kinsoku w:val="0"/>
        <w:autoSpaceDE w:val="0"/>
        <w:autoSpaceDN w:val="0"/>
        <w:adjustRightInd w:val="0"/>
        <w:snapToGrid w:val="0"/>
        <w:spacing w:before="0" w:beforeAutospacing="0" w:after="0" w:afterAutospacing="0" w:line="360" w:lineRule="auto"/>
        <w:ind w:left="47"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2"/>
          <w:kern w:val="0"/>
          <w:sz w:val="24"/>
          <w:szCs w:val="24"/>
          <w:highlight w:val="none"/>
          <w:lang w:val="en-US" w:eastAsia="zh-CN" w:bidi="ar"/>
        </w:rPr>
        <w:t>第二条  质量保证</w:t>
      </w:r>
    </w:p>
    <w:p w14:paraId="562C2004">
      <w:pPr>
        <w:keepNext w:val="0"/>
        <w:keepLines w:val="0"/>
        <w:widowControl/>
        <w:suppressLineNumbers w:val="0"/>
        <w:kinsoku w:val="0"/>
        <w:autoSpaceDE w:val="0"/>
        <w:autoSpaceDN w:val="0"/>
        <w:adjustRightInd w:val="0"/>
        <w:snapToGrid w:val="0"/>
        <w:spacing w:before="78" w:beforeAutospacing="0" w:after="0" w:afterAutospacing="0" w:line="360" w:lineRule="auto"/>
        <w:ind w:left="49" w:right="261" w:firstLine="488"/>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4"/>
          <w:kern w:val="0"/>
          <w:sz w:val="24"/>
          <w:szCs w:val="24"/>
          <w:highlight w:val="none"/>
          <w:lang w:val="en-US" w:eastAsia="zh-CN" w:bidi="ar"/>
        </w:rPr>
        <w:t>乙方保证本合同中所供应的商品是符合国家技术规格和质量标准的合格产</w:t>
      </w:r>
      <w:r>
        <w:rPr>
          <w:rFonts w:hint="eastAsia" w:ascii="宋体" w:hAnsi="宋体" w:eastAsia="宋体" w:cs="宋体"/>
          <w:snapToGrid/>
          <w:color w:val="auto"/>
          <w:spacing w:val="-5"/>
          <w:kern w:val="0"/>
          <w:sz w:val="24"/>
          <w:szCs w:val="24"/>
          <w:highlight w:val="none"/>
          <w:lang w:val="en-US" w:eastAsia="zh-CN" w:bidi="ar"/>
        </w:rPr>
        <w:t>品。如发</w:t>
      </w:r>
      <w:r>
        <w:rPr>
          <w:rFonts w:hint="eastAsia" w:ascii="宋体" w:hAnsi="宋体" w:eastAsia="宋体" w:cs="宋体"/>
          <w:snapToGrid/>
          <w:color w:val="auto"/>
          <w:kern w:val="0"/>
          <w:sz w:val="24"/>
          <w:szCs w:val="24"/>
          <w:highlight w:val="none"/>
          <w:lang w:val="en-US" w:eastAsia="zh-CN" w:bidi="ar"/>
        </w:rPr>
        <w:t>生所供商品与合同不符，甲方（使用方）有权拒收或退</w:t>
      </w:r>
      <w:r>
        <w:rPr>
          <w:rFonts w:hint="eastAsia" w:ascii="宋体" w:hAnsi="宋体" w:eastAsia="宋体" w:cs="宋体"/>
          <w:snapToGrid/>
          <w:color w:val="auto"/>
          <w:spacing w:val="-1"/>
          <w:kern w:val="0"/>
          <w:sz w:val="24"/>
          <w:szCs w:val="24"/>
          <w:highlight w:val="none"/>
          <w:lang w:val="en-US" w:eastAsia="zh-CN" w:bidi="ar"/>
        </w:rPr>
        <w:t>货，由此产生的一切责任和后</w:t>
      </w:r>
      <w:r>
        <w:rPr>
          <w:rFonts w:hint="eastAsia" w:ascii="宋体" w:hAnsi="宋体" w:eastAsia="宋体" w:cs="宋体"/>
          <w:snapToGrid/>
          <w:color w:val="auto"/>
          <w:spacing w:val="-3"/>
          <w:kern w:val="0"/>
          <w:sz w:val="24"/>
          <w:szCs w:val="24"/>
          <w:highlight w:val="none"/>
          <w:lang w:val="en-US" w:eastAsia="zh-CN" w:bidi="ar"/>
        </w:rPr>
        <w:t>果由乙方承担。</w:t>
      </w:r>
    </w:p>
    <w:p w14:paraId="32079033">
      <w:pPr>
        <w:keepNext w:val="0"/>
        <w:keepLines w:val="0"/>
        <w:widowControl/>
        <w:suppressLineNumbers w:val="0"/>
        <w:kinsoku w:val="0"/>
        <w:autoSpaceDE w:val="0"/>
        <w:autoSpaceDN w:val="0"/>
        <w:adjustRightInd w:val="0"/>
        <w:snapToGrid w:val="0"/>
        <w:spacing w:before="79" w:beforeAutospacing="0" w:after="0" w:afterAutospacing="0" w:line="360" w:lineRule="auto"/>
        <w:ind w:left="47"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第三条  交货时间、地点</w:t>
      </w:r>
    </w:p>
    <w:p w14:paraId="7B4CEA13">
      <w:pPr>
        <w:keepNext w:val="0"/>
        <w:keepLines w:val="0"/>
        <w:widowControl/>
        <w:suppressLineNumbers w:val="0"/>
        <w:kinsoku w:val="0"/>
        <w:autoSpaceDE w:val="0"/>
        <w:autoSpaceDN w:val="0"/>
        <w:adjustRightInd w:val="0"/>
        <w:snapToGrid w:val="0"/>
        <w:spacing w:before="78" w:beforeAutospacing="0" w:after="0" w:afterAutospacing="0" w:line="360" w:lineRule="auto"/>
        <w:ind w:left="535"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1.乙方在合同签订后</w:t>
      </w:r>
      <w:r>
        <w:rPr>
          <w:rFonts w:hint="eastAsia" w:ascii="宋体" w:hAnsi="宋体" w:eastAsia="宋体" w:cs="宋体"/>
          <w:snapToGrid/>
          <w:color w:val="auto"/>
          <w:spacing w:val="-1"/>
          <w:kern w:val="0"/>
          <w:sz w:val="24"/>
          <w:szCs w:val="24"/>
          <w:highlight w:val="none"/>
          <w:u w:val="single"/>
          <w:lang w:val="en-US" w:eastAsia="zh-CN" w:bidi="ar"/>
        </w:rPr>
        <w:t xml:space="preserve">         </w:t>
      </w:r>
      <w:r>
        <w:rPr>
          <w:rFonts w:hint="eastAsia" w:ascii="宋体" w:hAnsi="宋体" w:eastAsia="宋体" w:cs="宋体"/>
          <w:snapToGrid/>
          <w:color w:val="auto"/>
          <w:spacing w:val="-109"/>
          <w:kern w:val="0"/>
          <w:sz w:val="24"/>
          <w:szCs w:val="24"/>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个工作日前按照其与使用单位事先直接联系约定</w:t>
      </w:r>
    </w:p>
    <w:p w14:paraId="7240BE99">
      <w:pPr>
        <w:keepNext w:val="0"/>
        <w:keepLines w:val="0"/>
        <w:widowControl/>
        <w:suppressLineNumbers w:val="0"/>
        <w:kinsoku w:val="0"/>
        <w:autoSpaceDE w:val="0"/>
        <w:autoSpaceDN w:val="0"/>
        <w:adjustRightInd w:val="0"/>
        <w:snapToGrid w:val="0"/>
        <w:spacing w:before="78" w:beforeAutospacing="0" w:after="0" w:afterAutospacing="0" w:line="360" w:lineRule="auto"/>
        <w:ind w:left="49"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1"/>
          <w:kern w:val="0"/>
          <w:sz w:val="24"/>
          <w:szCs w:val="24"/>
          <w:highlight w:val="none"/>
          <w:lang w:val="en-US" w:eastAsia="zh-CN" w:bidi="ar"/>
        </w:rPr>
        <w:t>将所供商品运至甲方指定地点</w:t>
      </w:r>
      <w:r>
        <w:rPr>
          <w:rFonts w:hint="eastAsia" w:ascii="宋体" w:hAnsi="宋体" w:cs="宋体"/>
          <w:snapToGrid/>
          <w:color w:val="auto"/>
          <w:spacing w:val="-1"/>
          <w:kern w:val="0"/>
          <w:sz w:val="24"/>
          <w:szCs w:val="24"/>
          <w:highlight w:val="none"/>
          <w:lang w:val="en-US" w:eastAsia="zh-CN" w:bidi="ar"/>
        </w:rPr>
        <w:t>并通过</w:t>
      </w:r>
      <w:r>
        <w:rPr>
          <w:rFonts w:hint="eastAsia" w:ascii="宋体" w:hAnsi="宋体" w:eastAsia="宋体" w:cs="宋体"/>
          <w:snapToGrid/>
          <w:color w:val="auto"/>
          <w:spacing w:val="-2"/>
          <w:kern w:val="0"/>
          <w:sz w:val="24"/>
          <w:szCs w:val="24"/>
          <w:highlight w:val="none"/>
          <w:lang w:val="en-US" w:eastAsia="zh-CN" w:bidi="ar"/>
        </w:rPr>
        <w:t>甲方验收。</w:t>
      </w:r>
    </w:p>
    <w:p w14:paraId="2FD12645">
      <w:pPr>
        <w:keepNext w:val="0"/>
        <w:keepLines w:val="0"/>
        <w:widowControl/>
        <w:suppressLineNumbers w:val="0"/>
        <w:kinsoku w:val="0"/>
        <w:autoSpaceDE w:val="0"/>
        <w:autoSpaceDN w:val="0"/>
        <w:adjustRightInd w:val="0"/>
        <w:snapToGrid w:val="0"/>
        <w:spacing w:before="78" w:beforeAutospacing="0" w:after="0" w:afterAutospacing="0" w:line="360" w:lineRule="auto"/>
        <w:ind w:left="535" w:right="0"/>
        <w:jc w:val="left"/>
        <w:textAlignment w:val="baseline"/>
        <w:rPr>
          <w:rFonts w:hint="eastAsia" w:ascii="宋体" w:hAnsi="宋体" w:eastAsia="宋体" w:cs="宋体"/>
          <w:snapToGrid/>
          <w:color w:val="auto"/>
          <w:spacing w:val="-1"/>
          <w:kern w:val="0"/>
          <w:sz w:val="24"/>
          <w:szCs w:val="24"/>
          <w:highlight w:val="none"/>
          <w:lang w:val="en-US" w:eastAsia="zh-CN" w:bidi="ar"/>
        </w:rPr>
      </w:pPr>
      <w:r>
        <w:rPr>
          <w:rFonts w:hint="eastAsia" w:ascii="宋体" w:hAnsi="宋体" w:cs="宋体"/>
          <w:snapToGrid/>
          <w:color w:val="auto"/>
          <w:spacing w:val="-1"/>
          <w:kern w:val="0"/>
          <w:sz w:val="24"/>
          <w:szCs w:val="24"/>
          <w:highlight w:val="none"/>
          <w:lang w:val="en-US" w:eastAsia="zh-CN" w:bidi="ar"/>
        </w:rPr>
        <w:t>2.</w:t>
      </w:r>
      <w:r>
        <w:rPr>
          <w:rFonts w:hint="eastAsia" w:ascii="宋体" w:hAnsi="宋体" w:eastAsia="宋体" w:cs="宋体"/>
          <w:snapToGrid/>
          <w:color w:val="auto"/>
          <w:spacing w:val="-1"/>
          <w:kern w:val="0"/>
          <w:sz w:val="24"/>
          <w:szCs w:val="24"/>
          <w:highlight w:val="none"/>
          <w:lang w:val="en-US" w:eastAsia="zh-CN" w:bidi="ar"/>
        </w:rPr>
        <w:t>在所供商品交付使用时，乙方必须向甲方提供产品必须具备的相关资料和必备的附件。</w:t>
      </w:r>
    </w:p>
    <w:p w14:paraId="54A2222A">
      <w:pPr>
        <w:keepNext w:val="0"/>
        <w:keepLines w:val="0"/>
        <w:widowControl/>
        <w:suppressLineNumbers w:val="0"/>
        <w:kinsoku w:val="0"/>
        <w:autoSpaceDE w:val="0"/>
        <w:autoSpaceDN w:val="0"/>
        <w:adjustRightInd w:val="0"/>
        <w:snapToGrid w:val="0"/>
        <w:spacing w:before="78" w:beforeAutospacing="0" w:after="0" w:afterAutospacing="0" w:line="360" w:lineRule="auto"/>
        <w:ind w:left="47"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2"/>
          <w:kern w:val="0"/>
          <w:sz w:val="24"/>
          <w:szCs w:val="24"/>
          <w:highlight w:val="none"/>
          <w:lang w:val="en-US" w:eastAsia="zh-CN" w:bidi="ar"/>
        </w:rPr>
        <w:t>第四条  售后服务</w:t>
      </w:r>
    </w:p>
    <w:p w14:paraId="65A64E94">
      <w:pPr>
        <w:keepNext w:val="0"/>
        <w:keepLines w:val="0"/>
        <w:widowControl/>
        <w:suppressLineNumbers w:val="0"/>
        <w:kinsoku w:val="0"/>
        <w:autoSpaceDE w:val="0"/>
        <w:autoSpaceDN w:val="0"/>
        <w:adjustRightInd w:val="0"/>
        <w:snapToGrid w:val="0"/>
        <w:spacing w:before="78" w:beforeAutospacing="0" w:after="0" w:afterAutospacing="0" w:line="360" w:lineRule="auto"/>
        <w:ind w:left="63" w:right="5" w:firstLine="471"/>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4"/>
          <w:kern w:val="0"/>
          <w:sz w:val="24"/>
          <w:szCs w:val="24"/>
          <w:highlight w:val="none"/>
          <w:lang w:val="en-US" w:eastAsia="zh-CN" w:bidi="ar"/>
        </w:rPr>
        <w:t>1.合同商品从验收后合格之日起</w:t>
      </w:r>
      <w:r>
        <w:rPr>
          <w:rFonts w:hint="eastAsia" w:ascii="宋体" w:hAnsi="宋体" w:eastAsia="宋体" w:cs="宋体"/>
          <w:snapToGrid/>
          <w:color w:val="auto"/>
          <w:spacing w:val="-1"/>
          <w:kern w:val="0"/>
          <w:sz w:val="24"/>
          <w:szCs w:val="24"/>
          <w:highlight w:val="none"/>
          <w:lang w:val="en-US" w:eastAsia="zh-CN" w:bidi="ar"/>
        </w:rPr>
        <w:t>。保修期内，乙方负责对其提供的商品实行免费维修。保修期后，乙方仍提供维修服务的，收取成本费。</w:t>
      </w:r>
    </w:p>
    <w:p w14:paraId="7961E390">
      <w:pPr>
        <w:keepNext w:val="0"/>
        <w:keepLines w:val="0"/>
        <w:widowControl/>
        <w:suppressLineNumbers w:val="0"/>
        <w:kinsoku w:val="0"/>
        <w:autoSpaceDE w:val="0"/>
        <w:autoSpaceDN w:val="0"/>
        <w:adjustRightInd w:val="0"/>
        <w:snapToGrid w:val="0"/>
        <w:spacing w:before="78" w:beforeAutospacing="0" w:after="0" w:afterAutospacing="0" w:line="360" w:lineRule="auto"/>
        <w:ind w:left="0" w:right="7"/>
        <w:jc w:val="righ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2.乙方保证所供商品在保修期内发生故障时，最迟在</w:t>
      </w:r>
      <w:r>
        <w:rPr>
          <w:rFonts w:hint="eastAsia" w:ascii="宋体" w:hAnsi="宋体" w:eastAsia="宋体" w:cs="宋体"/>
          <w:snapToGrid/>
          <w:color w:val="auto"/>
          <w:spacing w:val="-1"/>
          <w:kern w:val="0"/>
          <w:sz w:val="24"/>
          <w:szCs w:val="24"/>
          <w:highlight w:val="none"/>
          <w:u w:val="single"/>
          <w:lang w:val="en-US" w:eastAsia="zh-CN" w:bidi="ar"/>
        </w:rPr>
        <w:t xml:space="preserve">         </w:t>
      </w:r>
      <w:r>
        <w:rPr>
          <w:rFonts w:hint="eastAsia" w:ascii="宋体" w:hAnsi="宋体" w:eastAsia="宋体" w:cs="宋体"/>
          <w:snapToGrid/>
          <w:color w:val="auto"/>
          <w:spacing w:val="-93"/>
          <w:kern w:val="0"/>
          <w:sz w:val="24"/>
          <w:szCs w:val="24"/>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个工作日内修复，</w:t>
      </w:r>
    </w:p>
    <w:p w14:paraId="5A40E6A7">
      <w:pPr>
        <w:keepNext w:val="0"/>
        <w:keepLines w:val="0"/>
        <w:widowControl/>
        <w:suppressLineNumbers w:val="0"/>
        <w:kinsoku w:val="0"/>
        <w:autoSpaceDE w:val="0"/>
        <w:autoSpaceDN w:val="0"/>
        <w:adjustRightInd w:val="0"/>
        <w:snapToGrid w:val="0"/>
        <w:spacing w:before="1" w:beforeAutospacing="0" w:after="0" w:afterAutospacing="0" w:line="360" w:lineRule="auto"/>
        <w:ind w:left="51"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1"/>
          <w:kern w:val="0"/>
          <w:sz w:val="24"/>
          <w:szCs w:val="24"/>
          <w:highlight w:val="none"/>
          <w:lang w:val="en-US" w:eastAsia="zh-CN" w:bidi="ar"/>
        </w:rPr>
        <w:t>必要时采取临时调换等措施，以保证甲方的正常工作。</w:t>
      </w:r>
    </w:p>
    <w:p w14:paraId="4BFEB4AD">
      <w:pPr>
        <w:keepNext w:val="0"/>
        <w:keepLines w:val="0"/>
        <w:widowControl/>
        <w:suppressLineNumbers w:val="0"/>
        <w:kinsoku w:val="0"/>
        <w:autoSpaceDE w:val="0"/>
        <w:autoSpaceDN w:val="0"/>
        <w:adjustRightInd w:val="0"/>
        <w:snapToGrid w:val="0"/>
        <w:spacing w:before="78" w:beforeAutospacing="0" w:after="0" w:afterAutospacing="0" w:line="360" w:lineRule="auto"/>
        <w:ind w:left="47" w:right="0"/>
        <w:jc w:val="left"/>
        <w:textAlignment w:val="baseline"/>
        <w:rPr>
          <w:rFonts w:hint="eastAsia" w:ascii="宋体" w:hAnsi="宋体" w:eastAsia="宋体" w:cs="宋体"/>
          <w:snapToGrid/>
          <w:color w:val="auto"/>
          <w:spacing w:val="-2"/>
          <w:kern w:val="0"/>
          <w:sz w:val="24"/>
          <w:szCs w:val="24"/>
          <w:highlight w:val="none"/>
          <w:lang w:val="en-US" w:eastAsia="zh-CN" w:bidi="ar"/>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2"/>
          <w:kern w:val="0"/>
          <w:sz w:val="24"/>
          <w:szCs w:val="24"/>
          <w:highlight w:val="none"/>
          <w:lang w:val="en-US" w:eastAsia="zh-CN" w:bidi="ar"/>
        </w:rPr>
        <w:t>第五条  验收</w:t>
      </w:r>
    </w:p>
    <w:p w14:paraId="2ABA8436">
      <w:pPr>
        <w:keepNext w:val="0"/>
        <w:keepLines w:val="0"/>
        <w:widowControl/>
        <w:suppressLineNumbers w:val="0"/>
        <w:kinsoku w:val="0"/>
        <w:autoSpaceDE w:val="0"/>
        <w:autoSpaceDN w:val="0"/>
        <w:adjustRightInd w:val="0"/>
        <w:snapToGrid w:val="0"/>
        <w:spacing w:before="79" w:beforeAutospacing="0" w:after="0" w:afterAutospacing="0" w:line="360" w:lineRule="auto"/>
        <w:ind w:right="0" w:firstLine="448" w:firstLineChars="200"/>
        <w:jc w:val="left"/>
        <w:textAlignment w:val="baseline"/>
        <w:rPr>
          <w:rFonts w:hint="eastAsia" w:ascii="宋体" w:hAnsi="宋体" w:eastAsia="宋体" w:cs="宋体"/>
          <w:snapToGrid/>
          <w:color w:val="auto"/>
          <w:spacing w:val="-8"/>
          <w:kern w:val="0"/>
          <w:sz w:val="24"/>
          <w:szCs w:val="24"/>
          <w:highlight w:val="none"/>
          <w:lang w:val="en-US" w:eastAsia="zh-CN" w:bidi="ar"/>
        </w:rPr>
      </w:pPr>
      <w:r>
        <w:rPr>
          <w:rFonts w:hint="eastAsia" w:ascii="宋体" w:hAnsi="宋体" w:eastAsia="宋体" w:cs="宋体"/>
          <w:snapToGrid/>
          <w:color w:val="auto"/>
          <w:spacing w:val="-8"/>
          <w:kern w:val="0"/>
          <w:sz w:val="24"/>
          <w:szCs w:val="24"/>
          <w:highlight w:val="none"/>
          <w:lang w:val="en-US" w:eastAsia="zh-CN" w:bidi="ar"/>
        </w:rPr>
        <w:t>1.乙方将所供商品运至交货地点，由使用单位当场负责验收。</w:t>
      </w:r>
    </w:p>
    <w:p w14:paraId="00CED076">
      <w:pPr>
        <w:keepNext w:val="0"/>
        <w:keepLines w:val="0"/>
        <w:widowControl/>
        <w:suppressLineNumbers w:val="0"/>
        <w:kinsoku w:val="0"/>
        <w:autoSpaceDE w:val="0"/>
        <w:autoSpaceDN w:val="0"/>
        <w:adjustRightInd w:val="0"/>
        <w:snapToGrid w:val="0"/>
        <w:spacing w:before="79" w:beforeAutospacing="0" w:after="0" w:afterAutospacing="0" w:line="360" w:lineRule="auto"/>
        <w:ind w:right="0" w:firstLine="448" w:firstLineChars="200"/>
        <w:jc w:val="left"/>
        <w:textAlignment w:val="baseline"/>
        <w:rPr>
          <w:rFonts w:hint="eastAsia" w:ascii="宋体" w:hAnsi="宋体" w:eastAsia="宋体" w:cs="宋体"/>
          <w:snapToGrid/>
          <w:color w:val="auto"/>
          <w:spacing w:val="-8"/>
          <w:kern w:val="0"/>
          <w:sz w:val="24"/>
          <w:szCs w:val="24"/>
          <w:highlight w:val="none"/>
          <w:lang w:val="en-US" w:eastAsia="zh-CN" w:bidi="ar"/>
        </w:rPr>
      </w:pPr>
      <w:r>
        <w:rPr>
          <w:rFonts w:hint="eastAsia" w:ascii="宋体" w:hAnsi="宋体" w:eastAsia="宋体" w:cs="宋体"/>
          <w:snapToGrid/>
          <w:color w:val="auto"/>
          <w:spacing w:val="-8"/>
          <w:kern w:val="0"/>
          <w:sz w:val="24"/>
          <w:szCs w:val="24"/>
          <w:highlight w:val="none"/>
          <w:lang w:val="en-US" w:eastAsia="zh-CN" w:bidi="ar"/>
        </w:rPr>
        <w:t xml:space="preserve">2.合同商品从验收合格次日起 </w:t>
      </w:r>
      <w:r>
        <w:rPr>
          <w:rFonts w:hint="eastAsia" w:ascii="宋体" w:hAnsi="宋体" w:eastAsia="宋体" w:cs="宋体"/>
          <w:snapToGrid/>
          <w:color w:val="auto"/>
          <w:spacing w:val="-8"/>
          <w:kern w:val="0"/>
          <w:sz w:val="24"/>
          <w:szCs w:val="24"/>
          <w:highlight w:val="none"/>
          <w:u w:val="single"/>
          <w:lang w:val="en-US" w:eastAsia="zh-CN" w:bidi="ar"/>
        </w:rPr>
        <w:t xml:space="preserve">          </w:t>
      </w:r>
      <w:r>
        <w:rPr>
          <w:rFonts w:hint="eastAsia" w:ascii="宋体" w:hAnsi="宋体" w:eastAsia="宋体" w:cs="宋体"/>
          <w:snapToGrid/>
          <w:color w:val="auto"/>
          <w:spacing w:val="-8"/>
          <w:kern w:val="0"/>
          <w:sz w:val="24"/>
          <w:szCs w:val="24"/>
          <w:highlight w:val="none"/>
          <w:lang w:val="en-US" w:eastAsia="zh-CN" w:bidi="ar"/>
        </w:rPr>
        <w:t>天内，出现非甲方人为因素造成的无法排除的故障，由乙方予以调换。</w:t>
      </w:r>
    </w:p>
    <w:p w14:paraId="44F54910">
      <w:pPr>
        <w:keepNext w:val="0"/>
        <w:keepLines w:val="0"/>
        <w:widowControl/>
        <w:suppressLineNumbers w:val="0"/>
        <w:kinsoku w:val="0"/>
        <w:autoSpaceDE w:val="0"/>
        <w:autoSpaceDN w:val="0"/>
        <w:adjustRightInd w:val="0"/>
        <w:snapToGrid w:val="0"/>
        <w:spacing w:before="78" w:beforeAutospacing="0" w:after="0" w:afterAutospacing="0" w:line="360" w:lineRule="auto"/>
        <w:ind w:left="47"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第六条  货款的支付</w:t>
      </w:r>
    </w:p>
    <w:p w14:paraId="3F4F99B0">
      <w:pPr>
        <w:keepNext w:val="0"/>
        <w:keepLines w:val="0"/>
        <w:widowControl/>
        <w:suppressLineNumbers w:val="0"/>
        <w:kinsoku w:val="0"/>
        <w:autoSpaceDE w:val="0"/>
        <w:autoSpaceDN w:val="0"/>
        <w:adjustRightInd w:val="0"/>
        <w:snapToGrid w:val="0"/>
        <w:spacing w:before="79" w:beforeAutospacing="0" w:after="0" w:afterAutospacing="0" w:line="360" w:lineRule="auto"/>
        <w:ind w:left="558"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6"/>
          <w:kern w:val="0"/>
          <w:sz w:val="24"/>
          <w:szCs w:val="24"/>
          <w:highlight w:val="none"/>
          <w:lang w:val="en-US" w:eastAsia="zh-CN" w:bidi="ar"/>
        </w:rPr>
        <w:t>甲乙双方协商确定</w:t>
      </w:r>
    </w:p>
    <w:p w14:paraId="2605C662">
      <w:pPr>
        <w:keepNext w:val="0"/>
        <w:keepLines w:val="0"/>
        <w:widowControl/>
        <w:suppressLineNumbers w:val="0"/>
        <w:kinsoku w:val="0"/>
        <w:autoSpaceDE w:val="0"/>
        <w:autoSpaceDN w:val="0"/>
        <w:adjustRightInd w:val="0"/>
        <w:snapToGrid w:val="0"/>
        <w:spacing w:before="79" w:beforeAutospacing="0" w:after="0" w:afterAutospacing="0" w:line="360" w:lineRule="auto"/>
        <w:ind w:left="47" w:right="0"/>
        <w:jc w:val="left"/>
        <w:textAlignment w:val="baseline"/>
        <w:rPr>
          <w:rFonts w:hint="eastAsia" w:ascii="宋体" w:hAnsi="宋体" w:eastAsia="宋体" w:cs="宋体"/>
          <w:snapToGrid/>
          <w:color w:val="auto"/>
          <w:kern w:val="0"/>
          <w:sz w:val="21"/>
          <w:szCs w:val="21"/>
          <w:highlight w:val="none"/>
          <w:lang w:val="en-US" w:eastAsia="zh-CN" w:bidi="ar"/>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第七条  其他约定：</w:t>
      </w:r>
      <w:r>
        <w:rPr>
          <w:rFonts w:hint="eastAsia" w:ascii="宋体" w:hAnsi="宋体" w:eastAsia="宋体" w:cs="宋体"/>
          <w:snapToGrid/>
          <w:color w:val="auto"/>
          <w:kern w:val="0"/>
          <w:sz w:val="24"/>
          <w:szCs w:val="24"/>
          <w:highlight w:val="none"/>
          <w:u w:val="single"/>
          <w:lang w:val="en-US" w:eastAsia="zh-CN" w:bidi="ar"/>
        </w:rPr>
        <w:t xml:space="preserve">         </w:t>
      </w:r>
      <w:r>
        <w:rPr>
          <w:rFonts w:hint="eastAsia" w:ascii="宋体" w:hAnsi="宋体" w:eastAsia="宋体" w:cs="宋体"/>
          <w:snapToGrid/>
          <w:color w:val="auto"/>
          <w:kern w:val="0"/>
          <w:sz w:val="21"/>
          <w:szCs w:val="21"/>
          <w:highlight w:val="none"/>
          <w:lang w:val="en-US" w:eastAsia="zh-CN" w:bidi="ar"/>
        </w:rPr>
        <w:t xml:space="preserve"> </w:t>
      </w:r>
    </w:p>
    <w:p w14:paraId="5612D81A">
      <w:pPr>
        <w:keepNext w:val="0"/>
        <w:keepLines w:val="0"/>
        <w:widowControl/>
        <w:suppressLineNumbers w:val="0"/>
        <w:kinsoku w:val="0"/>
        <w:autoSpaceDE w:val="0"/>
        <w:autoSpaceDN w:val="0"/>
        <w:adjustRightInd w:val="0"/>
        <w:snapToGrid w:val="0"/>
        <w:spacing w:before="79" w:beforeAutospacing="0" w:after="0" w:afterAutospacing="0" w:line="360" w:lineRule="auto"/>
        <w:ind w:left="47" w:right="0"/>
        <w:jc w:val="left"/>
        <w:textAlignment w:val="baseline"/>
        <w:rPr>
          <w:rFonts w:hint="eastAsia" w:ascii="宋体" w:hAnsi="宋体" w:eastAsia="宋体" w:cs="宋体"/>
          <w:snapToGrid/>
          <w:color w:val="auto"/>
          <w:spacing w:val="-2"/>
          <w:kern w:val="0"/>
          <w:sz w:val="24"/>
          <w:szCs w:val="24"/>
          <w:highlight w:val="none"/>
          <w:lang w:val="en-US" w:eastAsia="zh-CN" w:bidi="ar"/>
        </w:rPr>
      </w:pPr>
      <w:r>
        <w:rPr>
          <w:rFonts w:hint="eastAsia" w:ascii="宋体" w:hAnsi="宋体" w:eastAsia="宋体" w:cs="宋体"/>
          <w:snapToGrid/>
          <w:color w:val="auto"/>
          <w:spacing w:val="-2"/>
          <w:kern w:val="0"/>
          <w:sz w:val="24"/>
          <w:szCs w:val="24"/>
          <w:highlight w:val="none"/>
          <w:lang w:val="en-US" w:eastAsia="zh-CN" w:bidi="ar"/>
        </w:rPr>
        <w:t>第八条  违约责任</w:t>
      </w:r>
    </w:p>
    <w:p w14:paraId="5830963A">
      <w:pPr>
        <w:keepNext w:val="0"/>
        <w:keepLines w:val="0"/>
        <w:widowControl/>
        <w:suppressLineNumbers w:val="0"/>
        <w:kinsoku w:val="0"/>
        <w:autoSpaceDE w:val="0"/>
        <w:autoSpaceDN w:val="0"/>
        <w:adjustRightInd w:val="0"/>
        <w:snapToGrid w:val="0"/>
        <w:spacing w:before="79" w:beforeAutospacing="0" w:after="0" w:afterAutospacing="0" w:line="360" w:lineRule="auto"/>
        <w:ind w:left="47" w:right="0" w:firstLine="448" w:firstLineChars="200"/>
        <w:jc w:val="left"/>
        <w:textAlignment w:val="baseline"/>
        <w:rPr>
          <w:rFonts w:hint="eastAsia" w:ascii="宋体" w:hAnsi="宋体" w:eastAsia="宋体" w:cs="宋体"/>
          <w:snapToGrid/>
          <w:color w:val="auto"/>
          <w:spacing w:val="-2"/>
          <w:kern w:val="0"/>
          <w:sz w:val="24"/>
          <w:szCs w:val="24"/>
          <w:highlight w:val="none"/>
          <w:lang w:val="en-US" w:eastAsia="zh-CN" w:bidi="ar"/>
        </w:rPr>
      </w:pPr>
      <w:r>
        <w:rPr>
          <w:rFonts w:hint="eastAsia" w:ascii="宋体" w:hAnsi="宋体" w:eastAsia="宋体" w:cs="宋体"/>
          <w:snapToGrid/>
          <w:color w:val="auto"/>
          <w:spacing w:val="-8"/>
          <w:kern w:val="0"/>
          <w:sz w:val="24"/>
          <w:szCs w:val="24"/>
          <w:highlight w:val="none"/>
          <w:lang w:val="en-US" w:eastAsia="zh-CN" w:bidi="ar"/>
        </w:rPr>
        <w:t>1.乙方逾期履行合同的，自逾期之日起，向甲方每日偿付合同总价万</w:t>
      </w:r>
      <w:r>
        <w:rPr>
          <w:rFonts w:hint="eastAsia" w:ascii="宋体" w:hAnsi="宋体" w:eastAsia="宋体" w:cs="宋体"/>
          <w:snapToGrid/>
          <w:color w:val="auto"/>
          <w:spacing w:val="-9"/>
          <w:kern w:val="0"/>
          <w:sz w:val="24"/>
          <w:szCs w:val="24"/>
          <w:highlight w:val="none"/>
          <w:lang w:val="en-US" w:eastAsia="zh-CN" w:bidi="ar"/>
        </w:rPr>
        <w:t>分之</w:t>
      </w:r>
      <w:r>
        <w:rPr>
          <w:rFonts w:hint="eastAsia" w:ascii="宋体" w:hAnsi="宋体" w:eastAsia="宋体" w:cs="宋体"/>
          <w:snapToGrid/>
          <w:color w:val="auto"/>
          <w:kern w:val="0"/>
          <w:sz w:val="24"/>
          <w:szCs w:val="24"/>
          <w:highlight w:val="none"/>
          <w:u w:val="single"/>
          <w:lang w:val="en-US" w:eastAsia="zh-CN" w:bidi="ar"/>
        </w:rPr>
        <w:tab/>
      </w:r>
      <w:r>
        <w:rPr>
          <w:rFonts w:hint="eastAsia" w:ascii="宋体" w:hAnsi="宋体" w:eastAsia="宋体" w:cs="宋体"/>
          <w:snapToGrid/>
          <w:color w:val="auto"/>
          <w:kern w:val="0"/>
          <w:sz w:val="24"/>
          <w:szCs w:val="24"/>
          <w:highlight w:val="none"/>
          <w:lang w:val="en-US" w:eastAsia="zh-CN" w:bidi="ar"/>
        </w:rPr>
        <w:t xml:space="preserve"> </w:t>
      </w:r>
      <w:r>
        <w:rPr>
          <w:rFonts w:hint="eastAsia" w:ascii="宋体" w:hAnsi="宋体" w:eastAsia="宋体" w:cs="宋体"/>
          <w:snapToGrid/>
          <w:color w:val="auto"/>
          <w:spacing w:val="-7"/>
          <w:kern w:val="0"/>
          <w:sz w:val="24"/>
          <w:szCs w:val="24"/>
          <w:highlight w:val="none"/>
          <w:lang w:val="en-US" w:eastAsia="zh-CN" w:bidi="ar"/>
        </w:rPr>
        <w:t>的滞纳金；乙方逾期</w:t>
      </w:r>
      <w:r>
        <w:rPr>
          <w:rFonts w:hint="eastAsia" w:ascii="宋体" w:hAnsi="宋体" w:eastAsia="宋体" w:cs="宋体"/>
          <w:snapToGrid/>
          <w:color w:val="auto"/>
          <w:spacing w:val="-7"/>
          <w:kern w:val="0"/>
          <w:sz w:val="24"/>
          <w:szCs w:val="24"/>
          <w:highlight w:val="none"/>
          <w:u w:val="single"/>
          <w:lang w:val="en-US" w:eastAsia="zh-CN" w:bidi="ar"/>
        </w:rPr>
        <w:t xml:space="preserve">         </w:t>
      </w:r>
      <w:r>
        <w:rPr>
          <w:rFonts w:hint="eastAsia" w:ascii="宋体" w:hAnsi="宋体" w:eastAsia="宋体" w:cs="宋体"/>
          <w:snapToGrid/>
          <w:color w:val="auto"/>
          <w:spacing w:val="-62"/>
          <w:kern w:val="0"/>
          <w:sz w:val="24"/>
          <w:szCs w:val="24"/>
          <w:highlight w:val="none"/>
          <w:lang w:val="en-US" w:eastAsia="zh-CN" w:bidi="ar"/>
        </w:rPr>
        <w:t xml:space="preserve"> </w:t>
      </w:r>
      <w:r>
        <w:rPr>
          <w:rFonts w:hint="eastAsia" w:ascii="宋体" w:hAnsi="宋体" w:eastAsia="宋体" w:cs="宋体"/>
          <w:snapToGrid/>
          <w:color w:val="auto"/>
          <w:spacing w:val="-7"/>
          <w:kern w:val="0"/>
          <w:sz w:val="24"/>
          <w:szCs w:val="24"/>
          <w:highlight w:val="none"/>
          <w:lang w:val="en-US" w:eastAsia="zh-CN" w:bidi="ar"/>
        </w:rPr>
        <w:t>日不能交货的，应向甲方支付合同总价百分之</w:t>
      </w:r>
      <w:r>
        <w:rPr>
          <w:rFonts w:hint="eastAsia" w:ascii="宋体" w:hAnsi="宋体" w:eastAsia="宋体" w:cs="宋体"/>
          <w:snapToGrid/>
          <w:color w:val="auto"/>
          <w:spacing w:val="-7"/>
          <w:kern w:val="0"/>
          <w:sz w:val="24"/>
          <w:szCs w:val="24"/>
          <w:highlight w:val="none"/>
          <w:u w:val="single"/>
          <w:lang w:val="en-US" w:eastAsia="zh-CN" w:bidi="ar"/>
        </w:rPr>
        <w:t xml:space="preserve">          </w:t>
      </w:r>
      <w:r>
        <w:rPr>
          <w:rFonts w:hint="eastAsia" w:ascii="宋体" w:hAnsi="宋体" w:eastAsia="宋体" w:cs="宋体"/>
          <w:snapToGrid/>
          <w:color w:val="auto"/>
          <w:spacing w:val="-2"/>
          <w:kern w:val="0"/>
          <w:sz w:val="24"/>
          <w:szCs w:val="24"/>
          <w:highlight w:val="none"/>
          <w:lang w:val="en-US" w:eastAsia="zh-CN" w:bidi="ar"/>
        </w:rPr>
        <w:t>的违约金，并且不再退还履约保证金。</w:t>
      </w:r>
    </w:p>
    <w:p w14:paraId="6E91C2EF">
      <w:pPr>
        <w:keepNext w:val="0"/>
        <w:keepLines w:val="0"/>
        <w:widowControl/>
        <w:suppressLineNumbers w:val="0"/>
        <w:kinsoku w:val="0"/>
        <w:autoSpaceDE w:val="0"/>
        <w:autoSpaceDN w:val="0"/>
        <w:adjustRightInd w:val="0"/>
        <w:snapToGrid w:val="0"/>
        <w:spacing w:before="79" w:beforeAutospacing="0" w:after="0" w:afterAutospacing="0" w:line="360" w:lineRule="auto"/>
        <w:ind w:left="47" w:right="0" w:firstLine="480" w:firstLineChars="200"/>
        <w:jc w:val="left"/>
        <w:textAlignment w:val="baseline"/>
        <w:rPr>
          <w:rFonts w:hint="eastAsia" w:ascii="宋体" w:hAnsi="宋体" w:eastAsia="宋体" w:cs="宋体"/>
          <w:snapToGrid/>
          <w:color w:val="auto"/>
          <w:spacing w:val="-6"/>
          <w:kern w:val="0"/>
          <w:sz w:val="24"/>
          <w:szCs w:val="24"/>
          <w:highlight w:val="none"/>
          <w:lang w:val="en-US" w:eastAsia="zh-CN" w:bidi="ar"/>
        </w:rPr>
      </w:pPr>
      <w:r>
        <w:rPr>
          <w:rFonts w:hint="eastAsia" w:ascii="宋体" w:hAnsi="宋体" w:eastAsia="宋体" w:cs="宋体"/>
          <w:snapToGrid/>
          <w:color w:val="auto"/>
          <w:kern w:val="0"/>
          <w:sz w:val="24"/>
          <w:szCs w:val="24"/>
          <w:highlight w:val="none"/>
          <w:lang w:val="en-US" w:eastAsia="zh-CN" w:bidi="ar"/>
        </w:rPr>
        <w:t>2.甲方逾期支付货款的，自逾期之日起，向</w:t>
      </w:r>
      <w:r>
        <w:rPr>
          <w:rFonts w:hint="eastAsia" w:ascii="宋体" w:hAnsi="宋体" w:eastAsia="宋体" w:cs="宋体"/>
          <w:snapToGrid/>
          <w:color w:val="auto"/>
          <w:spacing w:val="-1"/>
          <w:kern w:val="0"/>
          <w:sz w:val="24"/>
          <w:szCs w:val="24"/>
          <w:highlight w:val="none"/>
          <w:lang w:val="en-US" w:eastAsia="zh-CN" w:bidi="ar"/>
        </w:rPr>
        <w:t>签证方每日偿付合同总价万分之</w:t>
      </w:r>
      <w:r>
        <w:rPr>
          <w:rFonts w:hint="eastAsia" w:ascii="宋体" w:hAnsi="宋体" w:eastAsia="宋体" w:cs="宋体"/>
          <w:snapToGrid/>
          <w:color w:val="auto"/>
          <w:kern w:val="0"/>
          <w:sz w:val="24"/>
          <w:szCs w:val="24"/>
          <w:highlight w:val="none"/>
          <w:u w:val="single"/>
          <w:lang w:val="en-US" w:eastAsia="zh-CN" w:bidi="ar"/>
        </w:rPr>
        <w:tab/>
      </w:r>
      <w:r>
        <w:rPr>
          <w:rFonts w:hint="eastAsia" w:ascii="宋体" w:hAnsi="宋体" w:eastAsia="宋体" w:cs="宋体"/>
          <w:snapToGrid/>
          <w:color w:val="auto"/>
          <w:spacing w:val="-89"/>
          <w:kern w:val="0"/>
          <w:sz w:val="24"/>
          <w:szCs w:val="24"/>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的滞纳金；甲方无正当理由拒付货款的，应向签证方偿付合同总价百分之</w:t>
      </w:r>
      <w:r>
        <w:rPr>
          <w:rFonts w:hint="eastAsia" w:ascii="宋体" w:hAnsi="宋体" w:eastAsia="宋体" w:cs="宋体"/>
          <w:snapToGrid/>
          <w:color w:val="auto"/>
          <w:kern w:val="0"/>
          <w:sz w:val="24"/>
          <w:szCs w:val="24"/>
          <w:highlight w:val="none"/>
          <w:u w:val="single"/>
          <w:lang w:val="en-US" w:eastAsia="zh-CN" w:bidi="ar"/>
        </w:rPr>
        <w:tab/>
      </w:r>
      <w:r>
        <w:rPr>
          <w:rFonts w:hint="eastAsia" w:ascii="宋体" w:hAnsi="宋体" w:eastAsia="宋体" w:cs="宋体"/>
          <w:snapToGrid/>
          <w:color w:val="auto"/>
          <w:spacing w:val="-91"/>
          <w:kern w:val="0"/>
          <w:sz w:val="24"/>
          <w:szCs w:val="24"/>
          <w:highlight w:val="none"/>
          <w:lang w:val="en-US" w:eastAsia="zh-CN" w:bidi="ar"/>
        </w:rPr>
        <w:t xml:space="preserve"> </w:t>
      </w:r>
      <w:r>
        <w:rPr>
          <w:rFonts w:hint="eastAsia" w:ascii="宋体" w:hAnsi="宋体" w:eastAsia="宋体" w:cs="宋体"/>
          <w:snapToGrid/>
          <w:color w:val="auto"/>
          <w:spacing w:val="-6"/>
          <w:kern w:val="0"/>
          <w:sz w:val="24"/>
          <w:szCs w:val="24"/>
          <w:highlight w:val="none"/>
          <w:lang w:val="en-US" w:eastAsia="zh-CN" w:bidi="ar"/>
        </w:rPr>
        <w:t>的违约金</w:t>
      </w:r>
      <w:r>
        <w:rPr>
          <w:rFonts w:hint="eastAsia" w:ascii="宋体" w:hAnsi="宋体" w:cs="宋体"/>
          <w:snapToGrid/>
          <w:color w:val="auto"/>
          <w:spacing w:val="-6"/>
          <w:kern w:val="0"/>
          <w:sz w:val="24"/>
          <w:szCs w:val="24"/>
          <w:highlight w:val="none"/>
          <w:lang w:val="en-US" w:eastAsia="zh-CN" w:bidi="ar"/>
        </w:rPr>
        <w:t>。</w:t>
      </w:r>
    </w:p>
    <w:p w14:paraId="698ACCEF">
      <w:pPr>
        <w:keepNext w:val="0"/>
        <w:keepLines w:val="0"/>
        <w:widowControl/>
        <w:suppressLineNumbers w:val="0"/>
        <w:kinsoku w:val="0"/>
        <w:autoSpaceDE w:val="0"/>
        <w:autoSpaceDN w:val="0"/>
        <w:adjustRightInd w:val="0"/>
        <w:snapToGrid w:val="0"/>
        <w:spacing w:before="79" w:beforeAutospacing="0" w:after="0" w:afterAutospacing="0" w:line="360" w:lineRule="auto"/>
        <w:ind w:left="47" w:right="0" w:firstLine="476"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1"/>
          <w:kern w:val="0"/>
          <w:sz w:val="24"/>
          <w:szCs w:val="24"/>
          <w:highlight w:val="none"/>
          <w:lang w:val="en-US" w:eastAsia="zh-CN" w:bidi="ar"/>
        </w:rPr>
        <w:t>3.乙方在商品交付验收合格之日起</w:t>
      </w:r>
      <w:r>
        <w:rPr>
          <w:rFonts w:hint="eastAsia" w:ascii="宋体" w:hAnsi="宋体" w:eastAsia="宋体" w:cs="宋体"/>
          <w:snapToGrid/>
          <w:color w:val="auto"/>
          <w:spacing w:val="-1"/>
          <w:kern w:val="0"/>
          <w:sz w:val="24"/>
          <w:szCs w:val="24"/>
          <w:highlight w:val="none"/>
          <w:u w:val="single"/>
          <w:lang w:val="en-US" w:eastAsia="zh-CN" w:bidi="ar"/>
        </w:rPr>
        <w:t xml:space="preserve">         </w:t>
      </w:r>
      <w:r>
        <w:rPr>
          <w:rFonts w:hint="eastAsia" w:ascii="宋体" w:hAnsi="宋体" w:eastAsia="宋体" w:cs="宋体"/>
          <w:snapToGrid/>
          <w:color w:val="auto"/>
          <w:spacing w:val="-95"/>
          <w:kern w:val="0"/>
          <w:sz w:val="24"/>
          <w:szCs w:val="24"/>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年内违反本合同有关质量保证及售后</w:t>
      </w:r>
      <w:r>
        <w:rPr>
          <w:rFonts w:hint="eastAsia" w:ascii="宋体" w:hAnsi="宋体" w:eastAsia="宋体" w:cs="宋体"/>
          <w:snapToGrid/>
          <w:color w:val="auto"/>
          <w:kern w:val="0"/>
          <w:sz w:val="24"/>
          <w:szCs w:val="24"/>
          <w:highlight w:val="none"/>
          <w:lang w:val="en-US" w:eastAsia="zh-CN" w:bidi="ar"/>
        </w:rPr>
        <w:t xml:space="preserve"> 服务的，将予以没收质量保证金，损失赔偿不足部分，按本</w:t>
      </w:r>
      <w:r>
        <w:rPr>
          <w:rFonts w:hint="eastAsia" w:ascii="宋体" w:hAnsi="宋体" w:eastAsia="宋体" w:cs="宋体"/>
          <w:snapToGrid/>
          <w:color w:val="auto"/>
          <w:spacing w:val="-1"/>
          <w:kern w:val="0"/>
          <w:sz w:val="24"/>
          <w:szCs w:val="24"/>
          <w:highlight w:val="none"/>
          <w:lang w:val="en-US" w:eastAsia="zh-CN" w:bidi="ar"/>
        </w:rPr>
        <w:t>合同第九条处理；在商品</w:t>
      </w:r>
    </w:p>
    <w:p w14:paraId="51D219B7">
      <w:pPr>
        <w:keepNext w:val="0"/>
        <w:keepLines w:val="0"/>
        <w:widowControl/>
        <w:suppressLineNumbers w:val="0"/>
        <w:kinsoku w:val="0"/>
        <w:autoSpaceDE w:val="0"/>
        <w:autoSpaceDN w:val="0"/>
        <w:adjustRightInd w:val="0"/>
        <w:snapToGrid w:val="0"/>
        <w:spacing w:before="0" w:beforeAutospacing="0" w:after="0" w:afterAutospacing="0" w:line="360" w:lineRule="auto"/>
        <w:ind w:left="51"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1"/>
          <w:kern w:val="0"/>
          <w:sz w:val="24"/>
          <w:szCs w:val="24"/>
          <w:highlight w:val="none"/>
          <w:lang w:val="en-US" w:eastAsia="zh-CN" w:bidi="ar"/>
        </w:rPr>
        <w:t>交付验收合格之日起</w:t>
      </w:r>
      <w:r>
        <w:rPr>
          <w:rFonts w:hint="eastAsia" w:ascii="宋体" w:hAnsi="宋体" w:eastAsia="宋体" w:cs="宋体"/>
          <w:snapToGrid/>
          <w:color w:val="auto"/>
          <w:spacing w:val="-1"/>
          <w:kern w:val="0"/>
          <w:sz w:val="24"/>
          <w:szCs w:val="24"/>
          <w:highlight w:val="none"/>
          <w:u w:val="single"/>
          <w:lang w:val="en-US" w:eastAsia="zh-CN" w:bidi="ar"/>
        </w:rPr>
        <w:t xml:space="preserve">         </w:t>
      </w:r>
      <w:r>
        <w:rPr>
          <w:rFonts w:hint="eastAsia" w:ascii="宋体" w:hAnsi="宋体" w:eastAsia="宋体" w:cs="宋体"/>
          <w:snapToGrid/>
          <w:color w:val="auto"/>
          <w:spacing w:val="-97"/>
          <w:kern w:val="0"/>
          <w:sz w:val="24"/>
          <w:szCs w:val="24"/>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个月后发生质量问题的，按本合同第九条处理。</w:t>
      </w:r>
    </w:p>
    <w:p w14:paraId="49B1BDAC">
      <w:pPr>
        <w:keepNext w:val="0"/>
        <w:keepLines w:val="0"/>
        <w:widowControl/>
        <w:suppressLineNumbers w:val="0"/>
        <w:kinsoku w:val="0"/>
        <w:autoSpaceDE w:val="0"/>
        <w:autoSpaceDN w:val="0"/>
        <w:adjustRightInd w:val="0"/>
        <w:snapToGrid w:val="0"/>
        <w:spacing w:before="78" w:beforeAutospacing="0" w:after="0" w:afterAutospacing="0" w:line="360" w:lineRule="auto"/>
        <w:ind w:left="47"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第九条  争议的解决</w:t>
      </w:r>
    </w:p>
    <w:p w14:paraId="0FD65D4D">
      <w:pPr>
        <w:keepNext w:val="0"/>
        <w:keepLines w:val="0"/>
        <w:widowControl/>
        <w:suppressLineNumbers w:val="0"/>
        <w:kinsoku w:val="0"/>
        <w:autoSpaceDE w:val="0"/>
        <w:autoSpaceDN w:val="0"/>
        <w:adjustRightInd w:val="0"/>
        <w:snapToGrid w:val="0"/>
        <w:spacing w:before="78" w:beforeAutospacing="0" w:after="0" w:afterAutospacing="0" w:line="360" w:lineRule="auto"/>
        <w:ind w:left="51" w:right="5" w:firstLine="466"/>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4"/>
          <w:kern w:val="0"/>
          <w:sz w:val="24"/>
          <w:szCs w:val="24"/>
          <w:highlight w:val="none"/>
          <w:lang w:val="en-US" w:eastAsia="zh-CN" w:bidi="ar"/>
        </w:rPr>
        <w:t>本合同为政府采购之合同，本合同中所指签证方享有与甲方同等权力，在发生所供</w:t>
      </w:r>
      <w:r>
        <w:rPr>
          <w:rFonts w:hint="eastAsia" w:ascii="宋体" w:hAnsi="宋体" w:eastAsia="宋体" w:cs="宋体"/>
          <w:snapToGrid/>
          <w:color w:val="auto"/>
          <w:spacing w:val="15"/>
          <w:kern w:val="0"/>
          <w:sz w:val="24"/>
          <w:szCs w:val="24"/>
          <w:highlight w:val="none"/>
          <w:lang w:val="en-US" w:eastAsia="zh-CN" w:bidi="ar"/>
        </w:rPr>
        <w:t xml:space="preserve"> </w:t>
      </w:r>
      <w:r>
        <w:rPr>
          <w:rFonts w:hint="eastAsia" w:ascii="宋体" w:hAnsi="宋体" w:eastAsia="宋体" w:cs="宋体"/>
          <w:snapToGrid/>
          <w:color w:val="auto"/>
          <w:kern w:val="0"/>
          <w:sz w:val="24"/>
          <w:szCs w:val="24"/>
          <w:highlight w:val="none"/>
          <w:lang w:val="en-US" w:eastAsia="zh-CN" w:bidi="ar"/>
        </w:rPr>
        <w:t>商品的质量、售后服务等问题时，甲方有权直接</w:t>
      </w:r>
      <w:r>
        <w:rPr>
          <w:rFonts w:hint="eastAsia" w:ascii="宋体" w:hAnsi="宋体" w:eastAsia="宋体" w:cs="宋体"/>
          <w:snapToGrid/>
          <w:color w:val="auto"/>
          <w:spacing w:val="-1"/>
          <w:kern w:val="0"/>
          <w:sz w:val="24"/>
          <w:szCs w:val="24"/>
          <w:highlight w:val="none"/>
          <w:lang w:val="en-US" w:eastAsia="zh-CN" w:bidi="ar"/>
        </w:rPr>
        <w:t>向乙方索赔，签订必要的书面处理协</w:t>
      </w:r>
    </w:p>
    <w:p w14:paraId="625BD10D">
      <w:pPr>
        <w:keepNext w:val="0"/>
        <w:keepLines w:val="0"/>
        <w:widowControl/>
        <w:suppressLineNumbers w:val="0"/>
        <w:kinsoku w:val="0"/>
        <w:autoSpaceDE w:val="0"/>
        <w:autoSpaceDN w:val="0"/>
        <w:adjustRightInd w:val="0"/>
        <w:snapToGrid w:val="0"/>
        <w:spacing w:before="0" w:beforeAutospacing="0" w:after="0" w:afterAutospacing="0" w:line="360" w:lineRule="auto"/>
        <w:ind w:left="49"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4"/>
          <w:szCs w:val="24"/>
          <w:highlight w:val="none"/>
          <w:lang w:val="en-US" w:eastAsia="zh-CN" w:bidi="ar"/>
        </w:rPr>
        <w:t>议。如协商不成，任何一方有权在合同签约地</w:t>
      </w:r>
      <w:r>
        <w:rPr>
          <w:rFonts w:hint="eastAsia" w:ascii="宋体" w:hAnsi="宋体" w:eastAsia="宋体" w:cs="宋体"/>
          <w:snapToGrid/>
          <w:color w:val="auto"/>
          <w:spacing w:val="-1"/>
          <w:kern w:val="0"/>
          <w:sz w:val="24"/>
          <w:szCs w:val="24"/>
          <w:highlight w:val="none"/>
          <w:lang w:val="en-US" w:eastAsia="zh-CN" w:bidi="ar"/>
        </w:rPr>
        <w:t>选择仲裁或诉讼的途径解决。</w:t>
      </w:r>
    </w:p>
    <w:p w14:paraId="6447DBBF">
      <w:pPr>
        <w:keepNext w:val="0"/>
        <w:keepLines w:val="0"/>
        <w:widowControl/>
        <w:suppressLineNumbers w:val="0"/>
        <w:kinsoku w:val="0"/>
        <w:autoSpaceDE w:val="0"/>
        <w:autoSpaceDN w:val="0"/>
        <w:adjustRightInd w:val="0"/>
        <w:snapToGrid w:val="0"/>
        <w:spacing w:before="78" w:beforeAutospacing="0" w:after="0" w:afterAutospacing="0" w:line="360" w:lineRule="auto"/>
        <w:ind w:left="47"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第十条  合同的生效</w:t>
      </w:r>
    </w:p>
    <w:p w14:paraId="4B8E2329">
      <w:pPr>
        <w:keepNext w:val="0"/>
        <w:keepLines w:val="0"/>
        <w:widowControl/>
        <w:suppressLineNumbers w:val="0"/>
        <w:kinsoku w:val="0"/>
        <w:autoSpaceDE w:val="0"/>
        <w:autoSpaceDN w:val="0"/>
        <w:adjustRightInd w:val="0"/>
        <w:snapToGrid w:val="0"/>
        <w:spacing w:before="78" w:beforeAutospacing="0" w:after="0" w:afterAutospacing="0" w:line="360" w:lineRule="auto"/>
        <w:ind w:left="544" w:right="0"/>
        <w:jc w:val="left"/>
        <w:textAlignment w:val="baseline"/>
        <w:rPr>
          <w:rFonts w:hint="eastAsia" w:ascii="宋体" w:hAnsi="宋体" w:eastAsia="宋体" w:cs="宋体"/>
          <w:snapToGrid/>
          <w:color w:val="auto"/>
          <w:spacing w:val="-1"/>
          <w:kern w:val="0"/>
          <w:sz w:val="24"/>
          <w:szCs w:val="24"/>
          <w:highlight w:val="none"/>
          <w:lang w:val="en-US" w:eastAsia="zh-CN" w:bidi="ar"/>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1.本合同经甲方、乙方法定代表人或其委托人签字并加盖叁方公章后生效。</w:t>
      </w:r>
    </w:p>
    <w:p w14:paraId="75C1A6A4">
      <w:pPr>
        <w:keepNext w:val="0"/>
        <w:keepLines w:val="0"/>
        <w:widowControl/>
        <w:suppressLineNumbers w:val="0"/>
        <w:kinsoku w:val="0"/>
        <w:autoSpaceDE w:val="0"/>
        <w:autoSpaceDN w:val="0"/>
        <w:adjustRightInd w:val="0"/>
        <w:snapToGrid w:val="0"/>
        <w:spacing w:before="78" w:beforeAutospacing="0" w:after="0" w:afterAutospacing="0" w:line="360" w:lineRule="auto"/>
        <w:ind w:left="544" w:right="0" w:firstLine="238" w:firstLineChars="100"/>
        <w:jc w:val="left"/>
        <w:textAlignment w:val="baseline"/>
        <w:rPr>
          <w:rFonts w:hint="eastAsia" w:ascii="宋体" w:hAnsi="宋体" w:eastAsia="宋体" w:cs="宋体"/>
          <w:snapToGrid/>
          <w:color w:val="auto"/>
          <w:spacing w:val="-1"/>
          <w:kern w:val="0"/>
          <w:sz w:val="24"/>
          <w:szCs w:val="24"/>
          <w:highlight w:val="none"/>
          <w:lang w:val="en-US" w:eastAsia="zh-CN" w:bidi="ar"/>
        </w:rPr>
      </w:pPr>
      <w:r>
        <w:rPr>
          <w:rFonts w:hint="eastAsia" w:ascii="宋体" w:hAnsi="宋体" w:eastAsia="宋体" w:cs="宋体"/>
          <w:snapToGrid/>
          <w:color w:val="auto"/>
          <w:spacing w:val="-1"/>
          <w:kern w:val="0"/>
          <w:sz w:val="24"/>
          <w:szCs w:val="24"/>
          <w:highlight w:val="none"/>
          <w:lang w:val="en-US" w:eastAsia="zh-CN" w:bidi="ar"/>
        </w:rPr>
        <w:t>2.本合同一式</w:t>
      </w:r>
      <w:r>
        <w:rPr>
          <w:rFonts w:hint="eastAsia" w:ascii="宋体" w:hAnsi="宋体" w:eastAsia="宋体" w:cs="宋体"/>
          <w:snapToGrid/>
          <w:color w:val="auto"/>
          <w:spacing w:val="-1"/>
          <w:kern w:val="0"/>
          <w:sz w:val="24"/>
          <w:szCs w:val="24"/>
          <w:highlight w:val="none"/>
          <w:u w:val="single"/>
          <w:lang w:val="en-US" w:eastAsia="zh-CN" w:bidi="ar"/>
        </w:rPr>
        <w:t xml:space="preserve">         </w:t>
      </w:r>
      <w:r>
        <w:rPr>
          <w:rFonts w:hint="eastAsia" w:ascii="宋体" w:hAnsi="宋体" w:eastAsia="宋体" w:cs="宋体"/>
          <w:snapToGrid/>
          <w:color w:val="auto"/>
          <w:spacing w:val="-108"/>
          <w:kern w:val="0"/>
          <w:sz w:val="24"/>
          <w:szCs w:val="24"/>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份，甲方</w:t>
      </w:r>
      <w:r>
        <w:rPr>
          <w:rFonts w:hint="eastAsia" w:ascii="宋体" w:hAnsi="宋体" w:eastAsia="宋体" w:cs="宋体"/>
          <w:snapToGrid/>
          <w:color w:val="auto"/>
          <w:spacing w:val="-1"/>
          <w:kern w:val="0"/>
          <w:sz w:val="24"/>
          <w:szCs w:val="24"/>
          <w:highlight w:val="none"/>
          <w:u w:val="single"/>
          <w:lang w:val="en-US" w:eastAsia="zh-CN" w:bidi="ar"/>
        </w:rPr>
        <w:t xml:space="preserve">         </w:t>
      </w:r>
      <w:r>
        <w:rPr>
          <w:rFonts w:hint="eastAsia" w:ascii="宋体" w:hAnsi="宋体" w:eastAsia="宋体" w:cs="宋体"/>
          <w:snapToGrid/>
          <w:color w:val="auto"/>
          <w:spacing w:val="-111"/>
          <w:kern w:val="0"/>
          <w:sz w:val="24"/>
          <w:szCs w:val="24"/>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份，乙方</w:t>
      </w:r>
      <w:r>
        <w:rPr>
          <w:rFonts w:hint="eastAsia" w:ascii="宋体" w:hAnsi="宋体" w:eastAsia="宋体" w:cs="宋体"/>
          <w:snapToGrid/>
          <w:color w:val="auto"/>
          <w:spacing w:val="-1"/>
          <w:kern w:val="0"/>
          <w:sz w:val="24"/>
          <w:szCs w:val="24"/>
          <w:highlight w:val="none"/>
          <w:u w:val="single"/>
          <w:lang w:val="en-US" w:eastAsia="zh-CN" w:bidi="ar"/>
        </w:rPr>
        <w:t xml:space="preserve">         </w:t>
      </w:r>
      <w:r>
        <w:rPr>
          <w:rFonts w:hint="eastAsia" w:ascii="宋体" w:hAnsi="宋体" w:eastAsia="宋体" w:cs="宋体"/>
          <w:snapToGrid/>
          <w:color w:val="auto"/>
          <w:spacing w:val="-111"/>
          <w:kern w:val="0"/>
          <w:sz w:val="24"/>
          <w:szCs w:val="24"/>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份。</w:t>
      </w:r>
    </w:p>
    <w:p w14:paraId="7A5034C9">
      <w:pPr>
        <w:keepNext w:val="0"/>
        <w:keepLines w:val="0"/>
        <w:widowControl/>
        <w:suppressLineNumbers w:val="0"/>
        <w:kinsoku w:val="0"/>
        <w:autoSpaceDE w:val="0"/>
        <w:autoSpaceDN w:val="0"/>
        <w:adjustRightInd w:val="0"/>
        <w:snapToGrid w:val="0"/>
        <w:spacing w:before="78" w:beforeAutospacing="0" w:after="0" w:afterAutospacing="0" w:line="360" w:lineRule="auto"/>
        <w:ind w:left="544" w:right="0"/>
        <w:jc w:val="left"/>
        <w:textAlignment w:val="baseline"/>
        <w:rPr>
          <w:rFonts w:hint="eastAsia" w:ascii="宋体" w:hAnsi="宋体" w:eastAsia="宋体" w:cs="宋体"/>
          <w:snapToGrid/>
          <w:color w:val="auto"/>
          <w:spacing w:val="-1"/>
          <w:kern w:val="0"/>
          <w:sz w:val="24"/>
          <w:szCs w:val="24"/>
          <w:highlight w:val="none"/>
          <w:lang w:val="en-US" w:eastAsia="zh-CN" w:bidi="ar"/>
        </w:rPr>
      </w:pPr>
      <w:r>
        <w:rPr>
          <w:rFonts w:hint="eastAsia" w:ascii="宋体" w:hAnsi="宋体" w:eastAsia="宋体" w:cs="宋体"/>
          <w:snapToGrid/>
          <w:color w:val="auto"/>
          <w:kern w:val="0"/>
          <w:sz w:val="21"/>
          <w:szCs w:val="21"/>
          <w:highlight w:val="none"/>
          <w:lang w:val="en-US" w:eastAsia="zh-CN" w:bidi="ar"/>
        </w:rPr>
        <w:t xml:space="preserve"> </w:t>
      </w:r>
      <w:r>
        <w:rPr>
          <w:rFonts w:hint="eastAsia" w:ascii="宋体" w:hAnsi="宋体" w:cs="宋体"/>
          <w:snapToGrid/>
          <w:color w:val="auto"/>
          <w:kern w:val="0"/>
          <w:sz w:val="21"/>
          <w:szCs w:val="21"/>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3.相关文件、报价单等与本合同具有同等</w:t>
      </w:r>
      <w:r>
        <w:rPr>
          <w:rFonts w:hint="eastAsia" w:ascii="宋体" w:hAnsi="宋体" w:eastAsia="宋体" w:cs="宋体"/>
          <w:snapToGrid/>
          <w:color w:val="auto"/>
          <w:kern w:val="0"/>
          <w:sz w:val="21"/>
          <w:szCs w:val="21"/>
          <w:highlight w:val="none"/>
          <w:lang w:val="en-US" w:eastAsia="zh-CN" w:bidi="ar"/>
        </w:rPr>
        <w:fldChar w:fldCharType="begin"/>
      </w:r>
      <w:r>
        <w:rPr>
          <w:rFonts w:hint="eastAsia" w:ascii="宋体" w:hAnsi="宋体" w:eastAsia="宋体" w:cs="宋体"/>
          <w:snapToGrid/>
          <w:color w:val="auto"/>
          <w:kern w:val="0"/>
          <w:sz w:val="21"/>
          <w:szCs w:val="21"/>
          <w:highlight w:val="none"/>
          <w:lang w:val="en-US" w:eastAsia="zh-CN" w:bidi="ar"/>
        </w:rPr>
        <w:instrText xml:space="preserve"> HYPERLINK "http://www.chinalawedu.com" </w:instrText>
      </w:r>
      <w:r>
        <w:rPr>
          <w:rFonts w:hint="eastAsia" w:ascii="宋体" w:hAnsi="宋体" w:eastAsia="宋体" w:cs="宋体"/>
          <w:snapToGrid/>
          <w:color w:val="auto"/>
          <w:kern w:val="0"/>
          <w:sz w:val="21"/>
          <w:szCs w:val="21"/>
          <w:highlight w:val="none"/>
          <w:lang w:val="en-US" w:eastAsia="zh-CN" w:bidi="ar"/>
        </w:rPr>
        <w:fldChar w:fldCharType="separate"/>
      </w:r>
      <w:r>
        <w:rPr>
          <w:rStyle w:val="42"/>
          <w:rFonts w:hint="eastAsia" w:ascii="宋体" w:hAnsi="宋体" w:eastAsia="宋体" w:cs="宋体"/>
          <w:color w:val="auto"/>
          <w:spacing w:val="-1"/>
          <w:kern w:val="0"/>
          <w:sz w:val="24"/>
          <w:szCs w:val="24"/>
          <w:highlight w:val="none"/>
        </w:rPr>
        <w:t>法律</w:t>
      </w:r>
      <w:r>
        <w:rPr>
          <w:rFonts w:hint="eastAsia" w:ascii="宋体" w:hAnsi="宋体" w:eastAsia="宋体" w:cs="宋体"/>
          <w:snapToGrid/>
          <w:color w:val="auto"/>
          <w:kern w:val="0"/>
          <w:sz w:val="21"/>
          <w:szCs w:val="21"/>
          <w:highlight w:val="none"/>
          <w:lang w:val="en-US" w:eastAsia="zh-CN" w:bidi="ar"/>
        </w:rPr>
        <w:fldChar w:fldCharType="end"/>
      </w:r>
      <w:r>
        <w:rPr>
          <w:rFonts w:hint="eastAsia" w:ascii="宋体" w:hAnsi="宋体" w:eastAsia="宋体" w:cs="宋体"/>
          <w:snapToGrid/>
          <w:color w:val="auto"/>
          <w:spacing w:val="-1"/>
          <w:kern w:val="0"/>
          <w:sz w:val="24"/>
          <w:szCs w:val="24"/>
          <w:highlight w:val="none"/>
          <w:lang w:val="en-US" w:eastAsia="zh-CN" w:bidi="ar"/>
        </w:rPr>
        <w:t>效力。</w:t>
      </w:r>
    </w:p>
    <w:p w14:paraId="3A55EFA8">
      <w:pPr>
        <w:pStyle w:val="47"/>
        <w:rPr>
          <w:rFonts w:hint="eastAsia" w:ascii="宋体" w:hAnsi="宋体" w:eastAsia="宋体" w:cs="宋体"/>
          <w:snapToGrid/>
          <w:color w:val="auto"/>
          <w:spacing w:val="-1"/>
          <w:kern w:val="0"/>
          <w:sz w:val="24"/>
          <w:szCs w:val="24"/>
          <w:highlight w:val="none"/>
          <w:lang w:val="en-US" w:eastAsia="zh-CN" w:bidi="ar"/>
        </w:rPr>
      </w:pPr>
    </w:p>
    <w:p w14:paraId="25CD711A">
      <w:pPr>
        <w:pStyle w:val="47"/>
        <w:rPr>
          <w:rFonts w:hint="eastAsia" w:ascii="宋体" w:hAnsi="宋体" w:eastAsia="宋体" w:cs="宋体"/>
          <w:snapToGrid/>
          <w:color w:val="auto"/>
          <w:spacing w:val="-1"/>
          <w:kern w:val="0"/>
          <w:sz w:val="24"/>
          <w:szCs w:val="24"/>
          <w:highlight w:val="none"/>
          <w:lang w:val="en-US" w:eastAsia="zh-CN" w:bidi="ar"/>
        </w:rPr>
      </w:pPr>
    </w:p>
    <w:p w14:paraId="298018F5">
      <w:pPr>
        <w:spacing w:line="360" w:lineRule="auto"/>
        <w:rPr>
          <w:rFonts w:hint="eastAsia" w:ascii="宋体" w:hAnsi="宋体" w:eastAsia="宋体" w:cs="宋体"/>
          <w:color w:val="auto"/>
          <w:kern w:val="0"/>
          <w:sz w:val="24"/>
          <w:szCs w:val="24"/>
          <w:highlight w:val="none"/>
        </w:rPr>
        <w:sectPr>
          <w:footerReference r:id="rId10" w:type="default"/>
          <w:type w:val="continuous"/>
          <w:pgSz w:w="11906" w:h="16839"/>
          <w:pgMar w:top="1113" w:right="1450" w:bottom="1140" w:left="1419" w:header="878" w:footer="745"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r>
        <w:rPr>
          <w:rFonts w:hint="eastAsia" w:ascii="Arial" w:hAnsi="Arial" w:eastAsia="宋体" w:cs="Arial"/>
          <w:snapToGrid/>
          <w:color w:val="auto"/>
          <w:kern w:val="0"/>
          <w:sz w:val="21"/>
          <w:szCs w:val="21"/>
          <w:highlight w:val="none"/>
          <w:lang w:val="en-US" w:eastAsia="zh-CN" w:bidi="ar"/>
        </w:rPr>
        <w:t xml:space="preserve"> </w:t>
      </w:r>
      <w:r>
        <w:rPr>
          <w:rFonts w:hint="eastAsia" w:ascii="宋体" w:hAnsi="宋体" w:eastAsia="宋体" w:cs="宋体"/>
          <w:color w:val="auto"/>
          <w:kern w:val="0"/>
          <w:sz w:val="24"/>
          <w:szCs w:val="24"/>
          <w:highlight w:val="none"/>
        </w:rPr>
        <w:object>
          <v:shape id="_x0000_i1025" o:spt="75" type="#_x0000_t75" style="height:237.95pt;width:445.85pt;" o:ole="t" filled="f" o:preferrelative="t" stroked="f" coordsize="21600,21600">
            <v:path/>
            <v:fill on="f" focussize="0,0"/>
            <v:stroke on="f"/>
            <v:imagedata r:id="rId14" o:title=""/>
            <o:lock v:ext="edit" aspectratio="f"/>
            <w10:wrap type="none"/>
            <w10:anchorlock/>
          </v:shape>
          <o:OLEObject Type="Embed" ProgID="Word.Document.8" ShapeID="_x0000_i1025" DrawAspect="Content" ObjectID="_1468075725" r:id="rId13">
            <o:LockedField>false</o:LockedField>
          </o:OLEObject>
        </w:object>
      </w:r>
    </w:p>
    <w:p w14:paraId="7F1B3583">
      <w:pPr>
        <w:pStyle w:val="4"/>
        <w:numPr>
          <w:ilvl w:val="0"/>
          <w:numId w:val="0"/>
        </w:numPr>
        <w:bidi w:val="0"/>
        <w:ind w:left="432" w:leftChars="0" w:hanging="432" w:firstLineChars="0"/>
        <w:jc w:val="center"/>
        <w:rPr>
          <w:rFonts w:hint="eastAsia" w:ascii="宋体" w:hAnsi="宋体" w:eastAsia="宋体" w:cs="宋体"/>
          <w:color w:val="auto"/>
          <w:sz w:val="36"/>
          <w:szCs w:val="36"/>
          <w:highlight w:val="none"/>
          <w:lang w:val="en-US" w:eastAsia="zh-CN"/>
        </w:rPr>
      </w:pPr>
      <w:bookmarkStart w:id="117" w:name="bookmark5"/>
      <w:bookmarkEnd w:id="117"/>
      <w:bookmarkStart w:id="118" w:name="_Toc31999"/>
      <w:r>
        <w:rPr>
          <w:rFonts w:hint="eastAsia" w:ascii="宋体" w:hAnsi="宋体" w:eastAsia="宋体" w:cs="宋体"/>
          <w:b/>
          <w:color w:val="auto"/>
          <w:kern w:val="0"/>
          <w:sz w:val="36"/>
          <w:szCs w:val="36"/>
          <w:highlight w:val="none"/>
          <w:lang w:val="en-US" w:eastAsia="zh-CN" w:bidi="ar-SA"/>
        </w:rPr>
        <w:t>第五章</w:t>
      </w:r>
      <w:r>
        <w:rPr>
          <w:rFonts w:hint="eastAsia" w:ascii="宋体" w:hAnsi="宋体" w:eastAsia="宋体" w:cs="宋体"/>
          <w:color w:val="auto"/>
          <w:sz w:val="36"/>
          <w:szCs w:val="36"/>
          <w:highlight w:val="none"/>
          <w:lang w:val="en-US" w:eastAsia="zh-CN"/>
        </w:rPr>
        <w:t xml:space="preserve"> 采购需求</w:t>
      </w:r>
      <w:bookmarkEnd w:id="118"/>
    </w:p>
    <w:p w14:paraId="6CD63932">
      <w:pPr>
        <w:numPr>
          <w:ilvl w:val="0"/>
          <w:numId w:val="0"/>
        </w:numPr>
        <w:rPr>
          <w:rFonts w:hint="eastAsia"/>
          <w:color w:val="auto"/>
          <w:highlight w:val="none"/>
          <w:lang w:val="en-US" w:eastAsia="zh-CN"/>
        </w:rPr>
      </w:pPr>
    </w:p>
    <w:p w14:paraId="280875A9">
      <w:pPr>
        <w:keepNext w:val="0"/>
        <w:keepLines w:val="0"/>
        <w:widowControl/>
        <w:suppressLineNumbers w:val="0"/>
        <w:kinsoku w:val="0"/>
        <w:autoSpaceDE w:val="0"/>
        <w:autoSpaceDN w:val="0"/>
        <w:adjustRightInd w:val="0"/>
        <w:snapToGrid w:val="0"/>
        <w:spacing w:before="315" w:beforeAutospacing="0" w:after="0" w:afterAutospacing="0" w:line="360" w:lineRule="auto"/>
        <w:ind w:left="51" w:right="0" w:firstLine="476" w:firstLineChars="200"/>
        <w:jc w:val="left"/>
        <w:textAlignment w:val="baseline"/>
        <w:rPr>
          <w:rFonts w:hint="eastAsia" w:ascii="宋体" w:hAnsi="宋体" w:eastAsia="宋体" w:cs="宋体"/>
          <w:snapToGrid/>
          <w:color w:val="auto"/>
          <w:spacing w:val="-1"/>
          <w:kern w:val="0"/>
          <w:sz w:val="24"/>
          <w:szCs w:val="24"/>
          <w:highlight w:val="none"/>
          <w:lang w:val="en-US" w:eastAsia="zh-CN" w:bidi="ar"/>
        </w:rPr>
      </w:pPr>
      <w:r>
        <w:rPr>
          <w:rFonts w:hint="eastAsia" w:ascii="宋体" w:hAnsi="宋体" w:cs="宋体"/>
          <w:snapToGrid/>
          <w:color w:val="auto"/>
          <w:spacing w:val="-1"/>
          <w:kern w:val="0"/>
          <w:sz w:val="24"/>
          <w:szCs w:val="24"/>
          <w:highlight w:val="none"/>
          <w:lang w:val="en-US" w:eastAsia="zh-CN" w:bidi="ar"/>
        </w:rPr>
        <w:t>项目情况：</w:t>
      </w:r>
      <w:r>
        <w:rPr>
          <w:rFonts w:hint="eastAsia" w:ascii="宋体" w:hAnsi="宋体" w:eastAsia="宋体" w:cs="宋体"/>
          <w:snapToGrid/>
          <w:color w:val="auto"/>
          <w:spacing w:val="-1"/>
          <w:kern w:val="0"/>
          <w:sz w:val="24"/>
          <w:szCs w:val="24"/>
          <w:highlight w:val="none"/>
          <w:lang w:val="en-US" w:eastAsia="zh-CN" w:bidi="ar"/>
        </w:rPr>
        <w:t>荥阳市民政局荥阳市殡葬事务服务中心惠民殡葬用品采购项目，主要采购卫生防(腐)护用品及骨灰盒。服务期两年。其中，骨灰盒</w:t>
      </w:r>
      <w:r>
        <w:rPr>
          <w:rFonts w:hint="eastAsia" w:ascii="宋体" w:hAnsi="宋体" w:cs="宋体"/>
          <w:snapToGrid/>
          <w:color w:val="auto"/>
          <w:spacing w:val="-1"/>
          <w:kern w:val="0"/>
          <w:sz w:val="24"/>
          <w:szCs w:val="24"/>
          <w:highlight w:val="none"/>
          <w:lang w:val="en-US" w:eastAsia="zh-CN" w:bidi="ar"/>
        </w:rPr>
        <w:t>约</w:t>
      </w:r>
      <w:r>
        <w:rPr>
          <w:rFonts w:hint="eastAsia" w:ascii="宋体" w:hAnsi="宋体" w:eastAsia="宋体" w:cs="宋体"/>
          <w:snapToGrid/>
          <w:color w:val="auto"/>
          <w:spacing w:val="-1"/>
          <w:kern w:val="0"/>
          <w:sz w:val="24"/>
          <w:szCs w:val="24"/>
          <w:highlight w:val="none"/>
          <w:lang w:val="en-US" w:eastAsia="zh-CN" w:bidi="ar"/>
        </w:rPr>
        <w:t>3500个，卫生防护（腐）用品（殡葬</w:t>
      </w:r>
      <w:r>
        <w:rPr>
          <w:rFonts w:hint="eastAsia" w:ascii="宋体" w:hAnsi="宋体" w:cs="宋体"/>
          <w:snapToGrid/>
          <w:color w:val="auto"/>
          <w:spacing w:val="-1"/>
          <w:kern w:val="0"/>
          <w:sz w:val="24"/>
          <w:szCs w:val="24"/>
          <w:highlight w:val="none"/>
          <w:lang w:val="en-US" w:eastAsia="zh-CN" w:bidi="ar"/>
        </w:rPr>
        <w:t>事务</w:t>
      </w:r>
      <w:r>
        <w:rPr>
          <w:rFonts w:hint="eastAsia" w:ascii="宋体" w:hAnsi="宋体" w:eastAsia="宋体" w:cs="宋体"/>
          <w:snapToGrid/>
          <w:color w:val="auto"/>
          <w:spacing w:val="-1"/>
          <w:kern w:val="0"/>
          <w:sz w:val="24"/>
          <w:szCs w:val="24"/>
          <w:highlight w:val="none"/>
          <w:lang w:val="en-US" w:eastAsia="zh-CN" w:bidi="ar"/>
        </w:rPr>
        <w:t>服务中心专用遗体袋）</w:t>
      </w:r>
      <w:r>
        <w:rPr>
          <w:rFonts w:hint="eastAsia" w:ascii="宋体" w:hAnsi="宋体" w:cs="宋体"/>
          <w:snapToGrid/>
          <w:color w:val="auto"/>
          <w:spacing w:val="-1"/>
          <w:kern w:val="0"/>
          <w:sz w:val="24"/>
          <w:szCs w:val="24"/>
          <w:highlight w:val="none"/>
          <w:lang w:val="en-US" w:eastAsia="zh-CN" w:bidi="ar"/>
        </w:rPr>
        <w:t>约</w:t>
      </w:r>
      <w:r>
        <w:rPr>
          <w:rFonts w:hint="eastAsia" w:ascii="宋体" w:hAnsi="宋体" w:eastAsia="宋体" w:cs="宋体"/>
          <w:snapToGrid/>
          <w:color w:val="auto"/>
          <w:spacing w:val="-1"/>
          <w:kern w:val="0"/>
          <w:sz w:val="24"/>
          <w:szCs w:val="24"/>
          <w:highlight w:val="none"/>
          <w:lang w:val="en-US" w:eastAsia="zh-CN" w:bidi="ar"/>
        </w:rPr>
        <w:t>8000个（本次产品根据实际供货数量据实结算）。</w:t>
      </w:r>
    </w:p>
    <w:p w14:paraId="43234C8F">
      <w:pPr>
        <w:pStyle w:val="47"/>
        <w:jc w:val="center"/>
        <w:rPr>
          <w:rFonts w:hint="eastAsia"/>
          <w:b/>
          <w:bCs/>
          <w:color w:val="auto"/>
          <w:highlight w:val="none"/>
        </w:rPr>
      </w:pPr>
      <w:r>
        <w:rPr>
          <w:rFonts w:hint="eastAsia" w:ascii="宋体" w:hAnsi="宋体" w:cs="宋体"/>
          <w:b/>
          <w:bCs/>
          <w:snapToGrid/>
          <w:color w:val="auto"/>
          <w:spacing w:val="-1"/>
          <w:kern w:val="0"/>
          <w:sz w:val="24"/>
          <w:szCs w:val="24"/>
          <w:highlight w:val="none"/>
          <w:lang w:val="en-US" w:eastAsia="zh-CN" w:bidi="ar"/>
        </w:rPr>
        <w:t>一、技术规格参数</w:t>
      </w:r>
    </w:p>
    <w:p w14:paraId="2F4750D1">
      <w:pPr>
        <w:keepNext w:val="0"/>
        <w:keepLines w:val="0"/>
        <w:widowControl/>
        <w:suppressLineNumbers w:val="0"/>
        <w:kinsoku w:val="0"/>
        <w:autoSpaceDE w:val="0"/>
        <w:autoSpaceDN w:val="0"/>
        <w:adjustRightInd w:val="0"/>
        <w:snapToGrid w:val="0"/>
        <w:spacing w:before="315" w:beforeAutospacing="0" w:after="0" w:afterAutospacing="0" w:line="360" w:lineRule="auto"/>
        <w:ind w:left="0" w:right="0"/>
        <w:jc w:val="left"/>
        <w:textAlignment w:val="baseline"/>
        <w:rPr>
          <w:rFonts w:hint="eastAsia" w:ascii="宋体" w:hAnsi="宋体" w:eastAsia="宋体" w:cs="宋体"/>
          <w:color w:val="auto"/>
          <w:kern w:val="0"/>
          <w:sz w:val="24"/>
          <w:szCs w:val="24"/>
          <w:highlight w:val="none"/>
        </w:rPr>
      </w:pPr>
      <w:r>
        <w:rPr>
          <w:rFonts w:hint="eastAsia" w:ascii="宋体" w:hAnsi="宋体" w:cs="宋体"/>
          <w:snapToGrid/>
          <w:color w:val="auto"/>
          <w:spacing w:val="-1"/>
          <w:kern w:val="0"/>
          <w:sz w:val="24"/>
          <w:szCs w:val="24"/>
          <w:highlight w:val="none"/>
          <w:lang w:val="en-US" w:eastAsia="zh-CN" w:bidi="ar"/>
        </w:rPr>
        <w:t>（一）</w:t>
      </w:r>
      <w:r>
        <w:rPr>
          <w:rFonts w:hint="eastAsia" w:ascii="宋体" w:hAnsi="宋体" w:eastAsia="宋体" w:cs="宋体"/>
          <w:snapToGrid/>
          <w:color w:val="auto"/>
          <w:spacing w:val="-1"/>
          <w:kern w:val="0"/>
          <w:sz w:val="24"/>
          <w:szCs w:val="24"/>
          <w:highlight w:val="none"/>
          <w:lang w:val="en-US" w:eastAsia="zh-CN" w:bidi="ar"/>
        </w:rPr>
        <w:t>卫生防护（腐）用品（殡葬</w:t>
      </w:r>
      <w:r>
        <w:rPr>
          <w:rFonts w:hint="eastAsia" w:ascii="宋体" w:hAnsi="宋体" w:cs="宋体"/>
          <w:snapToGrid/>
          <w:color w:val="auto"/>
          <w:spacing w:val="-1"/>
          <w:kern w:val="0"/>
          <w:sz w:val="24"/>
          <w:szCs w:val="24"/>
          <w:highlight w:val="none"/>
          <w:lang w:val="en-US" w:eastAsia="zh-CN" w:bidi="ar"/>
        </w:rPr>
        <w:t>事务</w:t>
      </w:r>
      <w:r>
        <w:rPr>
          <w:rFonts w:hint="eastAsia" w:ascii="宋体" w:hAnsi="宋体" w:eastAsia="宋体" w:cs="宋体"/>
          <w:snapToGrid/>
          <w:color w:val="auto"/>
          <w:spacing w:val="-1"/>
          <w:kern w:val="0"/>
          <w:sz w:val="24"/>
          <w:szCs w:val="24"/>
          <w:highlight w:val="none"/>
          <w:lang w:val="en-US" w:eastAsia="zh-CN" w:bidi="ar"/>
        </w:rPr>
        <w:t>服务中心专用遗体袋）技术规格：</w:t>
      </w:r>
    </w:p>
    <w:p w14:paraId="6D54BC7C">
      <w:pPr>
        <w:keepNext w:val="0"/>
        <w:keepLines w:val="0"/>
        <w:widowControl/>
        <w:suppressLineNumbers w:val="0"/>
        <w:kinsoku w:val="0"/>
        <w:autoSpaceDE w:val="0"/>
        <w:autoSpaceDN w:val="0"/>
        <w:adjustRightInd w:val="0"/>
        <w:snapToGrid w:val="0"/>
        <w:spacing w:before="26" w:beforeAutospacing="0" w:after="0" w:afterAutospacing="0" w:line="360" w:lineRule="auto"/>
        <w:ind w:left="49" w:right="82" w:firstLine="495"/>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snapToGrid/>
          <w:color w:val="auto"/>
          <w:spacing w:val="1"/>
          <w:kern w:val="0"/>
          <w:sz w:val="24"/>
          <w:szCs w:val="24"/>
          <w:highlight w:val="none"/>
          <w:lang w:val="en-US" w:eastAsia="zh-CN" w:bidi="ar"/>
        </w:rPr>
        <w:t>1、材质：</w:t>
      </w:r>
      <w:r>
        <w:rPr>
          <w:rFonts w:hint="eastAsia" w:ascii="宋体" w:hAnsi="宋体" w:eastAsia="宋体" w:cs="宋体"/>
          <w:snapToGrid/>
          <w:color w:val="auto"/>
          <w:spacing w:val="1"/>
          <w:kern w:val="0"/>
          <w:sz w:val="24"/>
          <w:szCs w:val="24"/>
          <w:highlight w:val="none"/>
          <w:lang w:val="en-US" w:eastAsia="zh-CN" w:bidi="ar"/>
        </w:rPr>
        <w:t>牛津布单面防水涂层，承垂强度高、距离袋底</w:t>
      </w:r>
      <w:r>
        <w:rPr>
          <w:rFonts w:hint="eastAsia" w:ascii="宋体" w:hAnsi="宋体" w:eastAsia="宋体" w:cs="宋体"/>
          <w:snapToGrid/>
          <w:color w:val="auto"/>
          <w:spacing w:val="-1"/>
          <w:kern w:val="0"/>
          <w:sz w:val="24"/>
          <w:szCs w:val="24"/>
          <w:highlight w:val="none"/>
          <w:lang w:val="en-US" w:eastAsia="zh-CN" w:bidi="ar"/>
        </w:rPr>
        <w:t>两端45CM处四个环形</w:t>
      </w:r>
      <w:r>
        <w:rPr>
          <w:rFonts w:hint="eastAsia" w:ascii="宋体" w:hAnsi="宋体" w:eastAsia="宋体" w:cs="宋体"/>
          <w:snapToGrid/>
          <w:color w:val="auto"/>
          <w:spacing w:val="1"/>
          <w:kern w:val="0"/>
          <w:sz w:val="24"/>
          <w:szCs w:val="24"/>
          <w:highlight w:val="none"/>
          <w:lang w:val="en-US" w:eastAsia="zh-CN" w:bidi="ar"/>
        </w:rPr>
        <w:t>尼</w:t>
      </w:r>
      <w:r>
        <w:rPr>
          <w:rFonts w:hint="eastAsia" w:ascii="宋体" w:hAnsi="宋体" w:eastAsia="宋体" w:cs="宋体"/>
          <w:snapToGrid/>
          <w:color w:val="auto"/>
          <w:spacing w:val="-2"/>
          <w:kern w:val="0"/>
          <w:sz w:val="24"/>
          <w:szCs w:val="24"/>
          <w:highlight w:val="none"/>
          <w:lang w:val="en-US" w:eastAsia="zh-CN" w:bidi="ar"/>
        </w:rPr>
        <w:t>龙袋环形拉手不得拼接、前后提手带为整体、承受重量</w:t>
      </w:r>
      <w:r>
        <w:rPr>
          <w:rFonts w:hint="eastAsia" w:ascii="宋体" w:hAnsi="宋体" w:eastAsia="宋体" w:cs="宋体"/>
          <w:snapToGrid/>
          <w:color w:val="auto"/>
          <w:spacing w:val="1"/>
          <w:kern w:val="0"/>
          <w:sz w:val="24"/>
          <w:szCs w:val="24"/>
          <w:highlight w:val="none"/>
          <w:lang w:val="en-US" w:eastAsia="zh-CN" w:bidi="ar"/>
        </w:rPr>
        <w:t>150公斤</w:t>
      </w:r>
      <w:r>
        <w:rPr>
          <w:rFonts w:hint="eastAsia" w:ascii="宋体" w:hAnsi="宋体" w:eastAsia="宋体" w:cs="宋体"/>
          <w:snapToGrid/>
          <w:color w:val="auto"/>
          <w:spacing w:val="-2"/>
          <w:kern w:val="0"/>
          <w:sz w:val="24"/>
          <w:szCs w:val="24"/>
          <w:highlight w:val="none"/>
          <w:lang w:val="en-US" w:eastAsia="zh-CN" w:bidi="ar"/>
        </w:rPr>
        <w:t>以上。黄色。</w:t>
      </w:r>
    </w:p>
    <w:p w14:paraId="43AC8DB2">
      <w:pPr>
        <w:keepNext w:val="0"/>
        <w:keepLines w:val="0"/>
        <w:widowControl/>
        <w:suppressLineNumbers w:val="0"/>
        <w:kinsoku w:val="0"/>
        <w:autoSpaceDE w:val="0"/>
        <w:autoSpaceDN w:val="0"/>
        <w:adjustRightInd w:val="0"/>
        <w:snapToGrid w:val="0"/>
        <w:spacing w:before="27" w:beforeAutospacing="0" w:after="0" w:afterAutospacing="0" w:line="360" w:lineRule="auto"/>
        <w:ind w:left="46" w:right="82" w:firstLine="483"/>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2"/>
          <w:kern w:val="0"/>
          <w:sz w:val="24"/>
          <w:szCs w:val="24"/>
          <w:highlight w:val="none"/>
          <w:lang w:val="en-US" w:eastAsia="zh-CN" w:bidi="ar"/>
        </w:rPr>
        <w:t>2、优质双拉链头更方便打开或封口</w:t>
      </w:r>
      <w:r>
        <w:rPr>
          <w:rFonts w:hint="eastAsia" w:ascii="宋体" w:hAnsi="宋体" w:eastAsia="宋体" w:cs="宋体"/>
          <w:snapToGrid/>
          <w:color w:val="auto"/>
          <w:spacing w:val="1"/>
          <w:kern w:val="0"/>
          <w:sz w:val="24"/>
          <w:szCs w:val="24"/>
          <w:highlight w:val="none"/>
          <w:lang w:val="en-US" w:eastAsia="zh-CN" w:bidi="ar"/>
        </w:rPr>
        <w:t>，U型拉</w:t>
      </w:r>
      <w:r>
        <w:rPr>
          <w:rFonts w:hint="eastAsia" w:ascii="宋体" w:hAnsi="宋体" w:eastAsia="宋体" w:cs="宋体"/>
          <w:snapToGrid/>
          <w:color w:val="auto"/>
          <w:spacing w:val="2"/>
          <w:kern w:val="0"/>
          <w:sz w:val="24"/>
          <w:szCs w:val="24"/>
          <w:highlight w:val="none"/>
          <w:lang w:val="en-US" w:eastAsia="zh-CN" w:bidi="ar"/>
        </w:rPr>
        <w:t>链中</w:t>
      </w:r>
      <w:r>
        <w:rPr>
          <w:rFonts w:hint="eastAsia" w:ascii="宋体" w:hAnsi="宋体" w:eastAsia="宋体" w:cs="宋体"/>
          <w:snapToGrid/>
          <w:color w:val="auto"/>
          <w:spacing w:val="1"/>
          <w:kern w:val="0"/>
          <w:sz w:val="24"/>
          <w:szCs w:val="24"/>
          <w:highlight w:val="none"/>
          <w:lang w:val="en-US" w:eastAsia="zh-CN" w:bidi="ar"/>
        </w:rPr>
        <w:t>间不允许有接头、U</w:t>
      </w:r>
      <w:r>
        <w:rPr>
          <w:rFonts w:hint="eastAsia" w:ascii="宋体" w:hAnsi="宋体" w:eastAsia="宋体" w:cs="宋体"/>
          <w:snapToGrid/>
          <w:color w:val="auto"/>
          <w:spacing w:val="-40"/>
          <w:kern w:val="0"/>
          <w:sz w:val="24"/>
          <w:szCs w:val="24"/>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型的拉链设</w:t>
      </w:r>
      <w:r>
        <w:rPr>
          <w:rFonts w:hint="eastAsia" w:ascii="宋体" w:hAnsi="宋体" w:eastAsia="宋体" w:cs="宋体"/>
          <w:snapToGrid/>
          <w:color w:val="auto"/>
          <w:kern w:val="0"/>
          <w:sz w:val="24"/>
          <w:szCs w:val="24"/>
          <w:highlight w:val="none"/>
          <w:lang w:val="en-US" w:eastAsia="zh-CN" w:bidi="ar"/>
        </w:rPr>
        <w:t xml:space="preserve"> </w:t>
      </w:r>
      <w:r>
        <w:rPr>
          <w:rFonts w:hint="eastAsia" w:ascii="宋体" w:hAnsi="宋体" w:eastAsia="宋体" w:cs="宋体"/>
          <w:snapToGrid/>
          <w:color w:val="auto"/>
          <w:spacing w:val="3"/>
          <w:kern w:val="0"/>
          <w:sz w:val="24"/>
          <w:szCs w:val="24"/>
          <w:highlight w:val="none"/>
          <w:lang w:val="en-US" w:eastAsia="zh-CN" w:bidi="ar"/>
        </w:rPr>
        <w:t>计能帮助工作人员把尸体迅速地装进尸体袋，减少尸体暴露在外而</w:t>
      </w:r>
      <w:r>
        <w:rPr>
          <w:rFonts w:hint="eastAsia" w:ascii="宋体" w:hAnsi="宋体" w:eastAsia="宋体" w:cs="宋体"/>
          <w:snapToGrid/>
          <w:color w:val="auto"/>
          <w:spacing w:val="2"/>
          <w:kern w:val="0"/>
          <w:sz w:val="24"/>
          <w:szCs w:val="24"/>
          <w:highlight w:val="none"/>
          <w:lang w:val="en-US" w:eastAsia="zh-CN" w:bidi="ar"/>
        </w:rPr>
        <w:t>腐烂的时间，遗体</w:t>
      </w:r>
      <w:r>
        <w:rPr>
          <w:rFonts w:hint="eastAsia" w:ascii="宋体" w:hAnsi="宋体" w:eastAsia="宋体" w:cs="宋体"/>
          <w:snapToGrid/>
          <w:color w:val="auto"/>
          <w:spacing w:val="-1"/>
          <w:kern w:val="0"/>
          <w:sz w:val="24"/>
          <w:szCs w:val="24"/>
          <w:highlight w:val="none"/>
          <w:lang w:val="en-US" w:eastAsia="zh-CN" w:bidi="ar"/>
        </w:rPr>
        <w:t>存放在尸体袋内，便可起到防菌，防腐的作用。</w:t>
      </w:r>
    </w:p>
    <w:p w14:paraId="413C8595">
      <w:pPr>
        <w:keepNext w:val="0"/>
        <w:keepLines w:val="0"/>
        <w:widowControl/>
        <w:suppressLineNumbers w:val="0"/>
        <w:kinsoku w:val="0"/>
        <w:autoSpaceDE w:val="0"/>
        <w:autoSpaceDN w:val="0"/>
        <w:adjustRightInd w:val="0"/>
        <w:snapToGrid w:val="0"/>
        <w:spacing w:before="26" w:beforeAutospacing="0" w:after="0" w:afterAutospacing="0" w:line="360" w:lineRule="auto"/>
        <w:ind w:left="531"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1"/>
          <w:kern w:val="0"/>
          <w:sz w:val="24"/>
          <w:szCs w:val="24"/>
          <w:highlight w:val="none"/>
          <w:lang w:val="en-US" w:eastAsia="zh-CN" w:bidi="ar"/>
        </w:rPr>
        <w:t>3</w:t>
      </w:r>
      <w:r>
        <w:rPr>
          <w:rFonts w:hint="eastAsia" w:ascii="宋体" w:hAnsi="宋体" w:cs="宋体"/>
          <w:snapToGrid/>
          <w:color w:val="auto"/>
          <w:spacing w:val="-1"/>
          <w:kern w:val="0"/>
          <w:sz w:val="24"/>
          <w:szCs w:val="24"/>
          <w:highlight w:val="none"/>
          <w:lang w:val="en-US" w:eastAsia="zh-CN" w:bidi="ar"/>
        </w:rPr>
        <w:t>、</w:t>
      </w:r>
      <w:r>
        <w:rPr>
          <w:rFonts w:hint="eastAsia" w:ascii="宋体" w:hAnsi="宋体" w:eastAsia="宋体" w:cs="宋体"/>
          <w:snapToGrid/>
          <w:color w:val="auto"/>
          <w:spacing w:val="-44"/>
          <w:kern w:val="0"/>
          <w:sz w:val="24"/>
          <w:szCs w:val="24"/>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成品遗体袋内侧应无毛边，针眼处采用压胶处理保证做到密闭不渗漏。</w:t>
      </w:r>
    </w:p>
    <w:p w14:paraId="0B1ECC1B">
      <w:pPr>
        <w:keepNext w:val="0"/>
        <w:keepLines w:val="0"/>
        <w:widowControl/>
        <w:suppressLineNumbers w:val="0"/>
        <w:kinsoku w:val="0"/>
        <w:autoSpaceDE w:val="0"/>
        <w:autoSpaceDN w:val="0"/>
        <w:adjustRightInd w:val="0"/>
        <w:snapToGrid w:val="0"/>
        <w:spacing w:before="26" w:beforeAutospacing="0" w:after="0" w:afterAutospacing="0" w:line="360" w:lineRule="auto"/>
        <w:ind w:left="48" w:right="0" w:firstLine="478"/>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2"/>
          <w:kern w:val="0"/>
          <w:sz w:val="24"/>
          <w:szCs w:val="24"/>
          <w:highlight w:val="none"/>
          <w:lang w:val="en-US" w:eastAsia="zh-CN" w:bidi="ar"/>
        </w:rPr>
        <w:t>4、牛津布厚度不小于25丝米，具有使用强度好，防渗漏、耐寒冷、</w:t>
      </w:r>
      <w:r>
        <w:rPr>
          <w:rFonts w:hint="eastAsia" w:ascii="宋体" w:hAnsi="宋体" w:eastAsia="宋体" w:cs="宋体"/>
          <w:snapToGrid/>
          <w:color w:val="auto"/>
          <w:spacing w:val="-3"/>
          <w:kern w:val="0"/>
          <w:sz w:val="24"/>
          <w:szCs w:val="24"/>
          <w:highlight w:val="none"/>
          <w:lang w:val="en-US" w:eastAsia="zh-CN" w:bidi="ar"/>
        </w:rPr>
        <w:t>保温、环保、</w:t>
      </w:r>
      <w:r>
        <w:rPr>
          <w:rFonts w:hint="eastAsia" w:ascii="宋体" w:hAnsi="宋体" w:eastAsia="宋体" w:cs="宋体"/>
          <w:snapToGrid/>
          <w:color w:val="auto"/>
          <w:kern w:val="0"/>
          <w:sz w:val="24"/>
          <w:szCs w:val="24"/>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方便装入和抬运、制作美观大方携带方便。</w:t>
      </w:r>
    </w:p>
    <w:p w14:paraId="7B6CA5FA">
      <w:pPr>
        <w:keepNext w:val="0"/>
        <w:keepLines w:val="0"/>
        <w:widowControl/>
        <w:suppressLineNumbers w:val="0"/>
        <w:kinsoku w:val="0"/>
        <w:autoSpaceDE w:val="0"/>
        <w:autoSpaceDN w:val="0"/>
        <w:adjustRightInd w:val="0"/>
        <w:snapToGrid w:val="0"/>
        <w:spacing w:before="26" w:beforeAutospacing="0" w:after="0" w:afterAutospacing="0" w:line="360" w:lineRule="auto"/>
        <w:ind w:left="531" w:right="0"/>
        <w:jc w:val="left"/>
        <w:textAlignment w:val="baseline"/>
        <w:rPr>
          <w:rFonts w:hint="default" w:ascii="宋体" w:hAnsi="宋体" w:eastAsia="宋体" w:cs="宋体"/>
          <w:snapToGrid/>
          <w:color w:val="auto"/>
          <w:spacing w:val="-2"/>
          <w:kern w:val="0"/>
          <w:sz w:val="24"/>
          <w:szCs w:val="24"/>
          <w:highlight w:val="none"/>
          <w:lang w:val="en-US" w:eastAsia="zh-CN" w:bidi="ar"/>
        </w:rPr>
      </w:pPr>
      <w:r>
        <w:rPr>
          <w:rFonts w:hint="eastAsia" w:ascii="宋体" w:hAnsi="宋体" w:eastAsia="宋体" w:cs="宋体"/>
          <w:b/>
          <w:bCs/>
          <w:snapToGrid/>
          <w:color w:val="auto"/>
          <w:spacing w:val="-2"/>
          <w:kern w:val="0"/>
          <w:sz w:val="24"/>
          <w:szCs w:val="24"/>
          <w:highlight w:val="none"/>
          <w:lang w:val="en-US" w:eastAsia="zh-CN" w:bidi="ar"/>
        </w:rPr>
        <w:t>5、规格要求：</w:t>
      </w:r>
      <w:r>
        <w:rPr>
          <w:rFonts w:hint="eastAsia" w:ascii="宋体" w:hAnsi="宋体" w:eastAsia="宋体" w:cs="宋体"/>
          <w:snapToGrid/>
          <w:color w:val="auto"/>
          <w:spacing w:val="-2"/>
          <w:kern w:val="0"/>
          <w:sz w:val="24"/>
          <w:szCs w:val="24"/>
          <w:highlight w:val="none"/>
          <w:lang w:val="en-US" w:eastAsia="zh-CN" w:bidi="ar"/>
        </w:rPr>
        <w:t>不小于200cm（长）*不小于7</w:t>
      </w:r>
      <w:r>
        <w:rPr>
          <w:rFonts w:hint="eastAsia" w:ascii="宋体" w:hAnsi="宋体" w:cs="宋体"/>
          <w:snapToGrid/>
          <w:color w:val="auto"/>
          <w:spacing w:val="-2"/>
          <w:kern w:val="0"/>
          <w:sz w:val="24"/>
          <w:szCs w:val="24"/>
          <w:highlight w:val="none"/>
          <w:lang w:val="en-US" w:eastAsia="zh-CN" w:bidi="ar"/>
        </w:rPr>
        <w:t>0</w:t>
      </w:r>
      <w:r>
        <w:rPr>
          <w:rFonts w:hint="eastAsia" w:ascii="宋体" w:hAnsi="宋体" w:eastAsia="宋体" w:cs="宋体"/>
          <w:snapToGrid/>
          <w:color w:val="auto"/>
          <w:spacing w:val="-2"/>
          <w:kern w:val="0"/>
          <w:sz w:val="24"/>
          <w:szCs w:val="24"/>
          <w:highlight w:val="none"/>
          <w:lang w:val="en-US" w:eastAsia="zh-CN" w:bidi="ar"/>
        </w:rPr>
        <w:t>cm（宽）</w:t>
      </w:r>
      <w:r>
        <w:rPr>
          <w:rFonts w:hint="eastAsia" w:ascii="宋体" w:hAnsi="宋体" w:cs="宋体"/>
          <w:snapToGrid/>
          <w:color w:val="auto"/>
          <w:spacing w:val="-2"/>
          <w:kern w:val="0"/>
          <w:sz w:val="24"/>
          <w:szCs w:val="24"/>
          <w:highlight w:val="none"/>
          <w:lang w:val="en-US" w:eastAsia="zh-CN" w:bidi="ar"/>
        </w:rPr>
        <w:t>*</w:t>
      </w:r>
      <w:r>
        <w:rPr>
          <w:rFonts w:hint="eastAsia" w:ascii="宋体" w:hAnsi="宋体" w:eastAsia="宋体" w:cs="宋体"/>
          <w:snapToGrid/>
          <w:color w:val="auto"/>
          <w:spacing w:val="-2"/>
          <w:kern w:val="0"/>
          <w:sz w:val="24"/>
          <w:szCs w:val="24"/>
          <w:highlight w:val="none"/>
          <w:lang w:val="en-US" w:eastAsia="zh-CN" w:bidi="ar"/>
        </w:rPr>
        <w:t>不小于</w:t>
      </w:r>
      <w:r>
        <w:rPr>
          <w:rFonts w:hint="eastAsia" w:ascii="宋体" w:hAnsi="宋体" w:cs="宋体"/>
          <w:snapToGrid/>
          <w:color w:val="auto"/>
          <w:spacing w:val="-2"/>
          <w:kern w:val="0"/>
          <w:sz w:val="24"/>
          <w:szCs w:val="24"/>
          <w:highlight w:val="none"/>
          <w:lang w:val="en-US" w:eastAsia="zh-CN" w:bidi="ar"/>
        </w:rPr>
        <w:t>25cm（高）</w:t>
      </w:r>
    </w:p>
    <w:p w14:paraId="02399BCD">
      <w:pPr>
        <w:keepNext w:val="0"/>
        <w:keepLines w:val="0"/>
        <w:widowControl/>
        <w:suppressLineNumbers w:val="0"/>
        <w:tabs>
          <w:tab w:val="left" w:pos="5939"/>
        </w:tabs>
        <w:kinsoku w:val="0"/>
        <w:autoSpaceDE w:val="0"/>
        <w:autoSpaceDN w:val="0"/>
        <w:adjustRightInd w:val="0"/>
        <w:snapToGrid w:val="0"/>
        <w:spacing w:before="0" w:beforeAutospacing="0" w:after="0" w:afterAutospacing="0" w:line="360" w:lineRule="auto"/>
        <w:ind w:left="51" w:right="0"/>
        <w:jc w:val="left"/>
        <w:textAlignment w:val="baseline"/>
        <w:rPr>
          <w:rFonts w:hint="eastAsia" w:ascii="宋体" w:hAnsi="宋体" w:eastAsia="宋体" w:cs="宋体"/>
          <w:color w:val="auto"/>
          <w:kern w:val="0"/>
          <w:sz w:val="24"/>
          <w:szCs w:val="24"/>
          <w:highlight w:val="none"/>
        </w:rPr>
      </w:pPr>
      <w:r>
        <w:rPr>
          <w:rFonts w:hint="eastAsia" w:ascii="宋体" w:hAnsi="宋体" w:cs="宋体"/>
          <w:snapToGrid/>
          <w:color w:val="auto"/>
          <w:spacing w:val="-1"/>
          <w:kern w:val="0"/>
          <w:sz w:val="24"/>
          <w:szCs w:val="24"/>
          <w:highlight w:val="none"/>
          <w:lang w:val="en-US" w:eastAsia="zh-CN" w:bidi="ar"/>
        </w:rPr>
        <w:t>（二）</w:t>
      </w:r>
      <w:r>
        <w:rPr>
          <w:rFonts w:hint="eastAsia" w:ascii="宋体" w:hAnsi="宋体" w:eastAsia="宋体" w:cs="宋体"/>
          <w:snapToGrid/>
          <w:color w:val="auto"/>
          <w:spacing w:val="3"/>
          <w:kern w:val="0"/>
          <w:sz w:val="24"/>
          <w:szCs w:val="24"/>
          <w:highlight w:val="none"/>
          <w:lang w:val="en-US" w:eastAsia="zh-CN" w:bidi="ar"/>
        </w:rPr>
        <w:t>骨灰盒技术参数:</w:t>
      </w:r>
      <w:r>
        <w:rPr>
          <w:rFonts w:hint="eastAsia" w:ascii="宋体" w:hAnsi="宋体" w:cs="宋体"/>
          <w:snapToGrid/>
          <w:color w:val="auto"/>
          <w:spacing w:val="3"/>
          <w:kern w:val="0"/>
          <w:sz w:val="24"/>
          <w:szCs w:val="24"/>
          <w:highlight w:val="none"/>
          <w:lang w:val="en-US" w:eastAsia="zh-CN" w:bidi="ar"/>
        </w:rPr>
        <w:tab/>
      </w:r>
    </w:p>
    <w:p w14:paraId="23E87D2F">
      <w:pPr>
        <w:keepNext w:val="0"/>
        <w:keepLines w:val="0"/>
        <w:widowControl/>
        <w:suppressLineNumbers w:val="0"/>
        <w:kinsoku w:val="0"/>
        <w:autoSpaceDE w:val="0"/>
        <w:autoSpaceDN w:val="0"/>
        <w:adjustRightInd w:val="0"/>
        <w:snapToGrid w:val="0"/>
        <w:spacing w:before="26" w:beforeAutospacing="0" w:after="0" w:afterAutospacing="0" w:line="360" w:lineRule="auto"/>
        <w:ind w:left="544" w:right="0"/>
        <w:jc w:val="left"/>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snapToGrid/>
          <w:color w:val="auto"/>
          <w:spacing w:val="2"/>
          <w:kern w:val="0"/>
          <w:sz w:val="24"/>
          <w:szCs w:val="24"/>
          <w:highlight w:val="none"/>
          <w:lang w:val="en-US" w:eastAsia="zh-CN" w:bidi="ar"/>
        </w:rPr>
        <w:t>1、外观要求:</w:t>
      </w:r>
    </w:p>
    <w:p w14:paraId="46B94566">
      <w:pPr>
        <w:keepNext w:val="0"/>
        <w:keepLines w:val="0"/>
        <w:widowControl/>
        <w:suppressLineNumbers w:val="0"/>
        <w:kinsoku w:val="0"/>
        <w:autoSpaceDE w:val="0"/>
        <w:autoSpaceDN w:val="0"/>
        <w:adjustRightInd w:val="0"/>
        <w:snapToGrid w:val="0"/>
        <w:spacing w:before="25" w:beforeAutospacing="0" w:after="0" w:afterAutospacing="0" w:line="360" w:lineRule="auto"/>
        <w:ind w:left="528"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1"/>
          <w:kern w:val="0"/>
          <w:sz w:val="24"/>
          <w:szCs w:val="24"/>
          <w:highlight w:val="none"/>
          <w:lang w:val="en-US" w:eastAsia="zh-CN" w:bidi="ar"/>
        </w:rPr>
        <w:t>a、产品整体造型美观大方，文化寓意健康向上。</w:t>
      </w:r>
    </w:p>
    <w:p w14:paraId="55BD7B00">
      <w:pPr>
        <w:keepNext w:val="0"/>
        <w:keepLines w:val="0"/>
        <w:widowControl/>
        <w:suppressLineNumbers w:val="0"/>
        <w:kinsoku w:val="0"/>
        <w:autoSpaceDE w:val="0"/>
        <w:autoSpaceDN w:val="0"/>
        <w:adjustRightInd w:val="0"/>
        <w:snapToGrid w:val="0"/>
        <w:spacing w:before="26" w:beforeAutospacing="0" w:after="0" w:afterAutospacing="0" w:line="360" w:lineRule="auto"/>
        <w:ind w:left="49" w:right="131" w:firstLine="474"/>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2"/>
          <w:kern w:val="0"/>
          <w:sz w:val="24"/>
          <w:szCs w:val="24"/>
          <w:highlight w:val="none"/>
          <w:lang w:val="en-US" w:eastAsia="zh-CN" w:bidi="ar"/>
        </w:rPr>
        <w:t>b、盒体、盖板和底座应平整端正、无明显翘曲，色泽、纹理协调，无明显色差，</w:t>
      </w:r>
      <w:r>
        <w:rPr>
          <w:rFonts w:hint="eastAsia" w:ascii="宋体" w:hAnsi="宋体" w:eastAsia="宋体" w:cs="宋体"/>
          <w:snapToGrid/>
          <w:color w:val="auto"/>
          <w:spacing w:val="8"/>
          <w:kern w:val="0"/>
          <w:sz w:val="24"/>
          <w:szCs w:val="24"/>
          <w:highlight w:val="none"/>
          <w:lang w:val="en-US" w:eastAsia="zh-CN" w:bidi="ar"/>
        </w:rPr>
        <w:t xml:space="preserve"> </w:t>
      </w:r>
      <w:r>
        <w:rPr>
          <w:rFonts w:hint="eastAsia" w:ascii="宋体" w:hAnsi="宋体" w:eastAsia="宋体" w:cs="宋体"/>
          <w:snapToGrid/>
          <w:color w:val="auto"/>
          <w:spacing w:val="-2"/>
          <w:kern w:val="0"/>
          <w:sz w:val="24"/>
          <w:szCs w:val="24"/>
          <w:highlight w:val="none"/>
          <w:lang w:val="en-US" w:eastAsia="zh-CN" w:bidi="ar"/>
        </w:rPr>
        <w:t>无虫眼、嵌补等。</w:t>
      </w:r>
    </w:p>
    <w:p w14:paraId="6293EE78">
      <w:pPr>
        <w:keepNext w:val="0"/>
        <w:keepLines w:val="0"/>
        <w:widowControl/>
        <w:suppressLineNumbers w:val="0"/>
        <w:kinsoku w:val="0"/>
        <w:autoSpaceDE w:val="0"/>
        <w:autoSpaceDN w:val="0"/>
        <w:adjustRightInd w:val="0"/>
        <w:snapToGrid w:val="0"/>
        <w:spacing w:before="26" w:beforeAutospacing="0" w:after="0" w:afterAutospacing="0" w:line="360" w:lineRule="auto"/>
        <w:ind w:left="531" w:right="1554"/>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2"/>
          <w:kern w:val="0"/>
          <w:sz w:val="24"/>
          <w:szCs w:val="24"/>
          <w:highlight w:val="none"/>
          <w:lang w:val="en-US" w:eastAsia="zh-CN" w:bidi="ar"/>
        </w:rPr>
        <w:t>c、雕刻图案应整体协调、均匀清晰、层次分明、对称部位应对称。</w:t>
      </w:r>
      <w:r>
        <w:rPr>
          <w:rFonts w:hint="eastAsia" w:ascii="宋体" w:hAnsi="宋体" w:eastAsia="宋体" w:cs="宋体"/>
          <w:snapToGrid/>
          <w:color w:val="auto"/>
          <w:spacing w:val="6"/>
          <w:kern w:val="0"/>
          <w:sz w:val="24"/>
          <w:szCs w:val="24"/>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d、涂饰表面应无皱皮、发粘、剥落、露漆、流挂等。</w:t>
      </w:r>
    </w:p>
    <w:p w14:paraId="6AD93159">
      <w:pPr>
        <w:keepNext w:val="0"/>
        <w:keepLines w:val="0"/>
        <w:widowControl/>
        <w:suppressLineNumbers w:val="0"/>
        <w:kinsoku w:val="0"/>
        <w:autoSpaceDE w:val="0"/>
        <w:autoSpaceDN w:val="0"/>
        <w:adjustRightInd w:val="0"/>
        <w:snapToGrid w:val="0"/>
        <w:spacing w:before="25" w:beforeAutospacing="0" w:after="0" w:afterAutospacing="0" w:line="360" w:lineRule="auto"/>
        <w:ind w:left="532"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2"/>
          <w:kern w:val="0"/>
          <w:sz w:val="24"/>
          <w:szCs w:val="24"/>
          <w:highlight w:val="none"/>
          <w:lang w:val="en-US" w:eastAsia="zh-CN" w:bidi="ar"/>
        </w:rPr>
        <w:t>e、外表配饰应与盒体协调。</w:t>
      </w:r>
    </w:p>
    <w:p w14:paraId="69B5968D">
      <w:pPr>
        <w:keepNext w:val="0"/>
        <w:keepLines w:val="0"/>
        <w:widowControl/>
        <w:suppressLineNumbers w:val="0"/>
        <w:kinsoku w:val="0"/>
        <w:autoSpaceDE w:val="0"/>
        <w:autoSpaceDN w:val="0"/>
        <w:adjustRightInd w:val="0"/>
        <w:snapToGrid w:val="0"/>
        <w:spacing w:before="1" w:beforeAutospacing="0" w:after="0" w:afterAutospacing="0" w:line="360" w:lineRule="auto"/>
        <w:ind w:left="530" w:right="0"/>
        <w:jc w:val="left"/>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snapToGrid/>
          <w:color w:val="auto"/>
          <w:spacing w:val="3"/>
          <w:kern w:val="0"/>
          <w:sz w:val="24"/>
          <w:szCs w:val="24"/>
          <w:highlight w:val="none"/>
          <w:lang w:val="en-US" w:eastAsia="zh-CN" w:bidi="ar"/>
        </w:rPr>
        <w:t>2、使用性能要求:</w:t>
      </w:r>
    </w:p>
    <w:p w14:paraId="0B7FC0CD">
      <w:pPr>
        <w:keepNext w:val="0"/>
        <w:keepLines w:val="0"/>
        <w:widowControl/>
        <w:suppressLineNumbers w:val="0"/>
        <w:kinsoku w:val="0"/>
        <w:autoSpaceDE w:val="0"/>
        <w:autoSpaceDN w:val="0"/>
        <w:adjustRightInd w:val="0"/>
        <w:snapToGrid w:val="0"/>
        <w:spacing w:before="26" w:beforeAutospacing="0" w:after="0" w:afterAutospacing="0" w:line="360" w:lineRule="auto"/>
        <w:ind w:left="528"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1"/>
          <w:kern w:val="0"/>
          <w:sz w:val="24"/>
          <w:szCs w:val="24"/>
          <w:highlight w:val="none"/>
          <w:lang w:val="en-US" w:eastAsia="zh-CN" w:bidi="ar"/>
        </w:rPr>
        <w:t>a、盒体放置稳定，盒盖开闭松紧适度。</w:t>
      </w:r>
    </w:p>
    <w:p w14:paraId="05225E94">
      <w:pPr>
        <w:keepNext w:val="0"/>
        <w:keepLines w:val="0"/>
        <w:widowControl/>
        <w:suppressLineNumbers w:val="0"/>
        <w:kinsoku w:val="0"/>
        <w:autoSpaceDE w:val="0"/>
        <w:autoSpaceDN w:val="0"/>
        <w:adjustRightInd w:val="0"/>
        <w:snapToGrid w:val="0"/>
        <w:spacing w:before="26" w:beforeAutospacing="0" w:after="0" w:afterAutospacing="0" w:line="360" w:lineRule="auto"/>
        <w:ind w:left="531" w:right="534" w:hanging="8"/>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2"/>
          <w:kern w:val="0"/>
          <w:sz w:val="24"/>
          <w:szCs w:val="24"/>
          <w:highlight w:val="none"/>
          <w:lang w:val="en-US" w:eastAsia="zh-CN" w:bidi="ar"/>
        </w:rPr>
        <w:t>b、在倾斜角度不大于45°时，盒盖在闭合</w:t>
      </w:r>
      <w:r>
        <w:rPr>
          <w:rFonts w:hint="eastAsia" w:ascii="宋体" w:hAnsi="宋体" w:eastAsia="宋体" w:cs="宋体"/>
          <w:snapToGrid/>
          <w:color w:val="auto"/>
          <w:spacing w:val="-3"/>
          <w:kern w:val="0"/>
          <w:sz w:val="24"/>
          <w:szCs w:val="24"/>
          <w:highlight w:val="none"/>
          <w:lang w:val="en-US" w:eastAsia="zh-CN" w:bidi="ar"/>
        </w:rPr>
        <w:t>状态下，不得从盒体上自行滑落。</w:t>
      </w:r>
      <w:r>
        <w:rPr>
          <w:rFonts w:hint="eastAsia" w:ascii="宋体" w:hAnsi="宋体" w:eastAsia="宋体" w:cs="宋体"/>
          <w:snapToGrid/>
          <w:color w:val="auto"/>
          <w:kern w:val="0"/>
          <w:sz w:val="24"/>
          <w:szCs w:val="24"/>
          <w:highlight w:val="none"/>
          <w:lang w:val="en-US" w:eastAsia="zh-CN" w:bidi="ar"/>
        </w:rPr>
        <w:t xml:space="preserve"> </w:t>
      </w:r>
      <w:r>
        <w:rPr>
          <w:rFonts w:hint="eastAsia" w:ascii="宋体" w:hAnsi="宋体" w:eastAsia="宋体" w:cs="宋体"/>
          <w:snapToGrid/>
          <w:color w:val="auto"/>
          <w:spacing w:val="-2"/>
          <w:kern w:val="0"/>
          <w:sz w:val="24"/>
          <w:szCs w:val="24"/>
          <w:highlight w:val="none"/>
          <w:lang w:val="en-US" w:eastAsia="zh-CN" w:bidi="ar"/>
        </w:rPr>
        <w:t>c、配饰件应安装牢固。</w:t>
      </w:r>
    </w:p>
    <w:p w14:paraId="7905D4C8">
      <w:pPr>
        <w:keepNext w:val="0"/>
        <w:keepLines w:val="0"/>
        <w:widowControl/>
        <w:suppressLineNumbers w:val="0"/>
        <w:kinsoku w:val="0"/>
        <w:autoSpaceDE w:val="0"/>
        <w:autoSpaceDN w:val="0"/>
        <w:adjustRightInd w:val="0"/>
        <w:snapToGrid w:val="0"/>
        <w:spacing w:before="27" w:beforeAutospacing="0" w:after="0" w:afterAutospacing="0" w:line="360" w:lineRule="auto"/>
        <w:ind w:left="47" w:right="82" w:firstLine="484"/>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1"/>
          <w:kern w:val="0"/>
          <w:sz w:val="24"/>
          <w:szCs w:val="24"/>
          <w:highlight w:val="none"/>
          <w:lang w:val="en-US" w:eastAsia="zh-CN" w:bidi="ar"/>
        </w:rPr>
        <w:t>d、盒体结构部件应牢固，正常手持高度自由坠落后，盒体主体结构应无功能性损</w:t>
      </w:r>
      <w:r>
        <w:rPr>
          <w:rFonts w:hint="eastAsia" w:ascii="宋体" w:hAnsi="宋体" w:eastAsia="宋体" w:cs="宋体"/>
          <w:snapToGrid/>
          <w:color w:val="auto"/>
          <w:spacing w:val="-5"/>
          <w:kern w:val="0"/>
          <w:sz w:val="24"/>
          <w:szCs w:val="24"/>
          <w:highlight w:val="none"/>
          <w:lang w:val="en-US" w:eastAsia="zh-CN" w:bidi="ar"/>
        </w:rPr>
        <w:t>坏。</w:t>
      </w:r>
    </w:p>
    <w:p w14:paraId="72A1263B">
      <w:pPr>
        <w:keepNext w:val="0"/>
        <w:keepLines w:val="0"/>
        <w:widowControl/>
        <w:suppressLineNumbers w:val="0"/>
        <w:kinsoku w:val="0"/>
        <w:autoSpaceDE w:val="0"/>
        <w:autoSpaceDN w:val="0"/>
        <w:adjustRightInd w:val="0"/>
        <w:snapToGrid w:val="0"/>
        <w:spacing w:before="24" w:beforeAutospacing="0" w:after="0" w:afterAutospacing="0" w:line="360" w:lineRule="auto"/>
        <w:ind w:left="526" w:right="1314" w:firstLine="5"/>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snapToGrid/>
          <w:color w:val="auto"/>
          <w:spacing w:val="-2"/>
          <w:kern w:val="0"/>
          <w:sz w:val="24"/>
          <w:szCs w:val="24"/>
          <w:highlight w:val="none"/>
          <w:lang w:val="en-US" w:eastAsia="zh-CN" w:bidi="ar"/>
        </w:rPr>
        <w:t>3、材料要求：</w:t>
      </w:r>
      <w:r>
        <w:rPr>
          <w:rFonts w:hint="eastAsia" w:ascii="宋体" w:hAnsi="宋体" w:eastAsia="宋体" w:cs="宋体"/>
          <w:snapToGrid/>
          <w:color w:val="auto"/>
          <w:spacing w:val="-2"/>
          <w:kern w:val="0"/>
          <w:sz w:val="24"/>
          <w:szCs w:val="24"/>
          <w:highlight w:val="none"/>
          <w:lang w:val="en-US" w:eastAsia="zh-CN" w:bidi="ar"/>
        </w:rPr>
        <w:t>木质骨灰盒使用实木木制品，所用材质应与标识一致。</w:t>
      </w:r>
      <w:r>
        <w:rPr>
          <w:rFonts w:hint="eastAsia" w:ascii="宋体" w:hAnsi="宋体" w:eastAsia="宋体" w:cs="宋体"/>
          <w:snapToGrid/>
          <w:color w:val="auto"/>
          <w:spacing w:val="8"/>
          <w:kern w:val="0"/>
          <w:sz w:val="24"/>
          <w:szCs w:val="24"/>
          <w:highlight w:val="none"/>
          <w:lang w:val="en-US" w:eastAsia="zh-CN" w:bidi="ar"/>
        </w:rPr>
        <w:t xml:space="preserve"> </w:t>
      </w:r>
      <w:r>
        <w:rPr>
          <w:rFonts w:hint="eastAsia" w:ascii="宋体" w:hAnsi="宋体" w:eastAsia="宋体" w:cs="宋体"/>
          <w:b/>
          <w:bCs/>
          <w:snapToGrid/>
          <w:color w:val="auto"/>
          <w:spacing w:val="5"/>
          <w:kern w:val="0"/>
          <w:sz w:val="24"/>
          <w:szCs w:val="24"/>
          <w:highlight w:val="none"/>
          <w:lang w:val="en-US" w:eastAsia="zh-CN" w:bidi="ar"/>
        </w:rPr>
        <w:t>4、工艺要求:</w:t>
      </w:r>
    </w:p>
    <w:p w14:paraId="4386F70F">
      <w:pPr>
        <w:keepNext w:val="0"/>
        <w:keepLines w:val="0"/>
        <w:widowControl/>
        <w:suppressLineNumbers w:val="0"/>
        <w:kinsoku w:val="0"/>
        <w:autoSpaceDE w:val="0"/>
        <w:autoSpaceDN w:val="0"/>
        <w:adjustRightInd w:val="0"/>
        <w:snapToGrid w:val="0"/>
        <w:spacing w:before="24" w:beforeAutospacing="0" w:after="0" w:afterAutospacing="0" w:line="360" w:lineRule="auto"/>
        <w:ind w:left="528"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1"/>
          <w:kern w:val="0"/>
          <w:sz w:val="24"/>
          <w:szCs w:val="24"/>
          <w:highlight w:val="none"/>
          <w:lang w:val="en-US" w:eastAsia="zh-CN" w:bidi="ar"/>
        </w:rPr>
        <w:t>a、外形尺寸极限偏差应不大于0.75％。</w:t>
      </w:r>
    </w:p>
    <w:p w14:paraId="11429D6D">
      <w:pPr>
        <w:keepNext w:val="0"/>
        <w:keepLines w:val="0"/>
        <w:widowControl/>
        <w:suppressLineNumbers w:val="0"/>
        <w:kinsoku w:val="0"/>
        <w:autoSpaceDE w:val="0"/>
        <w:autoSpaceDN w:val="0"/>
        <w:adjustRightInd w:val="0"/>
        <w:snapToGrid w:val="0"/>
        <w:spacing w:before="26" w:beforeAutospacing="0" w:after="0" w:afterAutospacing="0" w:line="360" w:lineRule="auto"/>
        <w:ind w:left="531" w:right="594" w:hanging="8"/>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1"/>
          <w:kern w:val="0"/>
          <w:sz w:val="24"/>
          <w:szCs w:val="24"/>
          <w:highlight w:val="none"/>
          <w:lang w:val="en-US" w:eastAsia="zh-CN" w:bidi="ar"/>
        </w:rPr>
        <w:t>b、木质骨灰盒榫和榫眼结合处应严实、牢固，无</w:t>
      </w:r>
      <w:r>
        <w:rPr>
          <w:rFonts w:hint="eastAsia" w:ascii="宋体" w:hAnsi="宋体" w:eastAsia="宋体" w:cs="宋体"/>
          <w:snapToGrid/>
          <w:color w:val="auto"/>
          <w:spacing w:val="-2"/>
          <w:kern w:val="0"/>
          <w:sz w:val="24"/>
          <w:szCs w:val="24"/>
          <w:highlight w:val="none"/>
          <w:lang w:val="en-US" w:eastAsia="zh-CN" w:bidi="ar"/>
        </w:rPr>
        <w:t>崩茬、动榫、断榫等缺陷。</w:t>
      </w:r>
      <w:r>
        <w:rPr>
          <w:rFonts w:hint="eastAsia" w:ascii="宋体" w:hAnsi="宋体" w:eastAsia="宋体" w:cs="宋体"/>
          <w:snapToGrid/>
          <w:color w:val="auto"/>
          <w:kern w:val="0"/>
          <w:sz w:val="24"/>
          <w:szCs w:val="24"/>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c、无涂饰外表面粗糙度要求达到精光，内表面粗糙度要求达到细光。</w:t>
      </w:r>
    </w:p>
    <w:p w14:paraId="4E87D8B1">
      <w:pPr>
        <w:keepNext w:val="0"/>
        <w:keepLines w:val="0"/>
        <w:widowControl/>
        <w:suppressLineNumbers w:val="0"/>
        <w:kinsoku w:val="0"/>
        <w:autoSpaceDE w:val="0"/>
        <w:autoSpaceDN w:val="0"/>
        <w:adjustRightInd w:val="0"/>
        <w:snapToGrid w:val="0"/>
        <w:spacing w:before="27" w:beforeAutospacing="0" w:after="0" w:afterAutospacing="0" w:line="360" w:lineRule="auto"/>
        <w:ind w:left="531" w:right="1314"/>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2"/>
          <w:kern w:val="0"/>
          <w:sz w:val="24"/>
          <w:szCs w:val="24"/>
          <w:highlight w:val="none"/>
          <w:lang w:val="en-US" w:eastAsia="zh-CN" w:bidi="ar"/>
        </w:rPr>
        <w:t>d、雕刻图案雕刻后不应降低雕刻面使用强度，不应影响其使用性能。</w:t>
      </w:r>
      <w:r>
        <w:rPr>
          <w:rFonts w:hint="eastAsia" w:ascii="宋体" w:hAnsi="宋体" w:eastAsia="宋体" w:cs="宋体"/>
          <w:snapToGrid/>
          <w:color w:val="auto"/>
          <w:spacing w:val="8"/>
          <w:kern w:val="0"/>
          <w:sz w:val="24"/>
          <w:szCs w:val="24"/>
          <w:highlight w:val="none"/>
          <w:lang w:val="en-US" w:eastAsia="zh-CN" w:bidi="ar"/>
        </w:rPr>
        <w:t xml:space="preserve"> </w:t>
      </w:r>
      <w:r>
        <w:rPr>
          <w:rFonts w:hint="eastAsia" w:ascii="宋体" w:hAnsi="宋体" w:eastAsia="宋体" w:cs="宋体"/>
          <w:snapToGrid/>
          <w:color w:val="auto"/>
          <w:spacing w:val="-2"/>
          <w:kern w:val="0"/>
          <w:sz w:val="24"/>
          <w:szCs w:val="24"/>
          <w:highlight w:val="none"/>
          <w:lang w:val="en-US" w:eastAsia="zh-CN" w:bidi="ar"/>
        </w:rPr>
        <w:t>e、各部位不应存在锤印和毛刺。</w:t>
      </w:r>
    </w:p>
    <w:p w14:paraId="1AC8AF1C">
      <w:pPr>
        <w:keepNext w:val="0"/>
        <w:keepLines w:val="0"/>
        <w:widowControl/>
        <w:suppressLineNumbers w:val="0"/>
        <w:kinsoku w:val="0"/>
        <w:autoSpaceDE w:val="0"/>
        <w:autoSpaceDN w:val="0"/>
        <w:adjustRightInd w:val="0"/>
        <w:snapToGrid w:val="0"/>
        <w:spacing w:before="27" w:beforeAutospacing="0" w:after="0" w:afterAutospacing="0" w:line="360" w:lineRule="auto"/>
        <w:ind w:left="531" w:right="414"/>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4"/>
          <w:szCs w:val="24"/>
          <w:highlight w:val="none"/>
          <w:lang w:val="en-US" w:eastAsia="zh-CN" w:bidi="ar"/>
        </w:rPr>
        <w:t>f、涂饰加工后的木质骨灰盒应内部清洁，无明显色差、瑕疵、漏涂等缺陷。</w:t>
      </w:r>
      <w:r>
        <w:rPr>
          <w:rFonts w:hint="eastAsia" w:ascii="宋体" w:hAnsi="宋体" w:eastAsia="宋体" w:cs="宋体"/>
          <w:snapToGrid/>
          <w:color w:val="auto"/>
          <w:spacing w:val="9"/>
          <w:kern w:val="0"/>
          <w:sz w:val="24"/>
          <w:szCs w:val="24"/>
          <w:highlight w:val="none"/>
          <w:lang w:val="en-US" w:eastAsia="zh-CN" w:bidi="ar"/>
        </w:rPr>
        <w:t xml:space="preserve">  </w:t>
      </w:r>
      <w:r>
        <w:rPr>
          <w:rFonts w:hint="eastAsia" w:ascii="宋体" w:hAnsi="宋体" w:eastAsia="宋体" w:cs="宋体"/>
          <w:snapToGrid/>
          <w:color w:val="auto"/>
          <w:spacing w:val="-2"/>
          <w:kern w:val="0"/>
          <w:sz w:val="24"/>
          <w:szCs w:val="24"/>
          <w:highlight w:val="none"/>
          <w:lang w:val="en-US" w:eastAsia="zh-CN" w:bidi="ar"/>
        </w:rPr>
        <w:t>g、实板胶拼件的胶缝严密，外表局部应无明显胶缝，内部胶</w:t>
      </w:r>
      <w:r>
        <w:rPr>
          <w:rFonts w:hint="eastAsia" w:ascii="宋体" w:hAnsi="宋体" w:eastAsia="宋体" w:cs="宋体"/>
          <w:snapToGrid/>
          <w:color w:val="auto"/>
          <w:spacing w:val="-3"/>
          <w:kern w:val="0"/>
          <w:sz w:val="24"/>
          <w:szCs w:val="24"/>
          <w:highlight w:val="none"/>
          <w:lang w:val="en-US" w:eastAsia="zh-CN" w:bidi="ar"/>
        </w:rPr>
        <w:t>缝应不大于</w:t>
      </w:r>
      <w:r>
        <w:rPr>
          <w:rFonts w:hint="eastAsia" w:ascii="宋体" w:hAnsi="宋体" w:eastAsia="宋体" w:cs="宋体"/>
          <w:snapToGrid/>
          <w:color w:val="auto"/>
          <w:spacing w:val="-33"/>
          <w:kern w:val="0"/>
          <w:sz w:val="24"/>
          <w:szCs w:val="24"/>
          <w:highlight w:val="none"/>
          <w:lang w:val="en-US" w:eastAsia="zh-CN" w:bidi="ar"/>
        </w:rPr>
        <w:t xml:space="preserve"> </w:t>
      </w:r>
      <w:r>
        <w:rPr>
          <w:rFonts w:hint="eastAsia" w:ascii="宋体" w:hAnsi="宋体" w:eastAsia="宋体" w:cs="宋体"/>
          <w:snapToGrid/>
          <w:color w:val="auto"/>
          <w:spacing w:val="-3"/>
          <w:kern w:val="0"/>
          <w:sz w:val="24"/>
          <w:szCs w:val="24"/>
          <w:highlight w:val="none"/>
          <w:lang w:val="en-US" w:eastAsia="zh-CN" w:bidi="ar"/>
        </w:rPr>
        <w:t>1mm。</w:t>
      </w:r>
    </w:p>
    <w:p w14:paraId="1D0234EE">
      <w:pPr>
        <w:keepNext w:val="0"/>
        <w:keepLines w:val="0"/>
        <w:widowControl/>
        <w:suppressLineNumbers w:val="0"/>
        <w:kinsoku w:val="0"/>
        <w:autoSpaceDE w:val="0"/>
        <w:autoSpaceDN w:val="0"/>
        <w:adjustRightInd w:val="0"/>
        <w:snapToGrid w:val="0"/>
        <w:spacing w:before="33" w:beforeAutospacing="0" w:after="0" w:afterAutospacing="0" w:line="360" w:lineRule="auto"/>
        <w:ind w:left="48" w:right="80" w:firstLine="476"/>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kern w:val="0"/>
          <w:sz w:val="24"/>
          <w:szCs w:val="24"/>
          <w:highlight w:val="none"/>
          <w:lang w:val="en-US" w:eastAsia="zh-CN" w:bidi="ar"/>
        </w:rPr>
        <w:t>h、装饰条粘贴严密平整、牢固，无脱胶；定位止口</w:t>
      </w:r>
      <w:r>
        <w:rPr>
          <w:rFonts w:hint="eastAsia" w:ascii="宋体" w:hAnsi="宋体" w:eastAsia="宋体" w:cs="宋体"/>
          <w:snapToGrid/>
          <w:color w:val="auto"/>
          <w:spacing w:val="-1"/>
          <w:kern w:val="0"/>
          <w:sz w:val="24"/>
          <w:szCs w:val="24"/>
          <w:highlight w:val="none"/>
          <w:lang w:val="en-US" w:eastAsia="zh-CN" w:bidi="ar"/>
        </w:rPr>
        <w:t>条安装牢固，接口处平整，端</w:t>
      </w:r>
      <w:r>
        <w:rPr>
          <w:rFonts w:hint="eastAsia" w:ascii="宋体" w:hAnsi="宋体" w:eastAsia="宋体" w:cs="宋体"/>
          <w:snapToGrid/>
          <w:color w:val="auto"/>
          <w:kern w:val="0"/>
          <w:sz w:val="24"/>
          <w:szCs w:val="24"/>
          <w:highlight w:val="none"/>
          <w:lang w:val="en-US" w:eastAsia="zh-CN" w:bidi="ar"/>
        </w:rPr>
        <w:t xml:space="preserve"> </w:t>
      </w:r>
      <w:r>
        <w:rPr>
          <w:rFonts w:hint="eastAsia" w:ascii="宋体" w:hAnsi="宋体" w:eastAsia="宋体" w:cs="宋体"/>
          <w:snapToGrid/>
          <w:color w:val="auto"/>
          <w:spacing w:val="-1"/>
          <w:kern w:val="0"/>
          <w:sz w:val="24"/>
          <w:szCs w:val="24"/>
          <w:highlight w:val="none"/>
          <w:lang w:val="en-US" w:eastAsia="zh-CN" w:bidi="ar"/>
        </w:rPr>
        <w:t>面齐平，无松动、开裂、断痕等缺陷。</w:t>
      </w:r>
    </w:p>
    <w:p w14:paraId="02FD380B">
      <w:pPr>
        <w:keepNext w:val="0"/>
        <w:keepLines w:val="0"/>
        <w:widowControl/>
        <w:suppressLineNumbers w:val="0"/>
        <w:kinsoku w:val="0"/>
        <w:autoSpaceDE w:val="0"/>
        <w:autoSpaceDN w:val="0"/>
        <w:adjustRightInd w:val="0"/>
        <w:snapToGrid w:val="0"/>
        <w:spacing w:before="26" w:beforeAutospacing="0" w:after="0" w:afterAutospacing="0" w:line="360" w:lineRule="auto"/>
        <w:ind w:left="531"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4"/>
          <w:kern w:val="0"/>
          <w:sz w:val="24"/>
          <w:szCs w:val="24"/>
          <w:highlight w:val="none"/>
          <w:lang w:val="en-US" w:eastAsia="zh-CN" w:bidi="ar"/>
        </w:rPr>
        <w:t>5、规格要求:</w:t>
      </w:r>
    </w:p>
    <w:p w14:paraId="4496D6A9">
      <w:pPr>
        <w:keepNext w:val="0"/>
        <w:keepLines w:val="0"/>
        <w:widowControl/>
        <w:suppressLineNumbers w:val="0"/>
        <w:kinsoku w:val="0"/>
        <w:autoSpaceDE w:val="0"/>
        <w:autoSpaceDN w:val="0"/>
        <w:adjustRightInd w:val="0"/>
        <w:snapToGrid w:val="0"/>
        <w:spacing w:before="26" w:beforeAutospacing="0" w:after="0" w:afterAutospacing="0" w:line="360" w:lineRule="auto"/>
        <w:ind w:left="528"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1"/>
          <w:kern w:val="0"/>
          <w:sz w:val="24"/>
          <w:szCs w:val="24"/>
          <w:highlight w:val="none"/>
          <w:lang w:val="en-US" w:eastAsia="zh-CN" w:bidi="ar"/>
        </w:rPr>
        <w:t>a 、单体木质骨灰盒的容积应不小</w:t>
      </w:r>
      <w:r>
        <w:rPr>
          <w:rFonts w:hint="eastAsia" w:ascii="宋体" w:hAnsi="宋体" w:eastAsia="宋体" w:cs="宋体"/>
          <w:snapToGrid/>
          <w:color w:val="auto"/>
          <w:kern w:val="0"/>
          <w:sz w:val="24"/>
          <w:szCs w:val="24"/>
          <w:highlight w:val="none"/>
          <w:lang w:val="en-US" w:eastAsia="zh-CN" w:bidi="ar"/>
        </w:rPr>
        <w:t>于4000cm3</w:t>
      </w:r>
      <w:r>
        <w:rPr>
          <w:rFonts w:hint="eastAsia" w:ascii="宋体" w:hAnsi="宋体" w:eastAsia="宋体" w:cs="宋体"/>
          <w:snapToGrid/>
          <w:color w:val="auto"/>
          <w:spacing w:val="-1"/>
          <w:kern w:val="0"/>
          <w:sz w:val="24"/>
          <w:szCs w:val="24"/>
          <w:highlight w:val="none"/>
          <w:lang w:val="en-US" w:eastAsia="zh-CN" w:bidi="ar"/>
        </w:rPr>
        <w:t>。</w:t>
      </w:r>
    </w:p>
    <w:p w14:paraId="61EADBCF">
      <w:pPr>
        <w:keepNext w:val="0"/>
        <w:keepLines w:val="0"/>
        <w:widowControl/>
        <w:suppressLineNumbers w:val="0"/>
        <w:kinsoku w:val="0"/>
        <w:autoSpaceDE w:val="0"/>
        <w:autoSpaceDN w:val="0"/>
        <w:adjustRightInd w:val="0"/>
        <w:snapToGrid w:val="0"/>
        <w:spacing w:before="26" w:beforeAutospacing="0" w:after="0" w:afterAutospacing="0" w:line="360" w:lineRule="auto"/>
        <w:ind w:left="51" w:right="82" w:firstLine="472"/>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color w:val="auto"/>
          <w:spacing w:val="-2"/>
          <w:kern w:val="0"/>
          <w:sz w:val="24"/>
          <w:szCs w:val="24"/>
          <w:highlight w:val="none"/>
          <w:lang w:val="en-US" w:eastAsia="zh-CN" w:bidi="ar"/>
        </w:rPr>
        <w:t>b 、木质骨灰盒外形尺寸：长度应不</w:t>
      </w:r>
      <w:r>
        <w:rPr>
          <w:rFonts w:hint="eastAsia" w:ascii="宋体" w:hAnsi="宋体" w:eastAsia="宋体" w:cs="宋体"/>
          <w:snapToGrid/>
          <w:color w:val="auto"/>
          <w:kern w:val="0"/>
          <w:sz w:val="24"/>
          <w:szCs w:val="24"/>
          <w:highlight w:val="none"/>
          <w:lang w:val="en-US" w:eastAsia="zh-CN" w:bidi="ar"/>
        </w:rPr>
        <w:t>大于400mm，高度应不大于300mm，宽</w:t>
      </w:r>
      <w:r>
        <w:rPr>
          <w:rFonts w:hint="eastAsia" w:ascii="宋体" w:hAnsi="宋体" w:eastAsia="宋体" w:cs="宋体"/>
          <w:snapToGrid/>
          <w:color w:val="auto"/>
          <w:spacing w:val="-2"/>
          <w:kern w:val="0"/>
          <w:sz w:val="24"/>
          <w:szCs w:val="24"/>
          <w:highlight w:val="none"/>
          <w:lang w:val="en-US" w:eastAsia="zh-CN" w:bidi="ar"/>
        </w:rPr>
        <w:t>应不大</w:t>
      </w:r>
      <w:r>
        <w:rPr>
          <w:rFonts w:hint="eastAsia" w:ascii="宋体" w:hAnsi="宋体" w:eastAsia="宋体" w:cs="宋体"/>
          <w:snapToGrid/>
          <w:color w:val="auto"/>
          <w:spacing w:val="-4"/>
          <w:kern w:val="0"/>
          <w:sz w:val="24"/>
          <w:szCs w:val="24"/>
          <w:highlight w:val="none"/>
          <w:lang w:val="en-US" w:eastAsia="zh-CN" w:bidi="ar"/>
        </w:rPr>
        <w:t>于</w:t>
      </w:r>
      <w:r>
        <w:rPr>
          <w:rFonts w:hint="eastAsia" w:ascii="宋体" w:hAnsi="宋体" w:eastAsia="宋体" w:cs="宋体"/>
          <w:snapToGrid/>
          <w:color w:val="auto"/>
          <w:spacing w:val="-47"/>
          <w:kern w:val="0"/>
          <w:sz w:val="24"/>
          <w:szCs w:val="24"/>
          <w:highlight w:val="none"/>
          <w:lang w:val="en-US" w:eastAsia="zh-CN" w:bidi="ar"/>
        </w:rPr>
        <w:t xml:space="preserve"> </w:t>
      </w:r>
      <w:r>
        <w:rPr>
          <w:rFonts w:hint="eastAsia" w:ascii="宋体" w:hAnsi="宋体" w:eastAsia="宋体" w:cs="宋体"/>
          <w:snapToGrid/>
          <w:color w:val="auto"/>
          <w:spacing w:val="-4"/>
          <w:kern w:val="0"/>
          <w:sz w:val="24"/>
          <w:szCs w:val="24"/>
          <w:highlight w:val="none"/>
          <w:lang w:val="en-US" w:eastAsia="zh-CN" w:bidi="ar"/>
        </w:rPr>
        <w:t>240mm。</w:t>
      </w:r>
    </w:p>
    <w:p w14:paraId="6E0E8424">
      <w:pPr>
        <w:spacing w:line="360" w:lineRule="auto"/>
        <w:jc w:val="center"/>
        <w:rPr>
          <w:rFonts w:hint="default" w:ascii="宋体" w:hAnsi="宋体" w:eastAsia="宋体" w:cs="宋体"/>
          <w:b/>
          <w:bCs/>
          <w:snapToGrid/>
          <w:color w:val="auto"/>
          <w:spacing w:val="-1"/>
          <w:kern w:val="0"/>
          <w:sz w:val="24"/>
          <w:szCs w:val="24"/>
          <w:highlight w:val="none"/>
          <w:lang w:val="en-US" w:eastAsia="zh-CN" w:bidi="ar"/>
        </w:rPr>
      </w:pPr>
      <w:r>
        <w:rPr>
          <w:rFonts w:hint="eastAsia" w:ascii="宋体" w:hAnsi="宋体" w:cs="宋体"/>
          <w:b/>
          <w:bCs/>
          <w:snapToGrid/>
          <w:color w:val="auto"/>
          <w:spacing w:val="-1"/>
          <w:kern w:val="0"/>
          <w:sz w:val="24"/>
          <w:szCs w:val="24"/>
          <w:highlight w:val="none"/>
          <w:lang w:val="en-US" w:eastAsia="zh-CN" w:bidi="ar"/>
        </w:rPr>
        <w:t>二、</w:t>
      </w:r>
      <w:r>
        <w:rPr>
          <w:rFonts w:hint="default" w:ascii="宋体" w:hAnsi="宋体" w:eastAsia="宋体" w:cs="宋体"/>
          <w:b/>
          <w:bCs/>
          <w:snapToGrid/>
          <w:color w:val="auto"/>
          <w:spacing w:val="-1"/>
          <w:kern w:val="0"/>
          <w:sz w:val="24"/>
          <w:szCs w:val="24"/>
          <w:highlight w:val="none"/>
          <w:lang w:val="en-US" w:eastAsia="zh-CN" w:bidi="ar"/>
        </w:rPr>
        <w:t>商务要求</w:t>
      </w:r>
    </w:p>
    <w:p w14:paraId="2E5349B7">
      <w:pPr>
        <w:keepNext w:val="0"/>
        <w:keepLines w:val="0"/>
        <w:widowControl/>
        <w:suppressLineNumbers w:val="0"/>
        <w:kinsoku w:val="0"/>
        <w:autoSpaceDE w:val="0"/>
        <w:autoSpaceDN w:val="0"/>
        <w:adjustRightInd w:val="0"/>
        <w:snapToGrid w:val="0"/>
        <w:spacing w:before="33" w:beforeAutospacing="0" w:after="0" w:afterAutospacing="0" w:line="360" w:lineRule="auto"/>
        <w:ind w:left="48" w:right="80" w:firstLine="476"/>
        <w:jc w:val="left"/>
        <w:textAlignment w:val="baseline"/>
        <w:rPr>
          <w:rFonts w:hint="default" w:ascii="宋体" w:hAnsi="宋体" w:eastAsia="宋体" w:cs="宋体"/>
          <w:snapToGrid/>
          <w:color w:val="auto"/>
          <w:spacing w:val="-1"/>
          <w:kern w:val="0"/>
          <w:sz w:val="24"/>
          <w:szCs w:val="24"/>
          <w:highlight w:val="none"/>
          <w:lang w:val="en-US" w:eastAsia="zh-CN" w:bidi="ar"/>
        </w:rPr>
      </w:pPr>
      <w:r>
        <w:rPr>
          <w:rFonts w:hint="default" w:ascii="宋体" w:hAnsi="宋体" w:eastAsia="宋体" w:cs="宋体"/>
          <w:snapToGrid/>
          <w:color w:val="auto"/>
          <w:spacing w:val="-1"/>
          <w:kern w:val="0"/>
          <w:sz w:val="24"/>
          <w:szCs w:val="24"/>
          <w:highlight w:val="none"/>
          <w:lang w:val="en-US" w:eastAsia="zh-CN" w:bidi="ar"/>
        </w:rPr>
        <w:t>1.质量要求:合格</w:t>
      </w:r>
      <w:r>
        <w:rPr>
          <w:rFonts w:hint="eastAsia" w:ascii="宋体" w:hAnsi="宋体" w:eastAsia="宋体" w:cs="宋体"/>
          <w:snapToGrid/>
          <w:color w:val="auto"/>
          <w:spacing w:val="-1"/>
          <w:kern w:val="0"/>
          <w:sz w:val="24"/>
          <w:szCs w:val="24"/>
          <w:highlight w:val="none"/>
          <w:lang w:val="en-US" w:eastAsia="zh-CN" w:bidi="ar"/>
        </w:rPr>
        <w:t>；</w:t>
      </w:r>
    </w:p>
    <w:p w14:paraId="6339CC12">
      <w:pPr>
        <w:keepNext w:val="0"/>
        <w:keepLines w:val="0"/>
        <w:pageBreakBefore w:val="0"/>
        <w:widowControl w:val="0"/>
        <w:kinsoku/>
        <w:wordWrap/>
        <w:overflowPunct/>
        <w:topLinePunct w:val="0"/>
        <w:autoSpaceDE/>
        <w:autoSpaceDN/>
        <w:bidi w:val="0"/>
        <w:adjustRightInd w:val="0"/>
        <w:snapToGrid w:val="0"/>
        <w:spacing w:after="0" w:line="360" w:lineRule="auto"/>
        <w:ind w:firstLine="476" w:firstLineChars="200"/>
        <w:jc w:val="left"/>
        <w:textAlignment w:val="auto"/>
        <w:rPr>
          <w:rFonts w:hint="default" w:ascii="宋体" w:hAnsi="宋体" w:eastAsia="宋体" w:cs="宋体"/>
          <w:snapToGrid/>
          <w:color w:val="auto"/>
          <w:spacing w:val="-1"/>
          <w:kern w:val="0"/>
          <w:sz w:val="24"/>
          <w:szCs w:val="24"/>
          <w:highlight w:val="none"/>
          <w:lang w:val="en-US" w:eastAsia="zh-CN" w:bidi="ar"/>
        </w:rPr>
      </w:pPr>
      <w:r>
        <w:rPr>
          <w:rFonts w:hint="default" w:ascii="宋体" w:hAnsi="宋体" w:eastAsia="宋体" w:cs="宋体"/>
          <w:snapToGrid/>
          <w:color w:val="auto"/>
          <w:spacing w:val="-1"/>
          <w:kern w:val="0"/>
          <w:sz w:val="24"/>
          <w:szCs w:val="24"/>
          <w:highlight w:val="none"/>
          <w:lang w:val="en-US" w:eastAsia="zh-CN" w:bidi="ar"/>
        </w:rPr>
        <w:t>2.交货期:</w:t>
      </w:r>
      <w:r>
        <w:rPr>
          <w:rFonts w:hint="eastAsia" w:ascii="宋体" w:hAnsi="宋体" w:cs="宋体"/>
          <w:color w:val="auto"/>
          <w:sz w:val="24"/>
          <w:szCs w:val="24"/>
          <w:highlight w:val="none"/>
          <w:lang w:val="en-US" w:eastAsia="zh-CN"/>
        </w:rPr>
        <w:t>按需供货，接到通知5日内</w:t>
      </w:r>
      <w:r>
        <w:rPr>
          <w:rFonts w:hint="eastAsia" w:ascii="宋体" w:hAnsi="宋体" w:eastAsia="宋体" w:cs="宋体"/>
          <w:snapToGrid/>
          <w:color w:val="auto"/>
          <w:spacing w:val="-1"/>
          <w:kern w:val="0"/>
          <w:sz w:val="24"/>
          <w:szCs w:val="24"/>
          <w:highlight w:val="none"/>
          <w:lang w:val="en-US" w:eastAsia="zh-CN" w:bidi="ar"/>
        </w:rPr>
        <w:t>；</w:t>
      </w:r>
    </w:p>
    <w:p w14:paraId="5C431411">
      <w:pPr>
        <w:keepNext w:val="0"/>
        <w:keepLines w:val="0"/>
        <w:widowControl/>
        <w:suppressLineNumbers w:val="0"/>
        <w:kinsoku w:val="0"/>
        <w:autoSpaceDE w:val="0"/>
        <w:autoSpaceDN w:val="0"/>
        <w:adjustRightInd w:val="0"/>
        <w:snapToGrid w:val="0"/>
        <w:spacing w:before="33" w:beforeAutospacing="0" w:after="0" w:afterAutospacing="0" w:line="360" w:lineRule="auto"/>
        <w:ind w:left="48" w:right="80" w:firstLine="476"/>
        <w:jc w:val="left"/>
        <w:textAlignment w:val="baseline"/>
        <w:rPr>
          <w:rFonts w:hint="default" w:ascii="宋体" w:hAnsi="宋体" w:eastAsia="宋体" w:cs="宋体"/>
          <w:snapToGrid/>
          <w:color w:val="auto"/>
          <w:spacing w:val="-1"/>
          <w:kern w:val="0"/>
          <w:sz w:val="24"/>
          <w:szCs w:val="24"/>
          <w:highlight w:val="none"/>
          <w:lang w:val="en-US" w:eastAsia="zh-CN" w:bidi="ar"/>
        </w:rPr>
      </w:pPr>
      <w:r>
        <w:rPr>
          <w:rFonts w:hint="default" w:ascii="宋体" w:hAnsi="宋体" w:eastAsia="宋体" w:cs="宋体"/>
          <w:snapToGrid/>
          <w:color w:val="auto"/>
          <w:spacing w:val="-1"/>
          <w:kern w:val="0"/>
          <w:sz w:val="24"/>
          <w:szCs w:val="24"/>
          <w:highlight w:val="none"/>
          <w:lang w:val="en-US" w:eastAsia="zh-CN" w:bidi="ar"/>
        </w:rPr>
        <w:t>3.质保期:一年</w:t>
      </w:r>
      <w:r>
        <w:rPr>
          <w:rFonts w:hint="eastAsia" w:ascii="宋体" w:hAnsi="宋体" w:eastAsia="宋体" w:cs="宋体"/>
          <w:snapToGrid/>
          <w:color w:val="auto"/>
          <w:spacing w:val="-1"/>
          <w:kern w:val="0"/>
          <w:sz w:val="24"/>
          <w:szCs w:val="24"/>
          <w:highlight w:val="none"/>
          <w:lang w:val="en-US" w:eastAsia="zh-CN" w:bidi="ar"/>
        </w:rPr>
        <w:t>；</w:t>
      </w:r>
    </w:p>
    <w:p w14:paraId="3BB9A7F2">
      <w:pPr>
        <w:keepNext w:val="0"/>
        <w:keepLines w:val="0"/>
        <w:pageBreakBefore w:val="0"/>
        <w:widowControl w:val="0"/>
        <w:kinsoku/>
        <w:wordWrap/>
        <w:overflowPunct/>
        <w:topLinePunct w:val="0"/>
        <w:autoSpaceDE/>
        <w:autoSpaceDN/>
        <w:bidi w:val="0"/>
        <w:adjustRightInd w:val="0"/>
        <w:snapToGrid w:val="0"/>
        <w:spacing w:after="0" w:line="360" w:lineRule="auto"/>
        <w:ind w:firstLine="476" w:firstLineChars="200"/>
        <w:jc w:val="left"/>
        <w:textAlignment w:val="auto"/>
        <w:rPr>
          <w:rFonts w:hint="default" w:ascii="宋体" w:hAnsi="宋体" w:eastAsia="宋体" w:cs="宋体"/>
          <w:snapToGrid/>
          <w:color w:val="auto"/>
          <w:spacing w:val="-1"/>
          <w:kern w:val="0"/>
          <w:sz w:val="24"/>
          <w:szCs w:val="24"/>
          <w:highlight w:val="none"/>
          <w:lang w:val="en-US" w:eastAsia="zh-CN" w:bidi="ar"/>
        </w:rPr>
      </w:pPr>
      <w:r>
        <w:rPr>
          <w:rFonts w:hint="default" w:ascii="宋体" w:hAnsi="宋体" w:eastAsia="宋体" w:cs="宋体"/>
          <w:snapToGrid/>
          <w:color w:val="auto"/>
          <w:spacing w:val="-1"/>
          <w:kern w:val="0"/>
          <w:sz w:val="24"/>
          <w:szCs w:val="24"/>
          <w:highlight w:val="none"/>
          <w:lang w:val="en-US" w:eastAsia="zh-CN" w:bidi="ar"/>
        </w:rPr>
        <w:t>4.合同履行期限:二年</w:t>
      </w:r>
      <w:r>
        <w:rPr>
          <w:rFonts w:hint="eastAsia" w:ascii="宋体" w:hAnsi="宋体" w:eastAsia="宋体" w:cs="宋体"/>
          <w:snapToGrid/>
          <w:color w:val="auto"/>
          <w:spacing w:val="-1"/>
          <w:kern w:val="0"/>
          <w:sz w:val="24"/>
          <w:szCs w:val="24"/>
          <w:highlight w:val="none"/>
          <w:lang w:val="en-US" w:eastAsia="zh-CN" w:bidi="ar"/>
        </w:rPr>
        <w:t>；</w:t>
      </w:r>
    </w:p>
    <w:p w14:paraId="0ADEB167">
      <w:pPr>
        <w:keepNext w:val="0"/>
        <w:keepLines w:val="0"/>
        <w:widowControl/>
        <w:suppressLineNumbers w:val="0"/>
        <w:kinsoku w:val="0"/>
        <w:autoSpaceDE w:val="0"/>
        <w:autoSpaceDN w:val="0"/>
        <w:adjustRightInd w:val="0"/>
        <w:snapToGrid w:val="0"/>
        <w:spacing w:before="33" w:beforeAutospacing="0" w:after="0" w:afterAutospacing="0" w:line="360" w:lineRule="auto"/>
        <w:ind w:left="48" w:right="80" w:firstLine="476"/>
        <w:jc w:val="left"/>
        <w:textAlignment w:val="baseline"/>
        <w:rPr>
          <w:rFonts w:hint="default"/>
          <w:color w:val="auto"/>
          <w:sz w:val="24"/>
          <w:szCs w:val="24"/>
          <w:highlight w:val="none"/>
          <w:lang w:val="en-US" w:eastAsia="zh-CN"/>
        </w:rPr>
      </w:pPr>
      <w:r>
        <w:rPr>
          <w:rFonts w:hint="default" w:ascii="宋体" w:hAnsi="宋体" w:eastAsia="宋体" w:cs="宋体"/>
          <w:snapToGrid/>
          <w:color w:val="auto"/>
          <w:spacing w:val="-1"/>
          <w:kern w:val="0"/>
          <w:sz w:val="24"/>
          <w:szCs w:val="24"/>
          <w:highlight w:val="none"/>
          <w:lang w:val="en-US" w:eastAsia="zh-CN" w:bidi="ar"/>
        </w:rPr>
        <w:t>5、付款条件:根据项目实际使用数量，按</w:t>
      </w:r>
      <w:r>
        <w:rPr>
          <w:rFonts w:hint="eastAsia" w:ascii="宋体" w:hAnsi="宋体" w:cs="宋体"/>
          <w:snapToGrid/>
          <w:color w:val="auto"/>
          <w:spacing w:val="-1"/>
          <w:kern w:val="0"/>
          <w:sz w:val="24"/>
          <w:szCs w:val="24"/>
          <w:highlight w:val="none"/>
          <w:lang w:val="en-US" w:eastAsia="zh-CN" w:bidi="ar"/>
        </w:rPr>
        <w:t>月</w:t>
      </w:r>
      <w:r>
        <w:rPr>
          <w:rFonts w:hint="default" w:ascii="宋体" w:hAnsi="宋体" w:eastAsia="宋体" w:cs="宋体"/>
          <w:snapToGrid/>
          <w:color w:val="auto"/>
          <w:spacing w:val="-1"/>
          <w:kern w:val="0"/>
          <w:sz w:val="24"/>
          <w:szCs w:val="24"/>
          <w:highlight w:val="none"/>
          <w:lang w:val="en-US" w:eastAsia="zh-CN" w:bidi="ar"/>
        </w:rPr>
        <w:t>支付。</w:t>
      </w:r>
      <w:r>
        <w:rPr>
          <w:rFonts w:hint="default"/>
          <w:color w:val="auto"/>
          <w:sz w:val="24"/>
          <w:szCs w:val="24"/>
          <w:highlight w:val="none"/>
          <w:lang w:val="en-US" w:eastAsia="zh-CN"/>
        </w:rPr>
        <w:br w:type="page"/>
      </w:r>
    </w:p>
    <w:p w14:paraId="3443570B">
      <w:pPr>
        <w:pStyle w:val="47"/>
        <w:rPr>
          <w:rFonts w:hint="default"/>
          <w:color w:val="auto"/>
          <w:highlight w:val="none"/>
          <w:lang w:val="en-US" w:eastAsia="zh-CN"/>
        </w:rPr>
      </w:pPr>
    </w:p>
    <w:p w14:paraId="24875209">
      <w:pPr>
        <w:pStyle w:val="11"/>
        <w:rPr>
          <w:rFonts w:hint="eastAsia"/>
          <w:color w:val="auto"/>
          <w:highlight w:val="none"/>
          <w:lang w:val="en-US" w:eastAsia="zh-CN"/>
        </w:rPr>
      </w:pPr>
    </w:p>
    <w:p w14:paraId="234BDBBF">
      <w:pPr>
        <w:pStyle w:val="4"/>
        <w:numPr>
          <w:ilvl w:val="0"/>
          <w:numId w:val="0"/>
        </w:numPr>
        <w:bidi w:val="0"/>
        <w:jc w:val="center"/>
        <w:rPr>
          <w:rFonts w:hint="eastAsia" w:ascii="宋体" w:hAnsi="宋体" w:eastAsia="宋体" w:cs="宋体"/>
          <w:color w:val="auto"/>
          <w:sz w:val="36"/>
          <w:szCs w:val="36"/>
          <w:highlight w:val="none"/>
          <w:lang w:val="en-US" w:eastAsia="zh-CN"/>
        </w:rPr>
      </w:pPr>
      <w:bookmarkStart w:id="119" w:name="_Toc154"/>
      <w:r>
        <w:rPr>
          <w:rFonts w:hint="eastAsia" w:ascii="宋体" w:hAnsi="宋体" w:eastAsia="宋体" w:cs="宋体"/>
          <w:color w:val="auto"/>
          <w:sz w:val="36"/>
          <w:szCs w:val="36"/>
          <w:highlight w:val="none"/>
          <w:lang w:val="en-US" w:eastAsia="zh-CN"/>
        </w:rPr>
        <w:t>第六章  响应文件格式</w:t>
      </w:r>
      <w:bookmarkEnd w:id="119"/>
      <w:bookmarkStart w:id="120" w:name="_Toc8087"/>
    </w:p>
    <w:bookmarkEnd w:id="120"/>
    <w:p w14:paraId="66AAA234">
      <w:pPr>
        <w:rPr>
          <w:rFonts w:hint="eastAsia" w:ascii="宋体" w:hAnsi="宋体" w:eastAsia="宋体" w:cs="宋体"/>
          <w:color w:val="auto"/>
          <w:highlight w:val="none"/>
        </w:rPr>
      </w:pPr>
    </w:p>
    <w:p w14:paraId="1E20572E">
      <w:pPr>
        <w:widowControl/>
        <w:spacing w:after="0" w:line="240" w:lineRule="auto"/>
        <w:jc w:val="left"/>
        <w:rPr>
          <w:rFonts w:hint="eastAsia" w:ascii="宋体" w:hAnsi="宋体" w:eastAsia="宋体" w:cs="宋体"/>
          <w:b/>
          <w:color w:val="auto"/>
          <w:highlight w:val="none"/>
        </w:rPr>
      </w:pPr>
    </w:p>
    <w:p w14:paraId="5DBCCE7B">
      <w:pPr>
        <w:jc w:val="center"/>
        <w:rPr>
          <w:rFonts w:hint="eastAsia" w:ascii="宋体" w:hAnsi="宋体" w:eastAsia="宋体" w:cs="宋体"/>
          <w:b/>
          <w:bCs w:val="0"/>
          <w:color w:val="auto"/>
          <w:sz w:val="36"/>
          <w:szCs w:val="36"/>
          <w:highlight w:val="none"/>
          <w:lang w:val="en-US" w:eastAsia="zh-CN"/>
        </w:rPr>
      </w:pPr>
      <w:r>
        <w:rPr>
          <w:rFonts w:hint="eastAsia" w:ascii="宋体" w:hAnsi="宋体" w:eastAsia="宋体" w:cs="宋体"/>
          <w:b/>
          <w:bCs w:val="0"/>
          <w:color w:val="auto"/>
          <w:sz w:val="36"/>
          <w:szCs w:val="36"/>
          <w:highlight w:val="none"/>
          <w:lang w:val="en-US" w:eastAsia="zh-CN"/>
        </w:rPr>
        <w:t xml:space="preserve">                                     </w:t>
      </w:r>
    </w:p>
    <w:p w14:paraId="58E61E65">
      <w:pPr>
        <w:pStyle w:val="11"/>
        <w:rPr>
          <w:rFonts w:hint="eastAsia" w:ascii="宋体" w:hAnsi="宋体" w:eastAsia="宋体" w:cs="宋体"/>
          <w:b w:val="0"/>
          <w:bCs/>
          <w:color w:val="auto"/>
          <w:highlight w:val="none"/>
        </w:rPr>
      </w:pPr>
    </w:p>
    <w:p w14:paraId="59FA14EF">
      <w:pPr>
        <w:pStyle w:val="26"/>
        <w:rPr>
          <w:rFonts w:hint="eastAsia" w:ascii="宋体" w:hAnsi="宋体" w:eastAsia="宋体" w:cs="宋体"/>
          <w:color w:val="auto"/>
          <w:highlight w:val="none"/>
        </w:rPr>
      </w:pPr>
    </w:p>
    <w:p w14:paraId="39E7BE60">
      <w:pPr>
        <w:ind w:right="210" w:firstLine="1084" w:firstLineChars="300"/>
        <w:jc w:val="left"/>
        <w:rPr>
          <w:rFonts w:hint="eastAsia" w:ascii="宋体" w:hAnsi="宋体" w:eastAsia="宋体" w:cs="宋体"/>
          <w:b/>
          <w:bCs w:val="0"/>
          <w:color w:val="auto"/>
          <w:sz w:val="36"/>
          <w:szCs w:val="36"/>
          <w:highlight w:val="none"/>
          <w:u w:val="single"/>
          <w:lang w:val="en-US" w:eastAsia="zh-CN"/>
        </w:rPr>
      </w:pPr>
      <w:r>
        <w:rPr>
          <w:rFonts w:hint="eastAsia" w:ascii="宋体" w:hAnsi="宋体" w:eastAsia="宋体" w:cs="宋体"/>
          <w:b/>
          <w:bCs w:val="0"/>
          <w:color w:val="auto"/>
          <w:sz w:val="36"/>
          <w:szCs w:val="36"/>
          <w:highlight w:val="none"/>
          <w:u w:val="single"/>
        </w:rPr>
        <w:t xml:space="preserve">                              </w:t>
      </w:r>
      <w:r>
        <w:rPr>
          <w:rFonts w:hint="eastAsia" w:ascii="宋体" w:hAnsi="宋体" w:eastAsia="宋体" w:cs="宋体"/>
          <w:b/>
          <w:bCs w:val="0"/>
          <w:color w:val="auto"/>
          <w:sz w:val="36"/>
          <w:szCs w:val="36"/>
          <w:highlight w:val="none"/>
        </w:rPr>
        <w:t>（项目名</w:t>
      </w:r>
      <w:r>
        <w:rPr>
          <w:rFonts w:hint="eastAsia" w:ascii="宋体" w:hAnsi="宋体" w:eastAsia="宋体" w:cs="宋体"/>
          <w:b/>
          <w:bCs w:val="0"/>
          <w:color w:val="auto"/>
          <w:sz w:val="36"/>
          <w:szCs w:val="36"/>
          <w:highlight w:val="none"/>
          <w:u w:val="none"/>
        </w:rPr>
        <w:t>称）</w:t>
      </w:r>
    </w:p>
    <w:p w14:paraId="2783F28A">
      <w:pPr>
        <w:ind w:right="105"/>
        <w:jc w:val="both"/>
        <w:rPr>
          <w:rFonts w:hint="eastAsia" w:ascii="宋体" w:hAnsi="宋体" w:eastAsia="宋体" w:cs="宋体"/>
          <w:b/>
          <w:bCs w:val="0"/>
          <w:color w:val="auto"/>
          <w:sz w:val="36"/>
          <w:szCs w:val="36"/>
          <w:highlight w:val="none"/>
        </w:rPr>
      </w:pPr>
    </w:p>
    <w:p w14:paraId="14F2FD00">
      <w:pPr>
        <w:pStyle w:val="26"/>
        <w:rPr>
          <w:rFonts w:hint="eastAsia" w:ascii="宋体" w:hAnsi="宋体" w:eastAsia="宋体" w:cs="宋体"/>
          <w:b w:val="0"/>
          <w:bCs/>
          <w:color w:val="auto"/>
          <w:sz w:val="32"/>
          <w:szCs w:val="32"/>
          <w:highlight w:val="none"/>
        </w:rPr>
      </w:pPr>
    </w:p>
    <w:p w14:paraId="7DE0AD73">
      <w:pPr>
        <w:pStyle w:val="26"/>
        <w:rPr>
          <w:rFonts w:hint="eastAsia" w:ascii="宋体" w:hAnsi="宋体" w:eastAsia="宋体" w:cs="宋体"/>
          <w:b w:val="0"/>
          <w:bCs/>
          <w:color w:val="auto"/>
          <w:sz w:val="32"/>
          <w:szCs w:val="32"/>
          <w:highlight w:val="none"/>
        </w:rPr>
      </w:pPr>
    </w:p>
    <w:p w14:paraId="6ED5791A">
      <w:pPr>
        <w:ind w:right="105"/>
        <w:jc w:val="center"/>
        <w:rPr>
          <w:rFonts w:hint="eastAsia" w:ascii="宋体" w:hAnsi="宋体" w:eastAsia="宋体" w:cs="宋体"/>
          <w:b/>
          <w:bCs w:val="0"/>
          <w:color w:val="auto"/>
          <w:sz w:val="84"/>
          <w:szCs w:val="84"/>
          <w:highlight w:val="none"/>
        </w:rPr>
      </w:pPr>
      <w:bookmarkStart w:id="121" w:name="_Toc7914"/>
      <w:bookmarkStart w:id="122" w:name="_Toc496"/>
      <w:r>
        <w:rPr>
          <w:rFonts w:hint="eastAsia" w:ascii="宋体" w:hAnsi="宋体" w:eastAsia="宋体" w:cs="宋体"/>
          <w:b/>
          <w:bCs w:val="0"/>
          <w:color w:val="auto"/>
          <w:sz w:val="84"/>
          <w:szCs w:val="84"/>
          <w:highlight w:val="none"/>
        </w:rPr>
        <w:t>响</w:t>
      </w:r>
      <w:r>
        <w:rPr>
          <w:rFonts w:hint="eastAsia" w:ascii="宋体" w:hAnsi="宋体" w:eastAsia="宋体" w:cs="宋体"/>
          <w:b/>
          <w:bCs w:val="0"/>
          <w:color w:val="auto"/>
          <w:sz w:val="84"/>
          <w:szCs w:val="84"/>
          <w:highlight w:val="none"/>
          <w:lang w:val="en-US" w:eastAsia="zh-CN"/>
        </w:rPr>
        <w:t xml:space="preserve"> </w:t>
      </w:r>
      <w:r>
        <w:rPr>
          <w:rFonts w:hint="eastAsia" w:ascii="宋体" w:hAnsi="宋体" w:eastAsia="宋体" w:cs="宋体"/>
          <w:b/>
          <w:bCs w:val="0"/>
          <w:color w:val="auto"/>
          <w:sz w:val="84"/>
          <w:szCs w:val="84"/>
          <w:highlight w:val="none"/>
        </w:rPr>
        <w:t>应</w:t>
      </w:r>
      <w:r>
        <w:rPr>
          <w:rFonts w:hint="eastAsia" w:ascii="宋体" w:hAnsi="宋体" w:eastAsia="宋体" w:cs="宋体"/>
          <w:b/>
          <w:bCs w:val="0"/>
          <w:color w:val="auto"/>
          <w:sz w:val="84"/>
          <w:szCs w:val="84"/>
          <w:highlight w:val="none"/>
          <w:lang w:val="en-US" w:eastAsia="zh-CN"/>
        </w:rPr>
        <w:t xml:space="preserve"> </w:t>
      </w:r>
      <w:r>
        <w:rPr>
          <w:rFonts w:hint="eastAsia" w:ascii="宋体" w:hAnsi="宋体" w:eastAsia="宋体" w:cs="宋体"/>
          <w:b/>
          <w:bCs w:val="0"/>
          <w:color w:val="auto"/>
          <w:sz w:val="84"/>
          <w:szCs w:val="84"/>
          <w:highlight w:val="none"/>
        </w:rPr>
        <w:t>文</w:t>
      </w:r>
      <w:r>
        <w:rPr>
          <w:rFonts w:hint="eastAsia" w:ascii="宋体" w:hAnsi="宋体" w:eastAsia="宋体" w:cs="宋体"/>
          <w:b/>
          <w:bCs w:val="0"/>
          <w:color w:val="auto"/>
          <w:sz w:val="84"/>
          <w:szCs w:val="84"/>
          <w:highlight w:val="none"/>
          <w:lang w:val="en-US" w:eastAsia="zh-CN"/>
        </w:rPr>
        <w:t xml:space="preserve"> </w:t>
      </w:r>
      <w:r>
        <w:rPr>
          <w:rFonts w:hint="eastAsia" w:ascii="宋体" w:hAnsi="宋体" w:eastAsia="宋体" w:cs="宋体"/>
          <w:b/>
          <w:bCs w:val="0"/>
          <w:color w:val="auto"/>
          <w:sz w:val="84"/>
          <w:szCs w:val="84"/>
          <w:highlight w:val="none"/>
        </w:rPr>
        <w:t>件</w:t>
      </w:r>
      <w:bookmarkEnd w:id="121"/>
      <w:bookmarkEnd w:id="122"/>
    </w:p>
    <w:p w14:paraId="6115AC94">
      <w:pPr>
        <w:rPr>
          <w:rFonts w:hint="eastAsia" w:ascii="宋体" w:hAnsi="宋体" w:eastAsia="宋体" w:cs="宋体"/>
          <w:b w:val="0"/>
          <w:bCs/>
          <w:color w:val="auto"/>
          <w:sz w:val="24"/>
          <w:szCs w:val="24"/>
          <w:highlight w:val="none"/>
        </w:rPr>
      </w:pPr>
    </w:p>
    <w:p w14:paraId="081D0766">
      <w:pPr>
        <w:pStyle w:val="11"/>
        <w:rPr>
          <w:rFonts w:hint="eastAsia" w:ascii="宋体" w:hAnsi="宋体" w:eastAsia="宋体" w:cs="宋体"/>
          <w:b w:val="0"/>
          <w:bCs/>
          <w:color w:val="auto"/>
          <w:sz w:val="24"/>
          <w:szCs w:val="24"/>
          <w:highlight w:val="none"/>
        </w:rPr>
      </w:pPr>
    </w:p>
    <w:p w14:paraId="1D5FE6AD">
      <w:pPr>
        <w:rPr>
          <w:rFonts w:hint="eastAsia" w:ascii="宋体" w:hAnsi="宋体" w:eastAsia="宋体" w:cs="宋体"/>
          <w:b w:val="0"/>
          <w:bCs/>
          <w:color w:val="auto"/>
          <w:sz w:val="24"/>
          <w:szCs w:val="24"/>
          <w:highlight w:val="none"/>
        </w:rPr>
      </w:pPr>
    </w:p>
    <w:p w14:paraId="5D275DFA">
      <w:pPr>
        <w:pStyle w:val="11"/>
        <w:rPr>
          <w:rFonts w:hint="eastAsia" w:ascii="宋体" w:hAnsi="宋体" w:eastAsia="宋体" w:cs="宋体"/>
          <w:b w:val="0"/>
          <w:bCs/>
          <w:color w:val="auto"/>
          <w:sz w:val="24"/>
          <w:szCs w:val="24"/>
          <w:highlight w:val="none"/>
        </w:rPr>
      </w:pPr>
    </w:p>
    <w:p w14:paraId="015919E9">
      <w:pPr>
        <w:rPr>
          <w:rFonts w:hint="eastAsia" w:ascii="宋体" w:hAnsi="宋体" w:eastAsia="宋体" w:cs="宋体"/>
          <w:color w:val="auto"/>
          <w:highlight w:val="none"/>
        </w:rPr>
      </w:pPr>
    </w:p>
    <w:p w14:paraId="42B034BB">
      <w:pPr>
        <w:rPr>
          <w:rFonts w:hint="eastAsia" w:ascii="宋体" w:hAnsi="宋体" w:eastAsia="宋体" w:cs="宋体"/>
          <w:b w:val="0"/>
          <w:bCs/>
          <w:color w:val="auto"/>
          <w:sz w:val="24"/>
          <w:szCs w:val="24"/>
          <w:highlight w:val="none"/>
        </w:rPr>
      </w:pPr>
    </w:p>
    <w:p w14:paraId="0DA84756">
      <w:pPr>
        <w:rPr>
          <w:rFonts w:hint="eastAsia" w:ascii="宋体" w:hAnsi="宋体" w:eastAsia="宋体" w:cs="宋体"/>
          <w:b w:val="0"/>
          <w:bCs/>
          <w:color w:val="auto"/>
          <w:sz w:val="24"/>
          <w:szCs w:val="24"/>
          <w:highlight w:val="none"/>
        </w:rPr>
      </w:pPr>
    </w:p>
    <w:p w14:paraId="6CAA5D4B">
      <w:pPr>
        <w:tabs>
          <w:tab w:val="left" w:pos="5176"/>
        </w:tabs>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14:paraId="1053B441">
      <w:pPr>
        <w:rPr>
          <w:rFonts w:hint="eastAsia" w:ascii="宋体" w:hAnsi="宋体" w:eastAsia="宋体" w:cs="宋体"/>
          <w:b w:val="0"/>
          <w:bCs/>
          <w:color w:val="auto"/>
          <w:sz w:val="24"/>
          <w:szCs w:val="24"/>
          <w:highlight w:val="none"/>
        </w:rPr>
      </w:pPr>
    </w:p>
    <w:p w14:paraId="065AFA93">
      <w:pPr>
        <w:ind w:firstLine="1560" w:firstLineChars="650"/>
        <w:rPr>
          <w:rFonts w:hint="eastAsia" w:ascii="宋体" w:hAnsi="宋体" w:eastAsia="宋体" w:cs="宋体"/>
          <w:b w:val="0"/>
          <w:bCs/>
          <w:color w:val="auto"/>
          <w:sz w:val="24"/>
          <w:szCs w:val="24"/>
          <w:highlight w:val="none"/>
        </w:rPr>
      </w:pPr>
    </w:p>
    <w:p w14:paraId="58B8EB5B">
      <w:pPr>
        <w:ind w:firstLine="1560" w:firstLineChars="650"/>
        <w:rPr>
          <w:rFonts w:hint="eastAsia" w:ascii="宋体" w:hAnsi="宋体" w:eastAsia="宋体" w:cs="宋体"/>
          <w:b w:val="0"/>
          <w:bCs/>
          <w:color w:val="auto"/>
          <w:sz w:val="24"/>
          <w:szCs w:val="24"/>
          <w:highlight w:val="none"/>
        </w:rPr>
      </w:pPr>
    </w:p>
    <w:p w14:paraId="5C2DA605">
      <w:pPr>
        <w:ind w:firstLine="1560" w:firstLineChars="650"/>
        <w:rPr>
          <w:rFonts w:hint="eastAsia" w:ascii="宋体" w:hAnsi="宋体" w:eastAsia="宋体" w:cs="宋体"/>
          <w:b w:val="0"/>
          <w:bCs/>
          <w:color w:val="auto"/>
          <w:sz w:val="24"/>
          <w:szCs w:val="24"/>
          <w:highlight w:val="none"/>
        </w:rPr>
      </w:pPr>
    </w:p>
    <w:p w14:paraId="2C85894E">
      <w:pPr>
        <w:spacing w:line="360" w:lineRule="auto"/>
        <w:ind w:left="958" w:leftChars="456" w:firstLine="0" w:firstLineChars="0"/>
        <w:rPr>
          <w:rFonts w:hint="eastAsia" w:ascii="宋体" w:hAnsi="宋体" w:eastAsia="宋体" w:cs="宋体"/>
          <w:b/>
          <w:bCs w:val="0"/>
          <w:color w:val="auto"/>
          <w:sz w:val="32"/>
          <w:szCs w:val="32"/>
          <w:highlight w:val="none"/>
        </w:rPr>
      </w:pPr>
      <w:bookmarkStart w:id="123" w:name="_Toc11831"/>
      <w:bookmarkStart w:id="124" w:name="_Toc32465"/>
      <w:r>
        <w:rPr>
          <w:rFonts w:hint="eastAsia" w:ascii="宋体" w:hAnsi="宋体" w:eastAsia="宋体" w:cs="宋体"/>
          <w:b/>
          <w:bCs w:val="0"/>
          <w:color w:val="auto"/>
          <w:sz w:val="32"/>
          <w:szCs w:val="32"/>
          <w:highlight w:val="none"/>
          <w:lang w:eastAsia="zh-CN"/>
        </w:rPr>
        <w:t>供应商</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u w:val="single"/>
        </w:rPr>
        <w:t xml:space="preserve">                  </w:t>
      </w:r>
      <w:r>
        <w:rPr>
          <w:rFonts w:hint="eastAsia" w:ascii="宋体" w:hAnsi="宋体" w:eastAsia="宋体" w:cs="宋体"/>
          <w:b/>
          <w:bCs w:val="0"/>
          <w:color w:val="auto"/>
          <w:sz w:val="32"/>
          <w:szCs w:val="32"/>
          <w:highlight w:val="none"/>
        </w:rPr>
        <w:t>（盖章）</w:t>
      </w:r>
      <w:bookmarkEnd w:id="123"/>
      <w:bookmarkEnd w:id="124"/>
      <w:bookmarkStart w:id="125" w:name="_Toc11842"/>
      <w:bookmarkStart w:id="126" w:name="_Toc11003"/>
    </w:p>
    <w:p w14:paraId="706FB4A7">
      <w:pPr>
        <w:spacing w:line="360" w:lineRule="auto"/>
        <w:ind w:left="958" w:leftChars="456" w:firstLine="0" w:firstLineChars="0"/>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法定代表人：</w:t>
      </w:r>
      <w:r>
        <w:rPr>
          <w:rFonts w:hint="eastAsia" w:ascii="宋体" w:hAnsi="宋体" w:eastAsia="宋体" w:cs="宋体"/>
          <w:b/>
          <w:bCs w:val="0"/>
          <w:color w:val="auto"/>
          <w:sz w:val="32"/>
          <w:szCs w:val="32"/>
          <w:highlight w:val="none"/>
          <w:u w:val="single"/>
        </w:rPr>
        <w:t xml:space="preserve">      </w:t>
      </w:r>
      <w:r>
        <w:rPr>
          <w:rFonts w:hint="eastAsia" w:ascii="宋体" w:hAnsi="宋体" w:cs="宋体"/>
          <w:b/>
          <w:bCs w:val="0"/>
          <w:color w:val="auto"/>
          <w:sz w:val="32"/>
          <w:szCs w:val="32"/>
          <w:highlight w:val="none"/>
          <w:u w:val="single"/>
          <w:lang w:val="en-US" w:eastAsia="zh-CN"/>
        </w:rPr>
        <w:t xml:space="preserve">   </w:t>
      </w:r>
      <w:r>
        <w:rPr>
          <w:rFonts w:hint="eastAsia" w:ascii="宋体" w:hAnsi="宋体" w:eastAsia="宋体" w:cs="宋体"/>
          <w:b/>
          <w:bCs w:val="0"/>
          <w:color w:val="auto"/>
          <w:sz w:val="32"/>
          <w:szCs w:val="32"/>
          <w:highlight w:val="none"/>
          <w:u w:val="single"/>
        </w:rPr>
        <w:t xml:space="preserve">  </w:t>
      </w:r>
      <w:r>
        <w:rPr>
          <w:rFonts w:hint="eastAsia" w:ascii="宋体" w:hAnsi="宋体" w:eastAsia="宋体" w:cs="宋体"/>
          <w:b/>
          <w:bCs w:val="0"/>
          <w:color w:val="auto"/>
          <w:sz w:val="32"/>
          <w:szCs w:val="32"/>
          <w:highlight w:val="none"/>
        </w:rPr>
        <w:t>（</w:t>
      </w:r>
      <w:r>
        <w:rPr>
          <w:rFonts w:hint="eastAsia" w:ascii="宋体" w:hAnsi="宋体" w:cs="宋体"/>
          <w:b/>
          <w:bCs w:val="0"/>
          <w:color w:val="auto"/>
          <w:sz w:val="32"/>
          <w:szCs w:val="32"/>
          <w:highlight w:val="none"/>
          <w:lang w:eastAsia="zh-CN"/>
        </w:rPr>
        <w:t>签字或盖章</w:t>
      </w:r>
      <w:r>
        <w:rPr>
          <w:rFonts w:hint="eastAsia" w:ascii="宋体" w:hAnsi="宋体" w:eastAsia="宋体" w:cs="宋体"/>
          <w:b/>
          <w:bCs w:val="0"/>
          <w:color w:val="auto"/>
          <w:sz w:val="32"/>
          <w:szCs w:val="32"/>
          <w:highlight w:val="none"/>
        </w:rPr>
        <w:t>）</w:t>
      </w:r>
      <w:bookmarkEnd w:id="125"/>
      <w:bookmarkEnd w:id="126"/>
    </w:p>
    <w:p w14:paraId="5CC3C434">
      <w:pPr>
        <w:spacing w:line="360" w:lineRule="auto"/>
        <w:ind w:firstLine="2249" w:firstLineChars="700"/>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u w:val="single"/>
        </w:rPr>
        <w:t xml:space="preserve">        </w:t>
      </w:r>
      <w:bookmarkStart w:id="127" w:name="_Toc17010"/>
      <w:bookmarkStart w:id="128" w:name="_Toc16410"/>
      <w:r>
        <w:rPr>
          <w:rFonts w:hint="eastAsia" w:ascii="宋体" w:hAnsi="宋体" w:eastAsia="宋体" w:cs="宋体"/>
          <w:b/>
          <w:bCs w:val="0"/>
          <w:color w:val="auto"/>
          <w:sz w:val="32"/>
          <w:szCs w:val="32"/>
          <w:highlight w:val="none"/>
        </w:rPr>
        <w:t>年</w:t>
      </w:r>
      <w:r>
        <w:rPr>
          <w:rFonts w:hint="eastAsia" w:ascii="宋体" w:hAnsi="宋体" w:eastAsia="宋体" w:cs="宋体"/>
          <w:b/>
          <w:bCs w:val="0"/>
          <w:color w:val="auto"/>
          <w:sz w:val="32"/>
          <w:szCs w:val="32"/>
          <w:highlight w:val="none"/>
          <w:u w:val="single"/>
        </w:rPr>
        <w:t xml:space="preserve">       </w:t>
      </w:r>
      <w:r>
        <w:rPr>
          <w:rFonts w:hint="eastAsia" w:ascii="宋体" w:hAnsi="宋体" w:eastAsia="宋体" w:cs="宋体"/>
          <w:b/>
          <w:bCs w:val="0"/>
          <w:color w:val="auto"/>
          <w:sz w:val="32"/>
          <w:szCs w:val="32"/>
          <w:highlight w:val="none"/>
        </w:rPr>
        <w:t>月</w:t>
      </w:r>
      <w:r>
        <w:rPr>
          <w:rFonts w:hint="eastAsia" w:ascii="宋体" w:hAnsi="宋体" w:eastAsia="宋体" w:cs="宋体"/>
          <w:b/>
          <w:bCs w:val="0"/>
          <w:color w:val="auto"/>
          <w:sz w:val="32"/>
          <w:szCs w:val="32"/>
          <w:highlight w:val="none"/>
          <w:u w:val="single"/>
        </w:rPr>
        <w:t xml:space="preserve">       </w:t>
      </w:r>
      <w:r>
        <w:rPr>
          <w:rFonts w:hint="eastAsia" w:ascii="宋体" w:hAnsi="宋体" w:eastAsia="宋体" w:cs="宋体"/>
          <w:b/>
          <w:bCs w:val="0"/>
          <w:color w:val="auto"/>
          <w:sz w:val="32"/>
          <w:szCs w:val="32"/>
          <w:highlight w:val="none"/>
        </w:rPr>
        <w:t>日</w:t>
      </w:r>
      <w:bookmarkEnd w:id="127"/>
      <w:bookmarkEnd w:id="128"/>
    </w:p>
    <w:p w14:paraId="6EEC4B87">
      <w:pPr>
        <w:pStyle w:val="11"/>
        <w:spacing w:line="360" w:lineRule="auto"/>
        <w:rPr>
          <w:rFonts w:hint="eastAsia" w:ascii="宋体" w:hAnsi="宋体" w:eastAsia="宋体" w:cs="宋体"/>
          <w:b/>
          <w:bCs w:val="0"/>
          <w:color w:val="auto"/>
          <w:sz w:val="32"/>
          <w:szCs w:val="32"/>
          <w:highlight w:val="none"/>
          <w:lang w:val="en-US" w:eastAsia="zh-CN"/>
        </w:rPr>
      </w:pPr>
    </w:p>
    <w:p w14:paraId="5A4EF55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AE43DF4">
      <w:pPr>
        <w:spacing w:after="0" w:line="360" w:lineRule="auto"/>
        <w:jc w:val="center"/>
        <w:rPr>
          <w:rFonts w:hint="eastAsia" w:ascii="宋体" w:hAnsi="宋体" w:eastAsia="宋体" w:cs="宋体"/>
          <w:b/>
          <w:bCs w:val="0"/>
          <w:color w:val="auto"/>
          <w:sz w:val="36"/>
          <w:szCs w:val="36"/>
          <w:highlight w:val="none"/>
        </w:rPr>
      </w:pPr>
    </w:p>
    <w:p w14:paraId="777F8C4D">
      <w:pPr>
        <w:spacing w:before="322" w:line="227" w:lineRule="auto"/>
        <w:ind w:left="3872"/>
        <w:rPr>
          <w:rFonts w:ascii="黑体" w:hAnsi="黑体" w:eastAsia="黑体" w:cs="黑体"/>
          <w:color w:val="auto"/>
          <w:sz w:val="35"/>
          <w:szCs w:val="35"/>
          <w:highlight w:val="none"/>
        </w:rPr>
      </w:pPr>
      <w:r>
        <w:rPr>
          <w:rFonts w:ascii="黑体" w:hAnsi="黑体" w:eastAsia="黑体" w:cs="黑体"/>
          <w:color w:val="auto"/>
          <w:spacing w:val="-25"/>
          <w:sz w:val="35"/>
          <w:szCs w:val="35"/>
          <w:highlight w:val="none"/>
        </w:rPr>
        <w:t>目</w:t>
      </w:r>
      <w:r>
        <w:rPr>
          <w:rFonts w:ascii="黑体" w:hAnsi="黑体" w:eastAsia="黑体" w:cs="黑体"/>
          <w:color w:val="auto"/>
          <w:spacing w:val="9"/>
          <w:sz w:val="35"/>
          <w:szCs w:val="35"/>
          <w:highlight w:val="none"/>
        </w:rPr>
        <w:t xml:space="preserve">    </w:t>
      </w:r>
      <w:r>
        <w:rPr>
          <w:rFonts w:ascii="黑体" w:hAnsi="黑体" w:eastAsia="黑体" w:cs="黑体"/>
          <w:color w:val="auto"/>
          <w:spacing w:val="-25"/>
          <w:sz w:val="35"/>
          <w:szCs w:val="35"/>
          <w:highlight w:val="none"/>
        </w:rPr>
        <w:t>录</w:t>
      </w:r>
    </w:p>
    <w:p w14:paraId="48B0FA7F">
      <w:pPr>
        <w:pStyle w:val="11"/>
        <w:spacing w:line="244" w:lineRule="auto"/>
        <w:rPr>
          <w:color w:val="auto"/>
          <w:highlight w:val="none"/>
        </w:rPr>
      </w:pPr>
    </w:p>
    <w:p w14:paraId="527D62DC">
      <w:pPr>
        <w:pStyle w:val="11"/>
        <w:spacing w:line="244" w:lineRule="auto"/>
        <w:jc w:val="center"/>
        <w:rPr>
          <w:rFonts w:hint="eastAsia"/>
          <w:color w:val="auto"/>
          <w:sz w:val="24"/>
          <w:szCs w:val="24"/>
          <w:highlight w:val="none"/>
        </w:rPr>
      </w:pPr>
    </w:p>
    <w:p w14:paraId="761DB3F3">
      <w:pPr>
        <w:pStyle w:val="11"/>
        <w:spacing w:line="244" w:lineRule="auto"/>
        <w:jc w:val="center"/>
        <w:rPr>
          <w:rFonts w:hint="eastAsia"/>
          <w:color w:val="auto"/>
          <w:sz w:val="24"/>
          <w:szCs w:val="24"/>
          <w:highlight w:val="none"/>
        </w:rPr>
      </w:pPr>
      <w:r>
        <w:rPr>
          <w:rFonts w:hint="eastAsia"/>
          <w:color w:val="auto"/>
          <w:sz w:val="24"/>
          <w:szCs w:val="24"/>
          <w:highlight w:val="none"/>
        </w:rPr>
        <w:t>（建议提供带“页码”的目录，方便评委评审）</w:t>
      </w:r>
    </w:p>
    <w:p w14:paraId="7D361606">
      <w:pPr>
        <w:rPr>
          <w:color w:val="auto"/>
          <w:highlight w:val="none"/>
        </w:rPr>
      </w:pPr>
    </w:p>
    <w:p w14:paraId="207D10F0">
      <w:pPr>
        <w:pStyle w:val="11"/>
        <w:spacing w:line="245" w:lineRule="auto"/>
        <w:jc w:val="center"/>
        <w:rPr>
          <w:color w:val="auto"/>
          <w:sz w:val="24"/>
          <w:szCs w:val="24"/>
          <w:highlight w:val="none"/>
        </w:rPr>
      </w:pPr>
    </w:p>
    <w:p w14:paraId="0AC80275">
      <w:pPr>
        <w:keepNext w:val="0"/>
        <w:keepLines w:val="0"/>
        <w:pageBreakBefore w:val="0"/>
        <w:widowControl/>
        <w:kinsoku w:val="0"/>
        <w:wordWrap/>
        <w:overflowPunct/>
        <w:topLinePunct w:val="0"/>
        <w:autoSpaceDE w:val="0"/>
        <w:autoSpaceDN w:val="0"/>
        <w:bidi w:val="0"/>
        <w:adjustRightInd w:val="0"/>
        <w:snapToGrid w:val="0"/>
        <w:spacing w:line="500" w:lineRule="exact"/>
        <w:ind w:left="612"/>
        <w:textAlignment w:val="baseline"/>
        <w:rPr>
          <w:rFonts w:ascii="宋体" w:hAnsi="宋体" w:eastAsia="宋体" w:cs="宋体"/>
          <w:color w:val="auto"/>
          <w:spacing w:val="-3"/>
          <w:sz w:val="28"/>
          <w:szCs w:val="28"/>
          <w:highlight w:val="none"/>
        </w:rPr>
      </w:pPr>
      <w:r>
        <w:rPr>
          <w:rFonts w:ascii="宋体" w:hAnsi="宋体" w:eastAsia="宋体" w:cs="宋体"/>
          <w:color w:val="auto"/>
          <w:spacing w:val="-3"/>
          <w:sz w:val="28"/>
          <w:szCs w:val="28"/>
          <w:highlight w:val="none"/>
        </w:rPr>
        <w:t>一.法定代表人身份证明</w:t>
      </w:r>
    </w:p>
    <w:p w14:paraId="3D541C1C">
      <w:pPr>
        <w:keepNext w:val="0"/>
        <w:keepLines w:val="0"/>
        <w:pageBreakBefore w:val="0"/>
        <w:widowControl/>
        <w:kinsoku w:val="0"/>
        <w:wordWrap/>
        <w:overflowPunct/>
        <w:topLinePunct w:val="0"/>
        <w:autoSpaceDE w:val="0"/>
        <w:autoSpaceDN w:val="0"/>
        <w:bidi w:val="0"/>
        <w:adjustRightInd w:val="0"/>
        <w:snapToGrid w:val="0"/>
        <w:spacing w:line="500" w:lineRule="exact"/>
        <w:ind w:left="612"/>
        <w:textAlignment w:val="baseline"/>
        <w:rPr>
          <w:rFonts w:ascii="宋体" w:hAnsi="宋体" w:eastAsia="宋体" w:cs="宋体"/>
          <w:color w:val="auto"/>
          <w:spacing w:val="-3"/>
          <w:sz w:val="28"/>
          <w:szCs w:val="28"/>
          <w:highlight w:val="none"/>
        </w:rPr>
      </w:pPr>
      <w:r>
        <w:rPr>
          <w:rFonts w:ascii="宋体" w:hAnsi="宋体" w:eastAsia="宋体" w:cs="宋体"/>
          <w:color w:val="auto"/>
          <w:spacing w:val="-3"/>
          <w:sz w:val="28"/>
          <w:szCs w:val="28"/>
          <w:highlight w:val="none"/>
        </w:rPr>
        <w:t>二.法定代表人授权委托书</w:t>
      </w:r>
    </w:p>
    <w:p w14:paraId="735CCC3D">
      <w:pPr>
        <w:keepNext w:val="0"/>
        <w:keepLines w:val="0"/>
        <w:pageBreakBefore w:val="0"/>
        <w:widowControl/>
        <w:kinsoku w:val="0"/>
        <w:wordWrap/>
        <w:overflowPunct/>
        <w:topLinePunct w:val="0"/>
        <w:autoSpaceDE w:val="0"/>
        <w:autoSpaceDN w:val="0"/>
        <w:bidi w:val="0"/>
        <w:adjustRightInd w:val="0"/>
        <w:snapToGrid w:val="0"/>
        <w:spacing w:line="500" w:lineRule="exact"/>
        <w:ind w:left="612"/>
        <w:textAlignment w:val="baseline"/>
        <w:rPr>
          <w:rFonts w:ascii="宋体" w:hAnsi="宋体" w:eastAsia="宋体" w:cs="宋体"/>
          <w:color w:val="auto"/>
          <w:spacing w:val="-3"/>
          <w:sz w:val="28"/>
          <w:szCs w:val="28"/>
          <w:highlight w:val="none"/>
        </w:rPr>
      </w:pPr>
      <w:r>
        <w:rPr>
          <w:rFonts w:ascii="宋体" w:hAnsi="宋体" w:eastAsia="宋体" w:cs="宋体"/>
          <w:color w:val="auto"/>
          <w:spacing w:val="-3"/>
          <w:sz w:val="28"/>
          <w:szCs w:val="28"/>
          <w:highlight w:val="none"/>
        </w:rPr>
        <w:t>三.</w:t>
      </w:r>
      <w:r>
        <w:rPr>
          <w:rFonts w:hint="eastAsia" w:ascii="宋体" w:hAnsi="宋体" w:eastAsia="宋体" w:cs="宋体"/>
          <w:color w:val="auto"/>
          <w:spacing w:val="-3"/>
          <w:sz w:val="28"/>
          <w:szCs w:val="28"/>
          <w:highlight w:val="none"/>
          <w:lang w:val="en-US" w:eastAsia="zh-CN"/>
        </w:rPr>
        <w:t>磋商</w:t>
      </w:r>
      <w:r>
        <w:rPr>
          <w:rFonts w:hint="eastAsia" w:ascii="宋体" w:hAnsi="宋体" w:eastAsia="宋体" w:cs="宋体"/>
          <w:color w:val="auto"/>
          <w:spacing w:val="-3"/>
          <w:sz w:val="28"/>
          <w:szCs w:val="28"/>
          <w:highlight w:val="none"/>
        </w:rPr>
        <w:t>函</w:t>
      </w:r>
    </w:p>
    <w:p w14:paraId="2B5F6A41">
      <w:pPr>
        <w:keepNext w:val="0"/>
        <w:keepLines w:val="0"/>
        <w:pageBreakBefore w:val="0"/>
        <w:widowControl/>
        <w:kinsoku w:val="0"/>
        <w:wordWrap/>
        <w:overflowPunct/>
        <w:topLinePunct w:val="0"/>
        <w:autoSpaceDE w:val="0"/>
        <w:autoSpaceDN w:val="0"/>
        <w:bidi w:val="0"/>
        <w:adjustRightInd w:val="0"/>
        <w:snapToGrid w:val="0"/>
        <w:spacing w:line="500" w:lineRule="exact"/>
        <w:ind w:left="612"/>
        <w:textAlignment w:val="baseline"/>
        <w:rPr>
          <w:rFonts w:ascii="宋体" w:hAnsi="宋体" w:eastAsia="宋体" w:cs="宋体"/>
          <w:color w:val="auto"/>
          <w:spacing w:val="-3"/>
          <w:sz w:val="28"/>
          <w:szCs w:val="28"/>
          <w:highlight w:val="none"/>
        </w:rPr>
      </w:pPr>
      <w:r>
        <w:rPr>
          <w:rFonts w:ascii="宋体" w:hAnsi="宋体" w:eastAsia="宋体" w:cs="宋体"/>
          <w:color w:val="auto"/>
          <w:spacing w:val="-3"/>
          <w:sz w:val="28"/>
          <w:szCs w:val="28"/>
          <w:highlight w:val="none"/>
        </w:rPr>
        <w:t>四.</w:t>
      </w:r>
      <w:r>
        <w:rPr>
          <w:rFonts w:hint="eastAsia" w:ascii="宋体" w:hAnsi="宋体" w:cs="宋体"/>
          <w:color w:val="auto"/>
          <w:spacing w:val="-3"/>
          <w:sz w:val="28"/>
          <w:szCs w:val="28"/>
          <w:highlight w:val="none"/>
          <w:lang w:eastAsia="zh-CN"/>
        </w:rPr>
        <w:t>货物明细表</w:t>
      </w:r>
    </w:p>
    <w:p w14:paraId="74E29C5A">
      <w:pPr>
        <w:keepNext w:val="0"/>
        <w:keepLines w:val="0"/>
        <w:pageBreakBefore w:val="0"/>
        <w:widowControl/>
        <w:kinsoku w:val="0"/>
        <w:wordWrap/>
        <w:overflowPunct/>
        <w:topLinePunct w:val="0"/>
        <w:autoSpaceDE w:val="0"/>
        <w:autoSpaceDN w:val="0"/>
        <w:bidi w:val="0"/>
        <w:adjustRightInd w:val="0"/>
        <w:snapToGrid w:val="0"/>
        <w:spacing w:line="500" w:lineRule="exact"/>
        <w:ind w:left="612"/>
        <w:textAlignment w:val="baseline"/>
        <w:rPr>
          <w:rFonts w:hint="eastAsia" w:ascii="宋体" w:hAnsi="宋体" w:eastAsia="宋体" w:cs="宋体"/>
          <w:color w:val="auto"/>
          <w:spacing w:val="-3"/>
          <w:sz w:val="28"/>
          <w:szCs w:val="28"/>
          <w:highlight w:val="none"/>
          <w:lang w:eastAsia="zh-CN"/>
        </w:rPr>
      </w:pPr>
      <w:r>
        <w:rPr>
          <w:rFonts w:hint="eastAsia" w:ascii="宋体" w:hAnsi="宋体" w:eastAsia="宋体" w:cs="宋体"/>
          <w:color w:val="auto"/>
          <w:spacing w:val="-3"/>
          <w:sz w:val="28"/>
          <w:szCs w:val="28"/>
          <w:highlight w:val="none"/>
          <w:lang w:eastAsia="zh-CN"/>
        </w:rPr>
        <w:t>五</w:t>
      </w:r>
      <w:r>
        <w:rPr>
          <w:rFonts w:ascii="宋体" w:hAnsi="宋体" w:eastAsia="宋体" w:cs="宋体"/>
          <w:color w:val="auto"/>
          <w:spacing w:val="-3"/>
          <w:sz w:val="28"/>
          <w:szCs w:val="28"/>
          <w:highlight w:val="none"/>
        </w:rPr>
        <w:t>.</w:t>
      </w:r>
      <w:r>
        <w:rPr>
          <w:rFonts w:hint="eastAsia" w:ascii="宋体" w:hAnsi="宋体" w:cs="宋体"/>
          <w:color w:val="auto"/>
          <w:spacing w:val="-3"/>
          <w:sz w:val="28"/>
          <w:szCs w:val="28"/>
          <w:highlight w:val="none"/>
          <w:lang w:val="en-US" w:eastAsia="zh-CN"/>
        </w:rPr>
        <w:t>技术参数偏离表</w:t>
      </w:r>
    </w:p>
    <w:p w14:paraId="38F56D96">
      <w:pPr>
        <w:keepNext w:val="0"/>
        <w:keepLines w:val="0"/>
        <w:pageBreakBefore w:val="0"/>
        <w:widowControl/>
        <w:kinsoku w:val="0"/>
        <w:wordWrap/>
        <w:overflowPunct/>
        <w:topLinePunct w:val="0"/>
        <w:autoSpaceDE w:val="0"/>
        <w:autoSpaceDN w:val="0"/>
        <w:bidi w:val="0"/>
        <w:adjustRightInd w:val="0"/>
        <w:snapToGrid w:val="0"/>
        <w:spacing w:line="500" w:lineRule="exact"/>
        <w:ind w:left="612"/>
        <w:textAlignment w:val="baseline"/>
        <w:rPr>
          <w:rFonts w:hint="eastAsia" w:ascii="宋体" w:hAnsi="宋体" w:eastAsia="宋体" w:cs="宋体"/>
          <w:color w:val="auto"/>
          <w:spacing w:val="-3"/>
          <w:sz w:val="28"/>
          <w:szCs w:val="28"/>
          <w:highlight w:val="none"/>
          <w:lang w:eastAsia="zh-CN"/>
        </w:rPr>
      </w:pPr>
      <w:r>
        <w:rPr>
          <w:rFonts w:hint="eastAsia" w:ascii="宋体" w:hAnsi="宋体" w:eastAsia="宋体" w:cs="宋体"/>
          <w:color w:val="auto"/>
          <w:spacing w:val="-3"/>
          <w:sz w:val="28"/>
          <w:szCs w:val="28"/>
          <w:highlight w:val="none"/>
          <w:lang w:val="en-US" w:eastAsia="zh-CN"/>
        </w:rPr>
        <w:t>六</w:t>
      </w:r>
      <w:r>
        <w:rPr>
          <w:rFonts w:ascii="宋体" w:hAnsi="宋体" w:eastAsia="宋体" w:cs="宋体"/>
          <w:color w:val="auto"/>
          <w:spacing w:val="-3"/>
          <w:sz w:val="28"/>
          <w:szCs w:val="28"/>
          <w:highlight w:val="none"/>
        </w:rPr>
        <w:t>.</w:t>
      </w:r>
      <w:r>
        <w:rPr>
          <w:rFonts w:hint="eastAsia" w:ascii="宋体" w:hAnsi="宋体" w:cs="宋体"/>
          <w:color w:val="auto"/>
          <w:spacing w:val="-3"/>
          <w:sz w:val="28"/>
          <w:szCs w:val="28"/>
          <w:highlight w:val="none"/>
          <w:lang w:eastAsia="zh-CN"/>
        </w:rPr>
        <w:t>磋商承诺函</w:t>
      </w:r>
    </w:p>
    <w:p w14:paraId="711CF3F3">
      <w:pPr>
        <w:keepNext w:val="0"/>
        <w:keepLines w:val="0"/>
        <w:pageBreakBefore w:val="0"/>
        <w:widowControl/>
        <w:kinsoku w:val="0"/>
        <w:wordWrap/>
        <w:overflowPunct/>
        <w:topLinePunct w:val="0"/>
        <w:autoSpaceDE w:val="0"/>
        <w:autoSpaceDN w:val="0"/>
        <w:bidi w:val="0"/>
        <w:adjustRightInd w:val="0"/>
        <w:snapToGrid w:val="0"/>
        <w:spacing w:line="500" w:lineRule="exact"/>
        <w:ind w:left="612"/>
        <w:textAlignment w:val="baseline"/>
        <w:rPr>
          <w:rFonts w:hint="eastAsia" w:ascii="宋体" w:hAnsi="宋体" w:cs="宋体"/>
          <w:color w:val="auto"/>
          <w:spacing w:val="-3"/>
          <w:sz w:val="28"/>
          <w:szCs w:val="28"/>
          <w:highlight w:val="none"/>
          <w:lang w:eastAsia="zh-CN"/>
        </w:rPr>
      </w:pPr>
      <w:r>
        <w:rPr>
          <w:rFonts w:hint="eastAsia" w:ascii="宋体" w:hAnsi="宋体" w:eastAsia="宋体" w:cs="宋体"/>
          <w:color w:val="auto"/>
          <w:spacing w:val="-3"/>
          <w:sz w:val="28"/>
          <w:szCs w:val="28"/>
          <w:highlight w:val="none"/>
          <w:lang w:val="en-US" w:eastAsia="zh-CN"/>
        </w:rPr>
        <w:t>七</w:t>
      </w:r>
      <w:r>
        <w:rPr>
          <w:rFonts w:ascii="宋体" w:hAnsi="宋体" w:eastAsia="宋体" w:cs="宋体"/>
          <w:color w:val="auto"/>
          <w:spacing w:val="-3"/>
          <w:sz w:val="28"/>
          <w:szCs w:val="28"/>
          <w:highlight w:val="none"/>
        </w:rPr>
        <w:t>.</w:t>
      </w:r>
      <w:r>
        <w:rPr>
          <w:rFonts w:hint="eastAsia" w:ascii="宋体" w:hAnsi="宋体" w:cs="宋体"/>
          <w:color w:val="auto"/>
          <w:spacing w:val="-3"/>
          <w:sz w:val="28"/>
          <w:szCs w:val="28"/>
          <w:highlight w:val="none"/>
          <w:lang w:eastAsia="zh-CN"/>
        </w:rPr>
        <w:t>资格性证明材料</w:t>
      </w:r>
    </w:p>
    <w:p w14:paraId="3E19C3B9">
      <w:pPr>
        <w:keepNext w:val="0"/>
        <w:keepLines w:val="0"/>
        <w:pageBreakBefore w:val="0"/>
        <w:widowControl/>
        <w:kinsoku w:val="0"/>
        <w:wordWrap/>
        <w:overflowPunct/>
        <w:topLinePunct w:val="0"/>
        <w:autoSpaceDE w:val="0"/>
        <w:autoSpaceDN w:val="0"/>
        <w:bidi w:val="0"/>
        <w:adjustRightInd w:val="0"/>
        <w:snapToGrid w:val="0"/>
        <w:spacing w:line="500" w:lineRule="exact"/>
        <w:ind w:left="612"/>
        <w:textAlignment w:val="baseline"/>
        <w:rPr>
          <w:rFonts w:hint="eastAsia" w:ascii="宋体" w:hAnsi="宋体" w:eastAsia="宋体" w:cs="宋体"/>
          <w:color w:val="auto"/>
          <w:spacing w:val="-3"/>
          <w:sz w:val="28"/>
          <w:szCs w:val="28"/>
          <w:highlight w:val="none"/>
          <w:lang w:eastAsia="zh-CN"/>
        </w:rPr>
      </w:pPr>
      <w:r>
        <w:rPr>
          <w:rFonts w:hint="eastAsia" w:ascii="宋体" w:hAnsi="宋体" w:cs="宋体"/>
          <w:color w:val="auto"/>
          <w:spacing w:val="-3"/>
          <w:sz w:val="28"/>
          <w:szCs w:val="28"/>
          <w:highlight w:val="none"/>
          <w:lang w:val="en-US" w:eastAsia="zh-CN"/>
        </w:rPr>
        <w:t>八</w:t>
      </w:r>
      <w:r>
        <w:rPr>
          <w:rFonts w:ascii="宋体" w:hAnsi="宋体" w:eastAsia="宋体" w:cs="宋体"/>
          <w:color w:val="auto"/>
          <w:spacing w:val="-3"/>
          <w:sz w:val="28"/>
          <w:szCs w:val="28"/>
          <w:highlight w:val="none"/>
        </w:rPr>
        <w:t>.</w:t>
      </w:r>
      <w:r>
        <w:rPr>
          <w:rFonts w:hint="eastAsia" w:ascii="宋体" w:hAnsi="宋体" w:cs="宋体"/>
          <w:color w:val="auto"/>
          <w:spacing w:val="-3"/>
          <w:sz w:val="28"/>
          <w:szCs w:val="28"/>
          <w:highlight w:val="none"/>
          <w:lang w:val="en-US" w:eastAsia="zh-CN"/>
        </w:rPr>
        <w:t>其他部分资料</w:t>
      </w:r>
    </w:p>
    <w:p w14:paraId="57E06923">
      <w:pPr>
        <w:keepNext w:val="0"/>
        <w:keepLines w:val="0"/>
        <w:pageBreakBefore w:val="0"/>
        <w:widowControl/>
        <w:kinsoku w:val="0"/>
        <w:wordWrap/>
        <w:overflowPunct/>
        <w:topLinePunct w:val="0"/>
        <w:autoSpaceDE w:val="0"/>
        <w:autoSpaceDN w:val="0"/>
        <w:bidi w:val="0"/>
        <w:adjustRightInd w:val="0"/>
        <w:snapToGrid w:val="0"/>
        <w:spacing w:line="500" w:lineRule="exact"/>
        <w:ind w:left="612"/>
        <w:textAlignment w:val="baseline"/>
        <w:rPr>
          <w:rFonts w:hint="eastAsia" w:ascii="宋体" w:hAnsi="宋体" w:eastAsia="宋体" w:cs="宋体"/>
          <w:color w:val="auto"/>
          <w:spacing w:val="-3"/>
          <w:sz w:val="28"/>
          <w:szCs w:val="28"/>
          <w:highlight w:val="none"/>
          <w:lang w:eastAsia="zh-CN"/>
        </w:rPr>
      </w:pPr>
      <w:r>
        <w:rPr>
          <w:rFonts w:hint="eastAsia" w:ascii="宋体" w:hAnsi="宋体" w:cs="宋体"/>
          <w:color w:val="auto"/>
          <w:spacing w:val="-3"/>
          <w:sz w:val="28"/>
          <w:szCs w:val="28"/>
          <w:highlight w:val="none"/>
          <w:lang w:val="en-US" w:eastAsia="zh-CN"/>
        </w:rPr>
        <w:t>九</w:t>
      </w:r>
      <w:r>
        <w:rPr>
          <w:rFonts w:ascii="宋体" w:hAnsi="宋体" w:eastAsia="宋体" w:cs="宋体"/>
          <w:color w:val="auto"/>
          <w:spacing w:val="-3"/>
          <w:sz w:val="28"/>
          <w:szCs w:val="28"/>
          <w:highlight w:val="none"/>
        </w:rPr>
        <w:t>.</w:t>
      </w:r>
      <w:r>
        <w:rPr>
          <w:rFonts w:hint="eastAsia" w:ascii="宋体" w:hAnsi="宋体" w:cs="宋体"/>
          <w:color w:val="auto"/>
          <w:spacing w:val="-3"/>
          <w:sz w:val="28"/>
          <w:szCs w:val="28"/>
          <w:highlight w:val="none"/>
          <w:lang w:eastAsia="zh-CN"/>
        </w:rPr>
        <w:t>技术部分资料</w:t>
      </w:r>
    </w:p>
    <w:p w14:paraId="6389E274">
      <w:pPr>
        <w:keepNext w:val="0"/>
        <w:keepLines w:val="0"/>
        <w:pageBreakBefore w:val="0"/>
        <w:widowControl/>
        <w:kinsoku w:val="0"/>
        <w:wordWrap/>
        <w:overflowPunct/>
        <w:topLinePunct w:val="0"/>
        <w:autoSpaceDE w:val="0"/>
        <w:autoSpaceDN w:val="0"/>
        <w:bidi w:val="0"/>
        <w:adjustRightInd w:val="0"/>
        <w:snapToGrid w:val="0"/>
        <w:spacing w:line="500" w:lineRule="exact"/>
        <w:ind w:left="612"/>
        <w:textAlignment w:val="baseline"/>
        <w:rPr>
          <w:rFonts w:hint="eastAsia" w:ascii="宋体" w:hAnsi="宋体" w:eastAsia="宋体" w:cs="宋体"/>
          <w:color w:val="auto"/>
          <w:spacing w:val="-3"/>
          <w:sz w:val="28"/>
          <w:szCs w:val="28"/>
          <w:highlight w:val="none"/>
          <w:lang w:eastAsia="zh-CN"/>
        </w:rPr>
      </w:pPr>
      <w:r>
        <w:rPr>
          <w:rFonts w:hint="eastAsia" w:ascii="宋体" w:hAnsi="宋体" w:cs="宋体"/>
          <w:color w:val="auto"/>
          <w:spacing w:val="-3"/>
          <w:sz w:val="28"/>
          <w:szCs w:val="28"/>
          <w:highlight w:val="none"/>
          <w:lang w:val="en-US" w:eastAsia="zh-CN"/>
        </w:rPr>
        <w:t>十</w:t>
      </w:r>
      <w:r>
        <w:rPr>
          <w:rFonts w:ascii="宋体" w:hAnsi="宋体" w:eastAsia="宋体" w:cs="宋体"/>
          <w:color w:val="auto"/>
          <w:spacing w:val="-3"/>
          <w:sz w:val="28"/>
          <w:szCs w:val="28"/>
          <w:highlight w:val="none"/>
        </w:rPr>
        <w:t>.</w:t>
      </w:r>
      <w:r>
        <w:rPr>
          <w:rFonts w:hint="eastAsia" w:ascii="宋体" w:hAnsi="宋体" w:cs="宋体"/>
          <w:color w:val="auto"/>
          <w:spacing w:val="-3"/>
          <w:sz w:val="28"/>
          <w:szCs w:val="28"/>
          <w:highlight w:val="none"/>
          <w:lang w:eastAsia="zh-CN"/>
        </w:rPr>
        <w:t>供应商其他资料</w:t>
      </w:r>
    </w:p>
    <w:p w14:paraId="5C85941A">
      <w:pPr>
        <w:keepNext w:val="0"/>
        <w:keepLines w:val="0"/>
        <w:pageBreakBefore w:val="0"/>
        <w:widowControl/>
        <w:kinsoku w:val="0"/>
        <w:wordWrap/>
        <w:overflowPunct/>
        <w:topLinePunct w:val="0"/>
        <w:autoSpaceDE w:val="0"/>
        <w:autoSpaceDN w:val="0"/>
        <w:bidi w:val="0"/>
        <w:adjustRightInd w:val="0"/>
        <w:snapToGrid w:val="0"/>
        <w:spacing w:line="500" w:lineRule="exact"/>
        <w:ind w:left="612"/>
        <w:textAlignment w:val="baseline"/>
        <w:rPr>
          <w:rFonts w:hint="eastAsia" w:ascii="宋体" w:hAnsi="宋体" w:cs="宋体"/>
          <w:color w:val="auto"/>
          <w:spacing w:val="-3"/>
          <w:sz w:val="28"/>
          <w:szCs w:val="28"/>
          <w:highlight w:val="none"/>
          <w:lang w:eastAsia="zh-CN"/>
        </w:rPr>
      </w:pPr>
    </w:p>
    <w:p w14:paraId="5388BA42">
      <w:pPr>
        <w:pStyle w:val="47"/>
        <w:rPr>
          <w:rFonts w:hint="eastAsia"/>
          <w:color w:val="auto"/>
          <w:highlight w:val="none"/>
        </w:rPr>
      </w:pPr>
    </w:p>
    <w:p w14:paraId="4829B342">
      <w:pPr>
        <w:spacing w:after="0" w:line="360" w:lineRule="auto"/>
        <w:rPr>
          <w:rFonts w:hint="eastAsia" w:ascii="宋体" w:hAnsi="宋体" w:eastAsia="宋体" w:cs="宋体"/>
          <w:b/>
          <w:color w:val="auto"/>
          <w:sz w:val="24"/>
          <w:szCs w:val="24"/>
          <w:highlight w:val="none"/>
        </w:rPr>
      </w:pPr>
    </w:p>
    <w:p w14:paraId="70F474EC">
      <w:pPr>
        <w:spacing w:after="0" w:line="360" w:lineRule="auto"/>
        <w:rPr>
          <w:rFonts w:hint="eastAsia" w:ascii="宋体" w:hAnsi="宋体" w:eastAsia="宋体" w:cs="宋体"/>
          <w:b/>
          <w:color w:val="auto"/>
          <w:sz w:val="24"/>
          <w:szCs w:val="24"/>
          <w:highlight w:val="none"/>
        </w:rPr>
      </w:pPr>
    </w:p>
    <w:p w14:paraId="1E11CBF7">
      <w:pPr>
        <w:spacing w:after="0" w:line="360" w:lineRule="auto"/>
        <w:rPr>
          <w:rFonts w:hint="eastAsia" w:ascii="宋体" w:hAnsi="宋体" w:eastAsia="宋体" w:cs="宋体"/>
          <w:b/>
          <w:color w:val="auto"/>
          <w:sz w:val="24"/>
          <w:szCs w:val="24"/>
          <w:highlight w:val="none"/>
        </w:rPr>
      </w:pPr>
    </w:p>
    <w:p w14:paraId="4EDD32B0">
      <w:pPr>
        <w:spacing w:after="0" w:line="360" w:lineRule="auto"/>
        <w:rPr>
          <w:rFonts w:hint="eastAsia" w:ascii="宋体" w:hAnsi="宋体" w:eastAsia="宋体" w:cs="宋体"/>
          <w:b/>
          <w:color w:val="auto"/>
          <w:sz w:val="24"/>
          <w:szCs w:val="24"/>
          <w:highlight w:val="none"/>
        </w:rPr>
      </w:pPr>
    </w:p>
    <w:p w14:paraId="68061F5F">
      <w:pPr>
        <w:spacing w:after="0" w:line="360" w:lineRule="auto"/>
        <w:rPr>
          <w:rFonts w:hint="eastAsia" w:ascii="宋体" w:hAnsi="宋体" w:eastAsia="宋体" w:cs="宋体"/>
          <w:b/>
          <w:color w:val="auto"/>
          <w:sz w:val="24"/>
          <w:szCs w:val="24"/>
          <w:highlight w:val="none"/>
        </w:rPr>
      </w:pPr>
    </w:p>
    <w:p w14:paraId="1CAE23E9">
      <w:pPr>
        <w:spacing w:after="0" w:line="360" w:lineRule="auto"/>
        <w:rPr>
          <w:rFonts w:hint="eastAsia" w:ascii="宋体" w:hAnsi="宋体" w:eastAsia="宋体" w:cs="宋体"/>
          <w:b/>
          <w:color w:val="auto"/>
          <w:sz w:val="24"/>
          <w:szCs w:val="24"/>
          <w:highlight w:val="none"/>
        </w:rPr>
      </w:pPr>
    </w:p>
    <w:p w14:paraId="55F827C2">
      <w:pPr>
        <w:spacing w:after="0" w:line="360" w:lineRule="auto"/>
        <w:rPr>
          <w:rFonts w:hint="eastAsia" w:ascii="宋体" w:hAnsi="宋体" w:eastAsia="宋体" w:cs="宋体"/>
          <w:b/>
          <w:color w:val="auto"/>
          <w:sz w:val="24"/>
          <w:szCs w:val="24"/>
          <w:highlight w:val="none"/>
        </w:rPr>
      </w:pPr>
    </w:p>
    <w:p w14:paraId="759FAE70">
      <w:pPr>
        <w:numPr>
          <w:ilvl w:val="0"/>
          <w:numId w:val="2"/>
        </w:numPr>
        <w:spacing w:before="98" w:line="220" w:lineRule="auto"/>
        <w:ind w:left="2888"/>
        <w:outlineLvl w:val="1"/>
        <w:rPr>
          <w:rFonts w:ascii="宋体" w:hAnsi="宋体" w:eastAsia="宋体" w:cs="宋体"/>
          <w:color w:val="auto"/>
          <w:sz w:val="30"/>
          <w:szCs w:val="30"/>
          <w:highlight w:val="none"/>
          <w14:textOutline w14:w="5448" w14:cap="sq" w14:cmpd="sng">
            <w14:solidFill>
              <w14:srgbClr w14:val="000000"/>
            </w14:solidFill>
            <w14:prstDash w14:val="solid"/>
            <w14:bevel/>
          </w14:textOutline>
        </w:rPr>
      </w:pPr>
      <w:r>
        <w:rPr>
          <w:rFonts w:hint="eastAsia" w:ascii="宋体" w:hAnsi="宋体" w:eastAsia="宋体" w:cs="宋体"/>
          <w:b/>
          <w:color w:val="auto"/>
          <w:sz w:val="24"/>
          <w:szCs w:val="24"/>
          <w:highlight w:val="none"/>
        </w:rPr>
        <w:br w:type="page"/>
      </w:r>
      <w:r>
        <w:rPr>
          <w:rFonts w:ascii="宋体" w:hAnsi="宋体" w:eastAsia="宋体" w:cs="宋体"/>
          <w:color w:val="auto"/>
          <w:sz w:val="30"/>
          <w:szCs w:val="30"/>
          <w:highlight w:val="none"/>
          <w14:textOutline w14:w="5448" w14:cap="sq" w14:cmpd="sng">
            <w14:solidFill>
              <w14:srgbClr w14:val="000000"/>
            </w14:solidFill>
            <w14:prstDash w14:val="solid"/>
            <w14:bevel/>
          </w14:textOutline>
        </w:rPr>
        <w:t>法定代表人身份证明</w:t>
      </w:r>
    </w:p>
    <w:p w14:paraId="3E818816">
      <w:pPr>
        <w:pStyle w:val="11"/>
        <w:numPr>
          <w:ilvl w:val="0"/>
          <w:numId w:val="0"/>
        </w:numPr>
        <w:rPr>
          <w:color w:val="auto"/>
          <w:highlight w:val="none"/>
        </w:rPr>
      </w:pPr>
    </w:p>
    <w:p w14:paraId="0D4384B1">
      <w:pPr>
        <w:rPr>
          <w:color w:val="auto"/>
          <w:highlight w:val="none"/>
        </w:rPr>
      </w:pPr>
    </w:p>
    <w:p w14:paraId="4697EC69">
      <w:pPr>
        <w:pStyle w:val="11"/>
        <w:rPr>
          <w:color w:val="auto"/>
          <w:sz w:val="24"/>
          <w:szCs w:val="24"/>
          <w:highlight w:val="none"/>
        </w:rPr>
      </w:pPr>
    </w:p>
    <w:p w14:paraId="58FA7EED">
      <w:pPr>
        <w:pStyle w:val="11"/>
        <w:spacing w:line="250" w:lineRule="auto"/>
        <w:rPr>
          <w:color w:val="auto"/>
          <w:sz w:val="24"/>
          <w:szCs w:val="24"/>
          <w:highlight w:val="none"/>
        </w:rPr>
      </w:pPr>
    </w:p>
    <w:p w14:paraId="65F95DBD">
      <w:pPr>
        <w:pStyle w:val="11"/>
        <w:spacing w:line="251" w:lineRule="auto"/>
        <w:rPr>
          <w:color w:val="auto"/>
          <w:sz w:val="24"/>
          <w:szCs w:val="24"/>
          <w:highlight w:val="none"/>
        </w:rPr>
      </w:pPr>
    </w:p>
    <w:p w14:paraId="1580B7B3">
      <w:pPr>
        <w:spacing w:before="65" w:line="228" w:lineRule="auto"/>
        <w:ind w:left="45"/>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供应商名称：</w:t>
      </w:r>
      <w:r>
        <w:rPr>
          <w:rFonts w:ascii="宋体" w:hAnsi="宋体" w:eastAsia="宋体" w:cs="宋体"/>
          <w:color w:val="auto"/>
          <w:sz w:val="24"/>
          <w:szCs w:val="24"/>
          <w:highlight w:val="none"/>
          <w:u w:val="single" w:color="auto"/>
        </w:rPr>
        <w:t xml:space="preserve">                            </w:t>
      </w:r>
    </w:p>
    <w:p w14:paraId="540999B8">
      <w:pPr>
        <w:pStyle w:val="11"/>
        <w:spacing w:line="310" w:lineRule="auto"/>
        <w:rPr>
          <w:color w:val="auto"/>
          <w:sz w:val="24"/>
          <w:szCs w:val="24"/>
          <w:highlight w:val="none"/>
        </w:rPr>
      </w:pPr>
    </w:p>
    <w:p w14:paraId="6B0B3722">
      <w:pPr>
        <w:spacing w:before="65" w:line="576" w:lineRule="auto"/>
        <w:ind w:left="4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姓名：</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4"/>
          <w:sz w:val="24"/>
          <w:szCs w:val="24"/>
          <w:highlight w:val="none"/>
        </w:rPr>
        <w:t>性别：</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5"/>
          <w:sz w:val="24"/>
          <w:szCs w:val="24"/>
          <w:highlight w:val="none"/>
        </w:rPr>
        <w:t xml:space="preserve"> </w:t>
      </w:r>
      <w:r>
        <w:rPr>
          <w:rFonts w:ascii="宋体" w:hAnsi="宋体" w:eastAsia="宋体" w:cs="宋体"/>
          <w:color w:val="auto"/>
          <w:spacing w:val="4"/>
          <w:sz w:val="24"/>
          <w:szCs w:val="24"/>
          <w:highlight w:val="none"/>
        </w:rPr>
        <w:t>年龄：</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5"/>
          <w:sz w:val="24"/>
          <w:szCs w:val="24"/>
          <w:highlight w:val="none"/>
        </w:rPr>
        <w:t xml:space="preserve"> </w:t>
      </w:r>
      <w:r>
        <w:rPr>
          <w:rFonts w:ascii="宋体" w:hAnsi="宋体" w:eastAsia="宋体" w:cs="宋体"/>
          <w:color w:val="auto"/>
          <w:spacing w:val="4"/>
          <w:sz w:val="24"/>
          <w:szCs w:val="24"/>
          <w:highlight w:val="none"/>
        </w:rPr>
        <w:t>职务</w:t>
      </w:r>
      <w:r>
        <w:rPr>
          <w:rFonts w:ascii="宋体" w:hAnsi="宋体" w:eastAsia="宋体" w:cs="宋体"/>
          <w:color w:val="auto"/>
          <w:spacing w:val="3"/>
          <w:sz w:val="24"/>
          <w:szCs w:val="24"/>
          <w:highlight w:val="none"/>
        </w:rPr>
        <w:t>：</w:t>
      </w:r>
      <w:r>
        <w:rPr>
          <w:rFonts w:ascii="宋体" w:hAnsi="宋体" w:eastAsia="宋体" w:cs="宋体"/>
          <w:color w:val="auto"/>
          <w:spacing w:val="3"/>
          <w:sz w:val="24"/>
          <w:szCs w:val="24"/>
          <w:highlight w:val="none"/>
          <w:u w:val="single" w:color="auto"/>
        </w:rPr>
        <w:t xml:space="preserve">                  </w:t>
      </w:r>
    </w:p>
    <w:p w14:paraId="60DED3EF">
      <w:pPr>
        <w:spacing w:line="227" w:lineRule="auto"/>
        <w:ind w:left="5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系</w:t>
      </w:r>
      <w:r>
        <w:rPr>
          <w:rFonts w:ascii="宋体" w:hAnsi="宋体" w:eastAsia="宋体" w:cs="宋体"/>
          <w:color w:val="auto"/>
          <w:spacing w:val="-96"/>
          <w:sz w:val="24"/>
          <w:szCs w:val="24"/>
          <w:highlight w:val="none"/>
        </w:rPr>
        <w:t xml:space="preserve"> </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6"/>
          <w:sz w:val="24"/>
          <w:szCs w:val="24"/>
          <w:highlight w:val="none"/>
        </w:rPr>
        <w:t>（供应商名称）的法定代表人。</w:t>
      </w:r>
    </w:p>
    <w:p w14:paraId="597B9C7A">
      <w:pPr>
        <w:pStyle w:val="11"/>
        <w:spacing w:line="310" w:lineRule="auto"/>
        <w:rPr>
          <w:color w:val="auto"/>
          <w:sz w:val="24"/>
          <w:szCs w:val="24"/>
          <w:highlight w:val="none"/>
        </w:rPr>
      </w:pPr>
    </w:p>
    <w:p w14:paraId="2C85ECD0">
      <w:pPr>
        <w:spacing w:before="66" w:line="228" w:lineRule="auto"/>
        <w:ind w:left="4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特此证明。</w:t>
      </w:r>
    </w:p>
    <w:p w14:paraId="18A61F92">
      <w:pPr>
        <w:pStyle w:val="11"/>
        <w:spacing w:line="309" w:lineRule="auto"/>
        <w:rPr>
          <w:color w:val="auto"/>
          <w:sz w:val="24"/>
          <w:szCs w:val="24"/>
          <w:highlight w:val="none"/>
        </w:rPr>
      </w:pPr>
    </w:p>
    <w:p w14:paraId="37BAE67C">
      <w:pPr>
        <w:spacing w:before="65" w:line="228" w:lineRule="auto"/>
        <w:ind w:left="62"/>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附：法定代表人身份证明。</w:t>
      </w:r>
    </w:p>
    <w:p w14:paraId="0132DC09">
      <w:pPr>
        <w:pStyle w:val="11"/>
        <w:spacing w:line="263" w:lineRule="auto"/>
        <w:rPr>
          <w:color w:val="auto"/>
          <w:sz w:val="24"/>
          <w:szCs w:val="24"/>
          <w:highlight w:val="none"/>
        </w:rPr>
      </w:pPr>
    </w:p>
    <w:p w14:paraId="0E3FE33D">
      <w:pPr>
        <w:pStyle w:val="11"/>
        <w:spacing w:line="263" w:lineRule="auto"/>
        <w:rPr>
          <w:color w:val="auto"/>
          <w:sz w:val="24"/>
          <w:szCs w:val="24"/>
          <w:highlight w:val="none"/>
        </w:rPr>
      </w:pPr>
    </w:p>
    <w:p w14:paraId="11E22533">
      <w:pPr>
        <w:pStyle w:val="11"/>
        <w:spacing w:line="263" w:lineRule="auto"/>
        <w:rPr>
          <w:color w:val="auto"/>
          <w:sz w:val="24"/>
          <w:szCs w:val="24"/>
          <w:highlight w:val="none"/>
        </w:rPr>
      </w:pPr>
    </w:p>
    <w:p w14:paraId="6617447B">
      <w:pPr>
        <w:pStyle w:val="11"/>
        <w:spacing w:line="263" w:lineRule="auto"/>
        <w:rPr>
          <w:color w:val="auto"/>
          <w:sz w:val="24"/>
          <w:szCs w:val="24"/>
          <w:highlight w:val="none"/>
        </w:rPr>
      </w:pPr>
    </w:p>
    <w:p w14:paraId="066C42F9">
      <w:pPr>
        <w:pStyle w:val="11"/>
        <w:spacing w:line="264" w:lineRule="auto"/>
        <w:rPr>
          <w:color w:val="auto"/>
          <w:sz w:val="24"/>
          <w:szCs w:val="24"/>
          <w:highlight w:val="none"/>
        </w:rPr>
      </w:pPr>
    </w:p>
    <w:p w14:paraId="42DADE01">
      <w:pPr>
        <w:pStyle w:val="11"/>
        <w:spacing w:line="264" w:lineRule="auto"/>
        <w:rPr>
          <w:color w:val="auto"/>
          <w:sz w:val="24"/>
          <w:szCs w:val="24"/>
          <w:highlight w:val="none"/>
        </w:rPr>
      </w:pPr>
    </w:p>
    <w:p w14:paraId="0CDBD257">
      <w:pPr>
        <w:pStyle w:val="11"/>
        <w:spacing w:line="264" w:lineRule="auto"/>
        <w:rPr>
          <w:color w:val="auto"/>
          <w:sz w:val="24"/>
          <w:szCs w:val="24"/>
          <w:highlight w:val="none"/>
        </w:rPr>
      </w:pPr>
    </w:p>
    <w:p w14:paraId="0FFAA24F">
      <w:pPr>
        <w:pStyle w:val="11"/>
        <w:spacing w:line="264" w:lineRule="auto"/>
        <w:rPr>
          <w:color w:val="auto"/>
          <w:sz w:val="24"/>
          <w:szCs w:val="24"/>
          <w:highlight w:val="none"/>
        </w:rPr>
      </w:pPr>
    </w:p>
    <w:p w14:paraId="4D51E1D1">
      <w:pPr>
        <w:pStyle w:val="11"/>
        <w:spacing w:line="264" w:lineRule="auto"/>
        <w:rPr>
          <w:color w:val="auto"/>
          <w:sz w:val="24"/>
          <w:szCs w:val="24"/>
          <w:highlight w:val="none"/>
        </w:rPr>
      </w:pPr>
    </w:p>
    <w:p w14:paraId="3C0AE4D4">
      <w:pPr>
        <w:pStyle w:val="11"/>
        <w:spacing w:line="264" w:lineRule="auto"/>
        <w:rPr>
          <w:color w:val="auto"/>
          <w:sz w:val="24"/>
          <w:szCs w:val="24"/>
          <w:highlight w:val="none"/>
        </w:rPr>
      </w:pPr>
    </w:p>
    <w:p w14:paraId="41CA0C59">
      <w:pPr>
        <w:spacing w:before="65" w:line="576" w:lineRule="auto"/>
        <w:ind w:left="45"/>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供应商</w:t>
      </w:r>
      <w:r>
        <w:rPr>
          <w:rFonts w:ascii="宋体" w:hAnsi="宋体" w:eastAsia="宋体" w:cs="宋体"/>
          <w:color w:val="auto"/>
          <w:spacing w:val="-2"/>
          <w:sz w:val="24"/>
          <w:szCs w:val="24"/>
          <w:highlight w:val="none"/>
        </w:rPr>
        <w:t>：</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rPr>
        <w:t>（</w:t>
      </w:r>
      <w:r>
        <w:rPr>
          <w:rFonts w:ascii="宋体" w:hAnsi="宋体" w:eastAsia="宋体" w:cs="宋体"/>
          <w:color w:val="auto"/>
          <w:spacing w:val="10"/>
          <w:sz w:val="24"/>
          <w:szCs w:val="24"/>
          <w:highlight w:val="none"/>
        </w:rPr>
        <w:t>盖章）</w:t>
      </w:r>
    </w:p>
    <w:p w14:paraId="3F9E3DA9">
      <w:pPr>
        <w:tabs>
          <w:tab w:val="left" w:pos="1803"/>
        </w:tabs>
        <w:spacing w:before="1" w:line="228" w:lineRule="auto"/>
        <w:ind w:left="1088"/>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90"/>
          <w:sz w:val="24"/>
          <w:szCs w:val="24"/>
          <w:highlight w:val="none"/>
        </w:rPr>
        <w:t xml:space="preserve"> </w:t>
      </w:r>
      <w:r>
        <w:rPr>
          <w:rFonts w:ascii="宋体" w:hAnsi="宋体" w:eastAsia="宋体" w:cs="宋体"/>
          <w:color w:val="auto"/>
          <w:spacing w:val="-2"/>
          <w:sz w:val="24"/>
          <w:szCs w:val="24"/>
          <w:highlight w:val="none"/>
        </w:rPr>
        <w:t>年</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86"/>
          <w:sz w:val="24"/>
          <w:szCs w:val="24"/>
          <w:highlight w:val="none"/>
        </w:rPr>
        <w:t xml:space="preserve"> </w:t>
      </w:r>
      <w:r>
        <w:rPr>
          <w:rFonts w:ascii="宋体" w:hAnsi="宋体" w:eastAsia="宋体" w:cs="宋体"/>
          <w:color w:val="auto"/>
          <w:spacing w:val="-2"/>
          <w:sz w:val="24"/>
          <w:szCs w:val="24"/>
          <w:highlight w:val="none"/>
        </w:rPr>
        <w:t>月</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55"/>
          <w:sz w:val="24"/>
          <w:szCs w:val="24"/>
          <w:highlight w:val="none"/>
        </w:rPr>
        <w:t xml:space="preserve"> </w:t>
      </w:r>
      <w:r>
        <w:rPr>
          <w:rFonts w:ascii="宋体" w:hAnsi="宋体" w:eastAsia="宋体" w:cs="宋体"/>
          <w:color w:val="auto"/>
          <w:spacing w:val="-2"/>
          <w:sz w:val="24"/>
          <w:szCs w:val="24"/>
          <w:highlight w:val="none"/>
        </w:rPr>
        <w:t>日</w:t>
      </w:r>
    </w:p>
    <w:p w14:paraId="17697AE1">
      <w:pPr>
        <w:spacing w:line="360" w:lineRule="auto"/>
        <w:ind w:firstLine="4320" w:firstLineChars="1800"/>
        <w:jc w:val="right"/>
        <w:rPr>
          <w:rFonts w:hint="eastAsia" w:ascii="宋体" w:hAnsi="宋体" w:cs="宋体"/>
          <w:color w:val="auto"/>
          <w:sz w:val="24"/>
          <w:highlight w:val="none"/>
        </w:rPr>
      </w:pPr>
    </w:p>
    <w:p w14:paraId="185D2B5D">
      <w:pPr>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color w:val="auto"/>
          <w:highlight w:val="none"/>
        </w:rPr>
        <w:br w:type="page"/>
      </w:r>
      <w:bookmarkStart w:id="129" w:name="_Toc4358"/>
    </w:p>
    <w:p w14:paraId="5898AB8A">
      <w:pPr>
        <w:numPr>
          <w:ilvl w:val="0"/>
          <w:numId w:val="0"/>
        </w:numPr>
        <w:spacing w:before="97" w:line="219" w:lineRule="auto"/>
        <w:ind w:left="2520" w:leftChars="0" w:firstLine="0" w:firstLineChars="0"/>
        <w:outlineLvl w:val="1"/>
        <w:rPr>
          <w:rFonts w:ascii="宋体" w:hAnsi="宋体" w:eastAsia="宋体" w:cs="宋体"/>
          <w:color w:val="auto"/>
          <w:spacing w:val="-3"/>
          <w:sz w:val="30"/>
          <w:szCs w:val="30"/>
          <w:highlight w:val="none"/>
          <w14:textOutline w14:w="5448" w14:cap="sq" w14:cmpd="sng">
            <w14:solidFill>
              <w14:srgbClr w14:val="000000"/>
            </w14:solidFill>
            <w14:prstDash w14:val="solid"/>
            <w14:bevel/>
          </w14:textOutline>
        </w:rPr>
      </w:pPr>
      <w:r>
        <w:rPr>
          <w:rFonts w:hint="eastAsia" w:ascii="宋体" w:hAnsi="宋体" w:eastAsia="宋体" w:cs="宋体"/>
          <w:b/>
          <w:bCs w:val="0"/>
          <w:color w:val="auto"/>
          <w:kern w:val="2"/>
          <w:sz w:val="32"/>
          <w:szCs w:val="32"/>
          <w:highlight w:val="none"/>
          <w:lang w:val="en-US" w:eastAsia="zh-CN" w:bidi="ar-SA"/>
        </w:rPr>
        <w:t>二、</w:t>
      </w:r>
      <w:bookmarkEnd w:id="129"/>
      <w:r>
        <w:rPr>
          <w:rFonts w:ascii="宋体" w:hAnsi="宋体" w:eastAsia="宋体" w:cs="宋体"/>
          <w:color w:val="auto"/>
          <w:spacing w:val="-3"/>
          <w:sz w:val="30"/>
          <w:szCs w:val="30"/>
          <w:highlight w:val="none"/>
          <w14:textOutline w14:w="5448" w14:cap="sq" w14:cmpd="sng">
            <w14:solidFill>
              <w14:srgbClr w14:val="000000"/>
            </w14:solidFill>
            <w14:prstDash w14:val="solid"/>
            <w14:bevel/>
          </w14:textOutline>
        </w:rPr>
        <w:t>法定代表人授权委托书</w:t>
      </w:r>
    </w:p>
    <w:p w14:paraId="57BF2CAD">
      <w:pPr>
        <w:pStyle w:val="11"/>
        <w:numPr>
          <w:ilvl w:val="0"/>
          <w:numId w:val="0"/>
        </w:numPr>
        <w:ind w:left="2888" w:leftChars="0"/>
        <w:rPr>
          <w:color w:val="auto"/>
          <w:highlight w:val="none"/>
        </w:rPr>
      </w:pPr>
    </w:p>
    <w:p w14:paraId="63B32910">
      <w:pPr>
        <w:rPr>
          <w:color w:val="auto"/>
          <w:highlight w:val="none"/>
        </w:rPr>
      </w:pPr>
    </w:p>
    <w:p w14:paraId="3AFE0601">
      <w:pPr>
        <w:pStyle w:val="11"/>
        <w:spacing w:line="426" w:lineRule="auto"/>
        <w:rPr>
          <w:color w:val="auto"/>
          <w:highlight w:val="none"/>
        </w:rPr>
      </w:pPr>
    </w:p>
    <w:p w14:paraId="394F757C">
      <w:pPr>
        <w:spacing w:before="65" w:line="426" w:lineRule="auto"/>
        <w:ind w:left="45" w:right="5" w:firstLine="421"/>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本人</w:t>
      </w:r>
      <w:r>
        <w:rPr>
          <w:rFonts w:ascii="宋体" w:hAnsi="宋体" w:eastAsia="宋体" w:cs="宋体"/>
          <w:color w:val="auto"/>
          <w:spacing w:val="-99"/>
          <w:sz w:val="24"/>
          <w:szCs w:val="24"/>
          <w:highlight w:val="none"/>
        </w:rPr>
        <w:t xml:space="preserve"> </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6"/>
          <w:sz w:val="24"/>
          <w:szCs w:val="24"/>
          <w:highlight w:val="none"/>
        </w:rPr>
        <w:t>（姓名）系</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6"/>
          <w:sz w:val="24"/>
          <w:szCs w:val="24"/>
          <w:highlight w:val="none"/>
        </w:rPr>
        <w:t>（供应商名称）的法</w:t>
      </w:r>
      <w:r>
        <w:rPr>
          <w:rFonts w:ascii="宋体" w:hAnsi="宋体" w:eastAsia="宋体" w:cs="宋体"/>
          <w:color w:val="auto"/>
          <w:spacing w:val="5"/>
          <w:sz w:val="24"/>
          <w:szCs w:val="24"/>
          <w:highlight w:val="none"/>
        </w:rPr>
        <w:t>定代表人，</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现委托</w:t>
      </w:r>
      <w:r>
        <w:rPr>
          <w:rFonts w:ascii="宋体" w:hAnsi="宋体" w:eastAsia="宋体" w:cs="宋体"/>
          <w:color w:val="auto"/>
          <w:spacing w:val="-96"/>
          <w:sz w:val="24"/>
          <w:szCs w:val="24"/>
          <w:highlight w:val="none"/>
        </w:rPr>
        <w:t xml:space="preserve"> </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7"/>
          <w:sz w:val="24"/>
          <w:szCs w:val="24"/>
          <w:highlight w:val="none"/>
        </w:rPr>
        <w:t>（姓名）身份证号</w:t>
      </w:r>
      <w:r>
        <w:rPr>
          <w:rFonts w:ascii="宋体" w:hAnsi="宋体" w:eastAsia="宋体" w:cs="宋体"/>
          <w:color w:val="auto"/>
          <w:spacing w:val="-3"/>
          <w:sz w:val="24"/>
          <w:szCs w:val="24"/>
          <w:highlight w:val="none"/>
        </w:rPr>
        <w:t>：</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76"/>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7"/>
          <w:sz w:val="24"/>
          <w:szCs w:val="24"/>
          <w:highlight w:val="none"/>
        </w:rPr>
        <w:t>为</w:t>
      </w:r>
      <w:r>
        <w:rPr>
          <w:rFonts w:ascii="宋体" w:hAnsi="宋体" w:eastAsia="宋体" w:cs="宋体"/>
          <w:color w:val="auto"/>
          <w:spacing w:val="6"/>
          <w:sz w:val="24"/>
          <w:szCs w:val="24"/>
          <w:highlight w:val="none"/>
        </w:rPr>
        <w:t>我方代理人。</w:t>
      </w:r>
      <w:r>
        <w:rPr>
          <w:rFonts w:ascii="宋体" w:hAnsi="宋体" w:eastAsia="宋体" w:cs="宋体"/>
          <w:color w:val="auto"/>
          <w:spacing w:val="6"/>
          <w:position w:val="-1"/>
          <w:sz w:val="24"/>
          <w:szCs w:val="24"/>
          <w:highlight w:val="none"/>
        </w:rPr>
        <w:t>代理人根据授</w:t>
      </w:r>
      <w:r>
        <w:rPr>
          <w:rFonts w:ascii="宋体" w:hAnsi="宋体" w:eastAsia="宋体" w:cs="宋体"/>
          <w:color w:val="auto"/>
          <w:spacing w:val="9"/>
          <w:position w:val="-1"/>
          <w:sz w:val="24"/>
          <w:szCs w:val="24"/>
          <w:highlight w:val="none"/>
        </w:rPr>
        <w:t>权，</w:t>
      </w:r>
      <w:r>
        <w:rPr>
          <w:rFonts w:ascii="宋体" w:hAnsi="宋体" w:eastAsia="宋体" w:cs="宋体"/>
          <w:color w:val="auto"/>
          <w:spacing w:val="9"/>
          <w:sz w:val="24"/>
          <w:szCs w:val="24"/>
          <w:highlight w:val="none"/>
        </w:rPr>
        <w:t>以我方名义递交、签署、澄清确认、答疑、撤回、修</w:t>
      </w:r>
      <w:r>
        <w:rPr>
          <w:rFonts w:hint="eastAsia" w:ascii="宋体" w:hAnsi="宋体" w:cs="宋体"/>
          <w:color w:val="auto"/>
          <w:spacing w:val="9"/>
          <w:sz w:val="24"/>
          <w:szCs w:val="24"/>
          <w:highlight w:val="none"/>
          <w:lang w:eastAsia="zh-CN"/>
        </w:rPr>
        <w:t>改响应文件</w:t>
      </w:r>
      <w:r>
        <w:rPr>
          <w:rFonts w:ascii="宋体" w:hAnsi="宋体" w:eastAsia="宋体" w:cs="宋体"/>
          <w:color w:val="auto"/>
          <w:spacing w:val="9"/>
          <w:sz w:val="24"/>
          <w:szCs w:val="24"/>
          <w:highlight w:val="none"/>
        </w:rPr>
        <w:t>等事宜，其</w:t>
      </w:r>
      <w:r>
        <w:rPr>
          <w:rFonts w:ascii="宋体" w:hAnsi="宋体" w:eastAsia="宋体" w:cs="宋体"/>
          <w:color w:val="auto"/>
          <w:spacing w:val="8"/>
          <w:sz w:val="24"/>
          <w:szCs w:val="24"/>
          <w:highlight w:val="none"/>
        </w:rPr>
        <w:t>法律后</w:t>
      </w:r>
    </w:p>
    <w:p w14:paraId="760DBCF7">
      <w:pPr>
        <w:spacing w:line="228" w:lineRule="auto"/>
        <w:ind w:left="5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果由我方承担。</w:t>
      </w:r>
    </w:p>
    <w:p w14:paraId="605D84DF">
      <w:pPr>
        <w:pStyle w:val="11"/>
        <w:spacing w:line="245" w:lineRule="auto"/>
        <w:rPr>
          <w:color w:val="auto"/>
          <w:sz w:val="24"/>
          <w:szCs w:val="24"/>
          <w:highlight w:val="none"/>
        </w:rPr>
      </w:pPr>
    </w:p>
    <w:p w14:paraId="309121E0">
      <w:pPr>
        <w:spacing w:before="65" w:line="228" w:lineRule="auto"/>
        <w:ind w:left="465"/>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代理人无转委托权。</w:t>
      </w:r>
    </w:p>
    <w:p w14:paraId="5DE4F649">
      <w:pPr>
        <w:spacing w:before="251" w:line="228" w:lineRule="auto"/>
        <w:ind w:left="48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附：法定代表人身份证明及委托代理人身份证明</w:t>
      </w:r>
    </w:p>
    <w:p w14:paraId="543EA219">
      <w:pPr>
        <w:pStyle w:val="11"/>
        <w:spacing w:line="292" w:lineRule="auto"/>
        <w:rPr>
          <w:color w:val="auto"/>
          <w:sz w:val="24"/>
          <w:szCs w:val="24"/>
          <w:highlight w:val="none"/>
        </w:rPr>
      </w:pPr>
    </w:p>
    <w:p w14:paraId="6B0BF420">
      <w:pPr>
        <w:pStyle w:val="11"/>
        <w:spacing w:line="292" w:lineRule="auto"/>
        <w:rPr>
          <w:color w:val="auto"/>
          <w:sz w:val="24"/>
          <w:szCs w:val="24"/>
          <w:highlight w:val="none"/>
        </w:rPr>
      </w:pPr>
    </w:p>
    <w:p w14:paraId="4A711E99">
      <w:pPr>
        <w:pStyle w:val="11"/>
        <w:spacing w:line="292" w:lineRule="auto"/>
        <w:rPr>
          <w:color w:val="auto"/>
          <w:sz w:val="24"/>
          <w:szCs w:val="24"/>
          <w:highlight w:val="none"/>
        </w:rPr>
      </w:pPr>
    </w:p>
    <w:p w14:paraId="1255B5A0">
      <w:pPr>
        <w:pStyle w:val="11"/>
        <w:spacing w:line="293" w:lineRule="auto"/>
        <w:rPr>
          <w:color w:val="auto"/>
          <w:sz w:val="24"/>
          <w:szCs w:val="24"/>
          <w:highlight w:val="none"/>
        </w:rPr>
      </w:pPr>
    </w:p>
    <w:p w14:paraId="58149CCD">
      <w:pPr>
        <w:spacing w:before="65" w:line="576" w:lineRule="auto"/>
        <w:ind w:left="45"/>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供应商</w:t>
      </w:r>
      <w:r>
        <w:rPr>
          <w:rFonts w:ascii="宋体" w:hAnsi="宋体" w:eastAsia="宋体" w:cs="宋体"/>
          <w:color w:val="auto"/>
          <w:spacing w:val="-2"/>
          <w:sz w:val="24"/>
          <w:szCs w:val="24"/>
          <w:highlight w:val="none"/>
        </w:rPr>
        <w:t>：</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rPr>
        <w:t>（</w:t>
      </w:r>
      <w:r>
        <w:rPr>
          <w:rFonts w:ascii="宋体" w:hAnsi="宋体" w:eastAsia="宋体" w:cs="宋体"/>
          <w:color w:val="auto"/>
          <w:spacing w:val="10"/>
          <w:sz w:val="24"/>
          <w:szCs w:val="24"/>
          <w:highlight w:val="none"/>
        </w:rPr>
        <w:t>盖章）</w:t>
      </w:r>
    </w:p>
    <w:p w14:paraId="74824928">
      <w:pPr>
        <w:spacing w:before="1" w:line="227" w:lineRule="auto"/>
        <w:ind w:left="46"/>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法定代表人</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
          <w:sz w:val="24"/>
          <w:szCs w:val="24"/>
          <w:highlight w:val="none"/>
        </w:rPr>
        <w:t>（</w:t>
      </w:r>
      <w:r>
        <w:rPr>
          <w:rFonts w:ascii="宋体" w:hAnsi="宋体" w:eastAsia="宋体" w:cs="宋体"/>
          <w:color w:val="auto"/>
          <w:spacing w:val="10"/>
          <w:sz w:val="24"/>
          <w:szCs w:val="24"/>
          <w:highlight w:val="none"/>
        </w:rPr>
        <w:t>签字或盖章）</w:t>
      </w:r>
    </w:p>
    <w:p w14:paraId="0E745A33">
      <w:pPr>
        <w:pStyle w:val="11"/>
        <w:spacing w:line="310" w:lineRule="auto"/>
        <w:rPr>
          <w:color w:val="auto"/>
          <w:sz w:val="24"/>
          <w:szCs w:val="24"/>
          <w:highlight w:val="none"/>
        </w:rPr>
      </w:pPr>
    </w:p>
    <w:p w14:paraId="260FEF19">
      <w:pPr>
        <w:spacing w:before="66" w:line="228" w:lineRule="auto"/>
        <w:ind w:left="5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身份证号：</w:t>
      </w:r>
      <w:r>
        <w:rPr>
          <w:rFonts w:ascii="宋体" w:hAnsi="宋体" w:eastAsia="宋体" w:cs="宋体"/>
          <w:color w:val="auto"/>
          <w:sz w:val="24"/>
          <w:szCs w:val="24"/>
          <w:highlight w:val="none"/>
          <w:u w:val="single" w:color="auto"/>
        </w:rPr>
        <w:t xml:space="preserve">                                  </w:t>
      </w:r>
    </w:p>
    <w:p w14:paraId="5836B4DD">
      <w:pPr>
        <w:pStyle w:val="11"/>
        <w:spacing w:line="309" w:lineRule="auto"/>
        <w:rPr>
          <w:color w:val="auto"/>
          <w:sz w:val="24"/>
          <w:szCs w:val="24"/>
          <w:highlight w:val="none"/>
        </w:rPr>
      </w:pPr>
    </w:p>
    <w:p w14:paraId="3C098591">
      <w:pPr>
        <w:spacing w:before="66" w:line="576" w:lineRule="auto"/>
        <w:ind w:left="45"/>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委托代理人</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rPr>
        <w:t>（</w:t>
      </w:r>
      <w:r>
        <w:rPr>
          <w:rFonts w:ascii="宋体" w:hAnsi="宋体" w:eastAsia="宋体" w:cs="宋体"/>
          <w:color w:val="auto"/>
          <w:spacing w:val="10"/>
          <w:sz w:val="24"/>
          <w:szCs w:val="24"/>
          <w:highlight w:val="none"/>
        </w:rPr>
        <w:t>签字或盖章）</w:t>
      </w:r>
    </w:p>
    <w:p w14:paraId="224740B5">
      <w:pPr>
        <w:spacing w:line="228" w:lineRule="auto"/>
        <w:ind w:left="5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身份证号：</w:t>
      </w:r>
      <w:r>
        <w:rPr>
          <w:rFonts w:ascii="宋体" w:hAnsi="宋体" w:eastAsia="宋体" w:cs="宋体"/>
          <w:color w:val="auto"/>
          <w:sz w:val="24"/>
          <w:szCs w:val="24"/>
          <w:highlight w:val="none"/>
          <w:u w:val="single" w:color="auto"/>
        </w:rPr>
        <w:t xml:space="preserve">                                  </w:t>
      </w:r>
    </w:p>
    <w:p w14:paraId="1773FAA6">
      <w:pPr>
        <w:pStyle w:val="11"/>
        <w:spacing w:line="465" w:lineRule="auto"/>
        <w:rPr>
          <w:color w:val="auto"/>
          <w:sz w:val="24"/>
          <w:szCs w:val="24"/>
          <w:highlight w:val="none"/>
        </w:rPr>
      </w:pPr>
    </w:p>
    <w:p w14:paraId="33A00A16">
      <w:pPr>
        <w:spacing w:line="360" w:lineRule="auto"/>
        <w:ind w:firstLine="1680" w:firstLineChars="70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90"/>
          <w:sz w:val="24"/>
          <w:szCs w:val="24"/>
          <w:highlight w:val="none"/>
        </w:rPr>
        <w:t xml:space="preserve"> </w:t>
      </w:r>
      <w:r>
        <w:rPr>
          <w:rFonts w:hint="eastAsia" w:ascii="宋体" w:hAnsi="宋体" w:cs="宋体"/>
          <w:color w:val="auto"/>
          <w:spacing w:val="-90"/>
          <w:sz w:val="24"/>
          <w:szCs w:val="24"/>
          <w:highlight w:val="none"/>
          <w:lang w:val="en-US" w:eastAsia="zh-CN"/>
        </w:rPr>
        <w:t xml:space="preserve">   </w:t>
      </w:r>
      <w:r>
        <w:rPr>
          <w:rFonts w:ascii="宋体" w:hAnsi="宋体" w:eastAsia="宋体" w:cs="宋体"/>
          <w:color w:val="auto"/>
          <w:spacing w:val="-2"/>
          <w:sz w:val="24"/>
          <w:szCs w:val="24"/>
          <w:highlight w:val="none"/>
        </w:rPr>
        <w:t>年</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86"/>
          <w:sz w:val="24"/>
          <w:szCs w:val="24"/>
          <w:highlight w:val="none"/>
        </w:rPr>
        <w:t xml:space="preserve"> </w:t>
      </w:r>
      <w:r>
        <w:rPr>
          <w:rFonts w:ascii="宋体" w:hAnsi="宋体" w:eastAsia="宋体" w:cs="宋体"/>
          <w:color w:val="auto"/>
          <w:spacing w:val="-2"/>
          <w:sz w:val="24"/>
          <w:szCs w:val="24"/>
          <w:highlight w:val="none"/>
        </w:rPr>
        <w:t>月</w:t>
      </w:r>
      <w:r>
        <w:rPr>
          <w:rFonts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z w:val="24"/>
          <w:szCs w:val="24"/>
          <w:highlight w:val="none"/>
        </w:rPr>
        <w:t>日</w:t>
      </w:r>
    </w:p>
    <w:p w14:paraId="05A91DCD">
      <w:pPr>
        <w:spacing w:line="360" w:lineRule="auto"/>
        <w:rPr>
          <w:rFonts w:hint="eastAsia" w:ascii="宋体" w:hAnsi="宋体" w:eastAsia="宋体" w:cs="宋体"/>
          <w:color w:val="auto"/>
          <w:szCs w:val="21"/>
          <w:highlight w:val="none"/>
        </w:rPr>
      </w:pPr>
    </w:p>
    <w:p w14:paraId="75771FE5">
      <w:pPr>
        <w:spacing w:line="440" w:lineRule="exact"/>
        <w:rPr>
          <w:rFonts w:hint="eastAsia" w:ascii="宋体" w:hAnsi="宋体" w:eastAsia="宋体" w:cs="宋体"/>
          <w:color w:val="auto"/>
          <w:szCs w:val="21"/>
          <w:highlight w:val="none"/>
        </w:rPr>
      </w:pPr>
    </w:p>
    <w:p w14:paraId="60C6BB4A">
      <w:pPr>
        <w:spacing w:line="440" w:lineRule="exact"/>
        <w:rPr>
          <w:rFonts w:hint="eastAsia" w:ascii="宋体" w:hAnsi="宋体" w:eastAsia="宋体" w:cs="宋体"/>
          <w:color w:val="auto"/>
          <w:szCs w:val="21"/>
          <w:highlight w:val="none"/>
        </w:rPr>
      </w:pPr>
    </w:p>
    <w:p w14:paraId="39E13A86">
      <w:pPr>
        <w:rPr>
          <w:rFonts w:hint="eastAsia" w:ascii="宋体" w:hAnsi="宋体" w:eastAsia="宋体" w:cs="宋体"/>
          <w:b/>
          <w:bCs/>
          <w:color w:val="auto"/>
          <w:sz w:val="28"/>
          <w:szCs w:val="28"/>
          <w:highlight w:val="none"/>
        </w:rPr>
      </w:pPr>
      <w:bookmarkStart w:id="130" w:name="_Toc22390"/>
      <w:r>
        <w:rPr>
          <w:rFonts w:hint="eastAsia" w:ascii="宋体" w:hAnsi="宋体" w:eastAsia="宋体" w:cs="宋体"/>
          <w:color w:val="auto"/>
          <w:sz w:val="24"/>
          <w:highlight w:val="none"/>
        </w:rPr>
        <w:br w:type="page"/>
      </w:r>
    </w:p>
    <w:bookmarkEnd w:id="130"/>
    <w:p w14:paraId="463F6638">
      <w:pPr>
        <w:numPr>
          <w:ilvl w:val="0"/>
          <w:numId w:val="0"/>
        </w:numPr>
        <w:spacing w:before="97" w:line="219" w:lineRule="auto"/>
        <w:jc w:val="center"/>
        <w:outlineLvl w:val="1"/>
        <w:rPr>
          <w:rFonts w:hint="eastAsia" w:ascii="宋体" w:hAnsi="宋体" w:eastAsia="宋体" w:cs="宋体"/>
          <w:color w:val="auto"/>
          <w:spacing w:val="-3"/>
          <w:sz w:val="30"/>
          <w:szCs w:val="30"/>
          <w:highlight w:val="none"/>
          <w:lang w:val="en-US" w:eastAsia="zh-CN"/>
          <w14:textOutline w14:w="5448" w14:cap="sq" w14:cmpd="sng">
            <w14:solidFill>
              <w14:srgbClr w14:val="000000"/>
            </w14:solidFill>
            <w14:prstDash w14:val="solid"/>
            <w14:bevel/>
          </w14:textOutline>
        </w:rPr>
      </w:pPr>
      <w:bookmarkStart w:id="131" w:name="_Toc20721_WPSOffice_Level1"/>
      <w:bookmarkStart w:id="132" w:name="_Toc29584"/>
      <w:bookmarkStart w:id="133" w:name="_Toc7153"/>
      <w:bookmarkStart w:id="134" w:name="_Toc11772_WPSOffice_Level1"/>
      <w:bookmarkStart w:id="135" w:name="_Toc28712"/>
      <w:r>
        <w:rPr>
          <w:rFonts w:hint="eastAsia" w:ascii="宋体" w:hAnsi="宋体" w:eastAsia="宋体" w:cs="宋体"/>
          <w:color w:val="auto"/>
          <w:spacing w:val="-3"/>
          <w:sz w:val="30"/>
          <w:szCs w:val="30"/>
          <w:highlight w:val="none"/>
          <w:lang w:eastAsia="zh-CN"/>
          <w14:textOutline w14:w="5448" w14:cap="sq" w14:cmpd="sng">
            <w14:solidFill>
              <w14:srgbClr w14:val="000000"/>
            </w14:solidFill>
            <w14:prstDash w14:val="solid"/>
            <w14:bevel/>
          </w14:textOutline>
        </w:rPr>
        <w:t>三、</w:t>
      </w:r>
      <w:bookmarkEnd w:id="131"/>
      <w:bookmarkEnd w:id="132"/>
      <w:bookmarkEnd w:id="133"/>
      <w:bookmarkEnd w:id="134"/>
      <w:bookmarkEnd w:id="135"/>
      <w:r>
        <w:rPr>
          <w:rFonts w:hint="eastAsia" w:ascii="宋体" w:hAnsi="宋体" w:eastAsia="宋体" w:cs="宋体"/>
          <w:color w:val="auto"/>
          <w:spacing w:val="-3"/>
          <w:sz w:val="30"/>
          <w:szCs w:val="30"/>
          <w:highlight w:val="none"/>
          <w:lang w:eastAsia="zh-CN"/>
          <w14:textOutline w14:w="5448" w14:cap="sq" w14:cmpd="sng">
            <w14:solidFill>
              <w14:srgbClr w14:val="000000"/>
            </w14:solidFill>
            <w14:prstDash w14:val="solid"/>
            <w14:bevel/>
          </w14:textOutline>
        </w:rPr>
        <w:t>磋商函</w:t>
      </w:r>
    </w:p>
    <w:p w14:paraId="38E21A98">
      <w:pPr>
        <w:pStyle w:val="11"/>
        <w:spacing w:line="469" w:lineRule="auto"/>
        <w:rPr>
          <w:color w:val="auto"/>
          <w:highlight w:val="none"/>
        </w:rPr>
      </w:pPr>
    </w:p>
    <w:p w14:paraId="0031908B">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7A6C434F">
      <w:pPr>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我方已仔细研究了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文件的全部内容，愿意以人民币骨灰盒（大写）</w:t>
      </w:r>
      <w:r>
        <w:rPr>
          <w:rFonts w:hint="eastAsia" w:ascii="宋体" w:hAnsi="宋体" w:eastAsia="宋体" w:cs="宋体"/>
          <w:color w:val="auto"/>
          <w:sz w:val="24"/>
          <w:szCs w:val="24"/>
          <w:highlight w:val="none"/>
          <w:u w:val="single"/>
        </w:rPr>
        <w:t xml:space="preserve"> 贰佰元整 (¥ 200.00）</w:t>
      </w:r>
      <w:r>
        <w:rPr>
          <w:rFonts w:hint="eastAsia" w:ascii="宋体" w:hAnsi="宋体" w:eastAsia="宋体" w:cs="宋体"/>
          <w:color w:val="auto"/>
          <w:sz w:val="24"/>
          <w:szCs w:val="24"/>
          <w:highlight w:val="none"/>
        </w:rPr>
        <w:t>的投标报价（单个单价）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专用遗体袋（大写）</w:t>
      </w:r>
      <w:r>
        <w:rPr>
          <w:rFonts w:hint="eastAsia" w:ascii="宋体" w:hAnsi="宋体" w:eastAsia="宋体" w:cs="宋体"/>
          <w:color w:val="auto"/>
          <w:sz w:val="24"/>
          <w:szCs w:val="24"/>
          <w:highlight w:val="none"/>
          <w:u w:val="single"/>
        </w:rPr>
        <w:t xml:space="preserve"> 壹佰元整 (¥100.00）</w:t>
      </w:r>
      <w:r>
        <w:rPr>
          <w:rFonts w:hint="eastAsia" w:ascii="宋体" w:hAnsi="宋体" w:eastAsia="宋体" w:cs="宋体"/>
          <w:color w:val="auto"/>
          <w:sz w:val="24"/>
          <w:szCs w:val="24"/>
          <w:highlight w:val="none"/>
        </w:rPr>
        <w:t>的投标报价（单个单价）按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文件及合同约定完成全部工作。</w:t>
      </w:r>
    </w:p>
    <w:p w14:paraId="24B9F572">
      <w:pPr>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如果我方</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，我方将按</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文件的规定及要求签订并严格履行合同中的责任和义务，在 签订合同时不向你方提出附加条件，按照</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文件要求进行履约，在合同约定的期限内完成合同规定的全部内容。</w:t>
      </w:r>
    </w:p>
    <w:p w14:paraId="629B4A91">
      <w:pPr>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我方已详细审查全部</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文件，包括修改文件以及全部参考资料和有关附件。我们完全理解并同意放弃对这方面有不明及误解的权力，满足</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文件中全部要求，履行</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后的义务。</w:t>
      </w:r>
    </w:p>
    <w:p w14:paraId="6E879F33">
      <w:pPr>
        <w:bidi w:val="0"/>
        <w:spacing w:line="360" w:lineRule="auto"/>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有效期为提交</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文件的截止之日起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w:t>
      </w:r>
    </w:p>
    <w:p w14:paraId="77CFBFDE">
      <w:pPr>
        <w:bidi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交货期</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，交货地点为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，质量要求为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，质保期为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，合同履行期限为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221D61C">
      <w:pPr>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在开标时间截止后，我方在</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有效期内保证不撤回</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7989CFA1">
      <w:pPr>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我方在此声明，所递交的</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文件及有关资料内容完整、真实和准确，且不存在</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文件规定的任何一种情形。</w:t>
      </w:r>
    </w:p>
    <w:p w14:paraId="2EED0926">
      <w:pPr>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.我方同意提供按照贵方可能要求的与其</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有关的一切数据或资料，完全理解贵方不一定接受最低价的</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或收到的任何</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w:t>
      </w:r>
    </w:p>
    <w:p w14:paraId="646F1831">
      <w:pPr>
        <w:bidi w:val="0"/>
        <w:spacing w:line="360" w:lineRule="auto"/>
        <w:rPr>
          <w:rFonts w:hint="eastAsia" w:ascii="宋体" w:hAnsi="宋体" w:eastAsia="宋体" w:cs="宋体"/>
          <w:color w:val="auto"/>
          <w:sz w:val="24"/>
          <w:szCs w:val="24"/>
          <w:highlight w:val="none"/>
        </w:rPr>
      </w:pPr>
    </w:p>
    <w:p w14:paraId="10ED80D5">
      <w:pPr>
        <w:pStyle w:val="11"/>
        <w:spacing w:line="360" w:lineRule="auto"/>
        <w:rPr>
          <w:rFonts w:hint="eastAsia" w:ascii="宋体" w:hAnsi="宋体" w:eastAsia="宋体" w:cs="宋体"/>
          <w:color w:val="auto"/>
          <w:sz w:val="24"/>
          <w:szCs w:val="24"/>
          <w:highlight w:val="none"/>
        </w:rPr>
      </w:pPr>
    </w:p>
    <w:p w14:paraId="253B7842">
      <w:pPr>
        <w:spacing w:before="66" w:line="360" w:lineRule="auto"/>
        <w:ind w:left="45"/>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地址：</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供应商</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0"/>
          <w:sz w:val="24"/>
          <w:szCs w:val="24"/>
          <w:highlight w:val="none"/>
        </w:rPr>
        <w:t>电子签章）</w:t>
      </w:r>
    </w:p>
    <w:p w14:paraId="686C5974">
      <w:pPr>
        <w:spacing w:before="204" w:line="360" w:lineRule="auto"/>
        <w:ind w:left="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邮政编码：</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 xml:space="preserve">      法定代表</w:t>
      </w:r>
      <w:r>
        <w:rPr>
          <w:rFonts w:hint="eastAsia" w:ascii="宋体" w:hAnsi="宋体" w:eastAsia="宋体" w:cs="宋体"/>
          <w:color w:val="auto"/>
          <w:spacing w:val="7"/>
          <w:sz w:val="24"/>
          <w:szCs w:val="24"/>
          <w:highlight w:val="none"/>
        </w:rPr>
        <w:t>人或其委托代理人</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0"/>
          <w:sz w:val="24"/>
          <w:szCs w:val="24"/>
          <w:highlight w:val="none"/>
        </w:rPr>
        <w:t>签字或电子签章</w:t>
      </w:r>
      <w:r>
        <w:rPr>
          <w:rFonts w:hint="eastAsia" w:ascii="宋体" w:hAnsi="宋体" w:eastAsia="宋体" w:cs="宋体"/>
          <w:color w:val="auto"/>
          <w:spacing w:val="7"/>
          <w:sz w:val="24"/>
          <w:szCs w:val="24"/>
          <w:highlight w:val="none"/>
        </w:rPr>
        <w:t>）</w:t>
      </w:r>
    </w:p>
    <w:p w14:paraId="0FD2942E">
      <w:pPr>
        <w:spacing w:before="193" w:line="360" w:lineRule="auto"/>
        <w:ind w:left="70"/>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电话：</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3"/>
          <w:sz w:val="24"/>
          <w:szCs w:val="24"/>
          <w:highlight w:val="none"/>
        </w:rPr>
        <w:t>日期：</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3"/>
          <w:sz w:val="24"/>
          <w:szCs w:val="24"/>
          <w:highlight w:val="none"/>
        </w:rPr>
        <w:t>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3"/>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
          <w:sz w:val="24"/>
          <w:szCs w:val="24"/>
          <w:highlight w:val="none"/>
        </w:rPr>
        <w:t>日</w:t>
      </w:r>
    </w:p>
    <w:p w14:paraId="22898BA1">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10CF52D">
      <w:pPr>
        <w:pStyle w:val="47"/>
        <w:rPr>
          <w:rFonts w:hint="eastAsia" w:eastAsia="宋体"/>
          <w:color w:val="auto"/>
          <w:highlight w:val="none"/>
          <w:lang w:eastAsia="zh-CN"/>
        </w:rPr>
      </w:pPr>
      <w:r>
        <w:rPr>
          <w:rFonts w:hint="eastAsia"/>
          <w:color w:val="auto"/>
          <w:highlight w:val="none"/>
          <w:lang w:eastAsia="zh-CN"/>
        </w:rPr>
        <w:t>附件：</w:t>
      </w:r>
    </w:p>
    <w:p w14:paraId="7C59F4CC">
      <w:pPr>
        <w:spacing w:line="360"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磋商</w:t>
      </w:r>
      <w:r>
        <w:rPr>
          <w:rFonts w:hint="eastAsia" w:ascii="宋体" w:hAnsi="宋体" w:eastAsia="宋体" w:cs="宋体"/>
          <w:b/>
          <w:bCs/>
          <w:color w:val="auto"/>
          <w:sz w:val="32"/>
          <w:szCs w:val="32"/>
          <w:highlight w:val="none"/>
        </w:rPr>
        <w:t>（第一次报价）一览表</w:t>
      </w:r>
    </w:p>
    <w:p w14:paraId="3EBE8CE7">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cs="宋体"/>
          <w:color w:val="auto"/>
          <w:sz w:val="24"/>
          <w:highlight w:val="none"/>
          <w:lang w:eastAsia="zh-CN"/>
        </w:rPr>
        <w:t xml:space="preserve"> </w:t>
      </w: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编号：</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623"/>
        <w:gridCol w:w="1302"/>
        <w:gridCol w:w="1290"/>
        <w:gridCol w:w="3135"/>
      </w:tblGrid>
      <w:tr w14:paraId="00B8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50" w:type="dxa"/>
            <w:vAlign w:val="center"/>
          </w:tcPr>
          <w:p w14:paraId="5D358402">
            <w:pPr>
              <w:pStyle w:val="11"/>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auto"/>
                <w:highlight w:val="none"/>
                <w:vertAlign w:val="baseli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名称</w:t>
            </w:r>
          </w:p>
        </w:tc>
        <w:tc>
          <w:tcPr>
            <w:tcW w:w="7350" w:type="dxa"/>
            <w:gridSpan w:val="4"/>
            <w:vAlign w:val="center"/>
          </w:tcPr>
          <w:p w14:paraId="7E10CF08">
            <w:pPr>
              <w:pStyle w:val="11"/>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lang w:eastAsia="zh-CN"/>
              </w:rPr>
            </w:pPr>
          </w:p>
        </w:tc>
      </w:tr>
      <w:tr w14:paraId="7523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50" w:type="dxa"/>
            <w:vAlign w:val="center"/>
          </w:tcPr>
          <w:p w14:paraId="0A938005">
            <w:pPr>
              <w:pStyle w:val="11"/>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highlight w:val="none"/>
                <w:vertAlign w:val="baseline"/>
                <w:lang w:val="en-US" w:eastAsia="zh-CN"/>
              </w:rPr>
              <w:t>响应</w:t>
            </w:r>
            <w:r>
              <w:rPr>
                <w:rFonts w:hint="eastAsia" w:ascii="宋体" w:hAnsi="宋体" w:eastAsia="宋体" w:cs="宋体"/>
                <w:b/>
                <w:bCs/>
                <w:color w:val="auto"/>
                <w:highlight w:val="none"/>
                <w:vertAlign w:val="baseline"/>
                <w:lang w:eastAsia="zh-CN"/>
              </w:rPr>
              <w:t>内容</w:t>
            </w:r>
          </w:p>
        </w:tc>
        <w:tc>
          <w:tcPr>
            <w:tcW w:w="7350" w:type="dxa"/>
            <w:gridSpan w:val="4"/>
            <w:vAlign w:val="center"/>
          </w:tcPr>
          <w:p w14:paraId="08CB1A54">
            <w:pPr>
              <w:pStyle w:val="11"/>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lang w:eastAsia="zh-CN"/>
              </w:rPr>
            </w:pPr>
          </w:p>
        </w:tc>
      </w:tr>
      <w:tr w14:paraId="5872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650" w:type="dxa"/>
            <w:vMerge w:val="restart"/>
            <w:vAlign w:val="center"/>
          </w:tcPr>
          <w:p w14:paraId="0D8B1D8C">
            <w:pPr>
              <w:pStyle w:val="11"/>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auto"/>
                <w:highlight w:val="none"/>
                <w:vertAlign w:val="baseline"/>
                <w:lang w:eastAsia="zh-CN"/>
              </w:rPr>
            </w:pPr>
            <w:r>
              <w:rPr>
                <w:rFonts w:hint="eastAsia" w:ascii="宋体" w:hAnsi="宋体" w:eastAsia="宋体" w:cs="宋体"/>
                <w:b/>
                <w:bCs/>
                <w:color w:val="auto"/>
                <w:highlight w:val="none"/>
                <w:vertAlign w:val="baseline"/>
                <w:lang w:eastAsia="zh-CN"/>
              </w:rPr>
              <w:t>磋商</w:t>
            </w:r>
            <w:r>
              <w:rPr>
                <w:rFonts w:hint="eastAsia" w:ascii="宋体" w:hAnsi="宋体" w:cs="宋体"/>
                <w:b/>
                <w:bCs/>
                <w:color w:val="auto"/>
                <w:highlight w:val="none"/>
                <w:vertAlign w:val="baseline"/>
                <w:lang w:val="en-US" w:eastAsia="zh-CN"/>
              </w:rPr>
              <w:t>报价</w:t>
            </w:r>
          </w:p>
        </w:tc>
        <w:tc>
          <w:tcPr>
            <w:tcW w:w="1623" w:type="dxa"/>
            <w:vAlign w:val="center"/>
          </w:tcPr>
          <w:p w14:paraId="5C15E84E">
            <w:pPr>
              <w:pStyle w:val="11"/>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lang w:eastAsia="zh-CN"/>
              </w:rPr>
            </w:pPr>
            <w:r>
              <w:rPr>
                <w:rFonts w:hint="eastAsia" w:ascii="宋体" w:hAnsi="宋体" w:eastAsia="宋体" w:cs="宋体"/>
                <w:color w:val="auto"/>
                <w:sz w:val="24"/>
                <w:highlight w:val="none"/>
                <w:u w:val="none"/>
                <w:lang w:val="en-US" w:eastAsia="zh-CN"/>
              </w:rPr>
              <w:t>骨灰盒</w:t>
            </w:r>
            <w:r>
              <w:rPr>
                <w:rFonts w:hint="eastAsia" w:ascii="宋体" w:hAnsi="宋体" w:cs="宋体"/>
                <w:color w:val="auto"/>
                <w:sz w:val="24"/>
                <w:highlight w:val="none"/>
                <w:u w:val="none"/>
                <w:lang w:val="en-US" w:eastAsia="zh-CN"/>
              </w:rPr>
              <w:t xml:space="preserve">   </w:t>
            </w:r>
          </w:p>
        </w:tc>
        <w:tc>
          <w:tcPr>
            <w:tcW w:w="5727" w:type="dxa"/>
            <w:gridSpan w:val="3"/>
            <w:vAlign w:val="center"/>
          </w:tcPr>
          <w:p w14:paraId="4AA0EF13">
            <w:pPr>
              <w:pStyle w:val="11"/>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大写</w:t>
            </w:r>
            <w:r>
              <w:rPr>
                <w:rFonts w:hint="eastAsia" w:ascii="宋体" w:hAnsi="宋体" w:cs="宋体"/>
                <w:color w:val="auto"/>
                <w:sz w:val="24"/>
                <w:highlight w:val="none"/>
                <w:u w:val="none"/>
                <w:lang w:val="en-US" w:eastAsia="zh-CN"/>
              </w:rPr>
              <w:t>：</w:t>
            </w:r>
            <w:r>
              <w:rPr>
                <w:rFonts w:hint="eastAsia" w:ascii="宋体" w:hAnsi="宋体" w:eastAsia="宋体" w:cs="宋体"/>
                <w:color w:val="auto"/>
                <w:sz w:val="24"/>
                <w:highlight w:val="none"/>
                <w:u w:val="none"/>
                <w:lang w:val="en-US" w:eastAsia="zh-CN"/>
              </w:rPr>
              <w:t>贰佰元整</w:t>
            </w:r>
            <w:r>
              <w:rPr>
                <w:rFonts w:hint="eastAsia" w:ascii="宋体" w:hAnsi="宋体" w:cs="宋体"/>
                <w:color w:val="auto"/>
                <w:sz w:val="24"/>
                <w:highlight w:val="none"/>
                <w:u w:val="none"/>
                <w:lang w:val="en-US" w:eastAsia="zh-CN"/>
              </w:rPr>
              <w:t>每个    小写：</w:t>
            </w:r>
            <w:r>
              <w:rPr>
                <w:rFonts w:hint="eastAsia" w:ascii="宋体" w:hAnsi="宋体" w:eastAsia="宋体" w:cs="宋体"/>
                <w:color w:val="auto"/>
                <w:sz w:val="24"/>
                <w:highlight w:val="none"/>
                <w:u w:val="none"/>
                <w:lang w:val="en-US" w:eastAsia="zh-CN"/>
              </w:rPr>
              <w:t>200.00</w:t>
            </w:r>
            <w:r>
              <w:rPr>
                <w:rFonts w:hint="eastAsia" w:ascii="宋体" w:hAnsi="宋体" w:cs="宋体"/>
                <w:color w:val="auto"/>
                <w:sz w:val="24"/>
                <w:highlight w:val="none"/>
                <w:u w:val="none"/>
                <w:lang w:val="en-US" w:eastAsia="zh-CN"/>
              </w:rPr>
              <w:t>元/个</w:t>
            </w:r>
          </w:p>
        </w:tc>
      </w:tr>
      <w:tr w14:paraId="4EA9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650" w:type="dxa"/>
            <w:vMerge w:val="continue"/>
            <w:vAlign w:val="center"/>
          </w:tcPr>
          <w:p w14:paraId="70FB49E4">
            <w:pPr>
              <w:pStyle w:val="11"/>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color w:val="auto"/>
                <w:highlight w:val="none"/>
              </w:rPr>
            </w:pPr>
          </w:p>
        </w:tc>
        <w:tc>
          <w:tcPr>
            <w:tcW w:w="1623" w:type="dxa"/>
            <w:vAlign w:val="center"/>
          </w:tcPr>
          <w:p w14:paraId="270F8BB3">
            <w:pPr>
              <w:pStyle w:val="11"/>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color w:val="auto"/>
                <w:highlight w:val="none"/>
              </w:rPr>
            </w:pPr>
            <w:r>
              <w:rPr>
                <w:rFonts w:hint="eastAsia" w:ascii="宋体" w:hAnsi="宋体" w:eastAsia="宋体" w:cs="宋体"/>
                <w:color w:val="auto"/>
                <w:sz w:val="24"/>
                <w:highlight w:val="none"/>
                <w:u w:val="none"/>
                <w:lang w:val="en-US" w:eastAsia="zh-CN"/>
              </w:rPr>
              <w:t>专用遗体袋</w:t>
            </w:r>
            <w:r>
              <w:rPr>
                <w:rFonts w:hint="eastAsia" w:ascii="宋体" w:hAnsi="宋体" w:cs="宋体"/>
                <w:color w:val="auto"/>
                <w:sz w:val="24"/>
                <w:highlight w:val="none"/>
                <w:u w:val="none"/>
                <w:lang w:val="en-US" w:eastAsia="zh-CN"/>
              </w:rPr>
              <w:t xml:space="preserve"> </w:t>
            </w:r>
          </w:p>
        </w:tc>
        <w:tc>
          <w:tcPr>
            <w:tcW w:w="5727" w:type="dxa"/>
            <w:gridSpan w:val="3"/>
            <w:vAlign w:val="center"/>
          </w:tcPr>
          <w:p w14:paraId="1E3C0D8A">
            <w:pPr>
              <w:pStyle w:val="11"/>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大写</w:t>
            </w:r>
            <w:r>
              <w:rPr>
                <w:rFonts w:hint="eastAsia" w:ascii="宋体" w:hAnsi="宋体" w:cs="宋体"/>
                <w:color w:val="auto"/>
                <w:sz w:val="24"/>
                <w:highlight w:val="none"/>
                <w:u w:val="none"/>
                <w:lang w:val="en-US" w:eastAsia="zh-CN"/>
              </w:rPr>
              <w:t>：</w:t>
            </w:r>
            <w:r>
              <w:rPr>
                <w:rFonts w:hint="eastAsia" w:ascii="宋体" w:hAnsi="宋体" w:eastAsia="宋体" w:cs="宋体"/>
                <w:color w:val="auto"/>
                <w:sz w:val="24"/>
                <w:highlight w:val="none"/>
                <w:u w:val="none"/>
                <w:lang w:val="en-US" w:eastAsia="zh-CN"/>
              </w:rPr>
              <w:t>壹佰元整</w:t>
            </w:r>
            <w:r>
              <w:rPr>
                <w:rFonts w:hint="eastAsia" w:ascii="宋体" w:hAnsi="宋体" w:cs="宋体"/>
                <w:color w:val="auto"/>
                <w:sz w:val="24"/>
                <w:highlight w:val="none"/>
                <w:u w:val="none"/>
                <w:lang w:val="en-US" w:eastAsia="zh-CN"/>
              </w:rPr>
              <w:t xml:space="preserve">每个    </w:t>
            </w:r>
            <w:r>
              <w:rPr>
                <w:rFonts w:hint="eastAsia" w:ascii="宋体" w:hAnsi="宋体" w:eastAsia="宋体" w:cs="宋体"/>
                <w:color w:val="auto"/>
                <w:sz w:val="24"/>
                <w:highlight w:val="none"/>
                <w:u w:val="none"/>
              </w:rPr>
              <w:t>小写</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100.00</w:t>
            </w:r>
            <w:r>
              <w:rPr>
                <w:rFonts w:hint="eastAsia" w:ascii="宋体" w:hAnsi="宋体" w:cs="宋体"/>
                <w:color w:val="auto"/>
                <w:sz w:val="24"/>
                <w:highlight w:val="none"/>
                <w:u w:val="none"/>
                <w:lang w:val="en-US" w:eastAsia="zh-CN"/>
              </w:rPr>
              <w:t>元/个</w:t>
            </w:r>
          </w:p>
        </w:tc>
      </w:tr>
      <w:tr w14:paraId="3CED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650" w:type="dxa"/>
            <w:vAlign w:val="center"/>
          </w:tcPr>
          <w:p w14:paraId="5DE8BF39">
            <w:pPr>
              <w:pStyle w:val="11"/>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宋体"/>
                <w:b/>
                <w:bCs/>
                <w:color w:val="auto"/>
                <w:highlight w:val="none"/>
                <w:vertAlign w:val="baseline"/>
                <w:lang w:val="en-US" w:eastAsia="zh-CN"/>
              </w:rPr>
            </w:pPr>
            <w:r>
              <w:rPr>
                <w:rFonts w:hint="default" w:ascii="宋体" w:hAnsi="宋体" w:eastAsia="宋体" w:cs="宋体"/>
                <w:b/>
                <w:bCs/>
                <w:color w:val="auto"/>
                <w:highlight w:val="none"/>
                <w:vertAlign w:val="baseline"/>
                <w:lang w:val="en-US" w:eastAsia="zh-CN"/>
              </w:rPr>
              <w:t>交货期</w:t>
            </w:r>
          </w:p>
        </w:tc>
        <w:tc>
          <w:tcPr>
            <w:tcW w:w="2925" w:type="dxa"/>
            <w:gridSpan w:val="2"/>
            <w:vAlign w:val="center"/>
          </w:tcPr>
          <w:p w14:paraId="6F4BA0FB">
            <w:pPr>
              <w:pStyle w:val="11"/>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rPr>
            </w:pPr>
          </w:p>
        </w:tc>
        <w:tc>
          <w:tcPr>
            <w:tcW w:w="1290" w:type="dxa"/>
            <w:vAlign w:val="center"/>
          </w:tcPr>
          <w:p w14:paraId="597FF6C2">
            <w:pPr>
              <w:pStyle w:val="11"/>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宋体" w:hAnsi="宋体" w:eastAsia="宋体" w:cs="宋体"/>
                <w:b/>
                <w:bCs/>
                <w:color w:val="auto"/>
                <w:highlight w:val="none"/>
                <w:vertAlign w:val="baseline"/>
                <w:lang w:val="en-US" w:eastAsia="zh-CN"/>
              </w:rPr>
            </w:pPr>
            <w:r>
              <w:rPr>
                <w:rFonts w:hint="eastAsia" w:ascii="宋体" w:hAnsi="宋体" w:cs="宋体"/>
                <w:b/>
                <w:bCs/>
                <w:color w:val="auto"/>
                <w:highlight w:val="none"/>
                <w:vertAlign w:val="baseline"/>
                <w:lang w:val="en-US" w:eastAsia="zh-CN"/>
              </w:rPr>
              <w:t>交货地点</w:t>
            </w:r>
          </w:p>
        </w:tc>
        <w:tc>
          <w:tcPr>
            <w:tcW w:w="3135" w:type="dxa"/>
            <w:vAlign w:val="center"/>
          </w:tcPr>
          <w:p w14:paraId="65510B6D">
            <w:pPr>
              <w:pStyle w:val="11"/>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r w14:paraId="7E7C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50" w:type="dxa"/>
            <w:vAlign w:val="center"/>
          </w:tcPr>
          <w:p w14:paraId="6EB99BF5">
            <w:pPr>
              <w:pStyle w:val="11"/>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cs="宋体"/>
                <w:b/>
                <w:bCs/>
                <w:color w:val="auto"/>
                <w:highlight w:val="none"/>
                <w:vertAlign w:val="baseline"/>
                <w:lang w:val="en-US" w:eastAsia="zh-CN"/>
              </w:rPr>
            </w:pPr>
            <w:r>
              <w:rPr>
                <w:rFonts w:hint="eastAsia" w:ascii="宋体" w:hAnsi="宋体" w:cs="宋体"/>
                <w:b/>
                <w:bCs/>
                <w:color w:val="auto"/>
                <w:highlight w:val="none"/>
                <w:vertAlign w:val="baseline"/>
                <w:lang w:val="en-US" w:eastAsia="zh-CN"/>
              </w:rPr>
              <w:t>质量要求</w:t>
            </w:r>
          </w:p>
        </w:tc>
        <w:tc>
          <w:tcPr>
            <w:tcW w:w="2925" w:type="dxa"/>
            <w:gridSpan w:val="2"/>
            <w:vAlign w:val="center"/>
          </w:tcPr>
          <w:p w14:paraId="59EFD907">
            <w:pPr>
              <w:pStyle w:val="11"/>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cs="宋体"/>
                <w:b/>
                <w:bCs/>
                <w:color w:val="auto"/>
                <w:highlight w:val="none"/>
                <w:vertAlign w:val="baseline"/>
                <w:lang w:val="en-US" w:eastAsia="zh-CN"/>
              </w:rPr>
            </w:pPr>
          </w:p>
        </w:tc>
        <w:tc>
          <w:tcPr>
            <w:tcW w:w="1290" w:type="dxa"/>
            <w:vAlign w:val="center"/>
          </w:tcPr>
          <w:p w14:paraId="42CDF93D">
            <w:pPr>
              <w:pStyle w:val="11"/>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cs="宋体"/>
                <w:b/>
                <w:bCs/>
                <w:color w:val="auto"/>
                <w:highlight w:val="none"/>
                <w:vertAlign w:val="baseline"/>
                <w:lang w:val="en-US" w:eastAsia="zh-CN"/>
              </w:rPr>
            </w:pPr>
            <w:r>
              <w:rPr>
                <w:rFonts w:hint="eastAsia" w:ascii="宋体" w:hAnsi="宋体" w:cs="宋体"/>
                <w:b/>
                <w:bCs/>
                <w:color w:val="auto"/>
                <w:highlight w:val="none"/>
                <w:vertAlign w:val="baseline"/>
                <w:lang w:val="en-US" w:eastAsia="zh-CN"/>
              </w:rPr>
              <w:t>质保期</w:t>
            </w:r>
          </w:p>
        </w:tc>
        <w:tc>
          <w:tcPr>
            <w:tcW w:w="3135" w:type="dxa"/>
            <w:vAlign w:val="center"/>
          </w:tcPr>
          <w:p w14:paraId="223659D9">
            <w:pPr>
              <w:pStyle w:val="11"/>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cs="宋体"/>
                <w:b/>
                <w:bCs/>
                <w:color w:val="auto"/>
                <w:highlight w:val="none"/>
                <w:vertAlign w:val="baseline"/>
                <w:lang w:val="en-US" w:eastAsia="zh-CN"/>
              </w:rPr>
            </w:pPr>
          </w:p>
        </w:tc>
      </w:tr>
      <w:tr w14:paraId="6A44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50" w:type="dxa"/>
            <w:vAlign w:val="center"/>
          </w:tcPr>
          <w:p w14:paraId="75B9189F">
            <w:pPr>
              <w:pStyle w:val="11"/>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cs="宋体"/>
                <w:b/>
                <w:bCs/>
                <w:color w:val="auto"/>
                <w:highlight w:val="none"/>
                <w:vertAlign w:val="baseline"/>
                <w:lang w:val="en-US" w:eastAsia="zh-CN"/>
              </w:rPr>
            </w:pPr>
            <w:bookmarkStart w:id="136" w:name="_Toc359330015"/>
            <w:bookmarkStart w:id="137" w:name="_Toc266431147"/>
            <w:bookmarkStart w:id="138" w:name="_Toc31572"/>
            <w:r>
              <w:rPr>
                <w:rFonts w:hint="eastAsia" w:ascii="宋体" w:hAnsi="宋体" w:cs="宋体"/>
                <w:b/>
                <w:bCs/>
                <w:color w:val="auto"/>
                <w:highlight w:val="none"/>
                <w:vertAlign w:val="baseline"/>
                <w:lang w:val="en-US" w:eastAsia="zh-CN"/>
              </w:rPr>
              <w:t>合同履行</w:t>
            </w:r>
          </w:p>
          <w:p w14:paraId="4015C53F">
            <w:pPr>
              <w:pStyle w:val="11"/>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cs="宋体"/>
                <w:b/>
                <w:bCs/>
                <w:color w:val="auto"/>
                <w:highlight w:val="none"/>
                <w:vertAlign w:val="baseline"/>
                <w:lang w:val="en-US" w:eastAsia="zh-CN"/>
              </w:rPr>
            </w:pPr>
            <w:r>
              <w:rPr>
                <w:rFonts w:hint="eastAsia" w:ascii="宋体" w:hAnsi="宋体" w:cs="宋体"/>
                <w:b/>
                <w:bCs/>
                <w:color w:val="auto"/>
                <w:highlight w:val="none"/>
                <w:vertAlign w:val="baseline"/>
                <w:lang w:val="en-US" w:eastAsia="zh-CN"/>
              </w:rPr>
              <w:t>期限</w:t>
            </w:r>
          </w:p>
        </w:tc>
        <w:tc>
          <w:tcPr>
            <w:tcW w:w="7350" w:type="dxa"/>
            <w:gridSpan w:val="4"/>
            <w:vAlign w:val="center"/>
          </w:tcPr>
          <w:p w14:paraId="31F2B589">
            <w:pPr>
              <w:pStyle w:val="11"/>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cs="宋体"/>
                <w:b/>
                <w:bCs/>
                <w:color w:val="auto"/>
                <w:highlight w:val="none"/>
                <w:vertAlign w:val="baseline"/>
                <w:lang w:val="en-US" w:eastAsia="zh-CN"/>
              </w:rPr>
            </w:pPr>
          </w:p>
        </w:tc>
      </w:tr>
      <w:tr w14:paraId="0CD0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50" w:type="dxa"/>
            <w:vAlign w:val="center"/>
          </w:tcPr>
          <w:p w14:paraId="47973F55">
            <w:pPr>
              <w:pStyle w:val="11"/>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val="en-US" w:eastAsia="zh-CN"/>
              </w:rPr>
              <w:t>有效期</w:t>
            </w:r>
          </w:p>
        </w:tc>
        <w:tc>
          <w:tcPr>
            <w:tcW w:w="7350" w:type="dxa"/>
            <w:gridSpan w:val="4"/>
            <w:vAlign w:val="center"/>
          </w:tcPr>
          <w:p w14:paraId="390206CC">
            <w:pPr>
              <w:pStyle w:val="11"/>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r w14:paraId="0CC8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50" w:type="dxa"/>
            <w:vAlign w:val="center"/>
          </w:tcPr>
          <w:p w14:paraId="7FB99D9F">
            <w:pPr>
              <w:pStyle w:val="11"/>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bCs/>
                <w:color w:val="auto"/>
                <w:highlight w:val="none"/>
                <w:vertAlign w:val="baseline"/>
              </w:rPr>
            </w:pPr>
            <w:r>
              <w:rPr>
                <w:rFonts w:hint="eastAsia" w:ascii="宋体" w:hAnsi="宋体" w:eastAsia="宋体" w:cs="宋体"/>
                <w:b/>
                <w:bCs/>
                <w:color w:val="auto"/>
                <w:sz w:val="24"/>
                <w:szCs w:val="24"/>
                <w:highlight w:val="none"/>
              </w:rPr>
              <w:t>备  注</w:t>
            </w:r>
            <w:bookmarkEnd w:id="136"/>
            <w:bookmarkEnd w:id="137"/>
            <w:bookmarkEnd w:id="138"/>
          </w:p>
        </w:tc>
        <w:tc>
          <w:tcPr>
            <w:tcW w:w="7350" w:type="dxa"/>
            <w:gridSpan w:val="4"/>
            <w:vAlign w:val="center"/>
          </w:tcPr>
          <w:p w14:paraId="59678370">
            <w:pPr>
              <w:pStyle w:val="11"/>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bl>
    <w:p w14:paraId="43960858">
      <w:pPr>
        <w:pStyle w:val="2"/>
        <w:ind w:left="0" w:leftChars="0" w:firstLine="0" w:firstLineChars="0"/>
        <w:rPr>
          <w:rFonts w:hint="eastAsia" w:ascii="宋体" w:hAnsi="宋体" w:eastAsia="宋体" w:cs="宋体"/>
          <w:color w:val="auto"/>
          <w:highlight w:val="none"/>
        </w:rPr>
      </w:pPr>
    </w:p>
    <w:p w14:paraId="70E38D64">
      <w:pPr>
        <w:adjustRightInd w:val="0"/>
        <w:snapToGrid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本投标总报价为完成项目全部内容所需的所有费用</w:t>
      </w:r>
      <w:r>
        <w:rPr>
          <w:rFonts w:hint="eastAsia" w:ascii="宋体" w:hAnsi="宋体" w:eastAsia="宋体" w:cs="宋体"/>
          <w:color w:val="auto"/>
          <w:sz w:val="24"/>
          <w:highlight w:val="none"/>
        </w:rPr>
        <w:t>。</w:t>
      </w:r>
    </w:p>
    <w:p w14:paraId="11A5D8ED">
      <w:pPr>
        <w:spacing w:line="360" w:lineRule="auto"/>
        <w:ind w:firstLine="960" w:firstLineChars="4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.以上内容缺一不可，格式、内容和签署、盖章必须完整，否则为无效</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w:t>
      </w:r>
    </w:p>
    <w:p w14:paraId="7F039190">
      <w:pPr>
        <w:spacing w:line="360" w:lineRule="auto"/>
        <w:rPr>
          <w:rFonts w:hint="eastAsia" w:ascii="宋体" w:hAnsi="宋体" w:eastAsia="宋体" w:cs="宋体"/>
          <w:b/>
          <w:bCs/>
          <w:color w:val="auto"/>
          <w:sz w:val="24"/>
          <w:highlight w:val="none"/>
        </w:rPr>
      </w:pPr>
    </w:p>
    <w:p w14:paraId="0BB401C1">
      <w:pPr>
        <w:pStyle w:val="14"/>
        <w:spacing w:line="360" w:lineRule="auto"/>
        <w:ind w:left="5248" w:leftChars="1504" w:right="57" w:hanging="2090"/>
        <w:rPr>
          <w:rFonts w:hint="eastAsia" w:ascii="宋体" w:hAnsi="宋体" w:eastAsia="宋体" w:cs="宋体"/>
          <w:color w:val="auto"/>
          <w:sz w:val="24"/>
          <w:szCs w:val="24"/>
          <w:highlight w:val="none"/>
        </w:rPr>
      </w:pPr>
    </w:p>
    <w:p w14:paraId="1C9AF0DB">
      <w:pPr>
        <w:spacing w:line="360" w:lineRule="auto"/>
        <w:ind w:firstLine="4320" w:firstLineChars="1800"/>
        <w:rPr>
          <w:rFonts w:hint="eastAsia" w:ascii="宋体" w:hAnsi="宋体" w:eastAsia="宋体" w:cs="宋体"/>
          <w:color w:val="auto"/>
          <w:kern w:val="0"/>
          <w:sz w:val="24"/>
          <w:highlight w:val="none"/>
          <w:lang w:eastAsia="zh-CN"/>
        </w:rPr>
      </w:pPr>
    </w:p>
    <w:p w14:paraId="24D32DDE">
      <w:pPr>
        <w:spacing w:line="360" w:lineRule="auto"/>
        <w:ind w:firstLine="4320" w:firstLineChars="1800"/>
        <w:rPr>
          <w:rFonts w:hint="eastAsia" w:ascii="宋体" w:hAnsi="宋体" w:eastAsia="宋体" w:cs="宋体"/>
          <w:color w:val="auto"/>
          <w:kern w:val="0"/>
          <w:sz w:val="24"/>
          <w:highlight w:val="none"/>
          <w:lang w:eastAsia="zh-CN"/>
        </w:rPr>
      </w:pPr>
    </w:p>
    <w:p w14:paraId="11CAA4E7">
      <w:pPr>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（盖章）</w:t>
      </w:r>
    </w:p>
    <w:p w14:paraId="741EBCE8">
      <w:pPr>
        <w:spacing w:line="360" w:lineRule="auto"/>
        <w:ind w:firstLine="4320" w:firstLineChars="18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（签字或盖章）</w:t>
      </w:r>
      <w:r>
        <w:rPr>
          <w:rFonts w:hint="eastAsia" w:ascii="宋体" w:hAnsi="宋体" w:eastAsia="宋体" w:cs="宋体"/>
          <w:color w:val="auto"/>
          <w:kern w:val="0"/>
          <w:sz w:val="24"/>
          <w:highlight w:val="none"/>
        </w:rPr>
        <w:t xml:space="preserve">                 </w:t>
      </w:r>
      <w:r>
        <w:rPr>
          <w:rFonts w:hint="eastAsia" w:ascii="宋体" w:hAnsi="宋体" w:cs="宋体"/>
          <w:color w:val="auto"/>
          <w:kern w:val="0"/>
          <w:sz w:val="24"/>
          <w:highlight w:val="none"/>
          <w:lang w:eastAsia="zh-CN"/>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0F597701">
      <w:pPr>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kern w:val="2"/>
          <w:sz w:val="32"/>
          <w:szCs w:val="32"/>
          <w:highlight w:val="none"/>
          <w:lang w:val="en-US" w:eastAsia="zh-CN" w:bidi="ar-SA"/>
        </w:rPr>
        <w:br w:type="page"/>
      </w:r>
      <w:bookmarkStart w:id="139" w:name="_Toc2027"/>
      <w:bookmarkStart w:id="140" w:name="_Toc18787_WPSOffice_Level1"/>
      <w:bookmarkStart w:id="141" w:name="_Toc10852"/>
      <w:bookmarkStart w:id="142" w:name="_Toc9321"/>
      <w:bookmarkStart w:id="143" w:name="_Toc15785_WPSOffice_Level1"/>
      <w:r>
        <w:rPr>
          <w:rFonts w:hint="eastAsia" w:ascii="宋体" w:hAnsi="宋体" w:eastAsia="宋体" w:cs="宋体"/>
          <w:color w:val="auto"/>
          <w:sz w:val="30"/>
          <w:szCs w:val="30"/>
          <w:highlight w:val="none"/>
          <w14:textOutline w14:w="5448" w14:cap="sq" w14:cmpd="sng">
            <w14:solidFill>
              <w14:srgbClr w14:val="000000"/>
            </w14:solidFill>
            <w14:prstDash w14:val="solid"/>
            <w14:bevel/>
          </w14:textOutline>
        </w:rPr>
        <w:t>四、</w:t>
      </w:r>
      <w:bookmarkEnd w:id="139"/>
      <w:bookmarkEnd w:id="140"/>
      <w:bookmarkEnd w:id="141"/>
      <w:bookmarkEnd w:id="142"/>
      <w:bookmarkEnd w:id="143"/>
      <w:r>
        <w:rPr>
          <w:rFonts w:hint="eastAsia" w:ascii="宋体" w:hAnsi="宋体" w:cs="宋体"/>
          <w:color w:val="auto"/>
          <w:sz w:val="30"/>
          <w:szCs w:val="30"/>
          <w:highlight w:val="none"/>
          <w:lang w:eastAsia="zh-CN"/>
          <w14:textOutline w14:w="5448" w14:cap="sq" w14:cmpd="sng">
            <w14:solidFill>
              <w14:srgbClr w14:val="000000"/>
            </w14:solidFill>
            <w14:prstDash w14:val="solid"/>
            <w14:bevel/>
          </w14:textOutline>
        </w:rPr>
        <w:t>货物明细表</w:t>
      </w:r>
    </w:p>
    <w:tbl>
      <w:tblPr>
        <w:tblStyle w:val="31"/>
        <w:tblW w:w="76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37"/>
        <w:gridCol w:w="1811"/>
        <w:gridCol w:w="2475"/>
        <w:gridCol w:w="1137"/>
        <w:gridCol w:w="1137"/>
      </w:tblGrid>
      <w:tr w14:paraId="3BE2E6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6" w:hRule="atLeast"/>
          <w:tblHeader/>
          <w:jc w:val="center"/>
        </w:trPr>
        <w:tc>
          <w:tcPr>
            <w:tcW w:w="1137" w:type="dxa"/>
            <w:vAlign w:val="center"/>
          </w:tcPr>
          <w:p w14:paraId="54DCD6D7">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仿宋_GB2312"/>
                <w:b/>
                <w:bCs/>
                <w:color w:val="auto"/>
                <w:sz w:val="24"/>
                <w:highlight w:val="none"/>
              </w:rPr>
            </w:pPr>
            <w:r>
              <w:rPr>
                <w:rFonts w:hint="eastAsia" w:ascii="宋体" w:hAnsi="宋体" w:eastAsia="宋体" w:cs="仿宋_GB2312"/>
                <w:b/>
                <w:bCs/>
                <w:color w:val="auto"/>
                <w:sz w:val="24"/>
                <w:highlight w:val="none"/>
              </w:rPr>
              <w:t>序号</w:t>
            </w:r>
          </w:p>
        </w:tc>
        <w:tc>
          <w:tcPr>
            <w:tcW w:w="1811" w:type="dxa"/>
            <w:vAlign w:val="center"/>
          </w:tcPr>
          <w:p w14:paraId="19BF90A7">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仿宋_GB2312"/>
                <w:b/>
                <w:bCs/>
                <w:color w:val="auto"/>
                <w:sz w:val="24"/>
                <w:highlight w:val="none"/>
              </w:rPr>
            </w:pPr>
            <w:r>
              <w:rPr>
                <w:rFonts w:hint="eastAsia" w:ascii="宋体" w:hAnsi="宋体" w:eastAsia="宋体" w:cs="仿宋_GB2312"/>
                <w:b/>
                <w:bCs/>
                <w:color w:val="auto"/>
                <w:sz w:val="24"/>
                <w:highlight w:val="none"/>
              </w:rPr>
              <w:t>货物名称</w:t>
            </w:r>
          </w:p>
        </w:tc>
        <w:tc>
          <w:tcPr>
            <w:tcW w:w="2475" w:type="dxa"/>
            <w:vAlign w:val="center"/>
          </w:tcPr>
          <w:p w14:paraId="392395A9">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仿宋_GB2312"/>
                <w:b/>
                <w:bCs/>
                <w:color w:val="auto"/>
                <w:sz w:val="24"/>
                <w:highlight w:val="none"/>
              </w:rPr>
            </w:pPr>
            <w:r>
              <w:rPr>
                <w:rFonts w:hint="eastAsia" w:ascii="宋体" w:hAnsi="宋体" w:eastAsia="宋体" w:cs="仿宋_GB2312"/>
                <w:b/>
                <w:bCs/>
                <w:color w:val="auto"/>
                <w:sz w:val="24"/>
                <w:highlight w:val="none"/>
              </w:rPr>
              <w:t>生产厂家、品牌、规格型号</w:t>
            </w:r>
          </w:p>
        </w:tc>
        <w:tc>
          <w:tcPr>
            <w:tcW w:w="1137" w:type="dxa"/>
            <w:tcBorders>
              <w:right w:val="single" w:color="auto" w:sz="4" w:space="0"/>
            </w:tcBorders>
            <w:vAlign w:val="center"/>
          </w:tcPr>
          <w:p w14:paraId="4DA68967">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仿宋_GB2312"/>
                <w:b/>
                <w:bCs/>
                <w:color w:val="auto"/>
                <w:sz w:val="24"/>
                <w:highlight w:val="none"/>
                <w:lang w:val="en-US" w:eastAsia="zh-CN"/>
              </w:rPr>
            </w:pPr>
            <w:r>
              <w:rPr>
                <w:rFonts w:hint="eastAsia" w:ascii="宋体" w:hAnsi="宋体" w:eastAsia="宋体" w:cs="仿宋_GB2312"/>
                <w:b/>
                <w:bCs/>
                <w:color w:val="auto"/>
                <w:sz w:val="24"/>
                <w:highlight w:val="none"/>
                <w:lang w:val="en-US" w:eastAsia="zh-CN"/>
              </w:rPr>
              <w:t>产地</w:t>
            </w:r>
          </w:p>
        </w:tc>
        <w:tc>
          <w:tcPr>
            <w:tcW w:w="1137" w:type="dxa"/>
            <w:tcBorders>
              <w:left w:val="single" w:color="auto" w:sz="4" w:space="0"/>
            </w:tcBorders>
            <w:vAlign w:val="center"/>
          </w:tcPr>
          <w:p w14:paraId="6905C244">
            <w:pPr>
              <w:pStyle w:val="47"/>
              <w:keepNext w:val="0"/>
              <w:keepLines w:val="0"/>
              <w:pageBreakBefore w:val="0"/>
              <w:widowControl w:val="0"/>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宋体" w:eastAsia="宋体"/>
                <w:b/>
                <w:bCs/>
                <w:color w:val="auto"/>
                <w:sz w:val="24"/>
                <w:highlight w:val="none"/>
                <w:lang w:val="en-US" w:eastAsia="zh-CN"/>
              </w:rPr>
            </w:pPr>
            <w:r>
              <w:rPr>
                <w:rFonts w:hint="eastAsia" w:ascii="宋体" w:eastAsia="宋体"/>
                <w:b/>
                <w:bCs/>
                <w:color w:val="auto"/>
                <w:sz w:val="24"/>
                <w:highlight w:val="none"/>
                <w:lang w:val="en-US" w:eastAsia="zh-CN"/>
              </w:rPr>
              <w:t>备注</w:t>
            </w:r>
          </w:p>
        </w:tc>
      </w:tr>
      <w:tr w14:paraId="1B6E82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137" w:type="dxa"/>
            <w:vAlign w:val="center"/>
          </w:tcPr>
          <w:p w14:paraId="37753300">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r>
              <w:rPr>
                <w:rFonts w:hint="eastAsia" w:ascii="宋体" w:hAnsi="宋体" w:cs="仿宋_GB2312"/>
                <w:color w:val="auto"/>
                <w:sz w:val="24"/>
                <w:highlight w:val="none"/>
              </w:rPr>
              <w:t>1</w:t>
            </w:r>
          </w:p>
        </w:tc>
        <w:tc>
          <w:tcPr>
            <w:tcW w:w="1811" w:type="dxa"/>
            <w:vAlign w:val="center"/>
          </w:tcPr>
          <w:p w14:paraId="2BC79F8F">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p>
        </w:tc>
        <w:tc>
          <w:tcPr>
            <w:tcW w:w="2475" w:type="dxa"/>
            <w:vAlign w:val="center"/>
          </w:tcPr>
          <w:p w14:paraId="225909EF">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p>
        </w:tc>
        <w:tc>
          <w:tcPr>
            <w:tcW w:w="1137" w:type="dxa"/>
            <w:tcBorders>
              <w:right w:val="single" w:color="auto" w:sz="4" w:space="0"/>
            </w:tcBorders>
            <w:vAlign w:val="center"/>
          </w:tcPr>
          <w:p w14:paraId="42767DC2">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p>
        </w:tc>
        <w:tc>
          <w:tcPr>
            <w:tcW w:w="1137" w:type="dxa"/>
            <w:tcBorders>
              <w:left w:val="single" w:color="auto" w:sz="4" w:space="0"/>
            </w:tcBorders>
            <w:vAlign w:val="center"/>
          </w:tcPr>
          <w:p w14:paraId="0C8A43EA">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cs="仿宋_GB2312"/>
                <w:color w:val="auto"/>
                <w:sz w:val="24"/>
                <w:highlight w:val="none"/>
              </w:rPr>
            </w:pPr>
          </w:p>
        </w:tc>
      </w:tr>
      <w:tr w14:paraId="2B7ABA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137" w:type="dxa"/>
            <w:vAlign w:val="center"/>
          </w:tcPr>
          <w:p w14:paraId="6A5023D9">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r>
              <w:rPr>
                <w:rFonts w:hint="eastAsia" w:ascii="宋体" w:hAnsi="宋体" w:cs="仿宋_GB2312"/>
                <w:color w:val="auto"/>
                <w:sz w:val="24"/>
                <w:highlight w:val="none"/>
              </w:rPr>
              <w:t>2</w:t>
            </w:r>
          </w:p>
        </w:tc>
        <w:tc>
          <w:tcPr>
            <w:tcW w:w="1811" w:type="dxa"/>
            <w:vAlign w:val="center"/>
          </w:tcPr>
          <w:p w14:paraId="508B4BF7">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p>
        </w:tc>
        <w:tc>
          <w:tcPr>
            <w:tcW w:w="2475" w:type="dxa"/>
            <w:vAlign w:val="center"/>
          </w:tcPr>
          <w:p w14:paraId="3FC3A38C">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p>
        </w:tc>
        <w:tc>
          <w:tcPr>
            <w:tcW w:w="1137" w:type="dxa"/>
            <w:tcBorders>
              <w:right w:val="single" w:color="auto" w:sz="4" w:space="0"/>
            </w:tcBorders>
            <w:vAlign w:val="center"/>
          </w:tcPr>
          <w:p w14:paraId="65B09467">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p>
        </w:tc>
        <w:tc>
          <w:tcPr>
            <w:tcW w:w="1137" w:type="dxa"/>
            <w:tcBorders>
              <w:left w:val="single" w:color="auto" w:sz="4" w:space="0"/>
            </w:tcBorders>
            <w:vAlign w:val="center"/>
          </w:tcPr>
          <w:p w14:paraId="5D9FE1B4">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cs="仿宋_GB2312"/>
                <w:color w:val="auto"/>
                <w:sz w:val="24"/>
                <w:highlight w:val="none"/>
              </w:rPr>
            </w:pPr>
          </w:p>
        </w:tc>
      </w:tr>
      <w:tr w14:paraId="7F61AF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137" w:type="dxa"/>
            <w:vAlign w:val="center"/>
          </w:tcPr>
          <w:p w14:paraId="7AB00D90">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r>
              <w:rPr>
                <w:rFonts w:hint="eastAsia" w:ascii="宋体" w:hAnsi="宋体" w:cs="仿宋_GB2312"/>
                <w:color w:val="auto"/>
                <w:sz w:val="24"/>
                <w:highlight w:val="none"/>
              </w:rPr>
              <w:t>3</w:t>
            </w:r>
          </w:p>
        </w:tc>
        <w:tc>
          <w:tcPr>
            <w:tcW w:w="1811" w:type="dxa"/>
            <w:vAlign w:val="center"/>
          </w:tcPr>
          <w:p w14:paraId="7CE579B0">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p>
        </w:tc>
        <w:tc>
          <w:tcPr>
            <w:tcW w:w="2475" w:type="dxa"/>
            <w:vAlign w:val="center"/>
          </w:tcPr>
          <w:p w14:paraId="4732BBEA">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p>
        </w:tc>
        <w:tc>
          <w:tcPr>
            <w:tcW w:w="1137" w:type="dxa"/>
            <w:tcBorders>
              <w:right w:val="single" w:color="auto" w:sz="4" w:space="0"/>
            </w:tcBorders>
            <w:vAlign w:val="center"/>
          </w:tcPr>
          <w:p w14:paraId="63950049">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p>
        </w:tc>
        <w:tc>
          <w:tcPr>
            <w:tcW w:w="1137" w:type="dxa"/>
            <w:tcBorders>
              <w:left w:val="single" w:color="auto" w:sz="4" w:space="0"/>
            </w:tcBorders>
            <w:vAlign w:val="center"/>
          </w:tcPr>
          <w:p w14:paraId="6BB0C96B">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cs="仿宋_GB2312"/>
                <w:color w:val="auto"/>
                <w:sz w:val="24"/>
                <w:highlight w:val="none"/>
              </w:rPr>
            </w:pPr>
          </w:p>
        </w:tc>
      </w:tr>
      <w:tr w14:paraId="53462E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137" w:type="dxa"/>
            <w:vAlign w:val="center"/>
          </w:tcPr>
          <w:p w14:paraId="4268F9C7">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r>
              <w:rPr>
                <w:rFonts w:hint="eastAsia" w:ascii="宋体" w:hAnsi="宋体" w:cs="仿宋_GB2312"/>
                <w:color w:val="auto"/>
                <w:sz w:val="24"/>
                <w:highlight w:val="none"/>
              </w:rPr>
              <w:t>4</w:t>
            </w:r>
          </w:p>
        </w:tc>
        <w:tc>
          <w:tcPr>
            <w:tcW w:w="1811" w:type="dxa"/>
            <w:vAlign w:val="center"/>
          </w:tcPr>
          <w:p w14:paraId="1EEA9DE7">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p>
        </w:tc>
        <w:tc>
          <w:tcPr>
            <w:tcW w:w="2475" w:type="dxa"/>
            <w:vAlign w:val="center"/>
          </w:tcPr>
          <w:p w14:paraId="3E666E13">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p>
        </w:tc>
        <w:tc>
          <w:tcPr>
            <w:tcW w:w="1137" w:type="dxa"/>
            <w:tcBorders>
              <w:right w:val="single" w:color="auto" w:sz="4" w:space="0"/>
            </w:tcBorders>
            <w:vAlign w:val="center"/>
          </w:tcPr>
          <w:p w14:paraId="5DD9EE66">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p>
        </w:tc>
        <w:tc>
          <w:tcPr>
            <w:tcW w:w="1137" w:type="dxa"/>
            <w:tcBorders>
              <w:left w:val="single" w:color="auto" w:sz="4" w:space="0"/>
            </w:tcBorders>
            <w:vAlign w:val="center"/>
          </w:tcPr>
          <w:p w14:paraId="17A02D89">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cs="仿宋_GB2312"/>
                <w:color w:val="auto"/>
                <w:sz w:val="24"/>
                <w:highlight w:val="none"/>
              </w:rPr>
            </w:pPr>
          </w:p>
        </w:tc>
      </w:tr>
      <w:tr w14:paraId="6C1C9A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1137" w:type="dxa"/>
            <w:vAlign w:val="center"/>
          </w:tcPr>
          <w:p w14:paraId="1172BA85">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r>
              <w:rPr>
                <w:rFonts w:hint="eastAsia" w:ascii="宋体" w:hAnsi="宋体" w:cs="仿宋_GB2312"/>
                <w:color w:val="auto"/>
                <w:sz w:val="24"/>
                <w:highlight w:val="none"/>
              </w:rPr>
              <w:t>…</w:t>
            </w:r>
          </w:p>
        </w:tc>
        <w:tc>
          <w:tcPr>
            <w:tcW w:w="1811" w:type="dxa"/>
            <w:vAlign w:val="center"/>
          </w:tcPr>
          <w:p w14:paraId="2C5FE7F0">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p>
        </w:tc>
        <w:tc>
          <w:tcPr>
            <w:tcW w:w="2475" w:type="dxa"/>
            <w:vAlign w:val="center"/>
          </w:tcPr>
          <w:p w14:paraId="22ABC051">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p>
        </w:tc>
        <w:tc>
          <w:tcPr>
            <w:tcW w:w="1137" w:type="dxa"/>
            <w:tcBorders>
              <w:right w:val="single" w:color="auto" w:sz="4" w:space="0"/>
            </w:tcBorders>
            <w:vAlign w:val="center"/>
          </w:tcPr>
          <w:p w14:paraId="2EF77FBE">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ascii="宋体" w:hAnsi="宋体" w:cs="仿宋_GB2312"/>
                <w:color w:val="auto"/>
                <w:sz w:val="24"/>
                <w:highlight w:val="none"/>
              </w:rPr>
            </w:pPr>
          </w:p>
        </w:tc>
        <w:tc>
          <w:tcPr>
            <w:tcW w:w="1137" w:type="dxa"/>
            <w:tcBorders>
              <w:left w:val="single" w:color="auto" w:sz="4" w:space="0"/>
            </w:tcBorders>
            <w:vAlign w:val="center"/>
          </w:tcPr>
          <w:p w14:paraId="1E3B0ED1">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cs="仿宋_GB2312"/>
                <w:color w:val="auto"/>
                <w:sz w:val="24"/>
                <w:highlight w:val="none"/>
              </w:rPr>
            </w:pPr>
          </w:p>
        </w:tc>
      </w:tr>
    </w:tbl>
    <w:p w14:paraId="1A1852DE">
      <w:pPr>
        <w:adjustRightInd w:val="0"/>
        <w:snapToGrid w:val="0"/>
        <w:spacing w:line="360" w:lineRule="auto"/>
        <w:rPr>
          <w:rFonts w:hint="eastAsia" w:ascii="宋体" w:hAnsi="宋体" w:cs="仿宋_GB2312"/>
          <w:color w:val="auto"/>
          <w:sz w:val="24"/>
          <w:highlight w:val="none"/>
        </w:rPr>
      </w:pPr>
    </w:p>
    <w:p w14:paraId="6DA092DF">
      <w:pPr>
        <w:spacing w:line="360" w:lineRule="auto"/>
        <w:ind w:firstLine="4320" w:firstLineChars="1800"/>
        <w:rPr>
          <w:rFonts w:hint="eastAsia" w:ascii="宋体" w:hAnsi="宋体" w:cs="仿宋_GB2312"/>
          <w:color w:val="auto"/>
          <w:kern w:val="0"/>
          <w:sz w:val="24"/>
          <w:highlight w:val="none"/>
          <w:lang w:eastAsia="zh-CN"/>
        </w:rPr>
      </w:pPr>
    </w:p>
    <w:p w14:paraId="6C5BF42E">
      <w:pPr>
        <w:spacing w:line="360" w:lineRule="auto"/>
        <w:ind w:firstLine="4320" w:firstLineChars="1800"/>
        <w:rPr>
          <w:rFonts w:hint="eastAsia" w:ascii="宋体" w:hAnsi="宋体" w:cs="仿宋_GB2312"/>
          <w:color w:val="auto"/>
          <w:kern w:val="0"/>
          <w:sz w:val="24"/>
          <w:highlight w:val="none"/>
          <w:lang w:eastAsia="zh-CN"/>
        </w:rPr>
      </w:pPr>
    </w:p>
    <w:p w14:paraId="2A09FD0E">
      <w:pPr>
        <w:spacing w:line="360" w:lineRule="auto"/>
        <w:ind w:firstLine="4320" w:firstLineChars="1800"/>
        <w:rPr>
          <w:rFonts w:hint="eastAsia" w:ascii="宋体" w:hAnsi="宋体" w:cs="仿宋_GB2312"/>
          <w:color w:val="auto"/>
          <w:kern w:val="0"/>
          <w:sz w:val="24"/>
          <w:highlight w:val="none"/>
          <w:lang w:eastAsia="zh-CN"/>
        </w:rPr>
      </w:pPr>
    </w:p>
    <w:p w14:paraId="38B17A57">
      <w:pPr>
        <w:spacing w:line="360" w:lineRule="auto"/>
        <w:ind w:firstLine="4320" w:firstLineChars="1800"/>
        <w:rPr>
          <w:rFonts w:hint="eastAsia" w:ascii="宋体" w:hAnsi="宋体" w:cs="仿宋_GB2312"/>
          <w:color w:val="auto"/>
          <w:kern w:val="0"/>
          <w:sz w:val="24"/>
          <w:highlight w:val="none"/>
        </w:rPr>
      </w:pPr>
      <w:r>
        <w:rPr>
          <w:rFonts w:hint="eastAsia" w:ascii="宋体" w:hAnsi="宋体" w:cs="仿宋_GB2312"/>
          <w:color w:val="auto"/>
          <w:kern w:val="0"/>
          <w:sz w:val="24"/>
          <w:highlight w:val="none"/>
          <w:lang w:eastAsia="zh-CN"/>
        </w:rPr>
        <w:t>供应商</w:t>
      </w:r>
      <w:r>
        <w:rPr>
          <w:rFonts w:hint="eastAsia" w:ascii="宋体" w:hAnsi="宋体" w:cs="仿宋_GB2312"/>
          <w:color w:val="auto"/>
          <w:kern w:val="0"/>
          <w:sz w:val="24"/>
          <w:highlight w:val="none"/>
        </w:rPr>
        <w:t>名称</w:t>
      </w:r>
      <w:r>
        <w:rPr>
          <w:rFonts w:hint="eastAsia" w:ascii="宋体" w:hAnsi="宋体" w:cs="仿宋_GB2312"/>
          <w:color w:val="auto"/>
          <w:kern w:val="0"/>
          <w:sz w:val="24"/>
          <w:highlight w:val="none"/>
          <w:lang w:eastAsia="zh-CN"/>
        </w:rPr>
        <w:t>：</w:t>
      </w:r>
      <w:r>
        <w:rPr>
          <w:rFonts w:hint="eastAsia" w:ascii="宋体" w:hAnsi="宋体" w:cs="仿宋_GB2312"/>
          <w:color w:val="auto"/>
          <w:kern w:val="0"/>
          <w:sz w:val="24"/>
          <w:highlight w:val="none"/>
        </w:rPr>
        <w:t>（盖章）</w:t>
      </w:r>
    </w:p>
    <w:p w14:paraId="7B4F6EB3">
      <w:pPr>
        <w:spacing w:line="360" w:lineRule="auto"/>
        <w:ind w:firstLine="4320" w:firstLineChars="1800"/>
        <w:jc w:val="right"/>
        <w:rPr>
          <w:rFonts w:hint="eastAsia" w:ascii="宋体" w:hAnsi="宋体" w:cs="仿宋_GB2312"/>
          <w:color w:val="auto"/>
          <w:sz w:val="24"/>
          <w:highlight w:val="none"/>
        </w:rPr>
      </w:pPr>
      <w:r>
        <w:rPr>
          <w:rFonts w:hint="eastAsia" w:ascii="宋体" w:hAnsi="宋体" w:cs="仿宋_GB2312"/>
          <w:color w:val="auto"/>
          <w:sz w:val="24"/>
          <w:highlight w:val="none"/>
        </w:rPr>
        <w:t>法定代表人或其委托代理人</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（签字或盖章）</w:t>
      </w:r>
      <w:r>
        <w:rPr>
          <w:rFonts w:hint="eastAsia" w:ascii="宋体" w:hAnsi="宋体" w:cs="仿宋_GB2312"/>
          <w:color w:val="auto"/>
          <w:kern w:val="0"/>
          <w:sz w:val="24"/>
          <w:highlight w:val="none"/>
        </w:rPr>
        <w:t xml:space="preserve">                 </w:t>
      </w:r>
      <w:r>
        <w:rPr>
          <w:rFonts w:hint="eastAsia" w:ascii="宋体" w:hAnsi="宋体" w:cs="仿宋_GB2312"/>
          <w:color w:val="auto"/>
          <w:kern w:val="0"/>
          <w:sz w:val="24"/>
          <w:highlight w:val="none"/>
          <w:lang w:eastAsia="zh-CN"/>
        </w:rPr>
        <w:t xml:space="preserve"> </w:t>
      </w:r>
      <w:r>
        <w:rPr>
          <w:rFonts w:hint="eastAsia" w:ascii="宋体" w:hAnsi="宋体" w:cs="仿宋_GB2312"/>
          <w:color w:val="auto"/>
          <w:sz w:val="24"/>
          <w:highlight w:val="none"/>
        </w:rPr>
        <w:t xml:space="preserve">年  </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 xml:space="preserve">月  </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日</w:t>
      </w:r>
    </w:p>
    <w:p w14:paraId="062F8761">
      <w:pPr>
        <w:rPr>
          <w:rFonts w:hint="eastAsia" w:ascii="宋体" w:hAnsi="宋体" w:cs="仿宋_GB2312"/>
          <w:color w:val="auto"/>
          <w:sz w:val="24"/>
          <w:highlight w:val="none"/>
        </w:rPr>
      </w:pPr>
      <w:r>
        <w:rPr>
          <w:rFonts w:hint="eastAsia" w:ascii="宋体" w:hAnsi="宋体" w:cs="仿宋_GB2312"/>
          <w:color w:val="auto"/>
          <w:sz w:val="24"/>
          <w:highlight w:val="none"/>
        </w:rPr>
        <w:br w:type="page"/>
      </w:r>
    </w:p>
    <w:p w14:paraId="1AF78980">
      <w:pPr>
        <w:jc w:val="center"/>
        <w:rPr>
          <w:rFonts w:hint="eastAsia" w:ascii="宋体" w:hAnsi="宋体" w:eastAsia="宋体" w:cs="宋体"/>
          <w:color w:val="auto"/>
          <w:sz w:val="30"/>
          <w:szCs w:val="30"/>
          <w:highlight w:val="none"/>
          <w:lang w:val="en-US" w:eastAsia="zh-CN"/>
          <w14:textOutline w14:w="5448" w14:cap="sq" w14:cmpd="sng">
            <w14:solidFill>
              <w14:srgbClr w14:val="000000"/>
            </w14:solidFill>
            <w14:prstDash w14:val="solid"/>
            <w14:bevel/>
          </w14:textOutline>
        </w:rPr>
      </w:pPr>
      <w:r>
        <w:rPr>
          <w:rFonts w:hint="eastAsia" w:ascii="宋体" w:hAnsi="宋体" w:eastAsia="宋体" w:cs="宋体"/>
          <w:color w:val="auto"/>
          <w:sz w:val="30"/>
          <w:szCs w:val="30"/>
          <w:highlight w:val="none"/>
          <w:lang w:val="en-US" w:eastAsia="zh-CN"/>
          <w14:textOutline w14:w="5448" w14:cap="sq" w14:cmpd="sng">
            <w14:solidFill>
              <w14:srgbClr w14:val="000000"/>
            </w14:solidFill>
            <w14:prstDash w14:val="solid"/>
            <w14:bevel/>
          </w14:textOutline>
        </w:rPr>
        <w:t>五、技术参数偏离表</w:t>
      </w:r>
    </w:p>
    <w:tbl>
      <w:tblPr>
        <w:tblStyle w:val="31"/>
        <w:tblW w:w="104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7"/>
        <w:gridCol w:w="1848"/>
        <w:gridCol w:w="2543"/>
        <w:gridCol w:w="2566"/>
        <w:gridCol w:w="939"/>
        <w:gridCol w:w="1814"/>
      </w:tblGrid>
      <w:tr w14:paraId="46B68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67" w:type="dxa"/>
            <w:vMerge w:val="restart"/>
            <w:noWrap w:val="0"/>
            <w:vAlign w:val="center"/>
          </w:tcPr>
          <w:p w14:paraId="68A2BB1A">
            <w:pPr>
              <w:pStyle w:val="13"/>
              <w:spacing w:line="360" w:lineRule="auto"/>
              <w:ind w:left="-31" w:leftChars="-15"/>
              <w:jc w:val="center"/>
              <w:rPr>
                <w:rFonts w:hint="eastAsia" w:hAnsi="宋体"/>
                <w:color w:val="auto"/>
                <w:szCs w:val="21"/>
                <w:highlight w:val="none"/>
              </w:rPr>
            </w:pPr>
            <w:r>
              <w:rPr>
                <w:rFonts w:hint="eastAsia" w:hAnsi="宋体"/>
                <w:color w:val="auto"/>
                <w:szCs w:val="21"/>
                <w:highlight w:val="none"/>
              </w:rPr>
              <w:t>序号</w:t>
            </w:r>
          </w:p>
        </w:tc>
        <w:tc>
          <w:tcPr>
            <w:tcW w:w="1848" w:type="dxa"/>
            <w:vMerge w:val="restart"/>
            <w:noWrap w:val="0"/>
            <w:vAlign w:val="center"/>
          </w:tcPr>
          <w:p w14:paraId="43681D38">
            <w:pPr>
              <w:pStyle w:val="13"/>
              <w:spacing w:line="360" w:lineRule="auto"/>
              <w:jc w:val="center"/>
              <w:rPr>
                <w:rFonts w:hint="eastAsia" w:hAnsi="宋体"/>
                <w:color w:val="auto"/>
                <w:szCs w:val="21"/>
                <w:highlight w:val="none"/>
              </w:rPr>
            </w:pPr>
            <w:r>
              <w:rPr>
                <w:rFonts w:hint="eastAsia" w:hAnsi="宋体"/>
                <w:color w:val="auto"/>
                <w:szCs w:val="21"/>
                <w:highlight w:val="none"/>
              </w:rPr>
              <w:t>货物名称</w:t>
            </w:r>
          </w:p>
        </w:tc>
        <w:tc>
          <w:tcPr>
            <w:tcW w:w="2543" w:type="dxa"/>
            <w:noWrap w:val="0"/>
            <w:vAlign w:val="center"/>
          </w:tcPr>
          <w:p w14:paraId="2084B1C7">
            <w:pPr>
              <w:pStyle w:val="13"/>
              <w:spacing w:line="360" w:lineRule="auto"/>
              <w:ind w:left="-107" w:leftChars="-51"/>
              <w:jc w:val="center"/>
              <w:rPr>
                <w:rFonts w:hint="eastAsia" w:hAnsi="宋体"/>
                <w:color w:val="auto"/>
                <w:szCs w:val="21"/>
                <w:highlight w:val="none"/>
              </w:rPr>
            </w:pPr>
            <w:r>
              <w:rPr>
                <w:rFonts w:hint="eastAsia" w:hAnsi="宋体"/>
                <w:color w:val="auto"/>
                <w:szCs w:val="21"/>
                <w:highlight w:val="none"/>
                <w:lang w:val="en-US" w:eastAsia="zh-CN"/>
              </w:rPr>
              <w:t>磋商</w:t>
            </w:r>
            <w:r>
              <w:rPr>
                <w:rFonts w:hint="eastAsia" w:hAnsi="宋体"/>
                <w:color w:val="auto"/>
                <w:szCs w:val="21"/>
                <w:highlight w:val="none"/>
              </w:rPr>
              <w:t>文件要求</w:t>
            </w:r>
          </w:p>
        </w:tc>
        <w:tc>
          <w:tcPr>
            <w:tcW w:w="2566" w:type="dxa"/>
            <w:noWrap w:val="0"/>
            <w:vAlign w:val="center"/>
          </w:tcPr>
          <w:p w14:paraId="4B6D6578">
            <w:pPr>
              <w:pStyle w:val="13"/>
              <w:spacing w:line="360" w:lineRule="auto"/>
              <w:ind w:left="-107" w:leftChars="-51"/>
              <w:jc w:val="center"/>
              <w:rPr>
                <w:rFonts w:hint="eastAsia" w:hAnsi="宋体"/>
                <w:color w:val="auto"/>
                <w:szCs w:val="21"/>
                <w:highlight w:val="none"/>
              </w:rPr>
            </w:pPr>
            <w:r>
              <w:rPr>
                <w:rFonts w:hint="eastAsia" w:hAnsi="宋体"/>
                <w:color w:val="auto"/>
                <w:szCs w:val="21"/>
                <w:highlight w:val="none"/>
              </w:rPr>
              <w:t>响应情况</w:t>
            </w:r>
          </w:p>
        </w:tc>
        <w:tc>
          <w:tcPr>
            <w:tcW w:w="939" w:type="dxa"/>
            <w:vMerge w:val="restart"/>
            <w:noWrap w:val="0"/>
            <w:vAlign w:val="center"/>
          </w:tcPr>
          <w:p w14:paraId="33C4AD99">
            <w:pPr>
              <w:pStyle w:val="13"/>
              <w:spacing w:line="360" w:lineRule="auto"/>
              <w:ind w:left="-48" w:leftChars="-23"/>
              <w:jc w:val="center"/>
              <w:rPr>
                <w:rFonts w:hint="eastAsia" w:hAnsi="宋体"/>
                <w:color w:val="auto"/>
                <w:szCs w:val="21"/>
                <w:highlight w:val="none"/>
              </w:rPr>
            </w:pPr>
            <w:r>
              <w:rPr>
                <w:rFonts w:hint="eastAsia" w:hAnsi="宋体"/>
                <w:color w:val="auto"/>
                <w:szCs w:val="21"/>
                <w:highlight w:val="none"/>
              </w:rPr>
              <w:t>偏离情况</w:t>
            </w:r>
          </w:p>
        </w:tc>
        <w:tc>
          <w:tcPr>
            <w:tcW w:w="1814" w:type="dxa"/>
            <w:vMerge w:val="restart"/>
            <w:noWrap w:val="0"/>
            <w:vAlign w:val="center"/>
          </w:tcPr>
          <w:p w14:paraId="21668F80">
            <w:pPr>
              <w:pStyle w:val="13"/>
              <w:spacing w:line="360" w:lineRule="auto"/>
              <w:ind w:left="-82" w:leftChars="-39"/>
              <w:jc w:val="center"/>
              <w:rPr>
                <w:rFonts w:hint="eastAsia" w:hAnsi="宋体"/>
                <w:color w:val="auto"/>
                <w:szCs w:val="21"/>
                <w:highlight w:val="none"/>
              </w:rPr>
            </w:pPr>
            <w:r>
              <w:rPr>
                <w:rFonts w:hint="eastAsia" w:hAnsi="宋体"/>
                <w:color w:val="auto"/>
                <w:szCs w:val="21"/>
                <w:highlight w:val="none"/>
              </w:rPr>
              <w:t>说明（技术证明（支持）文件）</w:t>
            </w:r>
          </w:p>
        </w:tc>
      </w:tr>
      <w:tr w14:paraId="11DF1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767" w:type="dxa"/>
            <w:vMerge w:val="continue"/>
            <w:noWrap w:val="0"/>
            <w:vAlign w:val="top"/>
          </w:tcPr>
          <w:p w14:paraId="324EA0A8">
            <w:pPr>
              <w:pStyle w:val="13"/>
              <w:spacing w:line="360" w:lineRule="auto"/>
              <w:ind w:left="1080" w:leftChars="257" w:hanging="540"/>
              <w:rPr>
                <w:rFonts w:hint="eastAsia" w:hAnsi="宋体"/>
                <w:color w:val="auto"/>
                <w:szCs w:val="21"/>
                <w:highlight w:val="none"/>
              </w:rPr>
            </w:pPr>
          </w:p>
        </w:tc>
        <w:tc>
          <w:tcPr>
            <w:tcW w:w="1848" w:type="dxa"/>
            <w:vMerge w:val="continue"/>
            <w:noWrap w:val="0"/>
            <w:vAlign w:val="top"/>
          </w:tcPr>
          <w:p w14:paraId="632F3751">
            <w:pPr>
              <w:pStyle w:val="13"/>
              <w:spacing w:line="360" w:lineRule="auto"/>
              <w:ind w:left="1080" w:leftChars="257" w:hanging="540"/>
              <w:rPr>
                <w:rFonts w:hint="eastAsia" w:hAnsi="宋体"/>
                <w:color w:val="auto"/>
                <w:szCs w:val="21"/>
                <w:highlight w:val="none"/>
              </w:rPr>
            </w:pPr>
          </w:p>
        </w:tc>
        <w:tc>
          <w:tcPr>
            <w:tcW w:w="2543" w:type="dxa"/>
            <w:noWrap w:val="0"/>
            <w:vAlign w:val="top"/>
          </w:tcPr>
          <w:p w14:paraId="40948090">
            <w:pPr>
              <w:pStyle w:val="13"/>
              <w:spacing w:line="360" w:lineRule="auto"/>
              <w:ind w:left="-107" w:leftChars="-51"/>
              <w:jc w:val="center"/>
              <w:rPr>
                <w:rFonts w:hint="eastAsia" w:hAnsi="宋体"/>
                <w:color w:val="auto"/>
                <w:szCs w:val="21"/>
                <w:highlight w:val="none"/>
              </w:rPr>
            </w:pPr>
            <w:r>
              <w:rPr>
                <w:rFonts w:hint="eastAsia" w:hAnsi="宋体"/>
                <w:color w:val="auto"/>
                <w:szCs w:val="21"/>
                <w:highlight w:val="none"/>
              </w:rPr>
              <w:t>技术参数</w:t>
            </w:r>
          </w:p>
        </w:tc>
        <w:tc>
          <w:tcPr>
            <w:tcW w:w="2566" w:type="dxa"/>
            <w:noWrap w:val="0"/>
            <w:vAlign w:val="top"/>
          </w:tcPr>
          <w:p w14:paraId="1DD24CF7">
            <w:pPr>
              <w:pStyle w:val="13"/>
              <w:spacing w:line="360" w:lineRule="auto"/>
              <w:ind w:left="-107" w:leftChars="-51"/>
              <w:jc w:val="center"/>
              <w:rPr>
                <w:rFonts w:hint="eastAsia" w:hAnsi="宋体"/>
                <w:color w:val="auto"/>
                <w:szCs w:val="21"/>
                <w:highlight w:val="none"/>
              </w:rPr>
            </w:pPr>
            <w:r>
              <w:rPr>
                <w:rFonts w:hint="eastAsia" w:hAnsi="宋体"/>
                <w:color w:val="auto"/>
                <w:szCs w:val="21"/>
                <w:highlight w:val="none"/>
              </w:rPr>
              <w:t>技术参数</w:t>
            </w:r>
          </w:p>
        </w:tc>
        <w:tc>
          <w:tcPr>
            <w:tcW w:w="939" w:type="dxa"/>
            <w:vMerge w:val="continue"/>
            <w:noWrap w:val="0"/>
            <w:vAlign w:val="top"/>
          </w:tcPr>
          <w:p w14:paraId="0BDBA71F">
            <w:pPr>
              <w:pStyle w:val="13"/>
              <w:spacing w:line="360" w:lineRule="auto"/>
              <w:ind w:left="1080" w:leftChars="257" w:hanging="540"/>
              <w:rPr>
                <w:rFonts w:hint="eastAsia" w:hAnsi="宋体"/>
                <w:color w:val="auto"/>
                <w:szCs w:val="21"/>
                <w:highlight w:val="none"/>
              </w:rPr>
            </w:pPr>
          </w:p>
        </w:tc>
        <w:tc>
          <w:tcPr>
            <w:tcW w:w="1814" w:type="dxa"/>
            <w:vMerge w:val="continue"/>
            <w:noWrap w:val="0"/>
            <w:vAlign w:val="top"/>
          </w:tcPr>
          <w:p w14:paraId="52055F92">
            <w:pPr>
              <w:pStyle w:val="13"/>
              <w:spacing w:line="360" w:lineRule="auto"/>
              <w:ind w:left="1080" w:leftChars="257" w:hanging="540"/>
              <w:rPr>
                <w:rFonts w:hint="eastAsia" w:hAnsi="宋体"/>
                <w:color w:val="auto"/>
                <w:szCs w:val="21"/>
                <w:highlight w:val="none"/>
              </w:rPr>
            </w:pPr>
          </w:p>
        </w:tc>
      </w:tr>
      <w:tr w14:paraId="44509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767" w:type="dxa"/>
            <w:vMerge w:val="restart"/>
            <w:noWrap w:val="0"/>
            <w:vAlign w:val="center"/>
          </w:tcPr>
          <w:p w14:paraId="7FB0C6DF">
            <w:pPr>
              <w:pStyle w:val="13"/>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1</w:t>
            </w:r>
          </w:p>
        </w:tc>
        <w:tc>
          <w:tcPr>
            <w:tcW w:w="1848" w:type="dxa"/>
            <w:vMerge w:val="restart"/>
            <w:noWrap w:val="0"/>
            <w:vAlign w:val="center"/>
          </w:tcPr>
          <w:p w14:paraId="1F0F836E">
            <w:pPr>
              <w:pStyle w:val="13"/>
              <w:spacing w:line="360" w:lineRule="auto"/>
              <w:jc w:val="center"/>
              <w:rPr>
                <w:rFonts w:hint="eastAsia" w:hAnsi="宋体"/>
                <w:color w:val="auto"/>
                <w:szCs w:val="21"/>
                <w:highlight w:val="none"/>
              </w:rPr>
            </w:pPr>
            <w:r>
              <w:rPr>
                <w:rFonts w:hint="eastAsia" w:ascii="宋体" w:hAnsi="宋体" w:eastAsia="宋体" w:cs="宋体"/>
                <w:snapToGrid/>
                <w:color w:val="auto"/>
                <w:spacing w:val="-1"/>
                <w:kern w:val="0"/>
                <w:sz w:val="24"/>
                <w:szCs w:val="24"/>
                <w:highlight w:val="none"/>
                <w:lang w:val="en-US" w:eastAsia="zh-CN" w:bidi="ar"/>
              </w:rPr>
              <w:t>专用遗体袋</w:t>
            </w:r>
          </w:p>
        </w:tc>
        <w:tc>
          <w:tcPr>
            <w:tcW w:w="2543" w:type="dxa"/>
            <w:noWrap w:val="0"/>
            <w:vAlign w:val="top"/>
          </w:tcPr>
          <w:p w14:paraId="22537704">
            <w:pPr>
              <w:pStyle w:val="13"/>
              <w:spacing w:line="360" w:lineRule="auto"/>
              <w:ind w:left="1080" w:leftChars="257" w:hanging="540"/>
              <w:rPr>
                <w:rFonts w:hint="default" w:hAnsi="宋体" w:eastAsia="宋体"/>
                <w:color w:val="auto"/>
                <w:szCs w:val="21"/>
                <w:highlight w:val="none"/>
                <w:lang w:val="en-US" w:eastAsia="zh-CN"/>
              </w:rPr>
            </w:pPr>
            <w:r>
              <w:rPr>
                <w:rFonts w:hint="eastAsia" w:hAnsi="宋体"/>
                <w:color w:val="auto"/>
                <w:szCs w:val="21"/>
                <w:highlight w:val="none"/>
                <w:lang w:val="en-US" w:eastAsia="zh-CN"/>
              </w:rPr>
              <w:t>1.</w:t>
            </w:r>
          </w:p>
        </w:tc>
        <w:tc>
          <w:tcPr>
            <w:tcW w:w="2566" w:type="dxa"/>
            <w:noWrap w:val="0"/>
            <w:vAlign w:val="top"/>
          </w:tcPr>
          <w:p w14:paraId="4F059C7D">
            <w:pPr>
              <w:pStyle w:val="13"/>
              <w:spacing w:line="360" w:lineRule="auto"/>
              <w:ind w:left="-107" w:leftChars="-51"/>
              <w:jc w:val="center"/>
              <w:rPr>
                <w:rFonts w:hint="eastAsia" w:hAnsi="宋体"/>
                <w:color w:val="auto"/>
                <w:szCs w:val="21"/>
                <w:highlight w:val="none"/>
              </w:rPr>
            </w:pPr>
          </w:p>
        </w:tc>
        <w:tc>
          <w:tcPr>
            <w:tcW w:w="939" w:type="dxa"/>
            <w:noWrap w:val="0"/>
            <w:vAlign w:val="top"/>
          </w:tcPr>
          <w:p w14:paraId="4A5E3D03">
            <w:pPr>
              <w:pStyle w:val="13"/>
              <w:spacing w:line="360" w:lineRule="auto"/>
              <w:ind w:left="-107" w:leftChars="-51"/>
              <w:jc w:val="center"/>
              <w:rPr>
                <w:rFonts w:hint="eastAsia" w:hAnsi="宋体"/>
                <w:color w:val="auto"/>
                <w:szCs w:val="21"/>
                <w:highlight w:val="none"/>
              </w:rPr>
            </w:pPr>
          </w:p>
        </w:tc>
        <w:tc>
          <w:tcPr>
            <w:tcW w:w="1814" w:type="dxa"/>
            <w:noWrap w:val="0"/>
            <w:vAlign w:val="top"/>
          </w:tcPr>
          <w:p w14:paraId="146654A1">
            <w:pPr>
              <w:pStyle w:val="13"/>
              <w:spacing w:line="360" w:lineRule="auto"/>
              <w:ind w:left="1080" w:leftChars="257" w:hanging="540"/>
              <w:rPr>
                <w:rFonts w:hint="eastAsia" w:hAnsi="宋体"/>
                <w:color w:val="auto"/>
                <w:szCs w:val="21"/>
                <w:highlight w:val="none"/>
              </w:rPr>
            </w:pPr>
          </w:p>
        </w:tc>
      </w:tr>
      <w:tr w14:paraId="7A61B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767" w:type="dxa"/>
            <w:vMerge w:val="continue"/>
            <w:noWrap w:val="0"/>
            <w:vAlign w:val="center"/>
          </w:tcPr>
          <w:p w14:paraId="407BA4EB">
            <w:pPr>
              <w:pStyle w:val="13"/>
              <w:spacing w:line="360" w:lineRule="auto"/>
              <w:ind w:left="1080" w:leftChars="257" w:hanging="540"/>
              <w:jc w:val="center"/>
              <w:rPr>
                <w:rFonts w:hint="eastAsia" w:hAnsi="宋体"/>
                <w:color w:val="auto"/>
                <w:szCs w:val="21"/>
                <w:highlight w:val="none"/>
              </w:rPr>
            </w:pPr>
          </w:p>
        </w:tc>
        <w:tc>
          <w:tcPr>
            <w:tcW w:w="1848" w:type="dxa"/>
            <w:vMerge w:val="continue"/>
            <w:noWrap w:val="0"/>
            <w:vAlign w:val="center"/>
          </w:tcPr>
          <w:p w14:paraId="6FF29EE8">
            <w:pPr>
              <w:pStyle w:val="13"/>
              <w:spacing w:line="360" w:lineRule="auto"/>
              <w:ind w:left="1080" w:leftChars="257" w:hanging="540"/>
              <w:jc w:val="center"/>
              <w:rPr>
                <w:rFonts w:hint="eastAsia" w:hAnsi="宋体"/>
                <w:color w:val="auto"/>
                <w:szCs w:val="21"/>
                <w:highlight w:val="none"/>
              </w:rPr>
            </w:pPr>
          </w:p>
        </w:tc>
        <w:tc>
          <w:tcPr>
            <w:tcW w:w="2543" w:type="dxa"/>
            <w:noWrap w:val="0"/>
            <w:vAlign w:val="top"/>
          </w:tcPr>
          <w:p w14:paraId="33F9F96F">
            <w:pPr>
              <w:pStyle w:val="13"/>
              <w:spacing w:line="360" w:lineRule="auto"/>
              <w:ind w:left="1080" w:leftChars="257" w:hanging="540"/>
              <w:rPr>
                <w:rFonts w:hint="default" w:ascii="宋体" w:hAnsi="宋体" w:eastAsia="宋体" w:cs="Times New Roman"/>
                <w:color w:val="auto"/>
                <w:szCs w:val="21"/>
                <w:highlight w:val="none"/>
                <w:lang w:val="en-US" w:eastAsia="zh-CN"/>
              </w:rPr>
            </w:pPr>
            <w:r>
              <w:rPr>
                <w:rFonts w:hint="eastAsia" w:hAnsi="宋体" w:cs="Times New Roman"/>
                <w:color w:val="auto"/>
                <w:szCs w:val="21"/>
                <w:highlight w:val="none"/>
                <w:lang w:val="en-US" w:eastAsia="zh-CN"/>
              </w:rPr>
              <w:t>2.</w:t>
            </w:r>
          </w:p>
        </w:tc>
        <w:tc>
          <w:tcPr>
            <w:tcW w:w="2566" w:type="dxa"/>
            <w:noWrap w:val="0"/>
            <w:vAlign w:val="top"/>
          </w:tcPr>
          <w:p w14:paraId="6FDECB07">
            <w:pPr>
              <w:pStyle w:val="13"/>
              <w:spacing w:line="360" w:lineRule="auto"/>
              <w:ind w:left="1080" w:leftChars="257" w:hanging="540"/>
              <w:rPr>
                <w:rFonts w:hint="default" w:hAnsi="宋体"/>
                <w:color w:val="auto"/>
                <w:szCs w:val="21"/>
                <w:highlight w:val="none"/>
                <w:lang w:val="en-US"/>
              </w:rPr>
            </w:pPr>
          </w:p>
        </w:tc>
        <w:tc>
          <w:tcPr>
            <w:tcW w:w="939" w:type="dxa"/>
            <w:noWrap w:val="0"/>
            <w:vAlign w:val="top"/>
          </w:tcPr>
          <w:p w14:paraId="028BA4D6">
            <w:pPr>
              <w:pStyle w:val="13"/>
              <w:spacing w:line="360" w:lineRule="auto"/>
              <w:ind w:left="1080" w:leftChars="257" w:hanging="540"/>
              <w:rPr>
                <w:rFonts w:hint="eastAsia" w:hAnsi="宋体"/>
                <w:color w:val="auto"/>
                <w:szCs w:val="21"/>
                <w:highlight w:val="none"/>
              </w:rPr>
            </w:pPr>
          </w:p>
        </w:tc>
        <w:tc>
          <w:tcPr>
            <w:tcW w:w="1814" w:type="dxa"/>
            <w:noWrap w:val="0"/>
            <w:vAlign w:val="top"/>
          </w:tcPr>
          <w:p w14:paraId="2F78B781">
            <w:pPr>
              <w:pStyle w:val="13"/>
              <w:spacing w:line="360" w:lineRule="auto"/>
              <w:ind w:left="1080" w:leftChars="257" w:hanging="540"/>
              <w:rPr>
                <w:rFonts w:hint="eastAsia" w:hAnsi="宋体"/>
                <w:color w:val="auto"/>
                <w:szCs w:val="21"/>
                <w:highlight w:val="none"/>
              </w:rPr>
            </w:pPr>
          </w:p>
        </w:tc>
      </w:tr>
      <w:tr w14:paraId="7085A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767" w:type="dxa"/>
            <w:vMerge w:val="continue"/>
            <w:noWrap w:val="0"/>
            <w:vAlign w:val="center"/>
          </w:tcPr>
          <w:p w14:paraId="4FC8C042">
            <w:pPr>
              <w:pStyle w:val="13"/>
              <w:spacing w:line="360" w:lineRule="auto"/>
              <w:ind w:left="1080" w:leftChars="257" w:hanging="540"/>
              <w:jc w:val="center"/>
              <w:rPr>
                <w:rFonts w:hint="eastAsia" w:hAnsi="宋体"/>
                <w:color w:val="auto"/>
                <w:szCs w:val="21"/>
                <w:highlight w:val="none"/>
              </w:rPr>
            </w:pPr>
          </w:p>
        </w:tc>
        <w:tc>
          <w:tcPr>
            <w:tcW w:w="1848" w:type="dxa"/>
            <w:vMerge w:val="continue"/>
            <w:noWrap w:val="0"/>
            <w:vAlign w:val="center"/>
          </w:tcPr>
          <w:p w14:paraId="46B0883F">
            <w:pPr>
              <w:pStyle w:val="13"/>
              <w:spacing w:line="360" w:lineRule="auto"/>
              <w:ind w:left="1080" w:leftChars="257" w:hanging="540"/>
              <w:jc w:val="center"/>
              <w:rPr>
                <w:rFonts w:hint="eastAsia" w:hAnsi="宋体"/>
                <w:color w:val="auto"/>
                <w:szCs w:val="21"/>
                <w:highlight w:val="none"/>
              </w:rPr>
            </w:pPr>
          </w:p>
        </w:tc>
        <w:tc>
          <w:tcPr>
            <w:tcW w:w="2543" w:type="dxa"/>
            <w:noWrap w:val="0"/>
            <w:vAlign w:val="top"/>
          </w:tcPr>
          <w:p w14:paraId="5B50380A">
            <w:pPr>
              <w:pStyle w:val="13"/>
              <w:spacing w:line="360" w:lineRule="auto"/>
              <w:ind w:left="1080" w:leftChars="257" w:hanging="540"/>
              <w:rPr>
                <w:rFonts w:hint="default" w:ascii="宋体" w:hAnsi="宋体" w:eastAsia="宋体" w:cs="Times New Roman"/>
                <w:color w:val="auto"/>
                <w:szCs w:val="21"/>
                <w:highlight w:val="none"/>
                <w:lang w:val="en-US" w:eastAsia="zh-CN"/>
              </w:rPr>
            </w:pPr>
            <w:r>
              <w:rPr>
                <w:rFonts w:hint="eastAsia" w:hAnsi="宋体" w:cs="Times New Roman"/>
                <w:color w:val="auto"/>
                <w:szCs w:val="21"/>
                <w:highlight w:val="none"/>
                <w:lang w:val="en-US" w:eastAsia="zh-CN"/>
              </w:rPr>
              <w:t>...</w:t>
            </w:r>
          </w:p>
        </w:tc>
        <w:tc>
          <w:tcPr>
            <w:tcW w:w="2566" w:type="dxa"/>
            <w:noWrap w:val="0"/>
            <w:vAlign w:val="top"/>
          </w:tcPr>
          <w:p w14:paraId="46E72301">
            <w:pPr>
              <w:pStyle w:val="13"/>
              <w:spacing w:line="360" w:lineRule="auto"/>
              <w:ind w:left="1080" w:leftChars="257" w:hanging="540"/>
              <w:rPr>
                <w:rFonts w:hint="eastAsia" w:hAnsi="宋体"/>
                <w:color w:val="auto"/>
                <w:szCs w:val="21"/>
                <w:highlight w:val="none"/>
              </w:rPr>
            </w:pPr>
          </w:p>
        </w:tc>
        <w:tc>
          <w:tcPr>
            <w:tcW w:w="939" w:type="dxa"/>
            <w:noWrap w:val="0"/>
            <w:vAlign w:val="top"/>
          </w:tcPr>
          <w:p w14:paraId="7B146E86">
            <w:pPr>
              <w:pStyle w:val="13"/>
              <w:spacing w:line="360" w:lineRule="auto"/>
              <w:ind w:left="1080" w:leftChars="257" w:hanging="540"/>
              <w:rPr>
                <w:rFonts w:hint="eastAsia" w:hAnsi="宋体"/>
                <w:color w:val="auto"/>
                <w:szCs w:val="21"/>
                <w:highlight w:val="none"/>
              </w:rPr>
            </w:pPr>
          </w:p>
        </w:tc>
        <w:tc>
          <w:tcPr>
            <w:tcW w:w="1814" w:type="dxa"/>
            <w:noWrap w:val="0"/>
            <w:vAlign w:val="top"/>
          </w:tcPr>
          <w:p w14:paraId="65355463">
            <w:pPr>
              <w:pStyle w:val="13"/>
              <w:spacing w:line="360" w:lineRule="auto"/>
              <w:ind w:left="1080" w:leftChars="257" w:hanging="540"/>
              <w:rPr>
                <w:rFonts w:hint="eastAsia" w:hAnsi="宋体"/>
                <w:color w:val="auto"/>
                <w:szCs w:val="21"/>
                <w:highlight w:val="none"/>
              </w:rPr>
            </w:pPr>
          </w:p>
        </w:tc>
      </w:tr>
      <w:tr w14:paraId="30430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767" w:type="dxa"/>
            <w:vMerge w:val="restart"/>
            <w:noWrap w:val="0"/>
            <w:vAlign w:val="center"/>
          </w:tcPr>
          <w:p w14:paraId="4C9A2969">
            <w:pPr>
              <w:pStyle w:val="13"/>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2</w:t>
            </w:r>
          </w:p>
        </w:tc>
        <w:tc>
          <w:tcPr>
            <w:tcW w:w="1848" w:type="dxa"/>
            <w:vMerge w:val="restart"/>
            <w:noWrap w:val="0"/>
            <w:vAlign w:val="center"/>
          </w:tcPr>
          <w:p w14:paraId="4854C96D">
            <w:pPr>
              <w:pStyle w:val="13"/>
              <w:spacing w:line="360" w:lineRule="auto"/>
              <w:jc w:val="center"/>
              <w:rPr>
                <w:rFonts w:hint="eastAsia" w:hAnsi="宋体"/>
                <w:color w:val="auto"/>
                <w:szCs w:val="21"/>
                <w:highlight w:val="none"/>
              </w:rPr>
            </w:pPr>
            <w:r>
              <w:rPr>
                <w:rFonts w:hint="eastAsia" w:ascii="宋体" w:hAnsi="宋体" w:eastAsia="宋体" w:cs="宋体"/>
                <w:color w:val="auto"/>
                <w:sz w:val="24"/>
                <w:highlight w:val="none"/>
                <w:u w:val="none"/>
                <w:lang w:val="en-US" w:eastAsia="zh-CN"/>
              </w:rPr>
              <w:t>骨灰盒</w:t>
            </w:r>
          </w:p>
        </w:tc>
        <w:tc>
          <w:tcPr>
            <w:tcW w:w="2543" w:type="dxa"/>
            <w:noWrap w:val="0"/>
            <w:vAlign w:val="top"/>
          </w:tcPr>
          <w:p w14:paraId="549EB01F">
            <w:pPr>
              <w:pStyle w:val="13"/>
              <w:spacing w:line="360" w:lineRule="auto"/>
              <w:ind w:left="1080" w:leftChars="257" w:hanging="540" w:firstLineChars="0"/>
              <w:rPr>
                <w:rFonts w:hint="default" w:ascii="宋体" w:hAnsi="宋体" w:eastAsia="宋体" w:cs="Times New Roman"/>
                <w:color w:val="auto"/>
                <w:szCs w:val="21"/>
                <w:highlight w:val="none"/>
                <w:lang w:val="en-US"/>
              </w:rPr>
            </w:pPr>
            <w:r>
              <w:rPr>
                <w:rFonts w:hint="eastAsia" w:hAnsi="宋体"/>
                <w:color w:val="auto"/>
                <w:szCs w:val="21"/>
                <w:highlight w:val="none"/>
                <w:lang w:val="en-US" w:eastAsia="zh-CN"/>
              </w:rPr>
              <w:t>1.a</w:t>
            </w:r>
          </w:p>
        </w:tc>
        <w:tc>
          <w:tcPr>
            <w:tcW w:w="2566" w:type="dxa"/>
            <w:noWrap w:val="0"/>
            <w:vAlign w:val="top"/>
          </w:tcPr>
          <w:p w14:paraId="2CCC657C">
            <w:pPr>
              <w:pStyle w:val="13"/>
              <w:spacing w:line="360" w:lineRule="auto"/>
              <w:ind w:left="1080" w:leftChars="257" w:hanging="540"/>
              <w:rPr>
                <w:rFonts w:hint="eastAsia" w:hAnsi="宋体"/>
                <w:color w:val="auto"/>
                <w:szCs w:val="21"/>
                <w:highlight w:val="none"/>
              </w:rPr>
            </w:pPr>
          </w:p>
        </w:tc>
        <w:tc>
          <w:tcPr>
            <w:tcW w:w="939" w:type="dxa"/>
            <w:noWrap w:val="0"/>
            <w:vAlign w:val="top"/>
          </w:tcPr>
          <w:p w14:paraId="3604900F">
            <w:pPr>
              <w:pStyle w:val="13"/>
              <w:spacing w:line="360" w:lineRule="auto"/>
              <w:ind w:left="1080" w:leftChars="257" w:hanging="540"/>
              <w:rPr>
                <w:rFonts w:hint="eastAsia" w:hAnsi="宋体"/>
                <w:color w:val="auto"/>
                <w:szCs w:val="21"/>
                <w:highlight w:val="none"/>
              </w:rPr>
            </w:pPr>
          </w:p>
        </w:tc>
        <w:tc>
          <w:tcPr>
            <w:tcW w:w="1814" w:type="dxa"/>
            <w:noWrap w:val="0"/>
            <w:vAlign w:val="top"/>
          </w:tcPr>
          <w:p w14:paraId="71D8CA28">
            <w:pPr>
              <w:pStyle w:val="13"/>
              <w:spacing w:line="360" w:lineRule="auto"/>
              <w:ind w:left="1080" w:leftChars="257" w:hanging="540"/>
              <w:rPr>
                <w:rFonts w:hint="eastAsia" w:hAnsi="宋体"/>
                <w:color w:val="auto"/>
                <w:szCs w:val="21"/>
                <w:highlight w:val="none"/>
              </w:rPr>
            </w:pPr>
          </w:p>
        </w:tc>
      </w:tr>
      <w:tr w14:paraId="07A77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767" w:type="dxa"/>
            <w:vMerge w:val="continue"/>
            <w:noWrap w:val="0"/>
            <w:vAlign w:val="top"/>
          </w:tcPr>
          <w:p w14:paraId="26EEE3F4">
            <w:pPr>
              <w:pStyle w:val="13"/>
              <w:spacing w:line="360" w:lineRule="auto"/>
              <w:ind w:left="1080" w:leftChars="257" w:hanging="540"/>
              <w:rPr>
                <w:rFonts w:hint="eastAsia" w:hAnsi="宋体"/>
                <w:color w:val="auto"/>
                <w:szCs w:val="21"/>
                <w:highlight w:val="none"/>
              </w:rPr>
            </w:pPr>
          </w:p>
        </w:tc>
        <w:tc>
          <w:tcPr>
            <w:tcW w:w="1848" w:type="dxa"/>
            <w:vMerge w:val="continue"/>
            <w:noWrap w:val="0"/>
            <w:vAlign w:val="top"/>
          </w:tcPr>
          <w:p w14:paraId="7F2E11A4">
            <w:pPr>
              <w:pStyle w:val="13"/>
              <w:spacing w:line="360" w:lineRule="auto"/>
              <w:ind w:left="1080" w:leftChars="257" w:hanging="540"/>
              <w:rPr>
                <w:rFonts w:hint="eastAsia" w:hAnsi="宋体"/>
                <w:color w:val="auto"/>
                <w:szCs w:val="21"/>
                <w:highlight w:val="none"/>
              </w:rPr>
            </w:pPr>
          </w:p>
        </w:tc>
        <w:tc>
          <w:tcPr>
            <w:tcW w:w="2543" w:type="dxa"/>
            <w:noWrap w:val="0"/>
            <w:vAlign w:val="top"/>
          </w:tcPr>
          <w:p w14:paraId="58EB43B7">
            <w:pPr>
              <w:pStyle w:val="13"/>
              <w:spacing w:line="360" w:lineRule="auto"/>
              <w:ind w:left="1080" w:leftChars="257" w:hanging="540" w:firstLineChars="0"/>
              <w:rPr>
                <w:rFonts w:hint="default" w:ascii="宋体" w:hAnsi="宋体" w:eastAsia="宋体" w:cs="Times New Roman"/>
                <w:color w:val="auto"/>
                <w:szCs w:val="21"/>
                <w:highlight w:val="none"/>
                <w:lang w:val="en-US"/>
              </w:rPr>
            </w:pPr>
            <w:r>
              <w:rPr>
                <w:rFonts w:hint="eastAsia" w:hAnsi="宋体" w:cs="Times New Roman"/>
                <w:color w:val="auto"/>
                <w:szCs w:val="21"/>
                <w:highlight w:val="none"/>
                <w:lang w:val="en-US" w:eastAsia="zh-CN"/>
              </w:rPr>
              <w:t>1.b</w:t>
            </w:r>
          </w:p>
        </w:tc>
        <w:tc>
          <w:tcPr>
            <w:tcW w:w="2566" w:type="dxa"/>
            <w:noWrap w:val="0"/>
            <w:vAlign w:val="top"/>
          </w:tcPr>
          <w:p w14:paraId="7AB24DD1">
            <w:pPr>
              <w:pStyle w:val="13"/>
              <w:spacing w:line="360" w:lineRule="auto"/>
              <w:ind w:left="1080" w:leftChars="257" w:hanging="540"/>
              <w:rPr>
                <w:rFonts w:hint="eastAsia" w:hAnsi="宋体"/>
                <w:color w:val="auto"/>
                <w:szCs w:val="21"/>
                <w:highlight w:val="none"/>
              </w:rPr>
            </w:pPr>
          </w:p>
        </w:tc>
        <w:tc>
          <w:tcPr>
            <w:tcW w:w="939" w:type="dxa"/>
            <w:noWrap w:val="0"/>
            <w:vAlign w:val="top"/>
          </w:tcPr>
          <w:p w14:paraId="12DCC980">
            <w:pPr>
              <w:pStyle w:val="13"/>
              <w:spacing w:line="360" w:lineRule="auto"/>
              <w:ind w:left="1080" w:leftChars="257" w:hanging="540"/>
              <w:rPr>
                <w:rFonts w:hint="eastAsia" w:hAnsi="宋体"/>
                <w:color w:val="auto"/>
                <w:szCs w:val="21"/>
                <w:highlight w:val="none"/>
              </w:rPr>
            </w:pPr>
          </w:p>
        </w:tc>
        <w:tc>
          <w:tcPr>
            <w:tcW w:w="1814" w:type="dxa"/>
            <w:noWrap w:val="0"/>
            <w:vAlign w:val="top"/>
          </w:tcPr>
          <w:p w14:paraId="11BA02FB">
            <w:pPr>
              <w:pStyle w:val="13"/>
              <w:spacing w:line="360" w:lineRule="auto"/>
              <w:ind w:left="1080" w:leftChars="257" w:hanging="540"/>
              <w:rPr>
                <w:rFonts w:hint="eastAsia" w:hAnsi="宋体"/>
                <w:color w:val="auto"/>
                <w:szCs w:val="21"/>
                <w:highlight w:val="none"/>
              </w:rPr>
            </w:pPr>
          </w:p>
        </w:tc>
      </w:tr>
      <w:tr w14:paraId="16B8A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767" w:type="dxa"/>
            <w:vMerge w:val="continue"/>
            <w:noWrap w:val="0"/>
            <w:vAlign w:val="top"/>
          </w:tcPr>
          <w:p w14:paraId="6181122D">
            <w:pPr>
              <w:pStyle w:val="13"/>
              <w:spacing w:line="360" w:lineRule="auto"/>
              <w:ind w:left="1080" w:leftChars="257" w:hanging="540"/>
              <w:rPr>
                <w:rFonts w:hint="eastAsia" w:hAnsi="宋体"/>
                <w:color w:val="auto"/>
                <w:szCs w:val="21"/>
                <w:highlight w:val="none"/>
              </w:rPr>
            </w:pPr>
          </w:p>
        </w:tc>
        <w:tc>
          <w:tcPr>
            <w:tcW w:w="1848" w:type="dxa"/>
            <w:vMerge w:val="continue"/>
            <w:noWrap w:val="0"/>
            <w:vAlign w:val="top"/>
          </w:tcPr>
          <w:p w14:paraId="2E253545">
            <w:pPr>
              <w:pStyle w:val="13"/>
              <w:spacing w:line="360" w:lineRule="auto"/>
              <w:ind w:left="1080" w:leftChars="257" w:hanging="540"/>
              <w:rPr>
                <w:rFonts w:hint="eastAsia" w:hAnsi="宋体"/>
                <w:color w:val="auto"/>
                <w:szCs w:val="21"/>
                <w:highlight w:val="none"/>
              </w:rPr>
            </w:pPr>
          </w:p>
        </w:tc>
        <w:tc>
          <w:tcPr>
            <w:tcW w:w="2543" w:type="dxa"/>
            <w:noWrap w:val="0"/>
            <w:vAlign w:val="top"/>
          </w:tcPr>
          <w:p w14:paraId="4ADB648E">
            <w:pPr>
              <w:pStyle w:val="13"/>
              <w:spacing w:line="360" w:lineRule="auto"/>
              <w:ind w:left="1080" w:leftChars="257" w:hanging="540" w:firstLineChars="0"/>
              <w:rPr>
                <w:rFonts w:hint="default" w:ascii="宋体" w:hAnsi="宋体" w:eastAsia="宋体" w:cs="Times New Roman"/>
                <w:color w:val="auto"/>
                <w:szCs w:val="21"/>
                <w:highlight w:val="none"/>
                <w:lang w:val="en-US"/>
              </w:rPr>
            </w:pPr>
            <w:r>
              <w:rPr>
                <w:rFonts w:hint="eastAsia" w:hAnsi="宋体" w:cs="Times New Roman"/>
                <w:color w:val="auto"/>
                <w:szCs w:val="21"/>
                <w:highlight w:val="none"/>
                <w:lang w:val="en-US" w:eastAsia="zh-CN"/>
              </w:rPr>
              <w:t>...</w:t>
            </w:r>
          </w:p>
        </w:tc>
        <w:tc>
          <w:tcPr>
            <w:tcW w:w="2566" w:type="dxa"/>
            <w:noWrap w:val="0"/>
            <w:vAlign w:val="top"/>
          </w:tcPr>
          <w:p w14:paraId="11F2948E">
            <w:pPr>
              <w:pStyle w:val="13"/>
              <w:spacing w:line="360" w:lineRule="auto"/>
              <w:ind w:left="1080" w:leftChars="257" w:hanging="540"/>
              <w:rPr>
                <w:rFonts w:hint="eastAsia" w:hAnsi="宋体"/>
                <w:color w:val="auto"/>
                <w:szCs w:val="21"/>
                <w:highlight w:val="none"/>
              </w:rPr>
            </w:pPr>
          </w:p>
        </w:tc>
        <w:tc>
          <w:tcPr>
            <w:tcW w:w="939" w:type="dxa"/>
            <w:noWrap w:val="0"/>
            <w:vAlign w:val="top"/>
          </w:tcPr>
          <w:p w14:paraId="4C0C9F20">
            <w:pPr>
              <w:pStyle w:val="13"/>
              <w:spacing w:line="360" w:lineRule="auto"/>
              <w:ind w:left="1080" w:leftChars="257" w:hanging="540"/>
              <w:rPr>
                <w:rFonts w:hint="eastAsia" w:hAnsi="宋体"/>
                <w:color w:val="auto"/>
                <w:szCs w:val="21"/>
                <w:highlight w:val="none"/>
              </w:rPr>
            </w:pPr>
          </w:p>
        </w:tc>
        <w:tc>
          <w:tcPr>
            <w:tcW w:w="1814" w:type="dxa"/>
            <w:noWrap w:val="0"/>
            <w:vAlign w:val="top"/>
          </w:tcPr>
          <w:p w14:paraId="55101A8C">
            <w:pPr>
              <w:pStyle w:val="13"/>
              <w:spacing w:line="360" w:lineRule="auto"/>
              <w:ind w:left="1080" w:leftChars="257" w:hanging="540"/>
              <w:rPr>
                <w:rFonts w:hint="eastAsia" w:hAnsi="宋体"/>
                <w:color w:val="auto"/>
                <w:szCs w:val="21"/>
                <w:highlight w:val="none"/>
              </w:rPr>
            </w:pPr>
          </w:p>
        </w:tc>
      </w:tr>
    </w:tbl>
    <w:p w14:paraId="4C79E75B">
      <w:pPr>
        <w:pStyle w:val="13"/>
        <w:spacing w:line="360" w:lineRule="auto"/>
        <w:ind w:left="1080" w:leftChars="257" w:hanging="540"/>
        <w:rPr>
          <w:rFonts w:hAnsi="宋体"/>
          <w:b/>
          <w:bCs/>
          <w:color w:val="auto"/>
          <w:szCs w:val="21"/>
          <w:highlight w:val="none"/>
        </w:rPr>
      </w:pPr>
      <w:r>
        <w:rPr>
          <w:rFonts w:hint="eastAsia" w:hAnsi="宋体"/>
          <w:b/>
          <w:bCs/>
          <w:color w:val="auto"/>
          <w:szCs w:val="21"/>
          <w:highlight w:val="none"/>
        </w:rPr>
        <w:t>注：</w:t>
      </w:r>
    </w:p>
    <w:p w14:paraId="36961DE9">
      <w:pPr>
        <w:pStyle w:val="13"/>
        <w:numPr>
          <w:ilvl w:val="0"/>
          <w:numId w:val="0"/>
        </w:numPr>
        <w:spacing w:line="360" w:lineRule="auto"/>
        <w:ind w:left="1080" w:leftChars="257" w:hanging="540" w:firstLineChars="0"/>
        <w:rPr>
          <w:rFonts w:hint="eastAsia" w:hAnsi="宋体" w:cs="Times New Roman"/>
          <w:b/>
          <w:bCs/>
          <w:color w:val="auto"/>
          <w:szCs w:val="21"/>
          <w:highlight w:val="none"/>
        </w:rPr>
      </w:pPr>
      <w:r>
        <w:rPr>
          <w:rFonts w:hint="eastAsia" w:ascii="宋体" w:hAnsi="宋体" w:eastAsia="宋体" w:cs="Times New Roman"/>
          <w:b/>
          <w:bCs/>
          <w:color w:val="auto"/>
          <w:kern w:val="0"/>
          <w:sz w:val="21"/>
          <w:szCs w:val="21"/>
          <w:highlight w:val="none"/>
          <w:lang w:val="en-US" w:eastAsia="zh-CN" w:bidi="ar-SA"/>
        </w:rPr>
        <w:t>1.</w:t>
      </w:r>
      <w:r>
        <w:rPr>
          <w:rFonts w:hint="eastAsia" w:hAnsi="宋体" w:cs="Times New Roman"/>
          <w:b/>
          <w:bCs/>
          <w:color w:val="auto"/>
          <w:szCs w:val="21"/>
          <w:highlight w:val="none"/>
        </w:rPr>
        <w:t>货物名称的排列顺序应与</w:t>
      </w:r>
      <w:r>
        <w:rPr>
          <w:rFonts w:hint="eastAsia" w:hAnsi="宋体" w:cs="Times New Roman"/>
          <w:b/>
          <w:bCs/>
          <w:color w:val="auto"/>
          <w:szCs w:val="21"/>
          <w:highlight w:val="none"/>
          <w:lang w:val="en-US" w:eastAsia="zh-CN"/>
        </w:rPr>
        <w:t>磋商</w:t>
      </w:r>
      <w:r>
        <w:rPr>
          <w:rFonts w:hint="eastAsia" w:hAnsi="宋体" w:cs="Times New Roman"/>
          <w:b/>
          <w:bCs/>
          <w:color w:val="auto"/>
          <w:szCs w:val="21"/>
          <w:highlight w:val="none"/>
        </w:rPr>
        <w:t>文件中提供的货物名称排列顺序一致。</w:t>
      </w:r>
    </w:p>
    <w:p w14:paraId="225B3B0E">
      <w:pPr>
        <w:pStyle w:val="13"/>
        <w:numPr>
          <w:ilvl w:val="0"/>
          <w:numId w:val="0"/>
        </w:numPr>
        <w:spacing w:line="360" w:lineRule="auto"/>
        <w:ind w:leftChars="257"/>
        <w:rPr>
          <w:rFonts w:hint="eastAsia" w:hAnsi="宋体" w:cs="Times New Roman"/>
          <w:b/>
          <w:bCs/>
          <w:color w:val="auto"/>
          <w:szCs w:val="21"/>
          <w:highlight w:val="none"/>
        </w:rPr>
      </w:pPr>
      <w:r>
        <w:rPr>
          <w:rFonts w:hint="eastAsia" w:hAnsi="宋体" w:cs="Times New Roman"/>
          <w:b/>
          <w:bCs/>
          <w:color w:val="auto"/>
          <w:szCs w:val="21"/>
          <w:highlight w:val="none"/>
        </w:rPr>
        <w:t>2.</w:t>
      </w:r>
      <w:r>
        <w:rPr>
          <w:rFonts w:hint="eastAsia" w:hAnsi="宋体" w:cs="Times New Roman"/>
          <w:b/>
          <w:bCs/>
          <w:color w:val="auto"/>
          <w:szCs w:val="21"/>
          <w:highlight w:val="none"/>
          <w:lang w:val="en-US" w:eastAsia="zh-CN"/>
        </w:rPr>
        <w:t xml:space="preserve"> </w:t>
      </w:r>
      <w:r>
        <w:rPr>
          <w:rFonts w:hint="eastAsia" w:hAnsi="宋体" w:cs="Times New Roman"/>
          <w:b/>
          <w:bCs/>
          <w:color w:val="auto"/>
          <w:szCs w:val="21"/>
          <w:highlight w:val="none"/>
        </w:rPr>
        <w:t>表后附说明（技术证明（支持）文件）。</w:t>
      </w:r>
    </w:p>
    <w:p w14:paraId="191D3D4C">
      <w:pPr>
        <w:pStyle w:val="13"/>
        <w:spacing w:line="360" w:lineRule="auto"/>
        <w:ind w:left="1080" w:leftChars="257" w:hanging="540"/>
        <w:rPr>
          <w:rFonts w:hint="default" w:hAnsi="宋体" w:cs="Times New Roman"/>
          <w:b/>
          <w:bCs/>
          <w:color w:val="auto"/>
          <w:szCs w:val="21"/>
          <w:highlight w:val="none"/>
        </w:rPr>
      </w:pPr>
      <w:r>
        <w:rPr>
          <w:rFonts w:hint="default" w:hAnsi="宋体" w:cs="Times New Roman"/>
          <w:b/>
          <w:bCs/>
          <w:color w:val="auto"/>
          <w:szCs w:val="21"/>
          <w:highlight w:val="none"/>
          <w:lang w:val="en-US" w:eastAsia="zh-CN"/>
        </w:rPr>
        <w:t>3.</w:t>
      </w:r>
      <w:r>
        <w:rPr>
          <w:rFonts w:hint="default" w:hAnsi="宋体" w:cs="Times New Roman"/>
          <w:b/>
          <w:bCs/>
          <w:color w:val="auto"/>
          <w:szCs w:val="21"/>
          <w:highlight w:val="none"/>
        </w:rPr>
        <w:t xml:space="preserve"> 对</w:t>
      </w:r>
      <w:r>
        <w:rPr>
          <w:rFonts w:hint="eastAsia" w:hAnsi="宋体" w:cs="Times New Roman"/>
          <w:b/>
          <w:bCs/>
          <w:color w:val="auto"/>
          <w:szCs w:val="21"/>
          <w:highlight w:val="none"/>
          <w:lang w:val="en-US" w:eastAsia="zh-CN"/>
        </w:rPr>
        <w:t>磋商</w:t>
      </w:r>
      <w:r>
        <w:rPr>
          <w:rFonts w:hint="default" w:hAnsi="宋体" w:cs="Times New Roman"/>
          <w:b/>
          <w:bCs/>
          <w:color w:val="auto"/>
          <w:szCs w:val="21"/>
          <w:highlight w:val="none"/>
        </w:rPr>
        <w:t>文件</w:t>
      </w:r>
      <w:r>
        <w:rPr>
          <w:rFonts w:hint="eastAsia" w:hAnsi="宋体" w:cs="Times New Roman"/>
          <w:b/>
          <w:bCs/>
          <w:color w:val="auto"/>
          <w:szCs w:val="21"/>
          <w:highlight w:val="none"/>
          <w:lang w:eastAsia="zh-CN"/>
        </w:rPr>
        <w:t>偏离</w:t>
      </w:r>
      <w:r>
        <w:rPr>
          <w:rFonts w:hint="default" w:hAnsi="宋体" w:cs="Times New Roman"/>
          <w:b/>
          <w:bCs/>
          <w:color w:val="auto"/>
          <w:szCs w:val="21"/>
          <w:highlight w:val="none"/>
        </w:rPr>
        <w:t>填写“无</w:t>
      </w:r>
      <w:r>
        <w:rPr>
          <w:rFonts w:hint="eastAsia" w:hAnsi="宋体" w:cs="Times New Roman"/>
          <w:b/>
          <w:bCs/>
          <w:color w:val="auto"/>
          <w:szCs w:val="21"/>
          <w:highlight w:val="none"/>
          <w:lang w:eastAsia="zh-CN"/>
        </w:rPr>
        <w:t>偏离</w:t>
      </w:r>
      <w:r>
        <w:rPr>
          <w:rFonts w:hint="default" w:hAnsi="宋体" w:cs="Times New Roman"/>
          <w:b/>
          <w:bCs/>
          <w:color w:val="auto"/>
          <w:szCs w:val="21"/>
          <w:highlight w:val="none"/>
        </w:rPr>
        <w:t>”或“正</w:t>
      </w:r>
      <w:r>
        <w:rPr>
          <w:rFonts w:hint="eastAsia" w:hAnsi="宋体" w:cs="Times New Roman"/>
          <w:b/>
          <w:bCs/>
          <w:color w:val="auto"/>
          <w:szCs w:val="21"/>
          <w:highlight w:val="none"/>
          <w:lang w:eastAsia="zh-CN"/>
        </w:rPr>
        <w:t>偏离</w:t>
      </w:r>
      <w:r>
        <w:rPr>
          <w:rFonts w:hint="default" w:hAnsi="宋体" w:cs="Times New Roman"/>
          <w:b/>
          <w:bCs/>
          <w:color w:val="auto"/>
          <w:szCs w:val="21"/>
          <w:highlight w:val="none"/>
        </w:rPr>
        <w:t>” 或“负</w:t>
      </w:r>
      <w:r>
        <w:rPr>
          <w:rFonts w:hint="eastAsia" w:hAnsi="宋体" w:cs="Times New Roman"/>
          <w:b/>
          <w:bCs/>
          <w:color w:val="auto"/>
          <w:szCs w:val="21"/>
          <w:highlight w:val="none"/>
          <w:lang w:eastAsia="zh-CN"/>
        </w:rPr>
        <w:t>偏离</w:t>
      </w:r>
      <w:r>
        <w:rPr>
          <w:rFonts w:hint="default" w:hAnsi="宋体" w:cs="Times New Roman"/>
          <w:b/>
          <w:bCs/>
          <w:color w:val="auto"/>
          <w:szCs w:val="21"/>
          <w:highlight w:val="none"/>
        </w:rPr>
        <w:t>”。</w:t>
      </w:r>
    </w:p>
    <w:p w14:paraId="7F7FC144">
      <w:pPr>
        <w:pStyle w:val="13"/>
        <w:numPr>
          <w:ilvl w:val="0"/>
          <w:numId w:val="0"/>
        </w:numPr>
        <w:spacing w:line="360" w:lineRule="auto"/>
        <w:ind w:left="1080" w:leftChars="257" w:hanging="540" w:firstLineChars="0"/>
        <w:rPr>
          <w:rFonts w:hint="eastAsia" w:ascii="宋体" w:hAnsi="宋体" w:eastAsia="宋体" w:cs="Times New Roman"/>
          <w:b/>
          <w:bCs/>
          <w:color w:val="auto"/>
          <w:szCs w:val="21"/>
          <w:highlight w:val="none"/>
        </w:rPr>
      </w:pPr>
      <w:r>
        <w:rPr>
          <w:rFonts w:hint="default" w:ascii="宋体" w:hAnsi="宋体" w:eastAsia="宋体" w:cs="Times New Roman"/>
          <w:b/>
          <w:bCs/>
          <w:color w:val="auto"/>
          <w:szCs w:val="21"/>
          <w:highlight w:val="none"/>
          <w:lang w:val="en-US" w:eastAsia="zh-CN"/>
        </w:rPr>
        <w:t>4.</w:t>
      </w:r>
      <w:r>
        <w:rPr>
          <w:rFonts w:hint="default" w:ascii="宋体" w:hAnsi="宋体" w:eastAsia="宋体" w:cs="Times New Roman"/>
          <w:b/>
          <w:bCs/>
          <w:color w:val="auto"/>
          <w:szCs w:val="21"/>
          <w:highlight w:val="none"/>
        </w:rPr>
        <w:t xml:space="preserve"> 正偏离是指响应的条件高于</w:t>
      </w:r>
      <w:r>
        <w:rPr>
          <w:rFonts w:hint="eastAsia" w:ascii="宋体" w:hAnsi="宋体" w:eastAsia="宋体" w:cs="Times New Roman"/>
          <w:b/>
          <w:bCs/>
          <w:color w:val="auto"/>
          <w:szCs w:val="21"/>
          <w:highlight w:val="none"/>
          <w:lang w:val="en-US" w:eastAsia="zh-CN"/>
        </w:rPr>
        <w:t>磋商</w:t>
      </w:r>
      <w:r>
        <w:rPr>
          <w:rFonts w:hint="default" w:ascii="宋体" w:hAnsi="宋体" w:eastAsia="宋体" w:cs="Times New Roman"/>
          <w:b/>
          <w:bCs/>
          <w:color w:val="auto"/>
          <w:szCs w:val="21"/>
          <w:highlight w:val="none"/>
        </w:rPr>
        <w:t>文件要求，负偏离是指响应的条件低于</w:t>
      </w:r>
      <w:r>
        <w:rPr>
          <w:rFonts w:hint="eastAsia" w:ascii="宋体" w:hAnsi="宋体" w:eastAsia="宋体" w:cs="Times New Roman"/>
          <w:b/>
          <w:bCs/>
          <w:color w:val="auto"/>
          <w:szCs w:val="21"/>
          <w:highlight w:val="none"/>
          <w:lang w:val="en-US" w:eastAsia="zh-CN"/>
        </w:rPr>
        <w:t>磋商</w:t>
      </w:r>
      <w:r>
        <w:rPr>
          <w:rFonts w:hint="default" w:ascii="宋体" w:hAnsi="宋体" w:eastAsia="宋体" w:cs="Times New Roman"/>
          <w:b/>
          <w:bCs/>
          <w:color w:val="auto"/>
          <w:szCs w:val="21"/>
          <w:highlight w:val="none"/>
        </w:rPr>
        <w:t>文件要求</w:t>
      </w:r>
      <w:r>
        <w:rPr>
          <w:rFonts w:hint="eastAsia" w:ascii="宋体" w:hAnsi="宋体" w:eastAsia="宋体" w:cs="Times New Roman"/>
          <w:b/>
          <w:bCs/>
          <w:color w:val="auto"/>
          <w:szCs w:val="21"/>
          <w:highlight w:val="none"/>
          <w:lang w:eastAsia="zh-CN"/>
        </w:rPr>
        <w:t>。</w:t>
      </w:r>
    </w:p>
    <w:p w14:paraId="58C30AB4">
      <w:pPr>
        <w:autoSpaceDE w:val="0"/>
        <w:autoSpaceDN w:val="0"/>
        <w:adjustRightInd w:val="0"/>
        <w:spacing w:line="360" w:lineRule="auto"/>
        <w:rPr>
          <w:rFonts w:hint="eastAsia" w:ascii="宋体" w:hAnsi="宋体" w:cs="宋体"/>
          <w:color w:val="auto"/>
          <w:sz w:val="24"/>
          <w:szCs w:val="24"/>
          <w:highlight w:val="none"/>
        </w:rPr>
      </w:pPr>
    </w:p>
    <w:p w14:paraId="7F06E38F">
      <w:pPr>
        <w:autoSpaceDE w:val="0"/>
        <w:autoSpaceDN w:val="0"/>
        <w:adjustRightInd w:val="0"/>
        <w:spacing w:line="360" w:lineRule="auto"/>
        <w:rPr>
          <w:rFonts w:hint="eastAsia" w:ascii="宋体" w:hAnsi="宋体" w:cs="宋体"/>
          <w:color w:val="auto"/>
          <w:sz w:val="24"/>
          <w:szCs w:val="24"/>
          <w:highlight w:val="none"/>
        </w:rPr>
      </w:pPr>
    </w:p>
    <w:p w14:paraId="49B65D98">
      <w:pPr>
        <w:spacing w:line="360" w:lineRule="auto"/>
        <w:ind w:firstLine="4320" w:firstLineChars="1800"/>
        <w:rPr>
          <w:rFonts w:hint="eastAsia" w:ascii="宋体" w:hAnsi="宋体" w:cs="仿宋_GB2312"/>
          <w:color w:val="auto"/>
          <w:kern w:val="0"/>
          <w:sz w:val="24"/>
          <w:highlight w:val="none"/>
        </w:rPr>
      </w:pPr>
      <w:r>
        <w:rPr>
          <w:rFonts w:hint="eastAsia" w:ascii="宋体" w:hAnsi="宋体" w:cs="仿宋_GB2312"/>
          <w:color w:val="auto"/>
          <w:kern w:val="0"/>
          <w:sz w:val="24"/>
          <w:highlight w:val="none"/>
          <w:lang w:eastAsia="zh-CN"/>
        </w:rPr>
        <w:t>供应商</w:t>
      </w:r>
      <w:r>
        <w:rPr>
          <w:rFonts w:hint="eastAsia" w:ascii="宋体" w:hAnsi="宋体" w:cs="仿宋_GB2312"/>
          <w:color w:val="auto"/>
          <w:kern w:val="0"/>
          <w:sz w:val="24"/>
          <w:highlight w:val="none"/>
        </w:rPr>
        <w:t>名称</w:t>
      </w:r>
      <w:r>
        <w:rPr>
          <w:rFonts w:hint="eastAsia" w:ascii="宋体" w:hAnsi="宋体" w:cs="仿宋_GB2312"/>
          <w:color w:val="auto"/>
          <w:kern w:val="0"/>
          <w:sz w:val="24"/>
          <w:highlight w:val="none"/>
          <w:lang w:eastAsia="zh-CN"/>
        </w:rPr>
        <w:t>：</w:t>
      </w:r>
      <w:r>
        <w:rPr>
          <w:rFonts w:hint="eastAsia" w:ascii="宋体" w:hAnsi="宋体" w:cs="仿宋_GB2312"/>
          <w:color w:val="auto"/>
          <w:kern w:val="0"/>
          <w:sz w:val="24"/>
          <w:highlight w:val="none"/>
        </w:rPr>
        <w:t>（盖章）</w:t>
      </w:r>
    </w:p>
    <w:p w14:paraId="1CCE98B7">
      <w:pPr>
        <w:spacing w:line="360" w:lineRule="auto"/>
        <w:ind w:firstLine="4320" w:firstLineChars="1800"/>
        <w:jc w:val="right"/>
        <w:rPr>
          <w:rFonts w:hint="eastAsia" w:ascii="宋体" w:hAnsi="宋体" w:cs="仿宋_GB2312"/>
          <w:color w:val="auto"/>
          <w:sz w:val="24"/>
          <w:highlight w:val="none"/>
        </w:rPr>
      </w:pPr>
      <w:r>
        <w:rPr>
          <w:rFonts w:hint="eastAsia" w:ascii="宋体" w:hAnsi="宋体" w:cs="仿宋_GB2312"/>
          <w:color w:val="auto"/>
          <w:sz w:val="24"/>
          <w:highlight w:val="none"/>
        </w:rPr>
        <w:t>法定代表人或其委托代理人</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（签字或盖章）</w:t>
      </w:r>
      <w:r>
        <w:rPr>
          <w:rFonts w:hint="eastAsia" w:ascii="宋体" w:hAnsi="宋体" w:cs="仿宋_GB2312"/>
          <w:color w:val="auto"/>
          <w:kern w:val="0"/>
          <w:sz w:val="24"/>
          <w:highlight w:val="none"/>
        </w:rPr>
        <w:t xml:space="preserve">                 </w:t>
      </w:r>
      <w:r>
        <w:rPr>
          <w:rFonts w:hint="eastAsia" w:ascii="宋体" w:hAnsi="宋体" w:cs="仿宋_GB2312"/>
          <w:color w:val="auto"/>
          <w:kern w:val="0"/>
          <w:sz w:val="24"/>
          <w:highlight w:val="none"/>
          <w:lang w:eastAsia="zh-CN"/>
        </w:rPr>
        <w:t xml:space="preserve"> </w:t>
      </w:r>
      <w:r>
        <w:rPr>
          <w:rFonts w:hint="eastAsia" w:ascii="宋体" w:hAnsi="宋体" w:cs="仿宋_GB2312"/>
          <w:color w:val="auto"/>
          <w:sz w:val="24"/>
          <w:highlight w:val="none"/>
        </w:rPr>
        <w:t xml:space="preserve">年  </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 xml:space="preserve">月  </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日</w:t>
      </w:r>
    </w:p>
    <w:p w14:paraId="00536AA8">
      <w:pPr>
        <w:rPr>
          <w:rFonts w:hint="eastAsia" w:ascii="宋体" w:hAnsi="宋体" w:cs="仿宋_GB2312"/>
          <w:color w:val="auto"/>
          <w:sz w:val="24"/>
          <w:highlight w:val="none"/>
        </w:rPr>
      </w:pPr>
      <w:r>
        <w:rPr>
          <w:rFonts w:hint="eastAsia" w:ascii="宋体" w:hAnsi="宋体" w:cs="仿宋_GB2312"/>
          <w:color w:val="auto"/>
          <w:sz w:val="24"/>
          <w:highlight w:val="none"/>
        </w:rPr>
        <w:br w:type="page"/>
      </w:r>
    </w:p>
    <w:p w14:paraId="1DC1BE5B">
      <w:pPr>
        <w:rPr>
          <w:rFonts w:hint="eastAsia" w:ascii="宋体" w:hAnsi="宋体" w:eastAsia="宋体" w:cs="宋体"/>
          <w:color w:val="auto"/>
          <w:highlight w:val="none"/>
        </w:rPr>
      </w:pPr>
    </w:p>
    <w:p w14:paraId="169875AA">
      <w:pPr>
        <w:jc w:val="center"/>
        <w:rPr>
          <w:rFonts w:hint="eastAsia" w:ascii="宋体" w:hAnsi="宋体" w:eastAsia="宋体" w:cs="宋体"/>
          <w:color w:val="auto"/>
          <w:sz w:val="30"/>
          <w:szCs w:val="30"/>
          <w:highlight w:val="none"/>
          <w:lang w:val="en-US" w:eastAsia="zh-CN"/>
          <w14:textOutline w14:w="5448" w14:cap="sq" w14:cmpd="sng">
            <w14:solidFill>
              <w14:srgbClr w14:val="000000"/>
            </w14:solidFill>
            <w14:prstDash w14:val="solid"/>
            <w14:bevel/>
          </w14:textOutline>
        </w:rPr>
      </w:pPr>
      <w:bookmarkStart w:id="144" w:name="_Toc19751"/>
      <w:bookmarkStart w:id="145" w:name="_Toc24564"/>
      <w:r>
        <w:rPr>
          <w:rFonts w:hint="eastAsia" w:ascii="宋体" w:hAnsi="宋体" w:eastAsia="宋体" w:cs="宋体"/>
          <w:color w:val="auto"/>
          <w:sz w:val="30"/>
          <w:szCs w:val="30"/>
          <w:highlight w:val="none"/>
          <w:lang w:val="en-US" w:eastAsia="zh-CN"/>
          <w14:textOutline w14:w="5448" w14:cap="sq" w14:cmpd="sng">
            <w14:solidFill>
              <w14:srgbClr w14:val="000000"/>
            </w14:solidFill>
            <w14:prstDash w14:val="solid"/>
            <w14:bevel/>
          </w14:textOutline>
        </w:rPr>
        <w:t>六、磋商承诺函</w:t>
      </w:r>
      <w:bookmarkEnd w:id="144"/>
      <w:bookmarkEnd w:id="145"/>
    </w:p>
    <w:p w14:paraId="55EEF0AF">
      <w:pPr>
        <w:tabs>
          <w:tab w:val="left" w:pos="0"/>
        </w:tabs>
        <w:spacing w:line="360" w:lineRule="auto"/>
        <w:ind w:right="-26"/>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（采购人），我方承诺如下：</w:t>
      </w:r>
    </w:p>
    <w:p w14:paraId="4A94553F">
      <w:pPr>
        <w:tabs>
          <w:tab w:val="left" w:pos="0"/>
        </w:tabs>
        <w:spacing w:line="360" w:lineRule="auto"/>
        <w:ind w:right="-26" w:firstLine="480" w:firstLineChars="200"/>
        <w:jc w:val="left"/>
        <w:rPr>
          <w:rFonts w:ascii="宋体" w:hAnsi="宋体" w:cs="宋体"/>
          <w:color w:val="auto"/>
          <w:sz w:val="24"/>
          <w:highlight w:val="none"/>
        </w:rPr>
      </w:pPr>
      <w:r>
        <w:rPr>
          <w:rFonts w:hint="eastAsia" w:ascii="宋体" w:hAnsi="宋体" w:cs="宋体"/>
          <w:color w:val="auto"/>
          <w:sz w:val="24"/>
          <w:highlight w:val="none"/>
        </w:rPr>
        <w:t>1、完全理解和接受磋商文件的一切规定和要求。</w:t>
      </w:r>
    </w:p>
    <w:p w14:paraId="37972C67">
      <w:pPr>
        <w:tabs>
          <w:tab w:val="left" w:pos="0"/>
        </w:tabs>
        <w:spacing w:line="360" w:lineRule="auto"/>
        <w:ind w:right="-26"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磋商</w:t>
      </w:r>
      <w:r>
        <w:rPr>
          <w:rFonts w:hint="eastAsia" w:ascii="宋体" w:hAnsi="宋体" w:cs="宋体"/>
          <w:color w:val="auto"/>
          <w:sz w:val="24"/>
          <w:highlight w:val="none"/>
        </w:rPr>
        <w:t>报价在</w:t>
      </w:r>
      <w:r>
        <w:rPr>
          <w:rFonts w:hint="eastAsia" w:ascii="宋体" w:hAnsi="宋体" w:cs="宋体"/>
          <w:color w:val="auto"/>
          <w:sz w:val="24"/>
          <w:highlight w:val="none"/>
          <w:lang w:eastAsia="zh-CN"/>
        </w:rPr>
        <w:t>磋商</w:t>
      </w:r>
      <w:r>
        <w:rPr>
          <w:rFonts w:hint="eastAsia" w:ascii="宋体" w:hAnsi="宋体" w:cs="宋体"/>
          <w:color w:val="auto"/>
          <w:sz w:val="24"/>
          <w:highlight w:val="none"/>
        </w:rPr>
        <w:t>有效期和合同有效期内，该报价固定不变。</w:t>
      </w:r>
    </w:p>
    <w:p w14:paraId="3D8F2F14">
      <w:pPr>
        <w:tabs>
          <w:tab w:val="left" w:pos="0"/>
        </w:tabs>
        <w:spacing w:line="360" w:lineRule="auto"/>
        <w:ind w:right="-26" w:firstLine="480" w:firstLineChars="200"/>
        <w:jc w:val="left"/>
        <w:rPr>
          <w:rFonts w:ascii="宋体" w:hAnsi="宋体" w:cs="宋体"/>
          <w:color w:val="auto"/>
          <w:sz w:val="24"/>
          <w:highlight w:val="none"/>
        </w:rPr>
      </w:pPr>
      <w:r>
        <w:rPr>
          <w:rFonts w:hint="eastAsia" w:ascii="宋体" w:hAnsi="宋体" w:cs="宋体"/>
          <w:color w:val="auto"/>
          <w:sz w:val="24"/>
          <w:highlight w:val="none"/>
        </w:rPr>
        <w:t>3、若</w:t>
      </w:r>
      <w:r>
        <w:rPr>
          <w:rFonts w:hint="eastAsia" w:ascii="宋体" w:hAnsi="宋体" w:cs="宋体"/>
          <w:color w:val="auto"/>
          <w:sz w:val="24"/>
          <w:highlight w:val="none"/>
          <w:lang w:eastAsia="zh-CN"/>
        </w:rPr>
        <w:t>成交</w:t>
      </w:r>
      <w:r>
        <w:rPr>
          <w:rFonts w:hint="eastAsia" w:ascii="宋体" w:hAnsi="宋体" w:cs="宋体"/>
          <w:color w:val="auto"/>
          <w:sz w:val="24"/>
          <w:highlight w:val="none"/>
        </w:rPr>
        <w:t>，我方将按照磋商文件的具体规定与项目法人签订合同，并且严格履行合同义务，按时交货，为项目提供优质的服务。如果在合同执行过程中，发现质量问题，我方一定尽快更换，并承诺相应的经济责任。</w:t>
      </w:r>
    </w:p>
    <w:p w14:paraId="390DECEE">
      <w:pPr>
        <w:tabs>
          <w:tab w:val="left" w:pos="0"/>
        </w:tabs>
        <w:spacing w:line="360" w:lineRule="auto"/>
        <w:ind w:right="-26" w:firstLine="480" w:firstLineChars="200"/>
        <w:jc w:val="left"/>
        <w:rPr>
          <w:rFonts w:ascii="宋体" w:hAnsi="宋体" w:cs="宋体"/>
          <w:color w:val="auto"/>
          <w:sz w:val="24"/>
          <w:highlight w:val="none"/>
        </w:rPr>
      </w:pPr>
      <w:r>
        <w:rPr>
          <w:rFonts w:hint="eastAsia" w:ascii="宋体" w:hAnsi="宋体" w:cs="宋体"/>
          <w:color w:val="auto"/>
          <w:sz w:val="24"/>
          <w:highlight w:val="none"/>
        </w:rPr>
        <w:t>4、在整个</w:t>
      </w:r>
      <w:r>
        <w:rPr>
          <w:rFonts w:hint="eastAsia" w:ascii="宋体" w:hAnsi="宋体" w:cs="宋体"/>
          <w:color w:val="auto"/>
          <w:sz w:val="24"/>
          <w:highlight w:val="none"/>
          <w:lang w:eastAsia="zh-CN"/>
        </w:rPr>
        <w:t>采购</w:t>
      </w:r>
      <w:r>
        <w:rPr>
          <w:rFonts w:hint="eastAsia" w:ascii="宋体" w:hAnsi="宋体" w:cs="宋体"/>
          <w:color w:val="auto"/>
          <w:sz w:val="24"/>
          <w:highlight w:val="none"/>
        </w:rPr>
        <w:t>过程中，我方若有违规行为，贵方可按磋商文件之规定给予惩罚，我方完全接受。</w:t>
      </w:r>
    </w:p>
    <w:p w14:paraId="6647380E">
      <w:pPr>
        <w:tabs>
          <w:tab w:val="left" w:pos="0"/>
        </w:tabs>
        <w:spacing w:line="360" w:lineRule="auto"/>
        <w:ind w:right="-26" w:firstLine="480" w:firstLineChars="200"/>
        <w:jc w:val="left"/>
        <w:rPr>
          <w:rFonts w:ascii="宋体" w:hAnsi="宋体" w:cs="宋体"/>
          <w:color w:val="auto"/>
          <w:sz w:val="24"/>
          <w:highlight w:val="none"/>
        </w:rPr>
      </w:pPr>
      <w:r>
        <w:rPr>
          <w:rFonts w:hint="eastAsia" w:ascii="宋体" w:hAnsi="宋体" w:cs="宋体"/>
          <w:color w:val="auto"/>
          <w:sz w:val="24"/>
          <w:highlight w:val="none"/>
        </w:rPr>
        <w:t>5、若</w:t>
      </w:r>
      <w:r>
        <w:rPr>
          <w:rFonts w:hint="eastAsia" w:ascii="宋体" w:hAnsi="宋体" w:cs="宋体"/>
          <w:color w:val="auto"/>
          <w:sz w:val="24"/>
          <w:highlight w:val="none"/>
          <w:lang w:eastAsia="zh-CN"/>
        </w:rPr>
        <w:t>成交</w:t>
      </w:r>
      <w:r>
        <w:rPr>
          <w:rFonts w:hint="eastAsia" w:ascii="宋体" w:hAnsi="宋体" w:cs="宋体"/>
          <w:color w:val="auto"/>
          <w:sz w:val="24"/>
          <w:highlight w:val="none"/>
        </w:rPr>
        <w:t>，我方将严格按照</w:t>
      </w:r>
      <w:r>
        <w:rPr>
          <w:rFonts w:hint="eastAsia" w:ascii="宋体" w:hAnsi="宋体" w:cs="宋体"/>
          <w:color w:val="auto"/>
          <w:sz w:val="24"/>
          <w:highlight w:val="none"/>
          <w:lang w:eastAsia="zh-CN"/>
        </w:rPr>
        <w:t>磋商</w:t>
      </w:r>
      <w:r>
        <w:rPr>
          <w:rFonts w:hint="eastAsia" w:ascii="宋体" w:hAnsi="宋体" w:cs="宋体"/>
          <w:color w:val="auto"/>
          <w:sz w:val="24"/>
          <w:highlight w:val="none"/>
        </w:rPr>
        <w:t>文件的规定及时、足额向</w:t>
      </w:r>
      <w:r>
        <w:rPr>
          <w:rFonts w:hint="eastAsia" w:ascii="宋体" w:hAnsi="宋体" w:cs="宋体"/>
          <w:color w:val="auto"/>
          <w:sz w:val="24"/>
          <w:highlight w:val="none"/>
          <w:lang w:eastAsia="zh-CN"/>
        </w:rPr>
        <w:t>采购</w:t>
      </w:r>
      <w:r>
        <w:rPr>
          <w:rFonts w:hint="eastAsia" w:ascii="宋体" w:hAnsi="宋体" w:cs="宋体"/>
          <w:color w:val="auto"/>
          <w:sz w:val="24"/>
          <w:highlight w:val="none"/>
        </w:rPr>
        <w:t>代理机构支付代理服务费。</w:t>
      </w:r>
    </w:p>
    <w:p w14:paraId="553E69DF">
      <w:pPr>
        <w:tabs>
          <w:tab w:val="left" w:pos="0"/>
        </w:tabs>
        <w:spacing w:line="360" w:lineRule="auto"/>
        <w:ind w:right="-26" w:firstLine="480" w:firstLineChars="200"/>
        <w:jc w:val="left"/>
        <w:rPr>
          <w:rFonts w:ascii="宋体" w:hAnsi="宋体" w:cs="宋体"/>
          <w:color w:val="auto"/>
          <w:sz w:val="24"/>
          <w:highlight w:val="none"/>
        </w:rPr>
      </w:pPr>
      <w:r>
        <w:rPr>
          <w:rFonts w:hint="eastAsia" w:ascii="宋体" w:hAnsi="宋体" w:cs="宋体"/>
          <w:color w:val="auto"/>
          <w:sz w:val="24"/>
          <w:highlight w:val="none"/>
        </w:rPr>
        <w:t>6、若</w:t>
      </w:r>
      <w:r>
        <w:rPr>
          <w:rFonts w:hint="eastAsia" w:ascii="宋体" w:hAnsi="宋体" w:cs="宋体"/>
          <w:color w:val="auto"/>
          <w:sz w:val="24"/>
          <w:highlight w:val="none"/>
          <w:lang w:eastAsia="zh-CN"/>
        </w:rPr>
        <w:t>成交</w:t>
      </w:r>
      <w:r>
        <w:rPr>
          <w:rFonts w:hint="eastAsia" w:ascii="宋体" w:hAnsi="宋体" w:cs="宋体"/>
          <w:color w:val="auto"/>
          <w:sz w:val="24"/>
          <w:highlight w:val="none"/>
        </w:rPr>
        <w:t>，本承诺函将成为合同不可分割的一部分</w:t>
      </w:r>
      <w:r>
        <w:rPr>
          <w:rFonts w:hint="eastAsia" w:ascii="宋体" w:hAnsi="宋体" w:cs="宋体"/>
          <w:color w:val="auto"/>
          <w:sz w:val="24"/>
          <w:highlight w:val="none"/>
          <w:lang w:eastAsia="zh-CN"/>
        </w:rPr>
        <w:t>，</w:t>
      </w:r>
      <w:r>
        <w:rPr>
          <w:rFonts w:hint="eastAsia" w:ascii="宋体" w:hAnsi="宋体" w:cs="宋体"/>
          <w:color w:val="auto"/>
          <w:sz w:val="24"/>
          <w:highlight w:val="none"/>
        </w:rPr>
        <w:t>与合同具有同等的法律效力。</w:t>
      </w:r>
    </w:p>
    <w:p w14:paraId="5670625B">
      <w:pPr>
        <w:tabs>
          <w:tab w:val="left" w:pos="0"/>
        </w:tabs>
        <w:spacing w:line="360" w:lineRule="auto"/>
        <w:ind w:left="-26" w:right="-26" w:firstLine="501" w:firstLineChars="209"/>
        <w:jc w:val="left"/>
        <w:rPr>
          <w:rFonts w:ascii="宋体" w:hAnsi="宋体" w:cs="宋体"/>
          <w:color w:val="auto"/>
          <w:sz w:val="24"/>
          <w:highlight w:val="none"/>
        </w:rPr>
      </w:pPr>
    </w:p>
    <w:p w14:paraId="307A2ECD">
      <w:pPr>
        <w:spacing w:line="360" w:lineRule="auto"/>
        <w:rPr>
          <w:rFonts w:ascii="宋体" w:hAnsi="宋体" w:cs="宋体"/>
          <w:color w:val="auto"/>
          <w:sz w:val="24"/>
          <w:highlight w:val="none"/>
        </w:rPr>
      </w:pPr>
    </w:p>
    <w:p w14:paraId="4C97ADAD">
      <w:pPr>
        <w:spacing w:line="360" w:lineRule="auto"/>
        <w:ind w:firstLine="4320" w:firstLineChars="1800"/>
        <w:rPr>
          <w:rFonts w:hint="eastAsia" w:ascii="宋体" w:hAnsi="宋体" w:cs="仿宋_GB2312"/>
          <w:color w:val="auto"/>
          <w:kern w:val="0"/>
          <w:sz w:val="24"/>
          <w:highlight w:val="none"/>
        </w:rPr>
      </w:pPr>
      <w:r>
        <w:rPr>
          <w:rFonts w:hint="eastAsia" w:ascii="宋体" w:hAnsi="宋体" w:cs="仿宋_GB2312"/>
          <w:color w:val="auto"/>
          <w:kern w:val="0"/>
          <w:sz w:val="24"/>
          <w:highlight w:val="none"/>
          <w:lang w:eastAsia="zh-CN"/>
        </w:rPr>
        <w:t>供应商</w:t>
      </w:r>
      <w:r>
        <w:rPr>
          <w:rFonts w:hint="eastAsia" w:ascii="宋体" w:hAnsi="宋体" w:cs="仿宋_GB2312"/>
          <w:color w:val="auto"/>
          <w:kern w:val="0"/>
          <w:sz w:val="24"/>
          <w:highlight w:val="none"/>
        </w:rPr>
        <w:t>名称</w:t>
      </w:r>
      <w:r>
        <w:rPr>
          <w:rFonts w:hint="eastAsia" w:ascii="宋体" w:hAnsi="宋体" w:cs="仿宋_GB2312"/>
          <w:color w:val="auto"/>
          <w:kern w:val="0"/>
          <w:sz w:val="24"/>
          <w:highlight w:val="none"/>
          <w:lang w:eastAsia="zh-CN"/>
        </w:rPr>
        <w:t>：</w:t>
      </w:r>
      <w:r>
        <w:rPr>
          <w:rFonts w:hint="eastAsia" w:ascii="宋体" w:hAnsi="宋体" w:cs="仿宋_GB2312"/>
          <w:color w:val="auto"/>
          <w:kern w:val="0"/>
          <w:sz w:val="24"/>
          <w:highlight w:val="none"/>
        </w:rPr>
        <w:t>（盖章）</w:t>
      </w:r>
    </w:p>
    <w:p w14:paraId="166938A8">
      <w:pPr>
        <w:spacing w:line="360" w:lineRule="auto"/>
        <w:ind w:firstLine="4320" w:firstLineChars="1800"/>
        <w:jc w:val="right"/>
        <w:rPr>
          <w:rFonts w:hint="eastAsia" w:ascii="宋体" w:hAnsi="宋体" w:cs="仿宋_GB2312"/>
          <w:color w:val="auto"/>
          <w:sz w:val="24"/>
          <w:highlight w:val="none"/>
        </w:rPr>
      </w:pPr>
      <w:r>
        <w:rPr>
          <w:rFonts w:hint="eastAsia" w:ascii="宋体" w:hAnsi="宋体" w:cs="仿宋_GB2312"/>
          <w:color w:val="auto"/>
          <w:sz w:val="24"/>
          <w:highlight w:val="none"/>
        </w:rPr>
        <w:t>法定代表人或其委托代理人</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（签字或盖章）</w:t>
      </w:r>
      <w:r>
        <w:rPr>
          <w:rFonts w:hint="eastAsia" w:ascii="宋体" w:hAnsi="宋体" w:cs="仿宋_GB2312"/>
          <w:color w:val="auto"/>
          <w:kern w:val="0"/>
          <w:sz w:val="24"/>
          <w:highlight w:val="none"/>
        </w:rPr>
        <w:t xml:space="preserve">                 </w:t>
      </w:r>
      <w:r>
        <w:rPr>
          <w:rFonts w:hint="eastAsia" w:ascii="宋体" w:hAnsi="宋体" w:cs="仿宋_GB2312"/>
          <w:color w:val="auto"/>
          <w:kern w:val="0"/>
          <w:sz w:val="24"/>
          <w:highlight w:val="none"/>
          <w:lang w:eastAsia="zh-CN"/>
        </w:rPr>
        <w:t xml:space="preserve"> </w:t>
      </w:r>
      <w:r>
        <w:rPr>
          <w:rFonts w:hint="eastAsia" w:ascii="宋体" w:hAnsi="宋体" w:cs="仿宋_GB2312"/>
          <w:color w:val="auto"/>
          <w:sz w:val="24"/>
          <w:highlight w:val="none"/>
        </w:rPr>
        <w:t xml:space="preserve">年  </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 xml:space="preserve">月  </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日</w:t>
      </w:r>
    </w:p>
    <w:p w14:paraId="078F84E9">
      <w:pPr>
        <w:rPr>
          <w:rFonts w:hint="eastAsia" w:ascii="宋体" w:hAnsi="宋体" w:cs="仿宋_GB2312"/>
          <w:color w:val="auto"/>
          <w:sz w:val="24"/>
          <w:highlight w:val="none"/>
        </w:rPr>
      </w:pPr>
      <w:r>
        <w:rPr>
          <w:rFonts w:hint="eastAsia" w:ascii="宋体" w:hAnsi="宋体" w:cs="仿宋_GB2312"/>
          <w:color w:val="auto"/>
          <w:sz w:val="24"/>
          <w:highlight w:val="none"/>
        </w:rPr>
        <w:br w:type="page"/>
      </w:r>
    </w:p>
    <w:p w14:paraId="63B44747">
      <w:pPr>
        <w:jc w:val="center"/>
        <w:rPr>
          <w:rFonts w:hint="eastAsia" w:ascii="宋体" w:hAnsi="宋体" w:eastAsia="宋体" w:cs="宋体"/>
          <w:color w:val="auto"/>
          <w:sz w:val="30"/>
          <w:szCs w:val="30"/>
          <w:highlight w:val="none"/>
          <w:lang w:val="en-US" w:eastAsia="zh-CN"/>
          <w14:textOutline w14:w="5448" w14:cap="sq" w14:cmpd="sng">
            <w14:solidFill>
              <w14:srgbClr w14:val="000000"/>
            </w14:solidFill>
            <w14:prstDash w14:val="solid"/>
            <w14:bevel/>
          </w14:textOutline>
        </w:rPr>
      </w:pPr>
      <w:r>
        <w:rPr>
          <w:rFonts w:hint="eastAsia" w:ascii="宋体" w:hAnsi="宋体" w:eastAsia="宋体" w:cs="宋体"/>
          <w:color w:val="auto"/>
          <w:sz w:val="30"/>
          <w:szCs w:val="30"/>
          <w:highlight w:val="none"/>
          <w:lang w:val="en-US" w:eastAsia="zh-CN"/>
          <w14:textOutline w14:w="5448" w14:cap="sq" w14:cmpd="sng">
            <w14:solidFill>
              <w14:srgbClr w14:val="000000"/>
            </w14:solidFill>
            <w14:prstDash w14:val="solid"/>
            <w14:bevel/>
          </w14:textOutline>
        </w:rPr>
        <w:t>七、资格性证明材料</w:t>
      </w:r>
    </w:p>
    <w:p w14:paraId="19267532">
      <w:pPr>
        <w:autoSpaceDE w:val="0"/>
        <w:autoSpaceDN w:val="0"/>
        <w:adjustRightInd w:val="0"/>
        <w:spacing w:line="360" w:lineRule="auto"/>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（一）供应商基本情况表</w:t>
      </w:r>
    </w:p>
    <w:tbl>
      <w:tblPr>
        <w:tblStyle w:val="3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129"/>
        <w:gridCol w:w="1356"/>
        <w:gridCol w:w="1358"/>
        <w:gridCol w:w="803"/>
        <w:gridCol w:w="554"/>
        <w:gridCol w:w="1358"/>
        <w:gridCol w:w="1358"/>
      </w:tblGrid>
      <w:tr w14:paraId="5A7B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0BF845F4">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名称</w:t>
            </w:r>
          </w:p>
        </w:tc>
        <w:tc>
          <w:tcPr>
            <w:tcW w:w="7916" w:type="dxa"/>
            <w:gridSpan w:val="7"/>
            <w:vAlign w:val="center"/>
          </w:tcPr>
          <w:p w14:paraId="189FC740">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1153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703056F6">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注册地址</w:t>
            </w:r>
          </w:p>
        </w:tc>
        <w:tc>
          <w:tcPr>
            <w:tcW w:w="3843" w:type="dxa"/>
            <w:gridSpan w:val="3"/>
            <w:vAlign w:val="center"/>
          </w:tcPr>
          <w:p w14:paraId="1897ABA5">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357" w:type="dxa"/>
            <w:gridSpan w:val="2"/>
            <w:vAlign w:val="center"/>
          </w:tcPr>
          <w:p w14:paraId="02916381">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2716" w:type="dxa"/>
            <w:gridSpan w:val="2"/>
            <w:vAlign w:val="center"/>
          </w:tcPr>
          <w:p w14:paraId="27288ED1">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0FA8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Merge w:val="restart"/>
            <w:vAlign w:val="center"/>
          </w:tcPr>
          <w:p w14:paraId="44811D9E">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联系方式</w:t>
            </w:r>
          </w:p>
        </w:tc>
        <w:tc>
          <w:tcPr>
            <w:tcW w:w="1129" w:type="dxa"/>
            <w:vAlign w:val="center"/>
          </w:tcPr>
          <w:p w14:paraId="293E6EB6">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w:t>
            </w:r>
          </w:p>
        </w:tc>
        <w:tc>
          <w:tcPr>
            <w:tcW w:w="2714" w:type="dxa"/>
            <w:gridSpan w:val="2"/>
            <w:vAlign w:val="center"/>
          </w:tcPr>
          <w:p w14:paraId="31E1313F">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357" w:type="dxa"/>
            <w:gridSpan w:val="2"/>
            <w:vAlign w:val="center"/>
          </w:tcPr>
          <w:p w14:paraId="1F576786">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p>
        </w:tc>
        <w:tc>
          <w:tcPr>
            <w:tcW w:w="2716" w:type="dxa"/>
            <w:gridSpan w:val="2"/>
            <w:vAlign w:val="center"/>
          </w:tcPr>
          <w:p w14:paraId="2E20B470">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0FCB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Merge w:val="continue"/>
            <w:vAlign w:val="center"/>
          </w:tcPr>
          <w:p w14:paraId="17EBA4FD">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129" w:type="dxa"/>
            <w:vAlign w:val="center"/>
          </w:tcPr>
          <w:p w14:paraId="4923D4D3">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 真</w:t>
            </w:r>
          </w:p>
        </w:tc>
        <w:tc>
          <w:tcPr>
            <w:tcW w:w="2714" w:type="dxa"/>
            <w:gridSpan w:val="2"/>
            <w:vAlign w:val="center"/>
          </w:tcPr>
          <w:p w14:paraId="0D8A99A6">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357" w:type="dxa"/>
            <w:gridSpan w:val="2"/>
            <w:vAlign w:val="center"/>
          </w:tcPr>
          <w:p w14:paraId="6F2900B8">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网址</w:t>
            </w:r>
          </w:p>
        </w:tc>
        <w:tc>
          <w:tcPr>
            <w:tcW w:w="2716" w:type="dxa"/>
            <w:gridSpan w:val="2"/>
            <w:vAlign w:val="center"/>
          </w:tcPr>
          <w:p w14:paraId="0A708E55">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63EB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5DAF3D18">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组织结构</w:t>
            </w:r>
          </w:p>
        </w:tc>
        <w:tc>
          <w:tcPr>
            <w:tcW w:w="7916" w:type="dxa"/>
            <w:gridSpan w:val="7"/>
            <w:vAlign w:val="center"/>
          </w:tcPr>
          <w:p w14:paraId="67A95C8A">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417D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2C013309">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1129" w:type="dxa"/>
            <w:vAlign w:val="center"/>
          </w:tcPr>
          <w:p w14:paraId="7F6E30B8">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356" w:type="dxa"/>
            <w:vAlign w:val="center"/>
          </w:tcPr>
          <w:p w14:paraId="0DDB991F">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358" w:type="dxa"/>
            <w:vAlign w:val="center"/>
          </w:tcPr>
          <w:p w14:paraId="33361927">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技术职称</w:t>
            </w:r>
          </w:p>
        </w:tc>
        <w:tc>
          <w:tcPr>
            <w:tcW w:w="1357" w:type="dxa"/>
            <w:gridSpan w:val="2"/>
            <w:vAlign w:val="center"/>
          </w:tcPr>
          <w:p w14:paraId="040FD917">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358" w:type="dxa"/>
            <w:vAlign w:val="center"/>
          </w:tcPr>
          <w:p w14:paraId="234CE744">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p>
        </w:tc>
        <w:tc>
          <w:tcPr>
            <w:tcW w:w="1358" w:type="dxa"/>
            <w:vAlign w:val="center"/>
          </w:tcPr>
          <w:p w14:paraId="78AAF9B6">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7E49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7964B61F">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技术负责人</w:t>
            </w:r>
          </w:p>
        </w:tc>
        <w:tc>
          <w:tcPr>
            <w:tcW w:w="1129" w:type="dxa"/>
            <w:vAlign w:val="center"/>
          </w:tcPr>
          <w:p w14:paraId="7B8E53D9">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356" w:type="dxa"/>
            <w:vAlign w:val="center"/>
          </w:tcPr>
          <w:p w14:paraId="0C13C101">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358" w:type="dxa"/>
            <w:vAlign w:val="center"/>
          </w:tcPr>
          <w:p w14:paraId="1FB180EE">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技术职称</w:t>
            </w:r>
          </w:p>
        </w:tc>
        <w:tc>
          <w:tcPr>
            <w:tcW w:w="1357" w:type="dxa"/>
            <w:gridSpan w:val="2"/>
            <w:vAlign w:val="center"/>
          </w:tcPr>
          <w:p w14:paraId="14CA3F18">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358" w:type="dxa"/>
            <w:vAlign w:val="center"/>
          </w:tcPr>
          <w:p w14:paraId="128F8050">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p>
        </w:tc>
        <w:tc>
          <w:tcPr>
            <w:tcW w:w="1358" w:type="dxa"/>
            <w:vAlign w:val="center"/>
          </w:tcPr>
          <w:p w14:paraId="4365E782">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54B9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44C67661">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w:t>
            </w:r>
          </w:p>
        </w:tc>
        <w:tc>
          <w:tcPr>
            <w:tcW w:w="3843" w:type="dxa"/>
            <w:gridSpan w:val="3"/>
            <w:vAlign w:val="center"/>
          </w:tcPr>
          <w:p w14:paraId="11256420">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4073" w:type="dxa"/>
            <w:gridSpan w:val="4"/>
            <w:vAlign w:val="center"/>
          </w:tcPr>
          <w:p w14:paraId="4CD0D2D6">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员工总人数：</w:t>
            </w:r>
          </w:p>
        </w:tc>
      </w:tr>
      <w:tr w14:paraId="676C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13C7AAAD">
            <w:pPr>
              <w:autoSpaceDE w:val="0"/>
              <w:autoSpaceDN w:val="0"/>
              <w:adjustRightInd w:val="0"/>
              <w:spacing w:line="360" w:lineRule="auto"/>
              <w:jc w:val="center"/>
              <w:rPr>
                <w:rFonts w:hint="eastAsia" w:ascii="宋体" w:hAnsi="宋体" w:eastAsia="宋体" w:cs="宋体"/>
                <w:color w:val="auto"/>
                <w:spacing w:val="-12"/>
                <w:kern w:val="0"/>
                <w:sz w:val="24"/>
                <w:highlight w:val="none"/>
              </w:rPr>
            </w:pPr>
            <w:r>
              <w:rPr>
                <w:rFonts w:hint="eastAsia" w:ascii="宋体" w:hAnsi="宋体" w:eastAsia="宋体" w:cs="宋体"/>
                <w:color w:val="auto"/>
                <w:spacing w:val="-12"/>
                <w:kern w:val="0"/>
                <w:sz w:val="24"/>
                <w:highlight w:val="none"/>
              </w:rPr>
              <w:t>企业资质等级</w:t>
            </w:r>
          </w:p>
        </w:tc>
        <w:tc>
          <w:tcPr>
            <w:tcW w:w="3843" w:type="dxa"/>
            <w:gridSpan w:val="3"/>
            <w:vAlign w:val="center"/>
          </w:tcPr>
          <w:p w14:paraId="42250EB2">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803" w:type="dxa"/>
            <w:vMerge w:val="restart"/>
            <w:vAlign w:val="center"/>
          </w:tcPr>
          <w:p w14:paraId="4FBA7BDE">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其中</w:t>
            </w:r>
          </w:p>
        </w:tc>
        <w:tc>
          <w:tcPr>
            <w:tcW w:w="1912" w:type="dxa"/>
            <w:gridSpan w:val="2"/>
            <w:vAlign w:val="center"/>
          </w:tcPr>
          <w:p w14:paraId="6312C29A">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项目经理</w:t>
            </w:r>
          </w:p>
        </w:tc>
        <w:tc>
          <w:tcPr>
            <w:tcW w:w="1358" w:type="dxa"/>
            <w:vAlign w:val="center"/>
          </w:tcPr>
          <w:p w14:paraId="453C9494">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574E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69F80E8C">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营业执照号</w:t>
            </w:r>
          </w:p>
        </w:tc>
        <w:tc>
          <w:tcPr>
            <w:tcW w:w="3843" w:type="dxa"/>
            <w:gridSpan w:val="3"/>
            <w:vAlign w:val="center"/>
          </w:tcPr>
          <w:p w14:paraId="6DB885EF">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803" w:type="dxa"/>
            <w:vMerge w:val="continue"/>
            <w:vAlign w:val="center"/>
          </w:tcPr>
          <w:p w14:paraId="4A1DE73A">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912" w:type="dxa"/>
            <w:gridSpan w:val="2"/>
            <w:vAlign w:val="center"/>
          </w:tcPr>
          <w:p w14:paraId="58F1AF35">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高级职称人员</w:t>
            </w:r>
          </w:p>
        </w:tc>
        <w:tc>
          <w:tcPr>
            <w:tcW w:w="1358" w:type="dxa"/>
            <w:vAlign w:val="center"/>
          </w:tcPr>
          <w:p w14:paraId="151A27C0">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5B35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1A07D106">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注册资金</w:t>
            </w:r>
          </w:p>
        </w:tc>
        <w:tc>
          <w:tcPr>
            <w:tcW w:w="3843" w:type="dxa"/>
            <w:gridSpan w:val="3"/>
            <w:vAlign w:val="center"/>
          </w:tcPr>
          <w:p w14:paraId="1E76B42C">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803" w:type="dxa"/>
            <w:vMerge w:val="continue"/>
            <w:vAlign w:val="center"/>
          </w:tcPr>
          <w:p w14:paraId="6DC36278">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912" w:type="dxa"/>
            <w:gridSpan w:val="2"/>
            <w:vAlign w:val="center"/>
          </w:tcPr>
          <w:p w14:paraId="66E9384C">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中级职称人员</w:t>
            </w:r>
          </w:p>
        </w:tc>
        <w:tc>
          <w:tcPr>
            <w:tcW w:w="1358" w:type="dxa"/>
            <w:vAlign w:val="center"/>
          </w:tcPr>
          <w:p w14:paraId="12E47896">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54D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58DE5498">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开户银行</w:t>
            </w:r>
          </w:p>
        </w:tc>
        <w:tc>
          <w:tcPr>
            <w:tcW w:w="3843" w:type="dxa"/>
            <w:gridSpan w:val="3"/>
            <w:vAlign w:val="center"/>
          </w:tcPr>
          <w:p w14:paraId="26C4085A">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803" w:type="dxa"/>
            <w:vMerge w:val="continue"/>
            <w:vAlign w:val="center"/>
          </w:tcPr>
          <w:p w14:paraId="7D71036E">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912" w:type="dxa"/>
            <w:gridSpan w:val="2"/>
            <w:vAlign w:val="center"/>
          </w:tcPr>
          <w:p w14:paraId="6FAC8DF8">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初级职称人员</w:t>
            </w:r>
          </w:p>
        </w:tc>
        <w:tc>
          <w:tcPr>
            <w:tcW w:w="1358" w:type="dxa"/>
            <w:vAlign w:val="center"/>
          </w:tcPr>
          <w:p w14:paraId="22CAA239">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78EA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83" w:type="dxa"/>
            <w:vAlign w:val="center"/>
          </w:tcPr>
          <w:p w14:paraId="01FE065E">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账号</w:t>
            </w:r>
          </w:p>
        </w:tc>
        <w:tc>
          <w:tcPr>
            <w:tcW w:w="3843" w:type="dxa"/>
            <w:gridSpan w:val="3"/>
            <w:vAlign w:val="center"/>
          </w:tcPr>
          <w:p w14:paraId="60ED4A5B">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803" w:type="dxa"/>
            <w:vMerge w:val="continue"/>
            <w:vAlign w:val="center"/>
          </w:tcPr>
          <w:p w14:paraId="3452CBF5">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1912" w:type="dxa"/>
            <w:gridSpan w:val="2"/>
            <w:vAlign w:val="center"/>
          </w:tcPr>
          <w:p w14:paraId="65F5729D">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技工</w:t>
            </w:r>
          </w:p>
        </w:tc>
        <w:tc>
          <w:tcPr>
            <w:tcW w:w="1358" w:type="dxa"/>
            <w:vAlign w:val="center"/>
          </w:tcPr>
          <w:p w14:paraId="15D0E8FE">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1B7C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3" w:type="dxa"/>
            <w:vAlign w:val="center"/>
          </w:tcPr>
          <w:p w14:paraId="6A2BD454">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经营范围</w:t>
            </w:r>
          </w:p>
        </w:tc>
        <w:tc>
          <w:tcPr>
            <w:tcW w:w="7916" w:type="dxa"/>
            <w:gridSpan w:val="7"/>
            <w:vAlign w:val="center"/>
          </w:tcPr>
          <w:p w14:paraId="21042C9A">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031C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vAlign w:val="center"/>
          </w:tcPr>
          <w:p w14:paraId="41094143">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c>
          <w:tcPr>
            <w:tcW w:w="7916" w:type="dxa"/>
            <w:gridSpan w:val="7"/>
            <w:vAlign w:val="center"/>
          </w:tcPr>
          <w:p w14:paraId="4FE31329">
            <w:pPr>
              <w:autoSpaceDE w:val="0"/>
              <w:autoSpaceDN w:val="0"/>
              <w:adjustRightInd w:val="0"/>
              <w:spacing w:line="360" w:lineRule="auto"/>
              <w:jc w:val="center"/>
              <w:rPr>
                <w:rFonts w:hint="eastAsia" w:ascii="宋体" w:hAnsi="宋体" w:eastAsia="宋体" w:cs="宋体"/>
                <w:color w:val="auto"/>
                <w:kern w:val="0"/>
                <w:sz w:val="24"/>
                <w:highlight w:val="none"/>
              </w:rPr>
            </w:pPr>
          </w:p>
        </w:tc>
      </w:tr>
    </w:tbl>
    <w:p w14:paraId="66A80325">
      <w:pPr>
        <w:spacing w:line="570" w:lineRule="exact"/>
        <w:contextualSpacing/>
        <w:rPr>
          <w:rFonts w:hint="eastAsia" w:ascii="宋体" w:hAnsi="宋体" w:cs="宋体"/>
          <w:b/>
          <w:bCs/>
          <w:color w:val="auto"/>
          <w:szCs w:val="24"/>
          <w:highlight w:val="none"/>
        </w:rPr>
      </w:pPr>
      <w:r>
        <w:rPr>
          <w:rFonts w:hint="eastAsia" w:ascii="宋体" w:hAnsi="宋体" w:cs="宋体"/>
          <w:b/>
          <w:bCs/>
          <w:color w:val="auto"/>
          <w:szCs w:val="24"/>
          <w:highlight w:val="none"/>
        </w:rPr>
        <w:t>备注：</w:t>
      </w:r>
      <w:r>
        <w:rPr>
          <w:rFonts w:hint="eastAsia" w:ascii="宋体" w:hAnsi="宋体" w:cs="宋体"/>
          <w:color w:val="auto"/>
          <w:szCs w:val="24"/>
          <w:highlight w:val="none"/>
        </w:rPr>
        <w:t>本表后应附企业法人营业执照等企业证件的复印件，加盖公章。</w:t>
      </w:r>
    </w:p>
    <w:p w14:paraId="70CFAC2C">
      <w:pPr>
        <w:jc w:val="center"/>
        <w:rPr>
          <w:rFonts w:hint="eastAsia" w:ascii="宋体" w:hAnsi="宋体" w:cs="宋体"/>
          <w:b/>
          <w:bCs/>
          <w:color w:val="auto"/>
          <w:sz w:val="28"/>
          <w:szCs w:val="28"/>
          <w:highlight w:val="none"/>
          <w:lang w:eastAsia="zh-CN"/>
        </w:rPr>
      </w:pPr>
    </w:p>
    <w:p w14:paraId="17FF51FD">
      <w:pPr>
        <w:jc w:val="center"/>
        <w:rPr>
          <w:rFonts w:hint="eastAsia" w:ascii="宋体" w:hAnsi="宋体" w:cs="宋体"/>
          <w:b/>
          <w:bCs/>
          <w:color w:val="auto"/>
          <w:sz w:val="28"/>
          <w:szCs w:val="28"/>
          <w:highlight w:val="none"/>
          <w:lang w:eastAsia="zh-CN"/>
        </w:rPr>
      </w:pPr>
    </w:p>
    <w:p w14:paraId="1CB35E75">
      <w:pPr>
        <w:jc w:val="center"/>
        <w:rPr>
          <w:rFonts w:hint="eastAsia" w:ascii="宋体" w:hAnsi="宋体" w:cs="宋体"/>
          <w:b/>
          <w:bCs/>
          <w:color w:val="auto"/>
          <w:sz w:val="28"/>
          <w:szCs w:val="28"/>
          <w:highlight w:val="none"/>
          <w:lang w:eastAsia="zh-CN"/>
        </w:rPr>
      </w:pPr>
    </w:p>
    <w:p w14:paraId="3CF202E4">
      <w:pPr>
        <w:spacing w:line="570" w:lineRule="exact"/>
        <w:ind w:firstLine="2409" w:firstLineChars="800"/>
        <w:contextualSpacing/>
        <w:rPr>
          <w:rFonts w:ascii="宋体" w:hAnsi="宋体" w:cs="宋体"/>
          <w:b/>
          <w:color w:val="auto"/>
          <w:sz w:val="30"/>
          <w:szCs w:val="30"/>
          <w:highlight w:val="none"/>
        </w:rPr>
      </w:pPr>
      <w:r>
        <w:rPr>
          <w:rFonts w:hint="eastAsia" w:ascii="宋体" w:hAnsi="宋体" w:eastAsia="宋体" w:cs="宋体"/>
          <w:b/>
          <w:bCs/>
          <w:color w:val="auto"/>
          <w:kern w:val="2"/>
          <w:sz w:val="30"/>
          <w:szCs w:val="30"/>
          <w:highlight w:val="none"/>
          <w:lang w:val="en-US" w:eastAsia="zh-CN" w:bidi="ar-SA"/>
        </w:rPr>
        <w:t>（二）</w:t>
      </w:r>
      <w:r>
        <w:rPr>
          <w:rFonts w:hint="eastAsia" w:ascii="宋体" w:hAnsi="宋体" w:cs="宋体"/>
          <w:b/>
          <w:color w:val="auto"/>
          <w:sz w:val="30"/>
          <w:szCs w:val="30"/>
          <w:highlight w:val="none"/>
        </w:rPr>
        <w:t>资格承诺声明函</w:t>
      </w:r>
    </w:p>
    <w:p w14:paraId="3B0BCC1D">
      <w:pPr>
        <w:pStyle w:val="10"/>
        <w:rPr>
          <w:color w:val="auto"/>
          <w:highlight w:val="none"/>
        </w:rPr>
      </w:pPr>
    </w:p>
    <w:p w14:paraId="327EB514">
      <w:pPr>
        <w:adjustRightInd w:val="0"/>
        <w:snapToGrid w:val="0"/>
        <w:spacing w:line="360" w:lineRule="auto"/>
        <w:contextualSpacing/>
        <w:textAlignment w:val="baseline"/>
        <w:rPr>
          <w:rFonts w:ascii="宋体" w:hAnsi="宋体" w:cs="宋体"/>
          <w:color w:val="auto"/>
          <w:kern w:val="0"/>
          <w:sz w:val="24"/>
          <w:highlight w:val="none"/>
        </w:rPr>
      </w:pPr>
      <w:r>
        <w:rPr>
          <w:rFonts w:hint="eastAsia" w:ascii="宋体" w:hAnsi="宋体" w:cs="宋体"/>
          <w:color w:val="auto"/>
          <w:kern w:val="0"/>
          <w:sz w:val="24"/>
          <w:highlight w:val="none"/>
          <w:u w:val="single"/>
        </w:rPr>
        <w:t xml:space="preserve">致  （本项目采购人）  </w:t>
      </w:r>
      <w:r>
        <w:rPr>
          <w:rFonts w:hint="eastAsia" w:ascii="宋体" w:hAnsi="宋体" w:cs="宋体"/>
          <w:color w:val="auto"/>
          <w:kern w:val="0"/>
          <w:sz w:val="24"/>
          <w:highlight w:val="none"/>
        </w:rPr>
        <w:t>：</w:t>
      </w:r>
    </w:p>
    <w:p w14:paraId="02AC9ECE">
      <w:pPr>
        <w:adjustRightInd w:val="0"/>
        <w:snapToGrid w:val="0"/>
        <w:spacing w:line="360" w:lineRule="auto"/>
        <w:ind w:firstLine="480" w:firstLineChars="200"/>
        <w:contextualSpacing/>
        <w:textAlignment w:val="baseline"/>
        <w:rPr>
          <w:rFonts w:ascii="宋体" w:hAnsi="宋体" w:cs="宋体"/>
          <w:color w:val="auto"/>
          <w:kern w:val="0"/>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我单位自愿参加本次政府采购活动，严格遵守《中华人民共和国政府采购法》及相关法律法规，依法诚信经营，依法遵守本次政府采购活动的各项规定。我单位郑重承诺</w:t>
      </w:r>
      <w:r>
        <w:rPr>
          <w:rFonts w:hint="eastAsia" w:ascii="宋体" w:hAnsi="宋体" w:cs="宋体"/>
          <w:color w:val="auto"/>
          <w:kern w:val="0"/>
          <w:sz w:val="24"/>
          <w:highlight w:val="none"/>
        </w:rPr>
        <w:t>声明如下：</w:t>
      </w:r>
    </w:p>
    <w:p w14:paraId="5223E165">
      <w:pPr>
        <w:adjustRightInd w:val="0"/>
        <w:snapToGrid w:val="0"/>
        <w:spacing w:line="360" w:lineRule="auto"/>
        <w:ind w:firstLine="480" w:firstLineChars="200"/>
        <w:contextualSpacing/>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一、我单位全称为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注册地点为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统一社会信用代码为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法定代表人（单位负责人）为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联系方式为</w:t>
      </w:r>
      <w:r>
        <w:rPr>
          <w:rFonts w:hint="eastAsia" w:ascii="宋体" w:hAnsi="宋体" w:cs="宋体"/>
          <w:color w:val="auto"/>
          <w:kern w:val="0"/>
          <w:sz w:val="24"/>
          <w:highlight w:val="none"/>
          <w:u w:val="single"/>
        </w:rPr>
        <w:t xml:space="preserve">                 。 </w:t>
      </w:r>
    </w:p>
    <w:p w14:paraId="0648DB58">
      <w:pPr>
        <w:adjustRightInd w:val="0"/>
        <w:snapToGrid w:val="0"/>
        <w:spacing w:line="360" w:lineRule="auto"/>
        <w:ind w:firstLine="480" w:firstLineChars="200"/>
        <w:contextualSpacing/>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二、我单位具有独立承担民事责任的能力。</w:t>
      </w:r>
    </w:p>
    <w:p w14:paraId="02E10B30">
      <w:pPr>
        <w:adjustRightInd w:val="0"/>
        <w:snapToGrid w:val="0"/>
        <w:spacing w:line="360" w:lineRule="auto"/>
        <w:ind w:firstLine="480" w:firstLineChars="200"/>
        <w:contextualSpacing/>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三、我单位具有良好的商业信誉和健全的财务会计制度。</w:t>
      </w:r>
    </w:p>
    <w:p w14:paraId="36A2F1F8">
      <w:pPr>
        <w:adjustRightInd w:val="0"/>
        <w:snapToGrid w:val="0"/>
        <w:spacing w:line="360" w:lineRule="auto"/>
        <w:ind w:firstLine="480" w:firstLineChars="200"/>
        <w:contextualSpacing/>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四、我单位具有履行合同所必需的设备和专业技术能力。</w:t>
      </w:r>
    </w:p>
    <w:p w14:paraId="76D83B1A">
      <w:pPr>
        <w:adjustRightInd w:val="0"/>
        <w:snapToGrid w:val="0"/>
        <w:spacing w:line="360" w:lineRule="auto"/>
        <w:ind w:firstLine="480" w:firstLineChars="200"/>
        <w:contextualSpacing/>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五、我单位有依法缴纳税收和社会保障资金的良好记录。</w:t>
      </w:r>
    </w:p>
    <w:p w14:paraId="1AB7C18A">
      <w:pPr>
        <w:adjustRightInd w:val="0"/>
        <w:snapToGrid w:val="0"/>
        <w:spacing w:line="360" w:lineRule="auto"/>
        <w:ind w:firstLine="480" w:firstLineChars="200"/>
        <w:contextualSpacing/>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74BE1572">
      <w:pPr>
        <w:adjustRightInd w:val="0"/>
        <w:snapToGrid w:val="0"/>
        <w:spacing w:line="360" w:lineRule="auto"/>
        <w:ind w:firstLine="480" w:firstLineChars="200"/>
        <w:contextualSpacing/>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七、我单位具备法律、行政法规规定的其他条件。</w:t>
      </w:r>
    </w:p>
    <w:p w14:paraId="30C715A0">
      <w:pPr>
        <w:adjustRightInd w:val="0"/>
        <w:snapToGrid w:val="0"/>
        <w:spacing w:line="360" w:lineRule="auto"/>
        <w:ind w:firstLine="480" w:firstLineChars="200"/>
        <w:contextualSpacing/>
        <w:textAlignment w:val="baseline"/>
        <w:rPr>
          <w:rFonts w:ascii="宋体" w:hAnsi="宋体" w:cs="宋体"/>
          <w:color w:val="auto"/>
          <w:sz w:val="24"/>
          <w:highlight w:val="none"/>
        </w:rPr>
      </w:pPr>
      <w:r>
        <w:rPr>
          <w:rFonts w:hint="eastAsia" w:ascii="宋体" w:hAnsi="宋体" w:cs="宋体"/>
          <w:color w:val="auto"/>
          <w:kern w:val="0"/>
          <w:sz w:val="24"/>
          <w:highlight w:val="none"/>
        </w:rPr>
        <w:t>我单位保证上述声明的事项都是真实的，符合《中华人民共和国政府采购法》规定的供应商资格条件。如有弄虚作假，我单位愿意按照“</w:t>
      </w:r>
      <w:r>
        <w:rPr>
          <w:rFonts w:hint="eastAsia" w:ascii="宋体" w:hAnsi="宋体" w:cs="宋体"/>
          <w:color w:val="auto"/>
          <w:sz w:val="24"/>
          <w:highlight w:val="none"/>
        </w:rPr>
        <w:t>提供虚假材料谋取中标、成交</w:t>
      </w:r>
      <w:r>
        <w:rPr>
          <w:rFonts w:hint="eastAsia" w:ascii="宋体" w:hAnsi="宋体" w:cs="宋体"/>
          <w:color w:val="auto"/>
          <w:kern w:val="0"/>
          <w:sz w:val="24"/>
          <w:highlight w:val="none"/>
        </w:rPr>
        <w:t>”承担相应的法律责任，同意将违背承诺行为作为失信行为记录到社会信用信息平台，并承担因此所造成的一切损失。</w:t>
      </w:r>
    </w:p>
    <w:p w14:paraId="44B49855">
      <w:pPr>
        <w:adjustRightInd w:val="0"/>
        <w:snapToGrid w:val="0"/>
        <w:spacing w:line="360" w:lineRule="auto"/>
        <w:ind w:firstLine="480" w:firstLineChars="200"/>
        <w:contextualSpacing/>
        <w:jc w:val="center"/>
        <w:textAlignment w:val="baseline"/>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承诺单位（盖章）：</w:t>
      </w:r>
      <w:r>
        <w:rPr>
          <w:rFonts w:hint="eastAsia" w:ascii="宋体" w:hAnsi="宋体" w:cs="宋体"/>
          <w:color w:val="auto"/>
          <w:sz w:val="24"/>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p>
    <w:p w14:paraId="08F04B40">
      <w:pPr>
        <w:adjustRightInd w:val="0"/>
        <w:snapToGrid w:val="0"/>
        <w:spacing w:line="360" w:lineRule="auto"/>
        <w:ind w:firstLine="480" w:firstLineChars="200"/>
        <w:contextualSpacing/>
        <w:jc w:val="center"/>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                  法定代表人或授权代表（签名或盖章）：</w:t>
      </w:r>
      <w:r>
        <w:rPr>
          <w:rFonts w:hint="eastAsia" w:ascii="宋体" w:hAnsi="宋体" w:cs="宋体"/>
          <w:color w:val="auto"/>
          <w:sz w:val="24"/>
          <w:highlight w:val="none"/>
          <w:u w:val="single"/>
          <w:lang w:val="en-US" w:eastAsia="zh-CN"/>
        </w:rPr>
        <w:t xml:space="preserve">        </w:t>
      </w:r>
    </w:p>
    <w:p w14:paraId="701AD4A1">
      <w:pPr>
        <w:adjustRightInd w:val="0"/>
        <w:snapToGrid w:val="0"/>
        <w:spacing w:line="360" w:lineRule="auto"/>
        <w:ind w:firstLine="480" w:firstLineChars="200"/>
        <w:contextualSpacing/>
        <w:jc w:val="center"/>
        <w:textAlignment w:val="baseline"/>
        <w:rPr>
          <w:rFonts w:ascii="宋体" w:hAnsi="宋体" w:cs="宋体"/>
          <w:color w:val="auto"/>
          <w:sz w:val="24"/>
          <w:highlight w:val="none"/>
        </w:rPr>
      </w:pPr>
      <w:r>
        <w:rPr>
          <w:rFonts w:hint="eastAsia" w:ascii="宋体" w:hAnsi="宋体" w:cs="宋体"/>
          <w:color w:val="auto"/>
          <w:kern w:val="0"/>
          <w:sz w:val="24"/>
          <w:highlight w:val="none"/>
        </w:rPr>
        <w:t xml:space="preserve">     日期：    年   月   日</w:t>
      </w:r>
    </w:p>
    <w:p w14:paraId="5444233D">
      <w:pPr>
        <w:spacing w:line="360" w:lineRule="auto"/>
        <w:rPr>
          <w:rFonts w:ascii="宋体" w:hAnsi="宋体" w:cs="宋体"/>
          <w:color w:val="auto"/>
          <w:sz w:val="24"/>
          <w:highlight w:val="none"/>
        </w:rPr>
      </w:pPr>
    </w:p>
    <w:p w14:paraId="6102BB5C">
      <w:pPr>
        <w:spacing w:line="360" w:lineRule="auto"/>
        <w:ind w:left="1143" w:leftChars="200" w:hanging="723" w:hangingChars="300"/>
        <w:rPr>
          <w:rFonts w:ascii="宋体" w:hAnsi="宋体" w:cs="宋体"/>
          <w:color w:val="auto"/>
          <w:sz w:val="24"/>
          <w:highlight w:val="none"/>
        </w:rPr>
      </w:pPr>
      <w:r>
        <w:rPr>
          <w:rFonts w:hint="eastAsia" w:ascii="宋体" w:hAnsi="宋体" w:cs="宋体"/>
          <w:b/>
          <w:bCs/>
          <w:color w:val="auto"/>
          <w:sz w:val="24"/>
          <w:highlight w:val="none"/>
        </w:rPr>
        <w:t>注：</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须在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中按此模板提供承诺函，未提供视为未实质性响应</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文件要求，按无效</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处理。</w:t>
      </w:r>
    </w:p>
    <w:p w14:paraId="5D160C4D">
      <w:pPr>
        <w:adjustRightIn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的法定代表人或者授权代表的签字或盖章应真实、有效。</w:t>
      </w:r>
    </w:p>
    <w:p w14:paraId="5C7C599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（三）特定资格</w:t>
      </w:r>
      <w:r>
        <w:rPr>
          <w:rFonts w:hint="eastAsia" w:ascii="宋体" w:hAnsi="宋体" w:eastAsia="宋体" w:cs="宋体"/>
          <w:b/>
          <w:bCs/>
          <w:color w:val="auto"/>
          <w:sz w:val="30"/>
          <w:szCs w:val="30"/>
          <w:highlight w:val="none"/>
          <w:lang w:eastAsia="zh-CN"/>
        </w:rPr>
        <w:t>要求</w:t>
      </w:r>
      <w:r>
        <w:rPr>
          <w:rFonts w:hint="eastAsia" w:ascii="宋体" w:hAnsi="宋体" w:cs="宋体"/>
          <w:b/>
          <w:bCs/>
          <w:color w:val="auto"/>
          <w:sz w:val="30"/>
          <w:szCs w:val="30"/>
          <w:highlight w:val="none"/>
          <w:lang w:eastAsia="zh-CN"/>
        </w:rPr>
        <w:t>的其他内容</w:t>
      </w:r>
    </w:p>
    <w:p w14:paraId="5D1CA355">
      <w:pPr>
        <w:keepNext w:val="0"/>
        <w:keepLines w:val="0"/>
        <w:pageBreakBefore w:val="0"/>
        <w:widowControl w:val="0"/>
        <w:numPr>
          <w:ilvl w:val="0"/>
          <w:numId w:val="0"/>
        </w:numPr>
        <w:kinsoku/>
        <w:wordWrap/>
        <w:overflowPunct/>
        <w:topLinePunct w:val="0"/>
        <w:autoSpaceDE/>
        <w:autoSpaceDN/>
        <w:bidi w:val="0"/>
        <w:adjustRightInd/>
        <w:snapToGrid/>
        <w:ind w:firstLine="2249" w:firstLineChars="700"/>
        <w:jc w:val="both"/>
        <w:textAlignment w:val="auto"/>
        <w:rPr>
          <w:rFonts w:hint="eastAsia" w:ascii="宋体" w:hAnsi="宋体" w:cs="宋体"/>
          <w:b/>
          <w:bCs/>
          <w:color w:val="auto"/>
          <w:sz w:val="32"/>
          <w:szCs w:val="32"/>
          <w:highlight w:val="none"/>
          <w:lang w:eastAsia="zh-CN"/>
        </w:rPr>
      </w:pPr>
    </w:p>
    <w:p w14:paraId="7880F4E2">
      <w:pPr>
        <w:keepNext w:val="0"/>
        <w:keepLines w:val="0"/>
        <w:pageBreakBefore w:val="0"/>
        <w:widowControl w:val="0"/>
        <w:numPr>
          <w:ilvl w:val="0"/>
          <w:numId w:val="0"/>
        </w:numPr>
        <w:kinsoku/>
        <w:wordWrap/>
        <w:overflowPunct/>
        <w:topLinePunct w:val="0"/>
        <w:autoSpaceDE/>
        <w:autoSpaceDN/>
        <w:bidi w:val="0"/>
        <w:adjustRightInd/>
        <w:snapToGrid/>
        <w:ind w:firstLine="2249" w:firstLineChars="700"/>
        <w:jc w:val="both"/>
        <w:textAlignment w:val="auto"/>
        <w:rPr>
          <w:rFonts w:hint="eastAsia" w:ascii="宋体" w:hAnsi="宋体" w:cs="宋体"/>
          <w:b/>
          <w:bCs/>
          <w:color w:val="auto"/>
          <w:sz w:val="32"/>
          <w:szCs w:val="32"/>
          <w:highlight w:val="none"/>
          <w:lang w:eastAsia="zh-CN"/>
        </w:rPr>
      </w:pPr>
    </w:p>
    <w:p w14:paraId="7E7045CC">
      <w:pPr>
        <w:keepNext w:val="0"/>
        <w:keepLines w:val="0"/>
        <w:pageBreakBefore w:val="0"/>
        <w:widowControl w:val="0"/>
        <w:numPr>
          <w:ilvl w:val="0"/>
          <w:numId w:val="0"/>
        </w:numPr>
        <w:kinsoku/>
        <w:wordWrap/>
        <w:overflowPunct/>
        <w:topLinePunct w:val="0"/>
        <w:autoSpaceDE/>
        <w:autoSpaceDN/>
        <w:bidi w:val="0"/>
        <w:adjustRightInd/>
        <w:snapToGrid/>
        <w:ind w:firstLine="2249" w:firstLineChars="700"/>
        <w:jc w:val="both"/>
        <w:textAlignment w:val="auto"/>
        <w:rPr>
          <w:rFonts w:hint="default" w:ascii="宋体" w:hAnsi="宋体" w:eastAsia="宋体" w:cs="宋体"/>
          <w:b/>
          <w:bCs/>
          <w:color w:val="auto"/>
          <w:sz w:val="32"/>
          <w:szCs w:val="32"/>
          <w:highlight w:val="none"/>
          <w:lang w:val="en-US" w:eastAsia="zh-CN"/>
        </w:rPr>
      </w:pPr>
    </w:p>
    <w:p w14:paraId="370278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sz w:val="24"/>
          <w:szCs w:val="24"/>
          <w:highlight w:val="none"/>
          <w:lang w:val="en-US" w:eastAsia="zh-CN"/>
        </w:rPr>
      </w:pPr>
    </w:p>
    <w:p w14:paraId="554DE97F">
      <w:pPr>
        <w:rPr>
          <w:rFonts w:hint="eastAsia" w:ascii="宋体" w:hAnsi="宋体" w:eastAsia="宋体" w:cs="宋体"/>
          <w:color w:val="auto"/>
          <w:sz w:val="32"/>
          <w:szCs w:val="32"/>
          <w:highlight w:val="none"/>
          <w:lang w:val="en-US" w:eastAsia="zh-CN"/>
        </w:rPr>
      </w:pPr>
      <w:r>
        <w:rPr>
          <w:rFonts w:hint="eastAsia" w:ascii="宋体" w:hAnsi="宋体" w:eastAsia="宋体" w:cs="宋体"/>
          <w:color w:val="auto"/>
          <w:highlight w:val="none"/>
          <w:lang w:val="en-US" w:eastAsia="zh-CN"/>
        </w:rPr>
        <w:br w:type="page"/>
      </w:r>
    </w:p>
    <w:p w14:paraId="4140E8F5">
      <w:pPr>
        <w:jc w:val="center"/>
        <w:rPr>
          <w:rFonts w:hint="eastAsia" w:ascii="宋体" w:hAnsi="宋体" w:eastAsia="宋体" w:cs="宋体"/>
          <w:color w:val="auto"/>
          <w:sz w:val="30"/>
          <w:szCs w:val="30"/>
          <w:highlight w:val="none"/>
          <w:lang w:val="en-US" w:eastAsia="zh-CN"/>
          <w14:textOutline w14:w="5448" w14:cap="sq" w14:cmpd="sng">
            <w14:solidFill>
              <w14:srgbClr w14:val="000000"/>
            </w14:solidFill>
            <w14:prstDash w14:val="solid"/>
            <w14:bevel/>
          </w14:textOutline>
        </w:rPr>
      </w:pPr>
      <w:r>
        <w:rPr>
          <w:rFonts w:hint="eastAsia" w:ascii="宋体" w:hAnsi="宋体" w:eastAsia="宋体" w:cs="宋体"/>
          <w:color w:val="auto"/>
          <w:sz w:val="30"/>
          <w:szCs w:val="30"/>
          <w:highlight w:val="none"/>
          <w:lang w:val="en-US" w:eastAsia="zh-CN"/>
          <w14:textOutline w14:w="5448" w14:cap="sq" w14:cmpd="sng">
            <w14:solidFill>
              <w14:srgbClr w14:val="000000"/>
            </w14:solidFill>
            <w14:prstDash w14:val="solid"/>
            <w14:bevel/>
          </w14:textOutline>
        </w:rPr>
        <w:t>八、</w:t>
      </w:r>
      <w:r>
        <w:rPr>
          <w:rFonts w:hint="eastAsia" w:ascii="宋体" w:hAnsi="宋体" w:cs="宋体"/>
          <w:color w:val="auto"/>
          <w:sz w:val="30"/>
          <w:szCs w:val="30"/>
          <w:highlight w:val="none"/>
          <w:lang w:val="en-US" w:eastAsia="zh-CN"/>
          <w14:textOutline w14:w="5448" w14:cap="sq" w14:cmpd="sng">
            <w14:solidFill>
              <w14:srgbClr w14:val="000000"/>
            </w14:solidFill>
            <w14:prstDash w14:val="solid"/>
            <w14:bevel/>
          </w14:textOutline>
        </w:rPr>
        <w:t>其他</w:t>
      </w:r>
      <w:r>
        <w:rPr>
          <w:rFonts w:hint="eastAsia" w:ascii="宋体" w:hAnsi="宋体" w:eastAsia="宋体" w:cs="宋体"/>
          <w:color w:val="auto"/>
          <w:sz w:val="30"/>
          <w:szCs w:val="30"/>
          <w:highlight w:val="none"/>
          <w:lang w:val="en-US" w:eastAsia="zh-CN"/>
          <w14:textOutline w14:w="5448" w14:cap="sq" w14:cmpd="sng">
            <w14:solidFill>
              <w14:srgbClr w14:val="000000"/>
            </w14:solidFill>
            <w14:prstDash w14:val="solid"/>
            <w14:bevel/>
          </w14:textOutline>
        </w:rPr>
        <w:t>部分资料</w:t>
      </w:r>
    </w:p>
    <w:p w14:paraId="5E9C53B3">
      <w:pPr>
        <w:pStyle w:val="83"/>
        <w:ind w:left="0" w:leftChars="0" w:firstLine="0" w:firstLineChars="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(按照评</w:t>
      </w:r>
      <w:r>
        <w:rPr>
          <w:rFonts w:hint="eastAsia" w:ascii="宋体" w:hAnsi="宋体" w:cs="宋体"/>
          <w:color w:val="auto"/>
          <w:sz w:val="28"/>
          <w:szCs w:val="28"/>
          <w:highlight w:val="none"/>
          <w:lang w:val="en-US" w:eastAsia="zh-CN"/>
        </w:rPr>
        <w:t>审</w:t>
      </w:r>
      <w:r>
        <w:rPr>
          <w:rFonts w:hint="eastAsia" w:ascii="宋体" w:hAnsi="宋体" w:eastAsia="宋体" w:cs="宋体"/>
          <w:color w:val="auto"/>
          <w:sz w:val="28"/>
          <w:szCs w:val="28"/>
          <w:highlight w:val="none"/>
          <w:lang w:val="en-US" w:eastAsia="zh-CN"/>
        </w:rPr>
        <w:t>办法的要求提供，</w:t>
      </w:r>
      <w:r>
        <w:rPr>
          <w:rFonts w:hint="eastAsia" w:ascii="宋体" w:hAnsi="宋体" w:eastAsia="宋体" w:cs="宋体"/>
          <w:color w:val="auto"/>
          <w:sz w:val="28"/>
          <w:szCs w:val="28"/>
          <w:highlight w:val="none"/>
          <w:lang w:eastAsia="zh-CN"/>
        </w:rPr>
        <w:t>格式自拟</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加盖单位公章</w:t>
      </w:r>
      <w:r>
        <w:rPr>
          <w:rFonts w:hint="eastAsia" w:ascii="宋体" w:hAnsi="宋体" w:eastAsia="宋体" w:cs="宋体"/>
          <w:color w:val="auto"/>
          <w:sz w:val="28"/>
          <w:szCs w:val="28"/>
          <w:highlight w:val="none"/>
          <w:lang w:val="en-US" w:eastAsia="zh-CN"/>
        </w:rPr>
        <w:t>)</w:t>
      </w:r>
    </w:p>
    <w:p w14:paraId="707B7685">
      <w:pPr>
        <w:pStyle w:val="83"/>
        <w:ind w:left="0" w:leftChars="0" w:firstLine="0" w:firstLineChars="0"/>
        <w:jc w:val="center"/>
        <w:rPr>
          <w:rFonts w:hint="eastAsia" w:ascii="宋体" w:hAnsi="宋体" w:eastAsia="宋体" w:cs="宋体"/>
          <w:color w:val="auto"/>
          <w:sz w:val="28"/>
          <w:szCs w:val="28"/>
          <w:highlight w:val="none"/>
          <w:lang w:val="en-US" w:eastAsia="zh-CN"/>
        </w:rPr>
      </w:pPr>
    </w:p>
    <w:p w14:paraId="0082D5BD">
      <w:pPr>
        <w:pStyle w:val="83"/>
        <w:ind w:left="0" w:leftChars="0" w:firstLine="0" w:firstLineChars="0"/>
        <w:jc w:val="center"/>
        <w:rPr>
          <w:rFonts w:hint="eastAsia" w:ascii="宋体" w:hAnsi="宋体" w:eastAsia="宋体" w:cs="宋体"/>
          <w:color w:val="auto"/>
          <w:sz w:val="28"/>
          <w:szCs w:val="28"/>
          <w:highlight w:val="none"/>
          <w:lang w:val="en-US" w:eastAsia="zh-CN"/>
        </w:rPr>
      </w:pPr>
    </w:p>
    <w:p w14:paraId="203DF5A9">
      <w:pPr>
        <w:pStyle w:val="83"/>
        <w:ind w:left="0" w:leftChars="0" w:firstLine="0" w:firstLineChars="0"/>
        <w:jc w:val="center"/>
        <w:rPr>
          <w:rFonts w:hint="eastAsia" w:ascii="宋体" w:hAnsi="宋体" w:eastAsia="宋体" w:cs="宋体"/>
          <w:color w:val="auto"/>
          <w:sz w:val="28"/>
          <w:szCs w:val="28"/>
          <w:highlight w:val="none"/>
          <w:lang w:val="en-US" w:eastAsia="zh-CN"/>
        </w:rPr>
      </w:pPr>
    </w:p>
    <w:p w14:paraId="411F28EC">
      <w:pPr>
        <w:pStyle w:val="83"/>
        <w:ind w:left="0" w:leftChars="0" w:firstLine="0" w:firstLineChars="0"/>
        <w:jc w:val="center"/>
        <w:rPr>
          <w:rFonts w:hint="eastAsia" w:ascii="宋体" w:hAnsi="宋体" w:eastAsia="宋体" w:cs="宋体"/>
          <w:color w:val="auto"/>
          <w:sz w:val="28"/>
          <w:szCs w:val="28"/>
          <w:highlight w:val="none"/>
          <w:lang w:val="en-US" w:eastAsia="zh-CN"/>
        </w:rPr>
      </w:pPr>
    </w:p>
    <w:p w14:paraId="1EA9B030">
      <w:pPr>
        <w:pStyle w:val="83"/>
        <w:ind w:left="0" w:leftChars="0" w:firstLine="0" w:firstLineChars="0"/>
        <w:jc w:val="center"/>
        <w:rPr>
          <w:rFonts w:hint="eastAsia" w:ascii="宋体" w:hAnsi="宋体" w:eastAsia="宋体" w:cs="宋体"/>
          <w:color w:val="auto"/>
          <w:sz w:val="28"/>
          <w:szCs w:val="28"/>
          <w:highlight w:val="none"/>
          <w:lang w:val="en-US" w:eastAsia="zh-CN"/>
        </w:rPr>
      </w:pPr>
    </w:p>
    <w:p w14:paraId="5EC6FCEB">
      <w:pPr>
        <w:pStyle w:val="83"/>
        <w:ind w:left="0" w:leftChars="0" w:firstLine="0" w:firstLineChars="0"/>
        <w:jc w:val="center"/>
        <w:rPr>
          <w:rFonts w:hint="eastAsia" w:ascii="宋体" w:hAnsi="宋体" w:eastAsia="宋体" w:cs="宋体"/>
          <w:color w:val="auto"/>
          <w:sz w:val="28"/>
          <w:szCs w:val="28"/>
          <w:highlight w:val="none"/>
          <w:lang w:val="en-US" w:eastAsia="zh-CN"/>
        </w:rPr>
      </w:pPr>
    </w:p>
    <w:p w14:paraId="25C70052">
      <w:pPr>
        <w:pStyle w:val="83"/>
        <w:ind w:left="0" w:leftChars="0" w:firstLine="0" w:firstLineChars="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ab/>
      </w:r>
    </w:p>
    <w:p w14:paraId="1A2097B4">
      <w:pP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br w:type="page"/>
      </w:r>
    </w:p>
    <w:p w14:paraId="69056C52">
      <w:pPr>
        <w:jc w:val="center"/>
        <w:rPr>
          <w:rFonts w:hint="eastAsia" w:ascii="宋体" w:hAnsi="宋体" w:eastAsia="宋体" w:cs="宋体"/>
          <w:color w:val="auto"/>
          <w:sz w:val="30"/>
          <w:szCs w:val="30"/>
          <w:highlight w:val="none"/>
          <w:lang w:val="en-US" w:eastAsia="zh-CN"/>
          <w14:textOutline w14:w="5448" w14:cap="sq" w14:cmpd="sng">
            <w14:solidFill>
              <w14:srgbClr w14:val="000000"/>
            </w14:solidFill>
            <w14:prstDash w14:val="solid"/>
            <w14:bevel/>
          </w14:textOutline>
        </w:rPr>
      </w:pPr>
      <w:r>
        <w:rPr>
          <w:rFonts w:hint="eastAsia" w:ascii="宋体" w:hAnsi="宋体" w:eastAsia="宋体" w:cs="宋体"/>
          <w:color w:val="auto"/>
          <w:sz w:val="30"/>
          <w:szCs w:val="30"/>
          <w:highlight w:val="none"/>
          <w:lang w:val="en-US" w:eastAsia="zh-CN"/>
          <w14:textOutline w14:w="5448" w14:cap="sq" w14:cmpd="sng">
            <w14:solidFill>
              <w14:srgbClr w14:val="000000"/>
            </w14:solidFill>
            <w14:prstDash w14:val="solid"/>
            <w14:bevel/>
          </w14:textOutline>
        </w:rPr>
        <w:t>九、技术部分资料</w:t>
      </w:r>
    </w:p>
    <w:p w14:paraId="1B96984F">
      <w:pPr>
        <w:pStyle w:val="83"/>
        <w:ind w:left="0" w:leftChars="0" w:firstLine="0" w:firstLineChars="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(按照评</w:t>
      </w:r>
      <w:r>
        <w:rPr>
          <w:rFonts w:hint="eastAsia" w:ascii="宋体" w:hAnsi="宋体" w:cs="宋体"/>
          <w:color w:val="auto"/>
          <w:sz w:val="28"/>
          <w:szCs w:val="28"/>
          <w:highlight w:val="none"/>
          <w:lang w:val="en-US" w:eastAsia="zh-CN"/>
        </w:rPr>
        <w:t>审</w:t>
      </w:r>
      <w:r>
        <w:rPr>
          <w:rFonts w:hint="eastAsia" w:ascii="宋体" w:hAnsi="宋体" w:eastAsia="宋体" w:cs="宋体"/>
          <w:color w:val="auto"/>
          <w:sz w:val="28"/>
          <w:szCs w:val="28"/>
          <w:highlight w:val="none"/>
          <w:lang w:val="en-US" w:eastAsia="zh-CN"/>
        </w:rPr>
        <w:t>办法的要求提供，</w:t>
      </w:r>
      <w:r>
        <w:rPr>
          <w:rFonts w:hint="eastAsia" w:ascii="宋体" w:hAnsi="宋体" w:eastAsia="宋体" w:cs="宋体"/>
          <w:color w:val="auto"/>
          <w:sz w:val="28"/>
          <w:szCs w:val="28"/>
          <w:highlight w:val="none"/>
          <w:lang w:eastAsia="zh-CN"/>
        </w:rPr>
        <w:t>格式自拟</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加盖单位公章</w:t>
      </w:r>
      <w:r>
        <w:rPr>
          <w:rFonts w:hint="eastAsia" w:ascii="宋体" w:hAnsi="宋体" w:eastAsia="宋体" w:cs="宋体"/>
          <w:color w:val="auto"/>
          <w:sz w:val="28"/>
          <w:szCs w:val="28"/>
          <w:highlight w:val="none"/>
          <w:lang w:val="en-US" w:eastAsia="zh-CN"/>
        </w:rPr>
        <w:t>)</w:t>
      </w:r>
    </w:p>
    <w:p w14:paraId="54B65344">
      <w:pP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ab/>
      </w:r>
      <w:r>
        <w:rPr>
          <w:rFonts w:hint="eastAsia" w:ascii="宋体" w:hAnsi="宋体" w:eastAsia="宋体" w:cs="宋体"/>
          <w:color w:val="auto"/>
          <w:sz w:val="32"/>
          <w:szCs w:val="32"/>
          <w:highlight w:val="none"/>
          <w:lang w:val="en-US" w:eastAsia="zh-CN"/>
        </w:rPr>
        <w:tab/>
      </w:r>
    </w:p>
    <w:p w14:paraId="5C2A3005">
      <w:pPr>
        <w:rPr>
          <w:rFonts w:hint="eastAsia"/>
          <w:color w:val="auto"/>
          <w:highlight w:val="none"/>
          <w:lang w:val="en-US" w:eastAsia="zh-CN"/>
        </w:rPr>
      </w:pPr>
      <w:r>
        <w:rPr>
          <w:rFonts w:hint="eastAsia" w:ascii="宋体" w:hAnsi="宋体" w:eastAsia="宋体" w:cs="宋体"/>
          <w:color w:val="auto"/>
          <w:sz w:val="32"/>
          <w:szCs w:val="32"/>
          <w:highlight w:val="none"/>
          <w:lang w:val="en-US" w:eastAsia="zh-CN"/>
        </w:rPr>
        <w:br w:type="page"/>
      </w:r>
    </w:p>
    <w:p w14:paraId="08DB0343">
      <w:pPr>
        <w:jc w:val="center"/>
        <w:rPr>
          <w:rFonts w:hint="eastAsia" w:ascii="宋体" w:hAnsi="宋体" w:eastAsia="宋体" w:cs="宋体"/>
          <w:color w:val="auto"/>
          <w:sz w:val="30"/>
          <w:szCs w:val="30"/>
          <w:highlight w:val="none"/>
          <w:lang w:val="en-US" w:eastAsia="zh-CN"/>
          <w14:textOutline w14:w="5448" w14:cap="sq" w14:cmpd="sng">
            <w14:solidFill>
              <w14:srgbClr w14:val="000000"/>
            </w14:solidFill>
            <w14:prstDash w14:val="solid"/>
            <w14:bevel/>
          </w14:textOutline>
        </w:rPr>
      </w:pPr>
      <w:r>
        <w:rPr>
          <w:rFonts w:hint="eastAsia" w:ascii="宋体" w:hAnsi="宋体" w:eastAsia="宋体" w:cs="宋体"/>
          <w:color w:val="auto"/>
          <w:sz w:val="30"/>
          <w:szCs w:val="30"/>
          <w:highlight w:val="none"/>
          <w:lang w:val="en-US" w:eastAsia="zh-CN"/>
          <w14:textOutline w14:w="5448" w14:cap="sq" w14:cmpd="sng">
            <w14:solidFill>
              <w14:srgbClr w14:val="000000"/>
            </w14:solidFill>
            <w14:prstDash w14:val="solid"/>
            <w14:bevel/>
          </w14:textOutline>
        </w:rPr>
        <w:t>十、</w:t>
      </w:r>
      <w:r>
        <w:rPr>
          <w:rFonts w:hint="eastAsia" w:ascii="宋体" w:hAnsi="宋体" w:cs="宋体"/>
          <w:color w:val="auto"/>
          <w:sz w:val="30"/>
          <w:szCs w:val="30"/>
          <w:highlight w:val="none"/>
          <w:lang w:val="en-US" w:eastAsia="zh-CN"/>
          <w14:textOutline w14:w="5448" w14:cap="sq" w14:cmpd="sng">
            <w14:solidFill>
              <w14:srgbClr w14:val="000000"/>
            </w14:solidFill>
            <w14:prstDash w14:val="solid"/>
            <w14:bevel/>
          </w14:textOutline>
        </w:rPr>
        <w:t>供应商</w:t>
      </w:r>
      <w:r>
        <w:rPr>
          <w:rFonts w:hint="eastAsia" w:ascii="宋体" w:hAnsi="宋体" w:eastAsia="宋体" w:cs="宋体"/>
          <w:color w:val="auto"/>
          <w:sz w:val="30"/>
          <w:szCs w:val="30"/>
          <w:highlight w:val="none"/>
          <w:lang w:val="en-US" w:eastAsia="zh-CN"/>
          <w14:textOutline w14:w="5448" w14:cap="sq" w14:cmpd="sng">
            <w14:solidFill>
              <w14:srgbClr w14:val="000000"/>
            </w14:solidFill>
            <w14:prstDash w14:val="solid"/>
            <w14:bevel/>
          </w14:textOutline>
        </w:rPr>
        <w:t>其他资料</w:t>
      </w:r>
    </w:p>
    <w:p w14:paraId="6E8D70D0">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(供应商认为需要提供的其他资料)</w:t>
      </w:r>
    </w:p>
    <w:p w14:paraId="4F4270A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4A7AF2C5">
      <w:pPr>
        <w:jc w:val="center"/>
        <w:rPr>
          <w:rFonts w:hint="eastAsia"/>
          <w:b/>
          <w:bCs/>
          <w:color w:val="auto"/>
          <w:sz w:val="28"/>
          <w:szCs w:val="28"/>
          <w:highlight w:val="none"/>
        </w:rPr>
      </w:pPr>
      <w:bookmarkStart w:id="146" w:name="_Toc4810"/>
      <w:bookmarkStart w:id="147" w:name="_Toc525829954"/>
      <w:bookmarkStart w:id="148" w:name="_Toc3360"/>
      <w:bookmarkStart w:id="149" w:name="_Toc17044"/>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w:t>
      </w:r>
      <w:bookmarkEnd w:id="146"/>
      <w:bookmarkEnd w:id="147"/>
      <w:bookmarkEnd w:id="148"/>
      <w:bookmarkEnd w:id="149"/>
      <w:r>
        <w:rPr>
          <w:rFonts w:hint="eastAsia"/>
          <w:b/>
          <w:bCs/>
          <w:color w:val="auto"/>
          <w:sz w:val="28"/>
          <w:szCs w:val="28"/>
          <w:highlight w:val="none"/>
        </w:rPr>
        <w:t>中小企业声明函（货物）</w:t>
      </w:r>
    </w:p>
    <w:p w14:paraId="17C199A2">
      <w:pPr>
        <w:jc w:val="center"/>
        <w:rPr>
          <w:rFonts w:hint="eastAsia"/>
          <w:b/>
          <w:bCs/>
          <w:color w:val="auto"/>
          <w:sz w:val="28"/>
          <w:szCs w:val="28"/>
          <w:highlight w:val="none"/>
        </w:rPr>
      </w:pPr>
    </w:p>
    <w:p w14:paraId="2FF53B15">
      <w:pPr>
        <w:snapToGrid w:val="0"/>
        <w:spacing w:line="560" w:lineRule="exact"/>
        <w:ind w:firstLine="555"/>
        <w:rPr>
          <w:rFonts w:hint="eastAsia" w:ascii="宋体" w:hAnsi="宋体" w:cs="仿宋_GB2312"/>
          <w:color w:val="auto"/>
          <w:sz w:val="24"/>
          <w:highlight w:val="none"/>
          <w:lang w:eastAsia="zh-CN"/>
        </w:rPr>
      </w:pPr>
      <w:r>
        <w:rPr>
          <w:rFonts w:hint="eastAsia" w:ascii="宋体" w:hAnsi="宋体" w:cs="仿宋_GB2312"/>
          <w:color w:val="auto"/>
          <w:sz w:val="24"/>
          <w:highlight w:val="none"/>
        </w:rPr>
        <w:t>本公司（联合体）郑重声明，根据《政府采购促进中小 企业发展管理办法》（财库﹝2020﹞46 号）的规定，本公司 （联合体）参加</w:t>
      </w:r>
      <w:r>
        <w:rPr>
          <w:rFonts w:hint="eastAsia" w:ascii="宋体" w:hAnsi="宋体" w:cs="仿宋_GB2312"/>
          <w:color w:val="auto"/>
          <w:sz w:val="24"/>
          <w:highlight w:val="none"/>
          <w:u w:val="single"/>
        </w:rPr>
        <w:t>（单位名称）</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（项目名称）</w:t>
      </w:r>
      <w:r>
        <w:rPr>
          <w:rFonts w:hint="eastAsia" w:ascii="宋体" w:hAnsi="宋体" w:cs="仿宋_GB2312"/>
          <w:color w:val="auto"/>
          <w:sz w:val="24"/>
          <w:highlight w:val="none"/>
        </w:rPr>
        <w:t>采购活动，提供的货物全部由符合政策要求的中小企业制造。相关企业 （含联合体中的中小企业、签订分包意向协议的中小企业） 的具体情况如下：</w:t>
      </w:r>
      <w:r>
        <w:rPr>
          <w:rFonts w:hint="eastAsia" w:ascii="宋体" w:hAnsi="宋体" w:cs="仿宋_GB2312"/>
          <w:color w:val="auto"/>
          <w:sz w:val="24"/>
          <w:highlight w:val="none"/>
          <w:lang w:eastAsia="zh-CN"/>
        </w:rPr>
        <w:t xml:space="preserve"> </w:t>
      </w:r>
    </w:p>
    <w:p w14:paraId="2C8EBACF">
      <w:pPr>
        <w:snapToGrid w:val="0"/>
        <w:spacing w:line="560" w:lineRule="exact"/>
        <w:ind w:firstLine="873" w:firstLineChars="364"/>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（标的名称）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，属于（</w:t>
      </w:r>
      <w:r>
        <w:rPr>
          <w:rFonts w:hint="eastAsia" w:ascii="宋体" w:hAnsi="宋体" w:cs="仿宋_GB2312"/>
          <w:color w:val="auto"/>
          <w:sz w:val="24"/>
          <w:highlight w:val="none"/>
          <w:lang w:eastAsia="zh-CN"/>
        </w:rPr>
        <w:t>磋商文件</w:t>
      </w:r>
      <w:r>
        <w:rPr>
          <w:rFonts w:hint="eastAsia" w:ascii="宋体" w:hAnsi="宋体" w:cs="仿宋_GB2312"/>
          <w:color w:val="auto"/>
          <w:sz w:val="24"/>
          <w:highlight w:val="none"/>
        </w:rPr>
        <w:t>中明确的所属行业）</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行业；制造商为（企业名称）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，从业人员</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人，营业收入为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万元，资产总额为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万元属于（中型企业、小型企业、微型企业）；</w:t>
      </w:r>
    </w:p>
    <w:p w14:paraId="76CC1652">
      <w:pPr>
        <w:snapToGrid w:val="0"/>
        <w:spacing w:line="560" w:lineRule="exact"/>
        <w:ind w:firstLine="873" w:firstLineChars="364"/>
        <w:rPr>
          <w:rFonts w:ascii="宋体" w:hAnsi="宋体" w:cs="仿宋_GB2312"/>
          <w:color w:val="auto"/>
          <w:sz w:val="24"/>
          <w:highlight w:val="none"/>
        </w:rPr>
      </w:pP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（标的名称）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，属于（</w:t>
      </w:r>
      <w:r>
        <w:rPr>
          <w:rFonts w:hint="eastAsia" w:ascii="宋体" w:hAnsi="宋体" w:cs="仿宋_GB2312"/>
          <w:color w:val="auto"/>
          <w:sz w:val="24"/>
          <w:highlight w:val="none"/>
          <w:lang w:eastAsia="zh-CN"/>
        </w:rPr>
        <w:t>磋商文件</w:t>
      </w:r>
      <w:r>
        <w:rPr>
          <w:rFonts w:hint="eastAsia" w:ascii="宋体" w:hAnsi="宋体" w:cs="仿宋_GB2312"/>
          <w:color w:val="auto"/>
          <w:sz w:val="24"/>
          <w:highlight w:val="none"/>
        </w:rPr>
        <w:t>中明确的所属行业）</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行业；制造商为（企业名称）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，从业人员</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人，营业收入为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万元，资产总额为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万元属于（中型企业、小型企业、微型企业）；</w:t>
      </w:r>
      <w:r>
        <w:rPr>
          <w:rFonts w:hint="eastAsia" w:ascii="宋体" w:hAnsi="宋体" w:cs="仿宋_GB2312"/>
          <w:color w:val="auto"/>
          <w:sz w:val="24"/>
          <w:highlight w:val="none"/>
          <w:lang w:eastAsia="zh-CN"/>
        </w:rPr>
        <w:t xml:space="preserve"> </w:t>
      </w:r>
      <w:r>
        <w:rPr>
          <w:rFonts w:hint="eastAsia" w:ascii="宋体" w:hAnsi="宋体" w:cs="仿宋_GB2312"/>
          <w:color w:val="auto"/>
          <w:sz w:val="24"/>
          <w:highlight w:val="none"/>
        </w:rPr>
        <w:t>……</w:t>
      </w:r>
    </w:p>
    <w:p w14:paraId="284F7A6B">
      <w:pPr>
        <w:snapToGrid w:val="0"/>
        <w:spacing w:line="560" w:lineRule="exact"/>
        <w:ind w:firstLine="555"/>
        <w:rPr>
          <w:rFonts w:ascii="宋体" w:hAnsi="宋体" w:cs="仿宋_GB2312"/>
          <w:color w:val="auto"/>
          <w:sz w:val="24"/>
          <w:highlight w:val="none"/>
        </w:rPr>
      </w:pPr>
      <w:r>
        <w:rPr>
          <w:rFonts w:hint="eastAsia" w:ascii="宋体" w:hAnsi="宋体" w:cs="仿宋_GB2312"/>
          <w:color w:val="auto"/>
          <w:sz w:val="24"/>
          <w:highlight w:val="none"/>
        </w:rPr>
        <w:t>以上企业，不属于大企业的分支机构，不存在控股股东为大企业的情形，也不存在与大企业的负责人为同一人的情形。</w:t>
      </w:r>
    </w:p>
    <w:p w14:paraId="5791D186">
      <w:pPr>
        <w:widowControl/>
        <w:ind w:firstLine="720" w:firstLineChars="300"/>
        <w:jc w:val="left"/>
        <w:rPr>
          <w:rFonts w:hint="eastAsia" w:ascii="宋体" w:hAnsi="宋体" w:cs="仿宋_GB2312"/>
          <w:color w:val="auto"/>
          <w:sz w:val="24"/>
          <w:highlight w:val="none"/>
          <w:lang w:eastAsia="zh-CN"/>
        </w:rPr>
      </w:pPr>
      <w:r>
        <w:rPr>
          <w:rFonts w:hint="eastAsia" w:ascii="宋体" w:hAnsi="宋体" w:cs="仿宋_GB2312"/>
          <w:color w:val="auto"/>
          <w:sz w:val="24"/>
          <w:highlight w:val="none"/>
        </w:rPr>
        <w:t>本企业对上述声明内容的真实性负责。如有虚假，将依法承担相应责任。</w:t>
      </w:r>
      <w:r>
        <w:rPr>
          <w:rFonts w:hint="eastAsia" w:ascii="宋体" w:hAnsi="宋体" w:cs="仿宋_GB2312"/>
          <w:color w:val="auto"/>
          <w:sz w:val="24"/>
          <w:highlight w:val="none"/>
          <w:lang w:eastAsia="zh-CN"/>
        </w:rPr>
        <w:t xml:space="preserve"> </w:t>
      </w:r>
    </w:p>
    <w:p w14:paraId="67B509E4">
      <w:pPr>
        <w:pStyle w:val="47"/>
        <w:rPr>
          <w:rFonts w:hint="eastAsia"/>
          <w:color w:val="auto"/>
          <w:highlight w:val="none"/>
          <w:lang w:eastAsia="zh-CN"/>
        </w:rPr>
      </w:pPr>
    </w:p>
    <w:p w14:paraId="25223501">
      <w:pPr>
        <w:widowControl/>
        <w:ind w:firstLine="720" w:firstLineChars="300"/>
        <w:jc w:val="right"/>
        <w:rPr>
          <w:rFonts w:hint="eastAsia" w:ascii="宋体" w:hAnsi="宋体" w:cs="仿宋_GB2312"/>
          <w:color w:val="auto"/>
          <w:sz w:val="24"/>
          <w:highlight w:val="none"/>
          <w:lang w:eastAsia="zh-CN"/>
        </w:rPr>
      </w:pPr>
      <w:r>
        <w:rPr>
          <w:rFonts w:hint="eastAsia" w:ascii="宋体" w:hAnsi="宋体" w:cs="仿宋_GB2312"/>
          <w:color w:val="auto"/>
          <w:sz w:val="24"/>
          <w:highlight w:val="none"/>
        </w:rPr>
        <w:t>企业名称（盖章）：</w:t>
      </w:r>
      <w:r>
        <w:rPr>
          <w:rFonts w:hint="eastAsia" w:ascii="宋体" w:hAnsi="宋体" w:cs="仿宋_GB2312"/>
          <w:color w:val="auto"/>
          <w:sz w:val="24"/>
          <w:highlight w:val="none"/>
          <w:lang w:eastAsia="zh-CN"/>
        </w:rPr>
        <w:t xml:space="preserve"> </w:t>
      </w:r>
    </w:p>
    <w:p w14:paraId="2C03E90A">
      <w:pPr>
        <w:widowControl/>
        <w:ind w:firstLine="720" w:firstLineChars="300"/>
        <w:jc w:val="right"/>
        <w:rPr>
          <w:rFonts w:hint="eastAsia" w:ascii="宋体" w:hAnsi="宋体" w:eastAsia="宋体" w:cs="宋体"/>
          <w:color w:val="auto"/>
          <w:kern w:val="0"/>
          <w:sz w:val="18"/>
          <w:szCs w:val="18"/>
          <w:highlight w:val="none"/>
          <w:lang w:eastAsia="zh-CN"/>
        </w:rPr>
      </w:pPr>
      <w:r>
        <w:rPr>
          <w:rFonts w:hint="eastAsia" w:ascii="宋体" w:hAnsi="宋体" w:cs="仿宋_GB2312"/>
          <w:color w:val="auto"/>
          <w:sz w:val="24"/>
          <w:highlight w:val="none"/>
        </w:rPr>
        <w:t>日 期：</w:t>
      </w:r>
      <w:r>
        <w:rPr>
          <w:rFonts w:hint="eastAsia" w:ascii="宋体" w:hAnsi="宋体" w:cs="仿宋_GB2312"/>
          <w:color w:val="auto"/>
          <w:sz w:val="24"/>
          <w:highlight w:val="none"/>
          <w:lang w:eastAsia="zh-CN"/>
        </w:rPr>
        <w:t xml:space="preserve"> </w:t>
      </w:r>
    </w:p>
    <w:p w14:paraId="2CD22D2C">
      <w:pPr>
        <w:widowControl/>
        <w:ind w:firstLine="540" w:firstLineChars="300"/>
        <w:jc w:val="left"/>
        <w:rPr>
          <w:rFonts w:ascii="宋体" w:hAnsi="宋体" w:cs="宋体"/>
          <w:color w:val="auto"/>
          <w:kern w:val="0"/>
          <w:sz w:val="18"/>
          <w:szCs w:val="18"/>
          <w:highlight w:val="none"/>
        </w:rPr>
      </w:pPr>
    </w:p>
    <w:p w14:paraId="2C372090">
      <w:pPr>
        <w:widowControl/>
        <w:jc w:val="both"/>
        <w:rPr>
          <w:color w:val="auto"/>
          <w:highlight w:val="none"/>
        </w:rPr>
      </w:pPr>
      <w:r>
        <w:rPr>
          <w:rFonts w:hint="eastAsia" w:ascii="宋体" w:hAnsi="宋体" w:cs="宋体"/>
          <w:color w:val="auto"/>
          <w:kern w:val="0"/>
          <w:sz w:val="18"/>
          <w:szCs w:val="18"/>
          <w:highlight w:val="none"/>
        </w:rPr>
        <w:t>从业人员、营业收入、资产总额填报上一年度数据，无上一年度数据的新成立企业可不填报。</w:t>
      </w:r>
    </w:p>
    <w:p w14:paraId="5CF0FB0D">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6687A09D">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附件2、残疾人福利性单位声明函</w:t>
      </w:r>
    </w:p>
    <w:p w14:paraId="373398CF">
      <w:pPr>
        <w:pStyle w:val="47"/>
        <w:rPr>
          <w:rFonts w:hint="eastAsia" w:ascii="宋体" w:hAnsi="宋体" w:eastAsia="宋体" w:cs="宋体"/>
          <w:color w:val="auto"/>
          <w:sz w:val="28"/>
          <w:szCs w:val="28"/>
          <w:highlight w:val="none"/>
          <w:lang w:val="en-US" w:eastAsia="zh-CN"/>
        </w:rPr>
      </w:pPr>
    </w:p>
    <w:p w14:paraId="7C7F4288">
      <w:pPr>
        <w:pStyle w:val="6"/>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本单位郑重声明，根据《财政部 民政部 中国残疾人联合会关于促进残疾人就业政府采购 政策的通知》（财库〔2017〕 141 号）的规定，本单位为符合条件的残疾人福利性单位，且本 单位参加</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单位的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r>
        <w:rPr>
          <w:rFonts w:hint="eastAsia" w:ascii="宋体" w:hAnsi="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本单位对上述声明的真实性负责。如有虚假，将依法承担相应责任。</w:t>
      </w:r>
      <w:r>
        <w:rPr>
          <w:rFonts w:hint="eastAsia" w:ascii="宋体" w:hAnsi="宋体" w:cs="宋体"/>
          <w:color w:val="auto"/>
          <w:kern w:val="0"/>
          <w:sz w:val="24"/>
          <w:szCs w:val="24"/>
          <w:highlight w:val="none"/>
          <w:lang w:val="en-US" w:eastAsia="zh-CN" w:bidi="ar"/>
        </w:rPr>
        <w:t xml:space="preserve"> </w:t>
      </w:r>
    </w:p>
    <w:p w14:paraId="52126D87">
      <w:pPr>
        <w:snapToGrid w:val="0"/>
        <w:spacing w:line="560" w:lineRule="exact"/>
        <w:ind w:firstLine="4468" w:firstLineChars="1862"/>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（盖章）</w:t>
      </w:r>
    </w:p>
    <w:p w14:paraId="7537BD16">
      <w:pPr>
        <w:pStyle w:val="6"/>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w:t>
      </w:r>
      <w:r>
        <w:rPr>
          <w:rFonts w:hint="eastAsia" w:ascii="宋体" w:hAnsi="宋体" w:cs="宋体"/>
          <w:color w:val="auto"/>
          <w:sz w:val="24"/>
          <w:highlight w:val="none"/>
          <w:lang w:eastAsia="zh-CN"/>
        </w:rPr>
        <w:t xml:space="preserve"> </w:t>
      </w:r>
    </w:p>
    <w:p w14:paraId="2BFB65A9">
      <w:pPr>
        <w:pStyle w:val="48"/>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（提醒：如果供应商不是残疾人福利性单位，则不需要填写《残疾人福利性单位声明函》。否则，因此导致虚假投标的后果由供应商自行承担。）</w:t>
      </w:r>
      <w:r>
        <w:rPr>
          <w:rFonts w:hint="eastAsia" w:hAnsi="宋体" w:cs="宋体"/>
          <w:b/>
          <w:bCs/>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《财政部民政部中国残疾人联合会关于促进残疾人就业政府采购政策的通知》（财库（2017〔141〕号）的规定：</w:t>
      </w:r>
      <w:r>
        <w:rPr>
          <w:rFonts w:hint="eastAsia"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1.享受政府采购支持政策的残疾人福利性单位应当同时满足以下条件：</w:t>
      </w:r>
      <w:r>
        <w:rPr>
          <w:rFonts w:hint="eastAsia"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（1）安置的残疾人占本单位在职职工人数的比例不低于 25%（含 25%），并且安置的残疾人人数不 少于 10 人（含 10 人）；</w:t>
      </w:r>
      <w:r>
        <w:rPr>
          <w:rFonts w:hint="eastAsia"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（2）依法与安置的每位残疾人签订了一年以上（含一年）的劳动合同或服务协议；</w:t>
      </w:r>
      <w:r>
        <w:rPr>
          <w:rFonts w:hint="eastAsia"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（3）为安置的每位残疾人按月足额缴纳了基本养老保险、基本医疗保险、失业保险、工伤保险和生 育保险等社会保险费；</w:t>
      </w:r>
      <w:r>
        <w:rPr>
          <w:rFonts w:hint="eastAsia"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（4）通过银行等金融机构向安置的每位残疾人，按月支付了不低于单位所在区县适用的经省级人民 政府批准的月最低工资标准的工资；</w:t>
      </w:r>
      <w:r>
        <w:rPr>
          <w:rFonts w:hint="eastAsia"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（5）提供本单位制造的货物、承担的工程或者服务（以下简称产品），或者提供其他残疾人福利性 单位制造的货物（不包括使用非残疾人福利性单位注册商标的货物）。</w:t>
      </w:r>
      <w:r>
        <w:rPr>
          <w:rFonts w:hint="eastAsia"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2.中标人为残疾人福利性单位的，采购人或者其委托的采购代理机构应当随中标、中标结果同时公告其《残疾人福利性单位声明函》，接受社会监督。</w:t>
      </w:r>
    </w:p>
    <w:p w14:paraId="04F258D8">
      <w:pPr>
        <w:pStyle w:val="21"/>
        <w:rPr>
          <w:rFonts w:hint="eastAsia" w:ascii="宋体" w:hAnsi="宋体" w:eastAsia="宋体" w:cs="宋体"/>
          <w:color w:val="auto"/>
          <w:highlight w:val="none"/>
        </w:rPr>
      </w:pPr>
    </w:p>
    <w:p w14:paraId="2EAD72F2">
      <w:pPr>
        <w:pStyle w:val="50"/>
        <w:ind w:firstLine="3092" w:firstLineChars="11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附件3、监狱企业</w:t>
      </w:r>
    </w:p>
    <w:p w14:paraId="67101825">
      <w:pPr>
        <w:pStyle w:val="50"/>
        <w:ind w:firstLine="2811" w:firstLineChars="1000"/>
        <w:rPr>
          <w:rFonts w:hint="eastAsia" w:ascii="宋体" w:hAnsi="宋体" w:eastAsia="宋体" w:cs="宋体"/>
          <w:b/>
          <w:bCs/>
          <w:color w:val="auto"/>
          <w:sz w:val="28"/>
          <w:szCs w:val="28"/>
          <w:highlight w:val="none"/>
          <w:lang w:val="en-US" w:eastAsia="zh-CN"/>
        </w:rPr>
      </w:pPr>
    </w:p>
    <w:p w14:paraId="2CC0198D">
      <w:pPr>
        <w:pStyle w:val="50"/>
        <w:spacing w:line="360" w:lineRule="auto"/>
        <w:ind w:firstLine="480" w:firstLineChars="200"/>
        <w:rPr>
          <w:rFonts w:hint="eastAsia" w:ascii="宋体" w:hAnsi="宋体" w:eastAsia="宋体" w:cs="宋体"/>
          <w:b/>
          <w:bCs/>
          <w:color w:val="auto"/>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监狱企业参加政府采购活动时,应当提供由省级以上监狱管理局</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戒毒管理局(含新疆生产建设兵团)出具的属于监狱企业的证明文件,材料不全的不予折扣。经</w:t>
      </w:r>
      <w:r>
        <w:rPr>
          <w:rFonts w:hint="eastAsia" w:ascii="宋体" w:hAnsi="宋体" w:eastAsia="宋体" w:cs="宋体"/>
          <w:i w:val="0"/>
          <w:iCs w:val="0"/>
          <w:caps w:val="0"/>
          <w:color w:val="auto"/>
          <w:spacing w:val="0"/>
          <w:sz w:val="24"/>
          <w:szCs w:val="24"/>
          <w:highlight w:val="none"/>
          <w:shd w:val="clear" w:fill="FFFFFF"/>
          <w:lang w:eastAsia="zh-CN"/>
        </w:rPr>
        <w:t>评委会</w:t>
      </w:r>
      <w:r>
        <w:rPr>
          <w:rFonts w:hint="eastAsia" w:ascii="宋体" w:hAnsi="宋体" w:eastAsia="宋体" w:cs="宋体"/>
          <w:i w:val="0"/>
          <w:iCs w:val="0"/>
          <w:caps w:val="0"/>
          <w:color w:val="auto"/>
          <w:spacing w:val="0"/>
          <w:sz w:val="24"/>
          <w:szCs w:val="24"/>
          <w:highlight w:val="none"/>
          <w:shd w:val="clear" w:fill="FFFFFF"/>
        </w:rPr>
        <w:t>审核确认投标供应商属于监狱企业的,在评</w:t>
      </w:r>
      <w:r>
        <w:rPr>
          <w:rFonts w:hint="eastAsia" w:ascii="宋体" w:hAnsi="宋体" w:eastAsia="宋体" w:cs="宋体"/>
          <w:i w:val="0"/>
          <w:iCs w:val="0"/>
          <w:caps w:val="0"/>
          <w:color w:val="auto"/>
          <w:spacing w:val="0"/>
          <w:sz w:val="24"/>
          <w:szCs w:val="24"/>
          <w:highlight w:val="none"/>
          <w:shd w:val="clear" w:fill="FFFFFF"/>
          <w:lang w:eastAsia="zh-CN"/>
        </w:rPr>
        <w:t>审</w:t>
      </w:r>
      <w:r>
        <w:rPr>
          <w:rFonts w:hint="eastAsia" w:ascii="宋体" w:hAnsi="宋体" w:eastAsia="宋体" w:cs="宋体"/>
          <w:i w:val="0"/>
          <w:iCs w:val="0"/>
          <w:caps w:val="0"/>
          <w:color w:val="auto"/>
          <w:spacing w:val="0"/>
          <w:sz w:val="24"/>
          <w:szCs w:val="24"/>
          <w:highlight w:val="none"/>
          <w:shd w:val="clear" w:fill="FFFFFF"/>
        </w:rPr>
        <w:t>时视同小</w:t>
      </w:r>
      <w:r>
        <w:rPr>
          <w:rFonts w:hint="eastAsia" w:ascii="宋体" w:hAnsi="宋体" w:eastAsia="宋体" w:cs="宋体"/>
          <w:i w:val="0"/>
          <w:iCs w:val="0"/>
          <w:caps w:val="0"/>
          <w:color w:val="auto"/>
          <w:spacing w:val="0"/>
          <w:sz w:val="24"/>
          <w:szCs w:val="24"/>
          <w:highlight w:val="none"/>
          <w:shd w:val="clear" w:fill="FFFFFF"/>
          <w:lang w:eastAsia="zh-CN"/>
        </w:rPr>
        <w:t>微</w:t>
      </w:r>
      <w:r>
        <w:rPr>
          <w:rFonts w:hint="eastAsia" w:ascii="宋体" w:hAnsi="宋体" w:eastAsia="宋体" w:cs="宋体"/>
          <w:i w:val="0"/>
          <w:iCs w:val="0"/>
          <w:caps w:val="0"/>
          <w:color w:val="auto"/>
          <w:spacing w:val="0"/>
          <w:sz w:val="24"/>
          <w:szCs w:val="24"/>
          <w:highlight w:val="none"/>
          <w:shd w:val="clear" w:fill="FFFFFF"/>
        </w:rPr>
        <w:t>企业。</w:t>
      </w:r>
      <w:r>
        <w:rPr>
          <w:rFonts w:hint="eastAsia" w:ascii="宋体" w:hAnsi="宋体" w:eastAsia="宋体" w:cs="宋体"/>
          <w:i w:val="0"/>
          <w:iCs w:val="0"/>
          <w:caps w:val="0"/>
          <w:color w:val="auto"/>
          <w:spacing w:val="0"/>
          <w:sz w:val="24"/>
          <w:szCs w:val="24"/>
          <w:highlight w:val="none"/>
          <w:shd w:val="clear" w:fill="FFFFFF"/>
          <w:lang w:eastAsia="zh-CN"/>
        </w:rPr>
        <w:t>不是监狱企业的，不用提供。</w:t>
      </w:r>
    </w:p>
    <w:p w14:paraId="0152F411">
      <w:pPr>
        <w:pageBreakBefore w:val="0"/>
        <w:overflowPunct/>
        <w:topLinePunct w:val="0"/>
        <w:bidi w:val="0"/>
        <w:adjustRightInd/>
        <w:snapToGrid/>
        <w:spacing w:line="360" w:lineRule="auto"/>
        <w:ind w:left="210" w:leftChars="10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附件4、《关于符合本国产品标准的声明函》或</w:t>
      </w:r>
    </w:p>
    <w:p w14:paraId="0C9880FC">
      <w:pPr>
        <w:pageBreakBefore w:val="0"/>
        <w:overflowPunct/>
        <w:topLinePunct w:val="0"/>
        <w:bidi w:val="0"/>
        <w:adjustRightInd/>
        <w:snapToGrid/>
        <w:spacing w:line="360" w:lineRule="auto"/>
        <w:ind w:left="210" w:leftChars="100"/>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财政部会同有关部门规定的有关证明文件</w:t>
      </w:r>
    </w:p>
    <w:p w14:paraId="1F1F5A9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center"/>
        <w:rPr>
          <w:rStyle w:val="34"/>
          <w:rFonts w:hint="eastAsia" w:ascii="宋体" w:hAnsi="宋体" w:eastAsia="宋体" w:cs="宋体"/>
          <w:b/>
          <w:bCs/>
          <w:i w:val="0"/>
          <w:iCs w:val="0"/>
          <w:caps w:val="0"/>
          <w:color w:val="auto"/>
          <w:spacing w:val="0"/>
          <w:sz w:val="28"/>
          <w:szCs w:val="28"/>
          <w:highlight w:val="none"/>
          <w:shd w:val="clear" w:fill="FFFFFF"/>
        </w:rPr>
      </w:pPr>
    </w:p>
    <w:p w14:paraId="4217851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center"/>
        <w:rPr>
          <w:rFonts w:hint="eastAsia" w:ascii="宋体" w:hAnsi="宋体" w:eastAsia="宋体" w:cs="宋体"/>
          <w:i w:val="0"/>
          <w:iCs w:val="0"/>
          <w:caps w:val="0"/>
          <w:color w:val="auto"/>
          <w:spacing w:val="0"/>
          <w:sz w:val="36"/>
          <w:szCs w:val="36"/>
          <w:highlight w:val="none"/>
        </w:rPr>
      </w:pPr>
      <w:r>
        <w:rPr>
          <w:rStyle w:val="34"/>
          <w:rFonts w:hint="eastAsia" w:ascii="宋体" w:hAnsi="宋体" w:eastAsia="宋体" w:cs="宋体"/>
          <w:b/>
          <w:bCs/>
          <w:i w:val="0"/>
          <w:iCs w:val="0"/>
          <w:caps w:val="0"/>
          <w:color w:val="auto"/>
          <w:spacing w:val="0"/>
          <w:sz w:val="28"/>
          <w:szCs w:val="28"/>
          <w:highlight w:val="none"/>
          <w:shd w:val="clear" w:fill="FFFFFF"/>
        </w:rPr>
        <w:t>关于符合本国产品标准的声明函</w:t>
      </w:r>
    </w:p>
    <w:p w14:paraId="2B65326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08468B8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w:t>
      </w:r>
      <w:r>
        <w:rPr>
          <w:rStyle w:val="37"/>
          <w:rFonts w:hint="eastAsia" w:ascii="宋体" w:hAnsi="宋体" w:eastAsia="宋体" w:cs="宋体"/>
          <w:i w:val="0"/>
          <w:iCs w:val="0"/>
          <w:caps w:val="0"/>
          <w:color w:val="auto"/>
          <w:spacing w:val="0"/>
          <w:sz w:val="24"/>
          <w:szCs w:val="24"/>
          <w:highlight w:val="none"/>
          <w:u w:val="single"/>
          <w:shd w:val="clear" w:fill="FFFFFF"/>
        </w:rPr>
        <w:t>（产品名称1）</w:t>
      </w:r>
      <w:r>
        <w:rPr>
          <w:rStyle w:val="37"/>
          <w:rFonts w:hint="eastAsia" w:ascii="宋体" w:hAnsi="宋体" w:eastAsia="宋体" w:cs="宋体"/>
          <w:i w:val="0"/>
          <w:iCs w:val="0"/>
          <w:caps w:val="0"/>
          <w:color w:val="auto"/>
          <w:spacing w:val="0"/>
          <w:sz w:val="24"/>
          <w:szCs w:val="24"/>
          <w:highlight w:val="none"/>
          <w:u w:val="none"/>
          <w:shd w:val="clear" w:fill="FFFFFF"/>
          <w:vertAlign w:val="superscript"/>
        </w:rPr>
        <w:t>1</w:t>
      </w:r>
      <w:r>
        <w:rPr>
          <w:rFonts w:hint="eastAsia" w:ascii="宋体" w:hAnsi="宋体" w:eastAsia="宋体" w:cs="宋体"/>
          <w:i w:val="0"/>
          <w:iCs w:val="0"/>
          <w:caps w:val="0"/>
          <w:color w:val="auto"/>
          <w:spacing w:val="0"/>
          <w:sz w:val="24"/>
          <w:szCs w:val="24"/>
          <w:highlight w:val="none"/>
          <w:shd w:val="clear" w:fill="FFFFFF"/>
        </w:rPr>
        <w:t>，生产厂为</w:t>
      </w:r>
      <w:r>
        <w:rPr>
          <w:rStyle w:val="37"/>
          <w:rFonts w:hint="eastAsia" w:ascii="宋体" w:hAnsi="宋体" w:eastAsia="宋体" w:cs="宋体"/>
          <w:i w:val="0"/>
          <w:iCs w:val="0"/>
          <w:caps w:val="0"/>
          <w:color w:val="auto"/>
          <w:spacing w:val="0"/>
          <w:sz w:val="24"/>
          <w:szCs w:val="24"/>
          <w:highlight w:val="none"/>
          <w:u w:val="single"/>
          <w:shd w:val="clear" w:fill="FFFFFF"/>
        </w:rPr>
        <w:t>（厂名）</w:t>
      </w:r>
      <w:r>
        <w:rPr>
          <w:rStyle w:val="37"/>
          <w:rFonts w:hint="eastAsia" w:ascii="宋体" w:hAnsi="宋体" w:eastAsia="宋体" w:cs="宋体"/>
          <w:i w:val="0"/>
          <w:iCs w:val="0"/>
          <w:caps w:val="0"/>
          <w:color w:val="auto"/>
          <w:spacing w:val="0"/>
          <w:sz w:val="24"/>
          <w:szCs w:val="24"/>
          <w:highlight w:val="none"/>
          <w:u w:val="none"/>
          <w:shd w:val="clear" w:fill="FFFFFF"/>
          <w:vertAlign w:val="superscript"/>
        </w:rPr>
        <w:t>2</w:t>
      </w:r>
      <w:r>
        <w:rPr>
          <w:rFonts w:hint="eastAsia" w:ascii="宋体" w:hAnsi="宋体" w:eastAsia="宋体" w:cs="宋体"/>
          <w:i w:val="0"/>
          <w:iCs w:val="0"/>
          <w:caps w:val="0"/>
          <w:color w:val="auto"/>
          <w:spacing w:val="0"/>
          <w:sz w:val="24"/>
          <w:szCs w:val="24"/>
          <w:highlight w:val="none"/>
          <w:shd w:val="clear" w:fill="FFFFFF"/>
        </w:rPr>
        <w:t>，厂址为</w:t>
      </w:r>
      <w:r>
        <w:rPr>
          <w:rStyle w:val="37"/>
          <w:rFonts w:hint="eastAsia" w:ascii="宋体" w:hAnsi="宋体" w:eastAsia="宋体" w:cs="宋体"/>
          <w:i w:val="0"/>
          <w:iCs w:val="0"/>
          <w:caps w:val="0"/>
          <w:color w:val="auto"/>
          <w:spacing w:val="0"/>
          <w:sz w:val="24"/>
          <w:szCs w:val="24"/>
          <w:highlight w:val="none"/>
          <w:u w:val="singl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37"/>
          <w:rFonts w:hint="eastAsia" w:ascii="宋体" w:hAnsi="宋体" w:eastAsia="宋体" w:cs="宋体"/>
          <w:i w:val="0"/>
          <w:iCs w:val="0"/>
          <w:caps w:val="0"/>
          <w:color w:val="auto"/>
          <w:spacing w:val="0"/>
          <w:sz w:val="24"/>
          <w:szCs w:val="24"/>
          <w:highlight w:val="none"/>
          <w:u w:val="singl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37"/>
          <w:rFonts w:hint="eastAsia" w:ascii="宋体" w:hAnsi="宋体" w:eastAsia="宋体" w:cs="宋体"/>
          <w:i w:val="0"/>
          <w:iCs w:val="0"/>
          <w:caps w:val="0"/>
          <w:color w:val="auto"/>
          <w:spacing w:val="0"/>
          <w:sz w:val="24"/>
          <w:szCs w:val="24"/>
          <w:highlight w:val="none"/>
          <w:u w:val="single"/>
          <w:shd w:val="clear" w:fill="FFFFFF"/>
        </w:rPr>
        <w:t>（规定比例）</w:t>
      </w:r>
      <w:r>
        <w:rPr>
          <w:rStyle w:val="37"/>
          <w:rFonts w:hint="eastAsia" w:ascii="宋体" w:hAnsi="宋体" w:eastAsia="宋体" w:cs="宋体"/>
          <w:i w:val="0"/>
          <w:iCs w:val="0"/>
          <w:caps w:val="0"/>
          <w:color w:val="auto"/>
          <w:spacing w:val="0"/>
          <w:sz w:val="24"/>
          <w:szCs w:val="24"/>
          <w:highlight w:val="none"/>
          <w:u w:val="none"/>
          <w:shd w:val="clear" w:fill="FFFFFF"/>
          <w:vertAlign w:val="superscript"/>
        </w:rPr>
        <w:t>3</w:t>
      </w:r>
      <w:r>
        <w:rPr>
          <w:rFonts w:hint="eastAsia" w:ascii="宋体" w:hAnsi="宋体" w:eastAsia="宋体" w:cs="宋体"/>
          <w:i w:val="0"/>
          <w:iCs w:val="0"/>
          <w:caps w:val="0"/>
          <w:color w:val="auto"/>
          <w:spacing w:val="0"/>
          <w:sz w:val="24"/>
          <w:szCs w:val="24"/>
          <w:highlight w:val="none"/>
          <w:shd w:val="clear" w:fill="FFFFFF"/>
        </w:rPr>
        <w:t>。</w:t>
      </w:r>
      <w:r>
        <w:rPr>
          <w:rStyle w:val="37"/>
          <w:rFonts w:hint="eastAsia" w:ascii="宋体" w:hAnsi="宋体" w:eastAsia="宋体" w:cs="宋体"/>
          <w:i w:val="0"/>
          <w:iCs w:val="0"/>
          <w:caps w:val="0"/>
          <w:color w:val="auto"/>
          <w:spacing w:val="0"/>
          <w:sz w:val="24"/>
          <w:szCs w:val="24"/>
          <w:highlight w:val="none"/>
          <w:u w:val="singl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37"/>
          <w:rFonts w:hint="eastAsia" w:ascii="宋体" w:hAnsi="宋体" w:eastAsia="宋体" w:cs="宋体"/>
          <w:i w:val="0"/>
          <w:iCs w:val="0"/>
          <w:caps w:val="0"/>
          <w:color w:val="auto"/>
          <w:spacing w:val="0"/>
          <w:sz w:val="24"/>
          <w:szCs w:val="24"/>
          <w:highlight w:val="none"/>
          <w:u w:val="single"/>
          <w:shd w:val="clear" w:fill="FFFFFF"/>
        </w:rPr>
        <w:t>（关键组件）</w:t>
      </w:r>
      <w:r>
        <w:rPr>
          <w:rStyle w:val="37"/>
          <w:rFonts w:hint="eastAsia" w:ascii="宋体" w:hAnsi="宋体" w:eastAsia="宋体" w:cs="宋体"/>
          <w:i w:val="0"/>
          <w:iCs w:val="0"/>
          <w:caps w:val="0"/>
          <w:color w:val="auto"/>
          <w:spacing w:val="0"/>
          <w:sz w:val="24"/>
          <w:szCs w:val="24"/>
          <w:highlight w:val="none"/>
          <w:u w:val="none"/>
          <w:shd w:val="clear" w:fill="FFFFFF"/>
          <w:vertAlign w:val="superscript"/>
        </w:rPr>
        <w:t>4</w:t>
      </w:r>
      <w:r>
        <w:rPr>
          <w:rFonts w:hint="eastAsia" w:ascii="宋体" w:hAnsi="宋体" w:eastAsia="宋体" w:cs="宋体"/>
          <w:i w:val="0"/>
          <w:iCs w:val="0"/>
          <w:caps w:val="0"/>
          <w:color w:val="auto"/>
          <w:spacing w:val="0"/>
          <w:sz w:val="24"/>
          <w:szCs w:val="24"/>
          <w:highlight w:val="none"/>
          <w:shd w:val="clear" w:fill="FFFFFF"/>
        </w:rPr>
        <w:t>在中国境内生产。</w:t>
      </w:r>
      <w:r>
        <w:rPr>
          <w:rStyle w:val="37"/>
          <w:rFonts w:hint="eastAsia" w:ascii="宋体" w:hAnsi="宋体" w:eastAsia="宋体" w:cs="宋体"/>
          <w:i w:val="0"/>
          <w:iCs w:val="0"/>
          <w:caps w:val="0"/>
          <w:color w:val="auto"/>
          <w:spacing w:val="0"/>
          <w:sz w:val="24"/>
          <w:szCs w:val="24"/>
          <w:highlight w:val="none"/>
          <w:u w:val="singl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37"/>
          <w:rFonts w:hint="eastAsia" w:ascii="宋体" w:hAnsi="宋体" w:eastAsia="宋体" w:cs="宋体"/>
          <w:i w:val="0"/>
          <w:iCs w:val="0"/>
          <w:caps w:val="0"/>
          <w:color w:val="auto"/>
          <w:spacing w:val="0"/>
          <w:sz w:val="24"/>
          <w:szCs w:val="24"/>
          <w:highlight w:val="none"/>
          <w:u w:val="single"/>
          <w:shd w:val="clear" w:fill="FFFFFF"/>
        </w:rPr>
        <w:t>（关键工序）</w:t>
      </w:r>
      <w:r>
        <w:rPr>
          <w:rStyle w:val="37"/>
          <w:rFonts w:hint="eastAsia" w:ascii="宋体" w:hAnsi="宋体" w:eastAsia="宋体" w:cs="宋体"/>
          <w:i w:val="0"/>
          <w:iCs w:val="0"/>
          <w:caps w:val="0"/>
          <w:color w:val="auto"/>
          <w:spacing w:val="0"/>
          <w:sz w:val="24"/>
          <w:szCs w:val="24"/>
          <w:highlight w:val="none"/>
          <w:u w:val="none"/>
          <w:shd w:val="clear" w:fill="FFFFFF"/>
          <w:vertAlign w:val="superscript"/>
        </w:rPr>
        <w:t>5</w:t>
      </w:r>
      <w:r>
        <w:rPr>
          <w:rFonts w:hint="eastAsia" w:ascii="宋体" w:hAnsi="宋体" w:eastAsia="宋体" w:cs="宋体"/>
          <w:i w:val="0"/>
          <w:iCs w:val="0"/>
          <w:caps w:val="0"/>
          <w:color w:val="auto"/>
          <w:spacing w:val="0"/>
          <w:sz w:val="24"/>
          <w:szCs w:val="24"/>
          <w:highlight w:val="none"/>
          <w:shd w:val="clear" w:fill="FFFFFF"/>
        </w:rPr>
        <w:t>在中国境内完成。</w:t>
      </w:r>
    </w:p>
    <w:p w14:paraId="03863F7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w:t>
      </w:r>
      <w:r>
        <w:rPr>
          <w:rStyle w:val="37"/>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，生产厂为</w:t>
      </w:r>
      <w:r>
        <w:rPr>
          <w:rStyle w:val="37"/>
          <w:rFonts w:hint="eastAsia" w:ascii="宋体" w:hAnsi="宋体" w:eastAsia="宋体" w:cs="宋体"/>
          <w:i w:val="0"/>
          <w:iCs w:val="0"/>
          <w:caps w:val="0"/>
          <w:color w:val="auto"/>
          <w:spacing w:val="0"/>
          <w:sz w:val="24"/>
          <w:szCs w:val="24"/>
          <w:highlight w:val="none"/>
          <w:u w:val="single"/>
          <w:shd w:val="clear" w:fill="FFFFFF"/>
        </w:rPr>
        <w:t>（厂名）</w:t>
      </w:r>
      <w:r>
        <w:rPr>
          <w:rFonts w:hint="eastAsia" w:ascii="宋体" w:hAnsi="宋体" w:eastAsia="宋体" w:cs="宋体"/>
          <w:i w:val="0"/>
          <w:iCs w:val="0"/>
          <w:caps w:val="0"/>
          <w:color w:val="auto"/>
          <w:spacing w:val="0"/>
          <w:sz w:val="24"/>
          <w:szCs w:val="24"/>
          <w:highlight w:val="none"/>
          <w:shd w:val="clear" w:fill="FFFFFF"/>
        </w:rPr>
        <w:t>，厂址为</w:t>
      </w:r>
      <w:r>
        <w:rPr>
          <w:rStyle w:val="37"/>
          <w:rFonts w:hint="eastAsia" w:ascii="宋体" w:hAnsi="宋体" w:eastAsia="宋体" w:cs="宋体"/>
          <w:i w:val="0"/>
          <w:iCs w:val="0"/>
          <w:caps w:val="0"/>
          <w:color w:val="auto"/>
          <w:spacing w:val="0"/>
          <w:sz w:val="24"/>
          <w:szCs w:val="24"/>
          <w:highlight w:val="none"/>
          <w:u w:val="singl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37"/>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37"/>
          <w:rFonts w:hint="eastAsia" w:ascii="宋体" w:hAnsi="宋体" w:eastAsia="宋体" w:cs="宋体"/>
          <w:i w:val="0"/>
          <w:iCs w:val="0"/>
          <w:caps w:val="0"/>
          <w:color w:val="auto"/>
          <w:spacing w:val="0"/>
          <w:sz w:val="24"/>
          <w:szCs w:val="24"/>
          <w:highlight w:val="none"/>
          <w:u w:val="single"/>
          <w:shd w:val="clear" w:fill="FFFFFF"/>
        </w:rPr>
        <w:t>（规定比例）</w:t>
      </w:r>
      <w:r>
        <w:rPr>
          <w:rFonts w:hint="eastAsia" w:ascii="宋体" w:hAnsi="宋体" w:eastAsia="宋体" w:cs="宋体"/>
          <w:i w:val="0"/>
          <w:iCs w:val="0"/>
          <w:caps w:val="0"/>
          <w:color w:val="auto"/>
          <w:spacing w:val="0"/>
          <w:sz w:val="24"/>
          <w:szCs w:val="24"/>
          <w:highlight w:val="none"/>
          <w:shd w:val="clear" w:fill="FFFFFF"/>
        </w:rPr>
        <w:t>。</w:t>
      </w:r>
      <w:r>
        <w:rPr>
          <w:rStyle w:val="37"/>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37"/>
          <w:rFonts w:hint="eastAsia" w:ascii="宋体" w:hAnsi="宋体" w:eastAsia="宋体" w:cs="宋体"/>
          <w:i w:val="0"/>
          <w:iCs w:val="0"/>
          <w:caps w:val="0"/>
          <w:color w:val="auto"/>
          <w:spacing w:val="0"/>
          <w:sz w:val="24"/>
          <w:szCs w:val="24"/>
          <w:highlight w:val="none"/>
          <w:u w:val="single"/>
          <w:shd w:val="clear" w:fill="FFFFFF"/>
        </w:rPr>
        <w:t>（关键组件）</w:t>
      </w:r>
      <w:r>
        <w:rPr>
          <w:rFonts w:hint="eastAsia" w:ascii="宋体" w:hAnsi="宋体" w:eastAsia="宋体" w:cs="宋体"/>
          <w:i w:val="0"/>
          <w:iCs w:val="0"/>
          <w:caps w:val="0"/>
          <w:color w:val="auto"/>
          <w:spacing w:val="0"/>
          <w:sz w:val="24"/>
          <w:szCs w:val="24"/>
          <w:highlight w:val="none"/>
          <w:shd w:val="clear" w:fill="FFFFFF"/>
        </w:rPr>
        <w:t>在中国境内生产。</w:t>
      </w:r>
      <w:r>
        <w:rPr>
          <w:rStyle w:val="37"/>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37"/>
          <w:rFonts w:hint="eastAsia" w:ascii="宋体" w:hAnsi="宋体" w:eastAsia="宋体" w:cs="宋体"/>
          <w:i w:val="0"/>
          <w:iCs w:val="0"/>
          <w:caps w:val="0"/>
          <w:color w:val="auto"/>
          <w:spacing w:val="0"/>
          <w:sz w:val="24"/>
          <w:szCs w:val="24"/>
          <w:highlight w:val="none"/>
          <w:u w:val="single"/>
          <w:shd w:val="clear" w:fill="FFFFFF"/>
        </w:rPr>
        <w:t>（关键工序）</w:t>
      </w:r>
      <w:r>
        <w:rPr>
          <w:rFonts w:hint="eastAsia" w:ascii="宋体" w:hAnsi="宋体" w:eastAsia="宋体" w:cs="宋体"/>
          <w:i w:val="0"/>
          <w:iCs w:val="0"/>
          <w:caps w:val="0"/>
          <w:color w:val="auto"/>
          <w:spacing w:val="0"/>
          <w:sz w:val="24"/>
          <w:szCs w:val="24"/>
          <w:highlight w:val="none"/>
          <w:shd w:val="clear" w:fill="FFFFFF"/>
        </w:rPr>
        <w:t>在中国境内完成。</w:t>
      </w:r>
    </w:p>
    <w:p w14:paraId="3085C6F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p>
    <w:p w14:paraId="36367BC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本公司（单位）对上述声明内容的真实性负责。如有虚假，愿承担相应法律责任。</w:t>
      </w:r>
    </w:p>
    <w:p w14:paraId="7735127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rPr>
          <w:rFonts w:hint="eastAsia" w:ascii="宋体" w:hAnsi="宋体" w:eastAsia="宋体" w:cs="宋体"/>
          <w:i w:val="0"/>
          <w:iCs w:val="0"/>
          <w:caps w:val="0"/>
          <w:color w:val="auto"/>
          <w:spacing w:val="0"/>
          <w:sz w:val="24"/>
          <w:szCs w:val="24"/>
          <w:highlight w:val="none"/>
        </w:rPr>
      </w:pPr>
    </w:p>
    <w:p w14:paraId="04FF220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公司（单位）名称（盖章）：　        </w:t>
      </w:r>
    </w:p>
    <w:p w14:paraId="2D19207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日期：　     年　  月　  日         </w:t>
      </w:r>
    </w:p>
    <w:p w14:paraId="0EBE0A9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shd w:val="clear" w:fill="FFFFFF"/>
        </w:rPr>
      </w:pPr>
    </w:p>
    <w:p w14:paraId="341E197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1.产品如有型号，请在“产品名称”栏一并填写。</w:t>
      </w:r>
    </w:p>
    <w:p w14:paraId="24047E4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2.生产厂名与厂址应与生产厂营业执照载明的相关信息保持一致。</w:t>
      </w:r>
    </w:p>
    <w:p w14:paraId="24E2953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3.该产品的中国境内生产的组件成本占比相关要求实施前，“规定比例”栏可不填，下同。</w:t>
      </w:r>
    </w:p>
    <w:p w14:paraId="6BC86A9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4.该产品的关键组件要求实施前，“关键组件”栏可不填，下同。</w:t>
      </w:r>
    </w:p>
    <w:p w14:paraId="25E1C36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5.该产品的关键工序要求实施前，“关键工序”栏可不填，下同。</w:t>
      </w:r>
    </w:p>
    <w:p w14:paraId="2843DA82">
      <w:pPr>
        <w:pStyle w:val="50"/>
        <w:jc w:val="center"/>
        <w:rPr>
          <w:rFonts w:hint="eastAsia" w:ascii="宋体" w:hAnsi="宋体" w:eastAsia="宋体" w:cs="宋体"/>
          <w:b/>
          <w:bCs/>
          <w:color w:val="auto"/>
          <w:sz w:val="28"/>
          <w:szCs w:val="28"/>
          <w:highlight w:val="none"/>
          <w:lang w:val="en-US" w:eastAsia="zh-CN"/>
        </w:rPr>
      </w:pPr>
    </w:p>
    <w:p w14:paraId="5F1FD859">
      <w:pPr>
        <w:pStyle w:val="50"/>
        <w:jc w:val="center"/>
        <w:rPr>
          <w:rFonts w:hint="eastAsia" w:ascii="宋体" w:hAnsi="宋体" w:eastAsia="宋体" w:cs="宋体"/>
          <w:b/>
          <w:bCs/>
          <w:color w:val="auto"/>
          <w:sz w:val="28"/>
          <w:szCs w:val="28"/>
          <w:highlight w:val="none"/>
          <w:lang w:val="en-US" w:eastAsia="zh-CN"/>
        </w:rPr>
      </w:pPr>
    </w:p>
    <w:p w14:paraId="0F4E6931">
      <w:pPr>
        <w:pStyle w:val="50"/>
        <w:jc w:val="center"/>
        <w:rPr>
          <w:rFonts w:hint="eastAsia" w:ascii="宋体" w:hAnsi="宋体" w:eastAsia="宋体" w:cs="宋体"/>
          <w:b/>
          <w:bCs/>
          <w:color w:val="auto"/>
          <w:sz w:val="28"/>
          <w:szCs w:val="28"/>
          <w:highlight w:val="none"/>
          <w:lang w:val="en-US" w:eastAsia="zh-CN"/>
        </w:rPr>
      </w:pPr>
    </w:p>
    <w:p w14:paraId="2CEE659F">
      <w:pPr>
        <w:pStyle w:val="5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、节能环保产品证明文件</w:t>
      </w:r>
    </w:p>
    <w:p w14:paraId="565E46DB">
      <w:pPr>
        <w:pStyle w:val="2"/>
        <w:spacing w:line="360" w:lineRule="auto"/>
        <w:ind w:leftChars="0" w:firstLineChars="0"/>
        <w:rPr>
          <w:rFonts w:hint="eastAsia" w:ascii="宋体" w:hAnsi="宋体" w:eastAsia="宋体" w:cs="宋体"/>
          <w:color w:val="auto"/>
          <w:highlight w:val="none"/>
        </w:rPr>
      </w:pPr>
    </w:p>
    <w:p w14:paraId="13F2A46D">
      <w:pPr>
        <w:adjustRightInd w:val="0"/>
        <w:snapToGrid w:val="0"/>
        <w:spacing w:line="360" w:lineRule="auto"/>
        <w:ind w:firstLine="480" w:firstLineChars="200"/>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国家确定的认证机构出具的、处于有效期之内的节能产品、环境标志产品认证证书。</w:t>
      </w:r>
      <w:r>
        <w:rPr>
          <w:rFonts w:hint="eastAsia" w:ascii="宋体" w:hAnsi="宋体" w:eastAsia="宋体" w:cs="宋体"/>
          <w:i w:val="0"/>
          <w:iCs w:val="0"/>
          <w:caps w:val="0"/>
          <w:color w:val="auto"/>
          <w:spacing w:val="0"/>
          <w:sz w:val="24"/>
          <w:szCs w:val="24"/>
          <w:highlight w:val="none"/>
          <w:shd w:val="clear" w:color="auto" w:fill="FFFFFF"/>
          <w:lang w:eastAsia="zh-CN"/>
        </w:rPr>
        <w:t>不是节能环保产品的，不用提供。</w:t>
      </w:r>
    </w:p>
    <w:p w14:paraId="36442F9D">
      <w:pPr>
        <w:pageBreakBefore w:val="0"/>
        <w:overflowPunct/>
        <w:topLinePunct w:val="0"/>
        <w:bidi w:val="0"/>
        <w:adjustRightInd/>
        <w:snapToGrid/>
        <w:spacing w:line="360" w:lineRule="auto"/>
        <w:ind w:left="210" w:leftChars="100"/>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附件</w:t>
      </w: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color w:val="auto"/>
          <w:kern w:val="2"/>
          <w:sz w:val="28"/>
          <w:szCs w:val="28"/>
          <w:highlight w:val="none"/>
          <w:lang w:val="en-US" w:eastAsia="zh-CN" w:bidi="ar-SA"/>
        </w:rPr>
        <w:t>反商业贿赂承诺书</w:t>
      </w:r>
    </w:p>
    <w:p w14:paraId="29CC021C">
      <w:pPr>
        <w:pageBreakBefore w:val="0"/>
        <w:overflowPunct/>
        <w:topLinePunct w:val="0"/>
        <w:bidi w:val="0"/>
        <w:adjustRightInd/>
        <w:snapToGrid/>
        <w:spacing w:line="360" w:lineRule="auto"/>
        <w:ind w:left="210" w:left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p w14:paraId="123341BA">
      <w:pPr>
        <w:pageBreakBefore w:val="0"/>
        <w:overflowPunct/>
        <w:topLinePunct w:val="0"/>
        <w:bidi w:val="0"/>
        <w:adjustRightInd/>
        <w:snapToGrid/>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w:t>
      </w:r>
    </w:p>
    <w:p w14:paraId="77514582">
      <w:pPr>
        <w:pStyle w:val="6"/>
        <w:rPr>
          <w:rFonts w:hint="eastAsia" w:ascii="宋体" w:hAnsi="宋体" w:eastAsia="宋体" w:cs="宋体"/>
          <w:color w:val="auto"/>
          <w:highlight w:val="none"/>
        </w:rPr>
      </w:pPr>
    </w:p>
    <w:p w14:paraId="6CBCD7EF">
      <w:pPr>
        <w:pageBreakBefore w:val="0"/>
        <w:overflowPunct/>
        <w:topLinePunct w:val="0"/>
        <w:autoSpaceDE w:val="0"/>
        <w:autoSpaceDN w:val="0"/>
        <w:bidi w:val="0"/>
        <w:adjustRightInd/>
        <w:snapToGrid/>
        <w:spacing w:line="360" w:lineRule="auto"/>
        <w:ind w:left="210" w:leftChars="100"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u w:val="single"/>
        </w:rPr>
        <w:t xml:space="preserve">                                   </w:t>
      </w:r>
      <w:r>
        <w:rPr>
          <w:rFonts w:hint="eastAsia" w:ascii="宋体" w:hAnsi="宋体" w:cs="宋体"/>
          <w:color w:val="auto"/>
          <w:spacing w:val="-2"/>
          <w:sz w:val="24"/>
          <w:szCs w:val="24"/>
          <w:highlight w:val="none"/>
          <w:lang w:eastAsia="zh-CN"/>
        </w:rPr>
        <w:t>磋商</w:t>
      </w:r>
      <w:r>
        <w:rPr>
          <w:rFonts w:hint="eastAsia" w:ascii="宋体" w:hAnsi="宋体" w:eastAsia="宋体" w:cs="宋体"/>
          <w:color w:val="auto"/>
          <w:spacing w:val="-2"/>
          <w:sz w:val="24"/>
          <w:szCs w:val="24"/>
          <w:highlight w:val="none"/>
        </w:rPr>
        <w:t>活动中，我公司保证做到：</w:t>
      </w:r>
    </w:p>
    <w:p w14:paraId="6C4B8AB5">
      <w:pPr>
        <w:pageBreakBefore w:val="0"/>
        <w:overflowPunct/>
        <w:topLinePunct w:val="0"/>
        <w:bidi w:val="0"/>
        <w:adjustRightInd/>
        <w:snapToGrid/>
        <w:spacing w:line="360" w:lineRule="auto"/>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一、公平竞争参加本次</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w:t>
      </w:r>
    </w:p>
    <w:p w14:paraId="574618FC">
      <w:pPr>
        <w:pageBreakBefore w:val="0"/>
        <w:overflowPunct/>
        <w:topLinePunct w:val="0"/>
        <w:bidi w:val="0"/>
        <w:adjustRightInd/>
        <w:snapToGrid/>
        <w:spacing w:line="360" w:lineRule="auto"/>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171D600">
      <w:pPr>
        <w:pageBreakBefore w:val="0"/>
        <w:overflowPunct/>
        <w:topLinePunct w:val="0"/>
        <w:bidi w:val="0"/>
        <w:adjustRightInd/>
        <w:snapToGrid/>
        <w:spacing w:line="360" w:lineRule="auto"/>
        <w:ind w:left="210" w:leftChars="10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三、若出现上述行为，我公司及参与投标的工作人员愿意接受按照国家法律法规等有关规定给予的处罚。 </w:t>
      </w:r>
    </w:p>
    <w:p w14:paraId="540F6034">
      <w:pPr>
        <w:pageBreakBefore w:val="0"/>
        <w:overflowPunct/>
        <w:topLinePunct w:val="0"/>
        <w:bidi w:val="0"/>
        <w:adjustRightInd/>
        <w:snapToGrid/>
        <w:spacing w:line="360" w:lineRule="auto"/>
        <w:ind w:left="210" w:leftChars="100" w:firstLine="3840" w:firstLineChars="1600"/>
        <w:rPr>
          <w:rFonts w:hint="eastAsia" w:ascii="宋体" w:hAnsi="宋体" w:eastAsia="宋体" w:cs="宋体"/>
          <w:color w:val="auto"/>
          <w:sz w:val="24"/>
          <w:szCs w:val="24"/>
          <w:highlight w:val="none"/>
        </w:rPr>
      </w:pPr>
    </w:p>
    <w:p w14:paraId="45453A9E">
      <w:pPr>
        <w:pageBreakBefore w:val="0"/>
        <w:overflowPunct/>
        <w:topLinePunct w:val="0"/>
        <w:bidi w:val="0"/>
        <w:adjustRightInd/>
        <w:snapToGrid/>
        <w:spacing w:line="360" w:lineRule="auto"/>
        <w:ind w:left="210" w:leftChars="100" w:firstLine="3840" w:firstLineChars="1600"/>
        <w:rPr>
          <w:rFonts w:hint="eastAsia" w:ascii="宋体" w:hAnsi="宋体" w:eastAsia="宋体" w:cs="宋体"/>
          <w:color w:val="auto"/>
          <w:sz w:val="24"/>
          <w:szCs w:val="24"/>
          <w:highlight w:val="none"/>
        </w:rPr>
      </w:pPr>
    </w:p>
    <w:p w14:paraId="410AA612">
      <w:pPr>
        <w:pStyle w:val="50"/>
        <w:ind w:firstLine="2811" w:firstLineChars="1000"/>
        <w:rPr>
          <w:rFonts w:hint="eastAsia" w:ascii="宋体" w:hAnsi="宋体" w:eastAsia="宋体" w:cs="宋体"/>
          <w:b/>
          <w:bCs/>
          <w:color w:val="auto"/>
          <w:sz w:val="28"/>
          <w:szCs w:val="28"/>
          <w:highlight w:val="none"/>
          <w:lang w:val="en-US" w:eastAsia="zh-CN"/>
        </w:rPr>
      </w:pPr>
    </w:p>
    <w:p w14:paraId="27A03A76">
      <w:pPr>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（盖章）</w:t>
      </w:r>
    </w:p>
    <w:p w14:paraId="44BF93DA">
      <w:pPr>
        <w:spacing w:line="360" w:lineRule="auto"/>
        <w:ind w:firstLine="4320" w:firstLineChars="1800"/>
        <w:jc w:val="right"/>
        <w:rPr>
          <w:rFonts w:hint="eastAsia" w:ascii="宋体" w:hAnsi="宋体" w:eastAsia="宋体" w:cs="宋体"/>
          <w:color w:val="auto"/>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（签字或盖章）</w:t>
      </w:r>
      <w:r>
        <w:rPr>
          <w:rFonts w:hint="eastAsia" w:ascii="宋体" w:hAnsi="宋体" w:eastAsia="宋体" w:cs="宋体"/>
          <w:color w:val="auto"/>
          <w:kern w:val="0"/>
          <w:sz w:val="24"/>
          <w:highlight w:val="none"/>
        </w:rPr>
        <w:t xml:space="preserve">                 </w:t>
      </w:r>
      <w:r>
        <w:rPr>
          <w:rFonts w:hint="eastAsia" w:ascii="宋体" w:hAnsi="宋体" w:cs="宋体"/>
          <w:color w:val="auto"/>
          <w:kern w:val="0"/>
          <w:sz w:val="24"/>
          <w:highlight w:val="none"/>
          <w:lang w:eastAsia="zh-CN"/>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54DFDB7F">
      <w:pPr>
        <w:pStyle w:val="50"/>
        <w:rPr>
          <w:rFonts w:hint="eastAsia" w:ascii="宋体" w:hAnsi="宋体" w:eastAsia="宋体" w:cs="宋体"/>
          <w:b/>
          <w:bCs/>
          <w:color w:val="auto"/>
          <w:highlight w:val="none"/>
          <w:lang w:val="en-US" w:eastAsia="zh-CN"/>
        </w:rPr>
      </w:pPr>
    </w:p>
    <w:p w14:paraId="563E00C2">
      <w:pPr>
        <w:pStyle w:val="50"/>
        <w:rPr>
          <w:rFonts w:hint="eastAsia" w:ascii="宋体" w:hAnsi="宋体" w:eastAsia="宋体" w:cs="宋体"/>
          <w:b/>
          <w:bCs/>
          <w:color w:val="auto"/>
          <w:highlight w:val="none"/>
          <w:lang w:val="en-US" w:eastAsia="zh-CN"/>
        </w:rPr>
      </w:pPr>
    </w:p>
    <w:p w14:paraId="05E87811">
      <w:pPr>
        <w:pStyle w:val="50"/>
        <w:rPr>
          <w:rFonts w:hint="eastAsia" w:ascii="宋体" w:hAnsi="宋体" w:eastAsia="宋体" w:cs="宋体"/>
          <w:b/>
          <w:bCs/>
          <w:color w:val="auto"/>
          <w:highlight w:val="none"/>
          <w:lang w:val="en-US" w:eastAsia="zh-CN"/>
        </w:rPr>
      </w:pPr>
    </w:p>
    <w:p w14:paraId="27CAB740">
      <w:pPr>
        <w:pStyle w:val="50"/>
        <w:rPr>
          <w:rFonts w:hint="eastAsia" w:ascii="宋体" w:hAnsi="宋体" w:eastAsia="宋体" w:cs="宋体"/>
          <w:b/>
          <w:bCs/>
          <w:color w:val="auto"/>
          <w:highlight w:val="none"/>
          <w:lang w:val="en-US" w:eastAsia="zh-CN"/>
        </w:rPr>
      </w:pPr>
    </w:p>
    <w:p w14:paraId="1F2A9E99">
      <w:pPr>
        <w:pStyle w:val="50"/>
        <w:rPr>
          <w:rFonts w:hint="eastAsia" w:ascii="宋体" w:hAnsi="宋体" w:eastAsia="宋体" w:cs="宋体"/>
          <w:b/>
          <w:bCs/>
          <w:color w:val="auto"/>
          <w:highlight w:val="none"/>
          <w:lang w:val="en-US" w:eastAsia="zh-CN"/>
        </w:rPr>
      </w:pPr>
    </w:p>
    <w:p w14:paraId="2675BD30">
      <w:pPr>
        <w:pStyle w:val="50"/>
        <w:rPr>
          <w:rFonts w:hint="eastAsia" w:ascii="宋体" w:hAnsi="宋体" w:eastAsia="宋体" w:cs="宋体"/>
          <w:b/>
          <w:bCs/>
          <w:color w:val="auto"/>
          <w:highlight w:val="none"/>
          <w:lang w:val="en-US" w:eastAsia="zh-CN"/>
        </w:rPr>
      </w:pPr>
    </w:p>
    <w:p w14:paraId="56D88523">
      <w:pPr>
        <w:pStyle w:val="50"/>
        <w:rPr>
          <w:rFonts w:hint="eastAsia" w:ascii="宋体" w:hAnsi="宋体" w:eastAsia="宋体" w:cs="宋体"/>
          <w:b/>
          <w:bCs/>
          <w:color w:val="auto"/>
          <w:highlight w:val="none"/>
          <w:lang w:val="en-US" w:eastAsia="zh-CN"/>
        </w:rPr>
      </w:pPr>
    </w:p>
    <w:p w14:paraId="74F2F6B4">
      <w:pPr>
        <w:rPr>
          <w:rFonts w:hint="eastAsia" w:ascii="宋体" w:hAnsi="宋体" w:eastAsia="宋体" w:cs="宋体"/>
          <w:color w:val="auto"/>
          <w:sz w:val="24"/>
          <w:highlight w:val="none"/>
          <w:lang w:val="en-US" w:eastAsia="zh-CN"/>
        </w:rPr>
      </w:pPr>
    </w:p>
    <w:sectPr>
      <w:pgSz w:w="11906" w:h="16838"/>
      <w:pgMar w:top="1440" w:right="1531" w:bottom="1440"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FA2C0">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1A0A1">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8D538">
    <w:pPr>
      <w:pStyle w:val="17"/>
      <w:ind w:right="360"/>
      <w:rPr>
        <w:rFonts w:hint="eastAsia" w:eastAsia="宋体"/>
        <w:sz w:val="21"/>
        <w:szCs w:val="21"/>
        <w:lang w:eastAsia="zh-CN"/>
      </w:rPr>
    </w:pPr>
    <w:r>
      <w:rPr>
        <w:rFonts w:hint="eastAsia" w:ascii="宋体" w:hAnsi="宋体"/>
        <w:sz w:val="44"/>
      </w:rPr>
      <w:drawing>
        <wp:anchor distT="0" distB="0" distL="114300" distR="114300" simplePos="0" relativeHeight="251661312" behindDoc="0" locked="0" layoutInCell="1" allowOverlap="1">
          <wp:simplePos x="0" y="0"/>
          <wp:positionH relativeFrom="column">
            <wp:posOffset>2672080</wp:posOffset>
          </wp:positionH>
          <wp:positionV relativeFrom="paragraph">
            <wp:posOffset>-4445</wp:posOffset>
          </wp:positionV>
          <wp:extent cx="217805" cy="156845"/>
          <wp:effectExtent l="0" t="0" r="10795" b="14605"/>
          <wp:wrapNone/>
          <wp:docPr id="1" name="Picture 2" descr="河南联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河南联达"/>
                  <pic:cNvPicPr>
                    <a:picLocks noChangeAspect="1" noChangeArrowheads="1"/>
                  </pic:cNvPicPr>
                </pic:nvPicPr>
                <pic:blipFill>
                  <a:blip r:embed="rId1" cstate="print"/>
                  <a:stretch>
                    <a:fillRect/>
                  </a:stretch>
                </pic:blipFill>
                <pic:spPr>
                  <a:xfrm>
                    <a:off x="0" y="0"/>
                    <a:ext cx="217805" cy="156845"/>
                  </a:xfrm>
                  <a:prstGeom prst="rect">
                    <a:avLst/>
                  </a:prstGeom>
                  <a:noFill/>
                  <a:ln w="9525">
                    <a:noFill/>
                    <a:miter lim="800000"/>
                    <a:headEnd/>
                    <a:tailEnd/>
                  </a:ln>
                </pic:spPr>
              </pic:pic>
            </a:graphicData>
          </a:graphic>
        </wp:anchor>
      </w:drawing>
    </w:r>
    <w:r>
      <w:rPr>
        <w:sz w:val="21"/>
        <w:szCs w:val="21"/>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-91440</wp:posOffset>
              </wp:positionV>
              <wp:extent cx="5715000" cy="635"/>
              <wp:effectExtent l="0" t="0" r="0" b="0"/>
              <wp:wrapNone/>
              <wp:docPr id="3" name="Line 2"/>
              <wp:cNvGraphicFramePr/>
              <a:graphic xmlns:a="http://schemas.openxmlformats.org/drawingml/2006/main">
                <a:graphicData uri="http://schemas.microsoft.com/office/word/2010/wordprocessingShape">
                  <wps:wsp>
                    <wps:cNvCnPr/>
                    <wps:spPr>
                      <a:xfrm flipV="1">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5.25pt;margin-top:-7.2pt;height:0.05pt;width:450pt;z-index:251659264;mso-width-relative:page;mso-height-relative:page;" filled="f" stroked="t" coordsize="21600,21600" o:gfxdata="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CfsN9gAAAAL&#10;AQAADwAAAAAAAAABACAAAAAiAAAAZHJzL2Rvd25yZXYueG1sUEsBAhQAFAAAAAgAh07iQCdw1rfj&#10;AQAA5QMAAA4AAAAAAAAAAQAgAAAAJwEAAGRycy9lMm9Eb2MueG1sUEsFBgAAAAAGAAYAWQEAAHwF&#10;AAAAAA==&#10;">
              <v:fill on="f" focussize="0,0"/>
              <v:stroke color="#000000" joinstyle="round"/>
              <v:imagedata o:title=""/>
              <o:lock v:ext="edit" aspectratio="f"/>
            </v:line>
          </w:pict>
        </mc:Fallback>
      </mc:AlternateContent>
    </w:r>
    <w:r>
      <w:rPr>
        <w:rFonts w:hint="eastAsia"/>
        <w:sz w:val="21"/>
        <w:szCs w:val="21"/>
        <w:lang w:eastAsia="zh-CN"/>
      </w:rPr>
      <w:t>河南联达工程管理有限公司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E2B9A">
    <w:pPr>
      <w:pStyle w:val="17"/>
      <w:framePr w:wrap="around" w:vAnchor="text" w:hAnchor="margin" w:xAlign="right" w:y="1"/>
      <w:rPr>
        <w:rStyle w:val="35"/>
      </w:rPr>
    </w:pPr>
    <w:r>
      <w:fldChar w:fldCharType="begin"/>
    </w:r>
    <w:r>
      <w:rPr>
        <w:rStyle w:val="35"/>
      </w:rPr>
      <w:instrText xml:space="preserve">PAGE  </w:instrText>
    </w:r>
    <w:r>
      <w:fldChar w:fldCharType="separate"/>
    </w:r>
    <w:r>
      <w:rPr>
        <w:rStyle w:val="35"/>
      </w:rPr>
      <w:t>- 2 -</w:t>
    </w:r>
    <w:r>
      <w:fldChar w:fldCharType="end"/>
    </w:r>
  </w:p>
  <w:p w14:paraId="4101ED70">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60A2A">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FCA9A">
    <w:pPr>
      <w:pStyle w:val="17"/>
      <w:ind w:right="360"/>
      <w:rPr>
        <w:rFonts w:hint="eastAsia" w:eastAsia="宋体"/>
        <w:sz w:val="21"/>
        <w:szCs w:val="21"/>
        <w:lang w:val="en-US" w:eastAsia="zh-CN"/>
      </w:rPr>
    </w:pPr>
    <w:r>
      <w:rPr>
        <w:sz w:val="44"/>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40675">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D40675">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sz w:val="44"/>
      </w:rPr>
      <w:drawing>
        <wp:anchor distT="0" distB="0" distL="114300" distR="114300" simplePos="0" relativeHeight="251664384" behindDoc="0" locked="0" layoutInCell="1" allowOverlap="1">
          <wp:simplePos x="0" y="0"/>
          <wp:positionH relativeFrom="column">
            <wp:posOffset>2806065</wp:posOffset>
          </wp:positionH>
          <wp:positionV relativeFrom="paragraph">
            <wp:posOffset>-60325</wp:posOffset>
          </wp:positionV>
          <wp:extent cx="217805" cy="156845"/>
          <wp:effectExtent l="0" t="0" r="10795" b="14605"/>
          <wp:wrapNone/>
          <wp:docPr id="13" name="Picture 2" descr="河南联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河南联达"/>
                  <pic:cNvPicPr>
                    <a:picLocks noChangeAspect="1" noChangeArrowheads="1"/>
                  </pic:cNvPicPr>
                </pic:nvPicPr>
                <pic:blipFill>
                  <a:blip r:embed="rId1" cstate="print"/>
                  <a:stretch>
                    <a:fillRect/>
                  </a:stretch>
                </pic:blipFill>
                <pic:spPr>
                  <a:xfrm>
                    <a:off x="0" y="0"/>
                    <a:ext cx="217805" cy="156845"/>
                  </a:xfrm>
                  <a:prstGeom prst="rect">
                    <a:avLst/>
                  </a:prstGeom>
                  <a:noFill/>
                  <a:ln w="9525">
                    <a:noFill/>
                    <a:miter lim="800000"/>
                    <a:headEnd/>
                    <a:tailEnd/>
                  </a:ln>
                </pic:spPr>
              </pic:pic>
            </a:graphicData>
          </a:graphic>
        </wp:anchor>
      </w:drawing>
    </w:r>
    <w:r>
      <w:rPr>
        <w:sz w:val="4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98351">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EF98351">
                    <w:pPr>
                      <w:pStyle w:val="17"/>
                    </w:pPr>
                  </w:p>
                </w:txbxContent>
              </v:textbox>
            </v:shape>
          </w:pict>
        </mc:Fallback>
      </mc:AlternateContent>
    </w:r>
    <w:r>
      <w:rPr>
        <w:sz w:val="21"/>
        <w:szCs w:val="21"/>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-91440</wp:posOffset>
              </wp:positionV>
              <wp:extent cx="5715000" cy="635"/>
              <wp:effectExtent l="0" t="0" r="0" b="0"/>
              <wp:wrapNone/>
              <wp:docPr id="21" name="Line 2"/>
              <wp:cNvGraphicFramePr/>
              <a:graphic xmlns:a="http://schemas.openxmlformats.org/drawingml/2006/main">
                <a:graphicData uri="http://schemas.microsoft.com/office/word/2010/wordprocessingShape">
                  <wps:wsp>
                    <wps:cNvCnPr/>
                    <wps:spPr>
                      <a:xfrm flipV="1">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5.25pt;margin-top:-7.2pt;height:0.05pt;width:450pt;z-index:251662336;mso-width-relative:page;mso-height-relative:page;" filled="f" stroked="t" coordsize="21600,21600" o:gfxdata="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CfsN9gAAAAL&#10;AQAADwAAAAAAAAABACAAAAAiAAAAZHJzL2Rvd25yZXYueG1sUEsBAhQAFAAAAAgAh07iQB8111Xj&#10;AQAA5gMAAA4AAAAAAAAAAQAgAAAAJwEAAGRycy9lMm9Eb2MueG1sUEsFBgAAAAAGAAYAWQEAAHwF&#10;AAAAAA==&#10;">
              <v:fill on="f" focussize="0,0"/>
              <v:stroke color="#000000" joinstyle="round"/>
              <v:imagedata o:title=""/>
              <o:lock v:ext="edit" aspectratio="f"/>
            </v:line>
          </w:pict>
        </mc:Fallback>
      </mc:AlternateContent>
    </w:r>
    <w:r>
      <w:rPr>
        <w:rFonts w:hint="eastAsia"/>
        <w:sz w:val="21"/>
        <w:szCs w:val="21"/>
        <w:lang w:eastAsia="zh-CN"/>
      </w:rPr>
      <w:t>河南联达工程管理有限公司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B423E">
    <w:pPr>
      <w:pStyle w:val="1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24704">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default"/>
        <w:sz w:val="15"/>
        <w:szCs w:val="15"/>
        <w:lang w:val="en-US"/>
      </w:rPr>
    </w:pPr>
    <w:r>
      <w:rPr>
        <w:sz w:val="15"/>
        <w:szCs w:val="15"/>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138430</wp:posOffset>
              </wp:positionV>
              <wp:extent cx="5829300" cy="0"/>
              <wp:effectExtent l="0" t="0" r="0" b="0"/>
              <wp:wrapNone/>
              <wp:docPr id="5" name="Line 1"/>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 o:spid="_x0000_s1026" o:spt="20" style="position:absolute;left:0pt;margin-left:-9.75pt;margin-top:10.9pt;height:0pt;width:459pt;z-index:251660288;mso-width-relative:page;mso-height-relative:page;" filled="f" stroked="t" coordsize="21600,21600" o:gfxdata="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5UAjNUAAAAJAQAADwAAAAAAAAAB&#10;ACAAAAAiAAAAZHJzL2Rvd25yZXYueG1sUEsBAhQAFAAAAAgAh07iQHswPb/aAQAA2QMAAA4AAAAA&#10;AAAAAQAgAAAAJAEAAGRycy9lMm9Eb2MueG1sUEsFBgAAAAAGAAYAWQEAAHAFAAAAAA==&#10;">
              <v:fill on="f" focussize="0,0"/>
              <v:stroke color="#000000" joinstyle="round"/>
              <v:imagedata o:title=""/>
              <o:lock v:ext="edit" aspectratio="f"/>
            </v:line>
          </w:pict>
        </mc:Fallback>
      </mc:AlternateContent>
    </w:r>
    <w:r>
      <w:rPr>
        <w:rFonts w:hint="eastAsia" w:ascii="宋体" w:hAnsi="宋体" w:cs="宋体"/>
        <w:color w:val="auto"/>
        <w:sz w:val="15"/>
        <w:szCs w:val="15"/>
        <w:highlight w:val="none"/>
        <w:lang w:val="en-US" w:eastAsia="zh-CN"/>
      </w:rPr>
      <w:t>荥阳市民政局荥阳市殡葬事务服务中心惠民殡葬用品采购项目                                       竞争性磋商文件</w:t>
    </w:r>
    <w:r>
      <w:rPr>
        <w:rFonts w:hint="eastAsia" w:ascii="宋体" w:hAnsi="宋体" w:eastAsia="宋体" w:cs="宋体"/>
        <w:color w:val="auto"/>
        <w:sz w:val="15"/>
        <w:szCs w:val="15"/>
        <w:highlight w:val="none"/>
        <w:lang w:val="en-US" w:eastAsia="zh-CN"/>
      </w:rPr>
      <w:t xml:space="preserve">      </w:t>
    </w:r>
    <w:r>
      <w:rPr>
        <w:rFonts w:hint="eastAsia" w:ascii="宋体" w:hAnsi="宋体" w:cs="宋体"/>
        <w:color w:val="auto"/>
        <w:sz w:val="15"/>
        <w:szCs w:val="15"/>
        <w:highlight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07BA3"/>
    <w:multiLevelType w:val="singleLevel"/>
    <w:tmpl w:val="9C907BA3"/>
    <w:lvl w:ilvl="0" w:tentative="0">
      <w:start w:val="1"/>
      <w:numFmt w:val="chineseCounting"/>
      <w:suff w:val="nothing"/>
      <w:lvlText w:val="%1、"/>
      <w:lvlJc w:val="left"/>
      <w:rPr>
        <w:rFonts w:hint="eastAsia"/>
      </w:rPr>
    </w:lvl>
  </w:abstractNum>
  <w:abstractNum w:abstractNumId="1">
    <w:nsid w:val="C5662F41"/>
    <w:multiLevelType w:val="singleLevel"/>
    <w:tmpl w:val="C5662F4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xZmZiZDU3NjBkNjRkYmU5ZWYzZGNmNWJkMDMxNjAifQ=="/>
  </w:docVars>
  <w:rsids>
    <w:rsidRoot w:val="00172A27"/>
    <w:rsid w:val="0000076A"/>
    <w:rsid w:val="000022F7"/>
    <w:rsid w:val="00002848"/>
    <w:rsid w:val="00004D0C"/>
    <w:rsid w:val="00004D2C"/>
    <w:rsid w:val="00005671"/>
    <w:rsid w:val="0001161D"/>
    <w:rsid w:val="00012219"/>
    <w:rsid w:val="000153F8"/>
    <w:rsid w:val="00016786"/>
    <w:rsid w:val="000231AB"/>
    <w:rsid w:val="0002651F"/>
    <w:rsid w:val="00030165"/>
    <w:rsid w:val="00032556"/>
    <w:rsid w:val="0003287F"/>
    <w:rsid w:val="000338EF"/>
    <w:rsid w:val="00035227"/>
    <w:rsid w:val="000427CB"/>
    <w:rsid w:val="0004342E"/>
    <w:rsid w:val="00051D8E"/>
    <w:rsid w:val="00052C70"/>
    <w:rsid w:val="000557B6"/>
    <w:rsid w:val="00061214"/>
    <w:rsid w:val="00062952"/>
    <w:rsid w:val="00066EEE"/>
    <w:rsid w:val="000718C8"/>
    <w:rsid w:val="00071C17"/>
    <w:rsid w:val="0007300F"/>
    <w:rsid w:val="00075412"/>
    <w:rsid w:val="00076325"/>
    <w:rsid w:val="00080314"/>
    <w:rsid w:val="00080439"/>
    <w:rsid w:val="0008474A"/>
    <w:rsid w:val="000866BF"/>
    <w:rsid w:val="000914C1"/>
    <w:rsid w:val="0009179A"/>
    <w:rsid w:val="00092828"/>
    <w:rsid w:val="000A00D0"/>
    <w:rsid w:val="000A43CE"/>
    <w:rsid w:val="000A455F"/>
    <w:rsid w:val="000A6124"/>
    <w:rsid w:val="000B6A83"/>
    <w:rsid w:val="000C1D21"/>
    <w:rsid w:val="000C303E"/>
    <w:rsid w:val="000D46C1"/>
    <w:rsid w:val="000D5593"/>
    <w:rsid w:val="000D64D9"/>
    <w:rsid w:val="000D6C1B"/>
    <w:rsid w:val="000D6F92"/>
    <w:rsid w:val="000D720D"/>
    <w:rsid w:val="000E024C"/>
    <w:rsid w:val="000E1935"/>
    <w:rsid w:val="000E6D36"/>
    <w:rsid w:val="000E6F40"/>
    <w:rsid w:val="000E7E03"/>
    <w:rsid w:val="000F434C"/>
    <w:rsid w:val="000F4433"/>
    <w:rsid w:val="000F5613"/>
    <w:rsid w:val="00103BC4"/>
    <w:rsid w:val="0010679A"/>
    <w:rsid w:val="00107290"/>
    <w:rsid w:val="00113B9B"/>
    <w:rsid w:val="00115038"/>
    <w:rsid w:val="00115244"/>
    <w:rsid w:val="00115AF5"/>
    <w:rsid w:val="00124463"/>
    <w:rsid w:val="00124EEE"/>
    <w:rsid w:val="00134050"/>
    <w:rsid w:val="00136B2A"/>
    <w:rsid w:val="00140A27"/>
    <w:rsid w:val="00142164"/>
    <w:rsid w:val="00145DB3"/>
    <w:rsid w:val="0015370D"/>
    <w:rsid w:val="00155882"/>
    <w:rsid w:val="00155A62"/>
    <w:rsid w:val="001607FA"/>
    <w:rsid w:val="00160E5B"/>
    <w:rsid w:val="0016202E"/>
    <w:rsid w:val="00162949"/>
    <w:rsid w:val="00163387"/>
    <w:rsid w:val="0016507A"/>
    <w:rsid w:val="00167CC2"/>
    <w:rsid w:val="001715A5"/>
    <w:rsid w:val="00172A27"/>
    <w:rsid w:val="0017388E"/>
    <w:rsid w:val="00175779"/>
    <w:rsid w:val="00175875"/>
    <w:rsid w:val="00180150"/>
    <w:rsid w:val="0018595C"/>
    <w:rsid w:val="001864E4"/>
    <w:rsid w:val="001904B9"/>
    <w:rsid w:val="001919FB"/>
    <w:rsid w:val="00191E7E"/>
    <w:rsid w:val="00192CB8"/>
    <w:rsid w:val="00193DF4"/>
    <w:rsid w:val="001A4F0E"/>
    <w:rsid w:val="001A5901"/>
    <w:rsid w:val="001B7853"/>
    <w:rsid w:val="001C1E56"/>
    <w:rsid w:val="001C56C4"/>
    <w:rsid w:val="001C599B"/>
    <w:rsid w:val="001D0CD8"/>
    <w:rsid w:val="001D401E"/>
    <w:rsid w:val="001D7C47"/>
    <w:rsid w:val="001E3F12"/>
    <w:rsid w:val="001F0A5C"/>
    <w:rsid w:val="001F0E3C"/>
    <w:rsid w:val="001F1075"/>
    <w:rsid w:val="001F1B71"/>
    <w:rsid w:val="00203AE9"/>
    <w:rsid w:val="002108B8"/>
    <w:rsid w:val="002129F4"/>
    <w:rsid w:val="002139BB"/>
    <w:rsid w:val="002146DF"/>
    <w:rsid w:val="00216A4F"/>
    <w:rsid w:val="00216CE7"/>
    <w:rsid w:val="00221DEB"/>
    <w:rsid w:val="0022308E"/>
    <w:rsid w:val="00223FEE"/>
    <w:rsid w:val="00224B6B"/>
    <w:rsid w:val="0022670E"/>
    <w:rsid w:val="00230340"/>
    <w:rsid w:val="00232D0B"/>
    <w:rsid w:val="00237781"/>
    <w:rsid w:val="00240111"/>
    <w:rsid w:val="002408F9"/>
    <w:rsid w:val="00242779"/>
    <w:rsid w:val="0024434D"/>
    <w:rsid w:val="00244489"/>
    <w:rsid w:val="00253D1C"/>
    <w:rsid w:val="00257593"/>
    <w:rsid w:val="00270FE2"/>
    <w:rsid w:val="00275C45"/>
    <w:rsid w:val="0027755A"/>
    <w:rsid w:val="0027763E"/>
    <w:rsid w:val="00277E2E"/>
    <w:rsid w:val="00282846"/>
    <w:rsid w:val="00283E32"/>
    <w:rsid w:val="00283F81"/>
    <w:rsid w:val="00291DD9"/>
    <w:rsid w:val="00293006"/>
    <w:rsid w:val="002948CF"/>
    <w:rsid w:val="002954D6"/>
    <w:rsid w:val="00295F2A"/>
    <w:rsid w:val="00296DED"/>
    <w:rsid w:val="002B0D5A"/>
    <w:rsid w:val="002B2FF9"/>
    <w:rsid w:val="002B30FF"/>
    <w:rsid w:val="002B3437"/>
    <w:rsid w:val="002C445C"/>
    <w:rsid w:val="002C4B4C"/>
    <w:rsid w:val="002C7FA6"/>
    <w:rsid w:val="002D69E0"/>
    <w:rsid w:val="002E2E9B"/>
    <w:rsid w:val="002F0B59"/>
    <w:rsid w:val="002F78C8"/>
    <w:rsid w:val="002F7DFA"/>
    <w:rsid w:val="003018E1"/>
    <w:rsid w:val="00303826"/>
    <w:rsid w:val="0030382D"/>
    <w:rsid w:val="00305A09"/>
    <w:rsid w:val="00311777"/>
    <w:rsid w:val="00311A5F"/>
    <w:rsid w:val="003139DC"/>
    <w:rsid w:val="00314B9A"/>
    <w:rsid w:val="00317458"/>
    <w:rsid w:val="0032558B"/>
    <w:rsid w:val="00330FA3"/>
    <w:rsid w:val="0033362B"/>
    <w:rsid w:val="00333E2F"/>
    <w:rsid w:val="00334238"/>
    <w:rsid w:val="00337712"/>
    <w:rsid w:val="00342316"/>
    <w:rsid w:val="003446E3"/>
    <w:rsid w:val="00351932"/>
    <w:rsid w:val="003544B6"/>
    <w:rsid w:val="00354B48"/>
    <w:rsid w:val="00357DC8"/>
    <w:rsid w:val="00363E93"/>
    <w:rsid w:val="00365626"/>
    <w:rsid w:val="0036699C"/>
    <w:rsid w:val="00377564"/>
    <w:rsid w:val="00383530"/>
    <w:rsid w:val="00394AE2"/>
    <w:rsid w:val="00395D54"/>
    <w:rsid w:val="003969F1"/>
    <w:rsid w:val="003A13D7"/>
    <w:rsid w:val="003A1903"/>
    <w:rsid w:val="003A3C5C"/>
    <w:rsid w:val="003B094F"/>
    <w:rsid w:val="003B096A"/>
    <w:rsid w:val="003B2BE4"/>
    <w:rsid w:val="003B3C60"/>
    <w:rsid w:val="003B471A"/>
    <w:rsid w:val="003B6B63"/>
    <w:rsid w:val="003C099A"/>
    <w:rsid w:val="003D090E"/>
    <w:rsid w:val="003D36F6"/>
    <w:rsid w:val="003D3B68"/>
    <w:rsid w:val="003D584E"/>
    <w:rsid w:val="003D6B97"/>
    <w:rsid w:val="003E0B83"/>
    <w:rsid w:val="003E12D5"/>
    <w:rsid w:val="003E212E"/>
    <w:rsid w:val="003E605D"/>
    <w:rsid w:val="003F35CB"/>
    <w:rsid w:val="003F36F2"/>
    <w:rsid w:val="003F4034"/>
    <w:rsid w:val="003F4794"/>
    <w:rsid w:val="00402480"/>
    <w:rsid w:val="00406832"/>
    <w:rsid w:val="00416C16"/>
    <w:rsid w:val="00420B9F"/>
    <w:rsid w:val="00421A36"/>
    <w:rsid w:val="00422997"/>
    <w:rsid w:val="004251CA"/>
    <w:rsid w:val="00426F5A"/>
    <w:rsid w:val="0043074D"/>
    <w:rsid w:val="00432D57"/>
    <w:rsid w:val="0043360F"/>
    <w:rsid w:val="004360CF"/>
    <w:rsid w:val="0044456D"/>
    <w:rsid w:val="0045589C"/>
    <w:rsid w:val="0045761F"/>
    <w:rsid w:val="004577C8"/>
    <w:rsid w:val="004609AF"/>
    <w:rsid w:val="004642F2"/>
    <w:rsid w:val="00464D38"/>
    <w:rsid w:val="00466BA6"/>
    <w:rsid w:val="004679BF"/>
    <w:rsid w:val="004726C6"/>
    <w:rsid w:val="004742F6"/>
    <w:rsid w:val="00474E61"/>
    <w:rsid w:val="00475345"/>
    <w:rsid w:val="00481000"/>
    <w:rsid w:val="004879A7"/>
    <w:rsid w:val="00490A52"/>
    <w:rsid w:val="004911E1"/>
    <w:rsid w:val="00491D6E"/>
    <w:rsid w:val="00492808"/>
    <w:rsid w:val="00494550"/>
    <w:rsid w:val="00494938"/>
    <w:rsid w:val="004954ED"/>
    <w:rsid w:val="004968FF"/>
    <w:rsid w:val="00496B17"/>
    <w:rsid w:val="00497945"/>
    <w:rsid w:val="004A42D1"/>
    <w:rsid w:val="004A4686"/>
    <w:rsid w:val="004A6737"/>
    <w:rsid w:val="004A78BF"/>
    <w:rsid w:val="004B4D83"/>
    <w:rsid w:val="004B5637"/>
    <w:rsid w:val="004C0D9A"/>
    <w:rsid w:val="004C2418"/>
    <w:rsid w:val="004C40D0"/>
    <w:rsid w:val="004C6D71"/>
    <w:rsid w:val="004C7124"/>
    <w:rsid w:val="004D31B0"/>
    <w:rsid w:val="004D40A7"/>
    <w:rsid w:val="004D4799"/>
    <w:rsid w:val="004D75F2"/>
    <w:rsid w:val="004D7D73"/>
    <w:rsid w:val="004E2698"/>
    <w:rsid w:val="004E3329"/>
    <w:rsid w:val="004F3DF6"/>
    <w:rsid w:val="004F4FF2"/>
    <w:rsid w:val="004F5040"/>
    <w:rsid w:val="005025B3"/>
    <w:rsid w:val="00511230"/>
    <w:rsid w:val="005126C6"/>
    <w:rsid w:val="00512B0B"/>
    <w:rsid w:val="00517C93"/>
    <w:rsid w:val="005211A6"/>
    <w:rsid w:val="005211D8"/>
    <w:rsid w:val="00524412"/>
    <w:rsid w:val="00524DB4"/>
    <w:rsid w:val="00527C55"/>
    <w:rsid w:val="00527DE3"/>
    <w:rsid w:val="00530840"/>
    <w:rsid w:val="00532319"/>
    <w:rsid w:val="005336C3"/>
    <w:rsid w:val="00541C5C"/>
    <w:rsid w:val="00545E8A"/>
    <w:rsid w:val="005464C3"/>
    <w:rsid w:val="005468F9"/>
    <w:rsid w:val="00546F9F"/>
    <w:rsid w:val="00550074"/>
    <w:rsid w:val="00551B7F"/>
    <w:rsid w:val="00552170"/>
    <w:rsid w:val="00554050"/>
    <w:rsid w:val="005550EA"/>
    <w:rsid w:val="00556CF7"/>
    <w:rsid w:val="005633DA"/>
    <w:rsid w:val="00564214"/>
    <w:rsid w:val="00567AB0"/>
    <w:rsid w:val="00571910"/>
    <w:rsid w:val="005725D7"/>
    <w:rsid w:val="00574FF6"/>
    <w:rsid w:val="00577FED"/>
    <w:rsid w:val="00580BB8"/>
    <w:rsid w:val="00580E33"/>
    <w:rsid w:val="0058204B"/>
    <w:rsid w:val="005930B6"/>
    <w:rsid w:val="00594556"/>
    <w:rsid w:val="00594E2B"/>
    <w:rsid w:val="005A0691"/>
    <w:rsid w:val="005A07BE"/>
    <w:rsid w:val="005A361D"/>
    <w:rsid w:val="005A3EEE"/>
    <w:rsid w:val="005B047A"/>
    <w:rsid w:val="005B2567"/>
    <w:rsid w:val="005B3118"/>
    <w:rsid w:val="005B3CC7"/>
    <w:rsid w:val="005B6611"/>
    <w:rsid w:val="005C0C93"/>
    <w:rsid w:val="005C17F5"/>
    <w:rsid w:val="005C2A05"/>
    <w:rsid w:val="005C55B8"/>
    <w:rsid w:val="005C6209"/>
    <w:rsid w:val="005C6903"/>
    <w:rsid w:val="005D0977"/>
    <w:rsid w:val="005D6FEE"/>
    <w:rsid w:val="005E157A"/>
    <w:rsid w:val="005E164F"/>
    <w:rsid w:val="005E32D5"/>
    <w:rsid w:val="005E5AAC"/>
    <w:rsid w:val="005E6045"/>
    <w:rsid w:val="005E677F"/>
    <w:rsid w:val="005F0B34"/>
    <w:rsid w:val="005F10A2"/>
    <w:rsid w:val="005F1E74"/>
    <w:rsid w:val="005F32CF"/>
    <w:rsid w:val="005F7491"/>
    <w:rsid w:val="005F7C6D"/>
    <w:rsid w:val="005F7FCD"/>
    <w:rsid w:val="006006C2"/>
    <w:rsid w:val="006011F0"/>
    <w:rsid w:val="006028C7"/>
    <w:rsid w:val="00602ECC"/>
    <w:rsid w:val="00603FD5"/>
    <w:rsid w:val="00605B9B"/>
    <w:rsid w:val="00607928"/>
    <w:rsid w:val="00613147"/>
    <w:rsid w:val="00614215"/>
    <w:rsid w:val="00614638"/>
    <w:rsid w:val="00617E4C"/>
    <w:rsid w:val="00625944"/>
    <w:rsid w:val="00626582"/>
    <w:rsid w:val="00627A52"/>
    <w:rsid w:val="006358C1"/>
    <w:rsid w:val="006379C8"/>
    <w:rsid w:val="006413E1"/>
    <w:rsid w:val="006428EA"/>
    <w:rsid w:val="00644C0B"/>
    <w:rsid w:val="00646D03"/>
    <w:rsid w:val="0064756F"/>
    <w:rsid w:val="00651944"/>
    <w:rsid w:val="006540F4"/>
    <w:rsid w:val="00654167"/>
    <w:rsid w:val="00655FA3"/>
    <w:rsid w:val="00657269"/>
    <w:rsid w:val="00660832"/>
    <w:rsid w:val="00661E1A"/>
    <w:rsid w:val="00664F53"/>
    <w:rsid w:val="006654D8"/>
    <w:rsid w:val="00672E08"/>
    <w:rsid w:val="00672FE2"/>
    <w:rsid w:val="006735BC"/>
    <w:rsid w:val="006743E7"/>
    <w:rsid w:val="006761C1"/>
    <w:rsid w:val="00680F7E"/>
    <w:rsid w:val="00683955"/>
    <w:rsid w:val="0068497D"/>
    <w:rsid w:val="00686C36"/>
    <w:rsid w:val="00687A0A"/>
    <w:rsid w:val="00687A33"/>
    <w:rsid w:val="006942CF"/>
    <w:rsid w:val="006A1EBC"/>
    <w:rsid w:val="006A23E2"/>
    <w:rsid w:val="006B2701"/>
    <w:rsid w:val="006B361A"/>
    <w:rsid w:val="006B3E34"/>
    <w:rsid w:val="006B6C48"/>
    <w:rsid w:val="006B6EB6"/>
    <w:rsid w:val="006B72F5"/>
    <w:rsid w:val="006B7869"/>
    <w:rsid w:val="006C00EA"/>
    <w:rsid w:val="006C0531"/>
    <w:rsid w:val="006C1C09"/>
    <w:rsid w:val="006C1E36"/>
    <w:rsid w:val="006C290A"/>
    <w:rsid w:val="006C3FF2"/>
    <w:rsid w:val="006C4CC0"/>
    <w:rsid w:val="006C6724"/>
    <w:rsid w:val="006C6B3A"/>
    <w:rsid w:val="006C6C7A"/>
    <w:rsid w:val="006C6D71"/>
    <w:rsid w:val="006D063D"/>
    <w:rsid w:val="006D3A42"/>
    <w:rsid w:val="006D43F2"/>
    <w:rsid w:val="006D44D6"/>
    <w:rsid w:val="006E196D"/>
    <w:rsid w:val="006E19D3"/>
    <w:rsid w:val="006E316E"/>
    <w:rsid w:val="006E3D6A"/>
    <w:rsid w:val="006F50C0"/>
    <w:rsid w:val="006F5A99"/>
    <w:rsid w:val="006F698B"/>
    <w:rsid w:val="00712B84"/>
    <w:rsid w:val="00715050"/>
    <w:rsid w:val="00717C12"/>
    <w:rsid w:val="007215DA"/>
    <w:rsid w:val="0072299E"/>
    <w:rsid w:val="00724E05"/>
    <w:rsid w:val="00727121"/>
    <w:rsid w:val="007273A6"/>
    <w:rsid w:val="00730787"/>
    <w:rsid w:val="00731BE1"/>
    <w:rsid w:val="00733177"/>
    <w:rsid w:val="00735BAC"/>
    <w:rsid w:val="0073739F"/>
    <w:rsid w:val="00740D1A"/>
    <w:rsid w:val="007424CA"/>
    <w:rsid w:val="00745701"/>
    <w:rsid w:val="00747ECA"/>
    <w:rsid w:val="0075197D"/>
    <w:rsid w:val="00754AE6"/>
    <w:rsid w:val="00757AF5"/>
    <w:rsid w:val="0077682E"/>
    <w:rsid w:val="00777681"/>
    <w:rsid w:val="00777DC2"/>
    <w:rsid w:val="0078162D"/>
    <w:rsid w:val="007836C1"/>
    <w:rsid w:val="00787D7F"/>
    <w:rsid w:val="00792978"/>
    <w:rsid w:val="00792D90"/>
    <w:rsid w:val="007A44C1"/>
    <w:rsid w:val="007A4691"/>
    <w:rsid w:val="007A6DCE"/>
    <w:rsid w:val="007B0538"/>
    <w:rsid w:val="007B0E77"/>
    <w:rsid w:val="007B1BFC"/>
    <w:rsid w:val="007B3FDF"/>
    <w:rsid w:val="007B4009"/>
    <w:rsid w:val="007C0696"/>
    <w:rsid w:val="007C3769"/>
    <w:rsid w:val="007C4501"/>
    <w:rsid w:val="007C4FCA"/>
    <w:rsid w:val="007C73BF"/>
    <w:rsid w:val="007C7DB5"/>
    <w:rsid w:val="007E1C63"/>
    <w:rsid w:val="007E5EE7"/>
    <w:rsid w:val="007E7064"/>
    <w:rsid w:val="007F1FE4"/>
    <w:rsid w:val="007F31A0"/>
    <w:rsid w:val="007F7C35"/>
    <w:rsid w:val="008000A3"/>
    <w:rsid w:val="00800694"/>
    <w:rsid w:val="00801CBF"/>
    <w:rsid w:val="008076B7"/>
    <w:rsid w:val="00807883"/>
    <w:rsid w:val="00814DCF"/>
    <w:rsid w:val="0081737C"/>
    <w:rsid w:val="00821113"/>
    <w:rsid w:val="00822CAA"/>
    <w:rsid w:val="008261DD"/>
    <w:rsid w:val="00831B57"/>
    <w:rsid w:val="0083348D"/>
    <w:rsid w:val="0083453B"/>
    <w:rsid w:val="008345FA"/>
    <w:rsid w:val="00834713"/>
    <w:rsid w:val="00834E93"/>
    <w:rsid w:val="008403D2"/>
    <w:rsid w:val="00841354"/>
    <w:rsid w:val="00847042"/>
    <w:rsid w:val="00850543"/>
    <w:rsid w:val="00851587"/>
    <w:rsid w:val="00852ED1"/>
    <w:rsid w:val="00853C2F"/>
    <w:rsid w:val="00853D2A"/>
    <w:rsid w:val="00857D6A"/>
    <w:rsid w:val="0086113B"/>
    <w:rsid w:val="0086460E"/>
    <w:rsid w:val="008653DC"/>
    <w:rsid w:val="00867D1F"/>
    <w:rsid w:val="00872AC6"/>
    <w:rsid w:val="0087690A"/>
    <w:rsid w:val="00877820"/>
    <w:rsid w:val="00880709"/>
    <w:rsid w:val="00880F7B"/>
    <w:rsid w:val="0088541F"/>
    <w:rsid w:val="00885B23"/>
    <w:rsid w:val="00885B90"/>
    <w:rsid w:val="00886224"/>
    <w:rsid w:val="00886453"/>
    <w:rsid w:val="00886E96"/>
    <w:rsid w:val="008916C0"/>
    <w:rsid w:val="008A6B79"/>
    <w:rsid w:val="008B2FA5"/>
    <w:rsid w:val="008B6824"/>
    <w:rsid w:val="008B7475"/>
    <w:rsid w:val="008C4298"/>
    <w:rsid w:val="008C5EA4"/>
    <w:rsid w:val="008C6E41"/>
    <w:rsid w:val="008D0CE1"/>
    <w:rsid w:val="008D126F"/>
    <w:rsid w:val="008D1756"/>
    <w:rsid w:val="008D19FA"/>
    <w:rsid w:val="008D1C16"/>
    <w:rsid w:val="008D234B"/>
    <w:rsid w:val="008D685A"/>
    <w:rsid w:val="008D6DDE"/>
    <w:rsid w:val="008E0D6F"/>
    <w:rsid w:val="008E1185"/>
    <w:rsid w:val="008F0057"/>
    <w:rsid w:val="008F11F7"/>
    <w:rsid w:val="008F3153"/>
    <w:rsid w:val="0090091B"/>
    <w:rsid w:val="00903B21"/>
    <w:rsid w:val="00921775"/>
    <w:rsid w:val="00921B0D"/>
    <w:rsid w:val="0092422C"/>
    <w:rsid w:val="009245B4"/>
    <w:rsid w:val="009253C2"/>
    <w:rsid w:val="00930704"/>
    <w:rsid w:val="00933E87"/>
    <w:rsid w:val="00934C38"/>
    <w:rsid w:val="00936DDF"/>
    <w:rsid w:val="00937B8E"/>
    <w:rsid w:val="00945516"/>
    <w:rsid w:val="0095496D"/>
    <w:rsid w:val="00954A37"/>
    <w:rsid w:val="009569B7"/>
    <w:rsid w:val="00961C62"/>
    <w:rsid w:val="009650DD"/>
    <w:rsid w:val="0096605E"/>
    <w:rsid w:val="00967A99"/>
    <w:rsid w:val="00970036"/>
    <w:rsid w:val="009716D4"/>
    <w:rsid w:val="00971C37"/>
    <w:rsid w:val="00972701"/>
    <w:rsid w:val="00972B6B"/>
    <w:rsid w:val="00974CA5"/>
    <w:rsid w:val="00976915"/>
    <w:rsid w:val="0098118F"/>
    <w:rsid w:val="00982D8A"/>
    <w:rsid w:val="0098746F"/>
    <w:rsid w:val="0099012A"/>
    <w:rsid w:val="00991142"/>
    <w:rsid w:val="00991DE6"/>
    <w:rsid w:val="00992BA7"/>
    <w:rsid w:val="00995F03"/>
    <w:rsid w:val="0099614E"/>
    <w:rsid w:val="00996F6E"/>
    <w:rsid w:val="009970AF"/>
    <w:rsid w:val="009A494A"/>
    <w:rsid w:val="009A4969"/>
    <w:rsid w:val="009A6CEC"/>
    <w:rsid w:val="009A7507"/>
    <w:rsid w:val="009B0122"/>
    <w:rsid w:val="009B24C8"/>
    <w:rsid w:val="009B4576"/>
    <w:rsid w:val="009B4D96"/>
    <w:rsid w:val="009C0B96"/>
    <w:rsid w:val="009C15CF"/>
    <w:rsid w:val="009C16DC"/>
    <w:rsid w:val="009C74AE"/>
    <w:rsid w:val="009D25FE"/>
    <w:rsid w:val="009D2770"/>
    <w:rsid w:val="009D48C6"/>
    <w:rsid w:val="009D7D8E"/>
    <w:rsid w:val="009E042C"/>
    <w:rsid w:val="009E2776"/>
    <w:rsid w:val="009E40F9"/>
    <w:rsid w:val="009F2873"/>
    <w:rsid w:val="009F5387"/>
    <w:rsid w:val="009F5ABA"/>
    <w:rsid w:val="009F7123"/>
    <w:rsid w:val="009F7BB3"/>
    <w:rsid w:val="00A00410"/>
    <w:rsid w:val="00A007BB"/>
    <w:rsid w:val="00A01906"/>
    <w:rsid w:val="00A04A63"/>
    <w:rsid w:val="00A06E4E"/>
    <w:rsid w:val="00A07A08"/>
    <w:rsid w:val="00A13089"/>
    <w:rsid w:val="00A14C4A"/>
    <w:rsid w:val="00A17E61"/>
    <w:rsid w:val="00A2100F"/>
    <w:rsid w:val="00A22868"/>
    <w:rsid w:val="00A2351D"/>
    <w:rsid w:val="00A24873"/>
    <w:rsid w:val="00A261D5"/>
    <w:rsid w:val="00A32120"/>
    <w:rsid w:val="00A32A5A"/>
    <w:rsid w:val="00A34721"/>
    <w:rsid w:val="00A40665"/>
    <w:rsid w:val="00A40A47"/>
    <w:rsid w:val="00A42D32"/>
    <w:rsid w:val="00A42DE5"/>
    <w:rsid w:val="00A5278D"/>
    <w:rsid w:val="00A54F7F"/>
    <w:rsid w:val="00A6092C"/>
    <w:rsid w:val="00A65F3C"/>
    <w:rsid w:val="00A6688E"/>
    <w:rsid w:val="00A66E1A"/>
    <w:rsid w:val="00A67342"/>
    <w:rsid w:val="00A71430"/>
    <w:rsid w:val="00A72BAD"/>
    <w:rsid w:val="00A7390C"/>
    <w:rsid w:val="00A770B1"/>
    <w:rsid w:val="00A80735"/>
    <w:rsid w:val="00A81346"/>
    <w:rsid w:val="00A87346"/>
    <w:rsid w:val="00A879C0"/>
    <w:rsid w:val="00A91257"/>
    <w:rsid w:val="00A91E8F"/>
    <w:rsid w:val="00A93B19"/>
    <w:rsid w:val="00A97B3B"/>
    <w:rsid w:val="00AA45AA"/>
    <w:rsid w:val="00AA69CA"/>
    <w:rsid w:val="00AB1192"/>
    <w:rsid w:val="00AB286A"/>
    <w:rsid w:val="00AB2D38"/>
    <w:rsid w:val="00AB67B3"/>
    <w:rsid w:val="00AC4333"/>
    <w:rsid w:val="00AC526A"/>
    <w:rsid w:val="00AC532A"/>
    <w:rsid w:val="00AC6449"/>
    <w:rsid w:val="00AC73B8"/>
    <w:rsid w:val="00AC7F6F"/>
    <w:rsid w:val="00AD1335"/>
    <w:rsid w:val="00AD74E9"/>
    <w:rsid w:val="00AE1B14"/>
    <w:rsid w:val="00AE555F"/>
    <w:rsid w:val="00AF0490"/>
    <w:rsid w:val="00AF110B"/>
    <w:rsid w:val="00AF1250"/>
    <w:rsid w:val="00AF1582"/>
    <w:rsid w:val="00AF158B"/>
    <w:rsid w:val="00AF564B"/>
    <w:rsid w:val="00AF5BE5"/>
    <w:rsid w:val="00B0145C"/>
    <w:rsid w:val="00B02855"/>
    <w:rsid w:val="00B0609A"/>
    <w:rsid w:val="00B060C1"/>
    <w:rsid w:val="00B06593"/>
    <w:rsid w:val="00B07B1D"/>
    <w:rsid w:val="00B11E8B"/>
    <w:rsid w:val="00B12525"/>
    <w:rsid w:val="00B13890"/>
    <w:rsid w:val="00B14202"/>
    <w:rsid w:val="00B1546B"/>
    <w:rsid w:val="00B21ED7"/>
    <w:rsid w:val="00B22794"/>
    <w:rsid w:val="00B24C36"/>
    <w:rsid w:val="00B26EDB"/>
    <w:rsid w:val="00B3266D"/>
    <w:rsid w:val="00B326CB"/>
    <w:rsid w:val="00B34763"/>
    <w:rsid w:val="00B37414"/>
    <w:rsid w:val="00B40A18"/>
    <w:rsid w:val="00B47E9F"/>
    <w:rsid w:val="00B50468"/>
    <w:rsid w:val="00B51E19"/>
    <w:rsid w:val="00B536F1"/>
    <w:rsid w:val="00B536FA"/>
    <w:rsid w:val="00B60659"/>
    <w:rsid w:val="00B65163"/>
    <w:rsid w:val="00B6564E"/>
    <w:rsid w:val="00B708E8"/>
    <w:rsid w:val="00B754E4"/>
    <w:rsid w:val="00B83D14"/>
    <w:rsid w:val="00B8507D"/>
    <w:rsid w:val="00B928CC"/>
    <w:rsid w:val="00B9601C"/>
    <w:rsid w:val="00BA06E6"/>
    <w:rsid w:val="00BA45BE"/>
    <w:rsid w:val="00BA4B35"/>
    <w:rsid w:val="00BA6AA6"/>
    <w:rsid w:val="00BA7BA6"/>
    <w:rsid w:val="00BB0BC7"/>
    <w:rsid w:val="00BB1CFA"/>
    <w:rsid w:val="00BB321F"/>
    <w:rsid w:val="00BB7AEA"/>
    <w:rsid w:val="00BC0605"/>
    <w:rsid w:val="00BC4083"/>
    <w:rsid w:val="00BC44AC"/>
    <w:rsid w:val="00BC56D1"/>
    <w:rsid w:val="00BC7492"/>
    <w:rsid w:val="00BC79DC"/>
    <w:rsid w:val="00BC7E76"/>
    <w:rsid w:val="00BD4239"/>
    <w:rsid w:val="00BD442F"/>
    <w:rsid w:val="00BD5777"/>
    <w:rsid w:val="00BE06BB"/>
    <w:rsid w:val="00BE14C0"/>
    <w:rsid w:val="00BE154A"/>
    <w:rsid w:val="00BE38F9"/>
    <w:rsid w:val="00BE47C1"/>
    <w:rsid w:val="00BF2D7F"/>
    <w:rsid w:val="00BF4122"/>
    <w:rsid w:val="00BF4972"/>
    <w:rsid w:val="00BF6D13"/>
    <w:rsid w:val="00BF6E01"/>
    <w:rsid w:val="00C00D58"/>
    <w:rsid w:val="00C01F3D"/>
    <w:rsid w:val="00C02DA6"/>
    <w:rsid w:val="00C06EC9"/>
    <w:rsid w:val="00C11C0D"/>
    <w:rsid w:val="00C16062"/>
    <w:rsid w:val="00C225FB"/>
    <w:rsid w:val="00C22F67"/>
    <w:rsid w:val="00C24301"/>
    <w:rsid w:val="00C24955"/>
    <w:rsid w:val="00C251AE"/>
    <w:rsid w:val="00C25F7E"/>
    <w:rsid w:val="00C27736"/>
    <w:rsid w:val="00C2795B"/>
    <w:rsid w:val="00C307F6"/>
    <w:rsid w:val="00C30F67"/>
    <w:rsid w:val="00C34BDA"/>
    <w:rsid w:val="00C44FD2"/>
    <w:rsid w:val="00C452D6"/>
    <w:rsid w:val="00C52235"/>
    <w:rsid w:val="00C52360"/>
    <w:rsid w:val="00C52A99"/>
    <w:rsid w:val="00C60250"/>
    <w:rsid w:val="00C6160F"/>
    <w:rsid w:val="00C657E9"/>
    <w:rsid w:val="00C71320"/>
    <w:rsid w:val="00C72B5B"/>
    <w:rsid w:val="00C73FE2"/>
    <w:rsid w:val="00C74B75"/>
    <w:rsid w:val="00C768FB"/>
    <w:rsid w:val="00C85F88"/>
    <w:rsid w:val="00C872F7"/>
    <w:rsid w:val="00C90FCF"/>
    <w:rsid w:val="00C92C8E"/>
    <w:rsid w:val="00C93E20"/>
    <w:rsid w:val="00C95E65"/>
    <w:rsid w:val="00CA0C04"/>
    <w:rsid w:val="00CA1BE8"/>
    <w:rsid w:val="00CA4DE6"/>
    <w:rsid w:val="00CA656A"/>
    <w:rsid w:val="00CA65D4"/>
    <w:rsid w:val="00CA7147"/>
    <w:rsid w:val="00CA7260"/>
    <w:rsid w:val="00CB1707"/>
    <w:rsid w:val="00CB3003"/>
    <w:rsid w:val="00CB324D"/>
    <w:rsid w:val="00CB60E0"/>
    <w:rsid w:val="00CB6613"/>
    <w:rsid w:val="00CC1DEC"/>
    <w:rsid w:val="00CC29FA"/>
    <w:rsid w:val="00CC45A6"/>
    <w:rsid w:val="00CC6B32"/>
    <w:rsid w:val="00CD0F01"/>
    <w:rsid w:val="00CD2EE9"/>
    <w:rsid w:val="00CD6DBC"/>
    <w:rsid w:val="00CE4AD4"/>
    <w:rsid w:val="00CE525A"/>
    <w:rsid w:val="00CF2E7D"/>
    <w:rsid w:val="00CF7C89"/>
    <w:rsid w:val="00D00072"/>
    <w:rsid w:val="00D00430"/>
    <w:rsid w:val="00D02322"/>
    <w:rsid w:val="00D026DF"/>
    <w:rsid w:val="00D05B1D"/>
    <w:rsid w:val="00D12090"/>
    <w:rsid w:val="00D3016B"/>
    <w:rsid w:val="00D330C0"/>
    <w:rsid w:val="00D35284"/>
    <w:rsid w:val="00D36675"/>
    <w:rsid w:val="00D403FA"/>
    <w:rsid w:val="00D40605"/>
    <w:rsid w:val="00D4130D"/>
    <w:rsid w:val="00D41EB0"/>
    <w:rsid w:val="00D45A78"/>
    <w:rsid w:val="00D47CE5"/>
    <w:rsid w:val="00D47D59"/>
    <w:rsid w:val="00D50459"/>
    <w:rsid w:val="00D5788E"/>
    <w:rsid w:val="00D6270D"/>
    <w:rsid w:val="00D676D6"/>
    <w:rsid w:val="00D7011D"/>
    <w:rsid w:val="00D71248"/>
    <w:rsid w:val="00D719F4"/>
    <w:rsid w:val="00D7788E"/>
    <w:rsid w:val="00D82E46"/>
    <w:rsid w:val="00D83BC0"/>
    <w:rsid w:val="00D85CF5"/>
    <w:rsid w:val="00D865DE"/>
    <w:rsid w:val="00D9091B"/>
    <w:rsid w:val="00D91EC4"/>
    <w:rsid w:val="00D93622"/>
    <w:rsid w:val="00DA4031"/>
    <w:rsid w:val="00DA60C2"/>
    <w:rsid w:val="00DA7423"/>
    <w:rsid w:val="00DB2378"/>
    <w:rsid w:val="00DB2A0F"/>
    <w:rsid w:val="00DB306F"/>
    <w:rsid w:val="00DB3A3C"/>
    <w:rsid w:val="00DC39EF"/>
    <w:rsid w:val="00DC4953"/>
    <w:rsid w:val="00DC541A"/>
    <w:rsid w:val="00DD19CD"/>
    <w:rsid w:val="00DD2A86"/>
    <w:rsid w:val="00DD36B9"/>
    <w:rsid w:val="00DD5278"/>
    <w:rsid w:val="00DD5924"/>
    <w:rsid w:val="00DD5A21"/>
    <w:rsid w:val="00DD63A7"/>
    <w:rsid w:val="00DD72BE"/>
    <w:rsid w:val="00DE07DF"/>
    <w:rsid w:val="00DE225A"/>
    <w:rsid w:val="00DF0E7A"/>
    <w:rsid w:val="00DF1A3A"/>
    <w:rsid w:val="00DF3A58"/>
    <w:rsid w:val="00DF3BDF"/>
    <w:rsid w:val="00E057C9"/>
    <w:rsid w:val="00E10EB3"/>
    <w:rsid w:val="00E11B45"/>
    <w:rsid w:val="00E13486"/>
    <w:rsid w:val="00E15C61"/>
    <w:rsid w:val="00E17553"/>
    <w:rsid w:val="00E21B0B"/>
    <w:rsid w:val="00E26A5D"/>
    <w:rsid w:val="00E30B7B"/>
    <w:rsid w:val="00E31861"/>
    <w:rsid w:val="00E4253A"/>
    <w:rsid w:val="00E42546"/>
    <w:rsid w:val="00E434C5"/>
    <w:rsid w:val="00E457ED"/>
    <w:rsid w:val="00E523D4"/>
    <w:rsid w:val="00E5384A"/>
    <w:rsid w:val="00E54D24"/>
    <w:rsid w:val="00E55C01"/>
    <w:rsid w:val="00E56718"/>
    <w:rsid w:val="00E56A09"/>
    <w:rsid w:val="00E57C86"/>
    <w:rsid w:val="00E607D0"/>
    <w:rsid w:val="00E60EFF"/>
    <w:rsid w:val="00E635C3"/>
    <w:rsid w:val="00E64220"/>
    <w:rsid w:val="00E64648"/>
    <w:rsid w:val="00E65FB8"/>
    <w:rsid w:val="00E66EF3"/>
    <w:rsid w:val="00E7728F"/>
    <w:rsid w:val="00E77293"/>
    <w:rsid w:val="00E80175"/>
    <w:rsid w:val="00E806D8"/>
    <w:rsid w:val="00E847CB"/>
    <w:rsid w:val="00E84F02"/>
    <w:rsid w:val="00E850E4"/>
    <w:rsid w:val="00E85F0B"/>
    <w:rsid w:val="00E90F14"/>
    <w:rsid w:val="00E9366E"/>
    <w:rsid w:val="00E93691"/>
    <w:rsid w:val="00E93F8E"/>
    <w:rsid w:val="00EA3782"/>
    <w:rsid w:val="00EA58AC"/>
    <w:rsid w:val="00EA77D9"/>
    <w:rsid w:val="00EB1D4A"/>
    <w:rsid w:val="00EB2D05"/>
    <w:rsid w:val="00EB3877"/>
    <w:rsid w:val="00EB6AB9"/>
    <w:rsid w:val="00EC1ADF"/>
    <w:rsid w:val="00EC1EF0"/>
    <w:rsid w:val="00EC519D"/>
    <w:rsid w:val="00EC66B9"/>
    <w:rsid w:val="00EC7EC5"/>
    <w:rsid w:val="00ED0A43"/>
    <w:rsid w:val="00ED180F"/>
    <w:rsid w:val="00ED22C4"/>
    <w:rsid w:val="00EE31C9"/>
    <w:rsid w:val="00EE3F43"/>
    <w:rsid w:val="00EF00CA"/>
    <w:rsid w:val="00EF1D41"/>
    <w:rsid w:val="00EF21D9"/>
    <w:rsid w:val="00EF32A4"/>
    <w:rsid w:val="00EF441A"/>
    <w:rsid w:val="00EF59BE"/>
    <w:rsid w:val="00F00510"/>
    <w:rsid w:val="00F014F5"/>
    <w:rsid w:val="00F02A17"/>
    <w:rsid w:val="00F03BD4"/>
    <w:rsid w:val="00F0633F"/>
    <w:rsid w:val="00F069BD"/>
    <w:rsid w:val="00F11095"/>
    <w:rsid w:val="00F14B25"/>
    <w:rsid w:val="00F14B98"/>
    <w:rsid w:val="00F170F7"/>
    <w:rsid w:val="00F17C33"/>
    <w:rsid w:val="00F20442"/>
    <w:rsid w:val="00F232DF"/>
    <w:rsid w:val="00F26C3E"/>
    <w:rsid w:val="00F302CD"/>
    <w:rsid w:val="00F31EE9"/>
    <w:rsid w:val="00F34AA5"/>
    <w:rsid w:val="00F35064"/>
    <w:rsid w:val="00F37B66"/>
    <w:rsid w:val="00F40044"/>
    <w:rsid w:val="00F40129"/>
    <w:rsid w:val="00F42041"/>
    <w:rsid w:val="00F54701"/>
    <w:rsid w:val="00F5571B"/>
    <w:rsid w:val="00F573D8"/>
    <w:rsid w:val="00F603F4"/>
    <w:rsid w:val="00F6417E"/>
    <w:rsid w:val="00F70E92"/>
    <w:rsid w:val="00F7120F"/>
    <w:rsid w:val="00F74351"/>
    <w:rsid w:val="00F77105"/>
    <w:rsid w:val="00F82198"/>
    <w:rsid w:val="00F82FA3"/>
    <w:rsid w:val="00F84762"/>
    <w:rsid w:val="00F86669"/>
    <w:rsid w:val="00F909B2"/>
    <w:rsid w:val="00F94750"/>
    <w:rsid w:val="00F979B3"/>
    <w:rsid w:val="00FA254C"/>
    <w:rsid w:val="00FB2EED"/>
    <w:rsid w:val="00FB58B8"/>
    <w:rsid w:val="00FB6679"/>
    <w:rsid w:val="00FC35AB"/>
    <w:rsid w:val="00FC6329"/>
    <w:rsid w:val="00FD01A5"/>
    <w:rsid w:val="00FD2E74"/>
    <w:rsid w:val="00FD3526"/>
    <w:rsid w:val="00FD4C4F"/>
    <w:rsid w:val="00FD5A8A"/>
    <w:rsid w:val="00FD5FB7"/>
    <w:rsid w:val="00FD7F5D"/>
    <w:rsid w:val="00FE28BF"/>
    <w:rsid w:val="00FE3DEE"/>
    <w:rsid w:val="00FE45A8"/>
    <w:rsid w:val="00FE636C"/>
    <w:rsid w:val="00FF5F06"/>
    <w:rsid w:val="01085BC1"/>
    <w:rsid w:val="010A478A"/>
    <w:rsid w:val="011243B7"/>
    <w:rsid w:val="0132783D"/>
    <w:rsid w:val="014E3493"/>
    <w:rsid w:val="01511271"/>
    <w:rsid w:val="01653B43"/>
    <w:rsid w:val="019C1C8D"/>
    <w:rsid w:val="01A70F0D"/>
    <w:rsid w:val="01B40F4E"/>
    <w:rsid w:val="01B62490"/>
    <w:rsid w:val="01C3577B"/>
    <w:rsid w:val="01CC0CC7"/>
    <w:rsid w:val="01D35E86"/>
    <w:rsid w:val="01D628BE"/>
    <w:rsid w:val="01E2462E"/>
    <w:rsid w:val="01F21448"/>
    <w:rsid w:val="020516B8"/>
    <w:rsid w:val="02123B4B"/>
    <w:rsid w:val="02160F0D"/>
    <w:rsid w:val="021E4F45"/>
    <w:rsid w:val="024504DC"/>
    <w:rsid w:val="028247F4"/>
    <w:rsid w:val="02906F11"/>
    <w:rsid w:val="029B1CD6"/>
    <w:rsid w:val="029F4003"/>
    <w:rsid w:val="02AC3F04"/>
    <w:rsid w:val="02BC60A1"/>
    <w:rsid w:val="02D52B76"/>
    <w:rsid w:val="031079AA"/>
    <w:rsid w:val="03170380"/>
    <w:rsid w:val="033427F5"/>
    <w:rsid w:val="03464A85"/>
    <w:rsid w:val="034C4CF4"/>
    <w:rsid w:val="03546191"/>
    <w:rsid w:val="035809B4"/>
    <w:rsid w:val="036B1328"/>
    <w:rsid w:val="036F47BD"/>
    <w:rsid w:val="037D15C1"/>
    <w:rsid w:val="03995922"/>
    <w:rsid w:val="03B43225"/>
    <w:rsid w:val="03B43B60"/>
    <w:rsid w:val="03EF3054"/>
    <w:rsid w:val="03FB03BA"/>
    <w:rsid w:val="04064E0E"/>
    <w:rsid w:val="040A4A0B"/>
    <w:rsid w:val="040A7BC1"/>
    <w:rsid w:val="041C1868"/>
    <w:rsid w:val="04287420"/>
    <w:rsid w:val="042E7958"/>
    <w:rsid w:val="043769A7"/>
    <w:rsid w:val="0439132A"/>
    <w:rsid w:val="045427FF"/>
    <w:rsid w:val="04AA138F"/>
    <w:rsid w:val="04B40CF2"/>
    <w:rsid w:val="04D45FCF"/>
    <w:rsid w:val="04D74983"/>
    <w:rsid w:val="05011B04"/>
    <w:rsid w:val="05055FF8"/>
    <w:rsid w:val="050F6813"/>
    <w:rsid w:val="0514322D"/>
    <w:rsid w:val="05285E4F"/>
    <w:rsid w:val="052A10D8"/>
    <w:rsid w:val="053876D1"/>
    <w:rsid w:val="053F6C4E"/>
    <w:rsid w:val="05461CF6"/>
    <w:rsid w:val="05546CBB"/>
    <w:rsid w:val="056106F1"/>
    <w:rsid w:val="057E74F5"/>
    <w:rsid w:val="05AB08EA"/>
    <w:rsid w:val="05B30F86"/>
    <w:rsid w:val="05C23886"/>
    <w:rsid w:val="05D14557"/>
    <w:rsid w:val="05D37841"/>
    <w:rsid w:val="05F844FB"/>
    <w:rsid w:val="060C5624"/>
    <w:rsid w:val="061A36BE"/>
    <w:rsid w:val="061A3AB7"/>
    <w:rsid w:val="06202254"/>
    <w:rsid w:val="062F6A41"/>
    <w:rsid w:val="06383A47"/>
    <w:rsid w:val="0644186E"/>
    <w:rsid w:val="064C6525"/>
    <w:rsid w:val="064E300E"/>
    <w:rsid w:val="06605E45"/>
    <w:rsid w:val="068A3CB5"/>
    <w:rsid w:val="06C92463"/>
    <w:rsid w:val="06E55B82"/>
    <w:rsid w:val="06E72E78"/>
    <w:rsid w:val="06EB7F41"/>
    <w:rsid w:val="06F03FFE"/>
    <w:rsid w:val="071F38C0"/>
    <w:rsid w:val="073B0F31"/>
    <w:rsid w:val="073C77E7"/>
    <w:rsid w:val="07491A3E"/>
    <w:rsid w:val="074D53D1"/>
    <w:rsid w:val="07693874"/>
    <w:rsid w:val="07731E1B"/>
    <w:rsid w:val="07761D8D"/>
    <w:rsid w:val="077E407C"/>
    <w:rsid w:val="07830DF3"/>
    <w:rsid w:val="07876E2F"/>
    <w:rsid w:val="078C7D83"/>
    <w:rsid w:val="079B25E0"/>
    <w:rsid w:val="07A33A5A"/>
    <w:rsid w:val="07A86AAB"/>
    <w:rsid w:val="07AA637F"/>
    <w:rsid w:val="07B2792A"/>
    <w:rsid w:val="07B54995"/>
    <w:rsid w:val="07BC37B6"/>
    <w:rsid w:val="07C338E5"/>
    <w:rsid w:val="07D93108"/>
    <w:rsid w:val="07DD49A7"/>
    <w:rsid w:val="07E75A81"/>
    <w:rsid w:val="07ED198D"/>
    <w:rsid w:val="080173B4"/>
    <w:rsid w:val="080C703A"/>
    <w:rsid w:val="08162B07"/>
    <w:rsid w:val="083838C0"/>
    <w:rsid w:val="0844796D"/>
    <w:rsid w:val="084A5DB4"/>
    <w:rsid w:val="08606325"/>
    <w:rsid w:val="08636604"/>
    <w:rsid w:val="088A72B2"/>
    <w:rsid w:val="08901BC3"/>
    <w:rsid w:val="089F4D15"/>
    <w:rsid w:val="08C22A59"/>
    <w:rsid w:val="08D36287"/>
    <w:rsid w:val="08D86F1C"/>
    <w:rsid w:val="08DA70E3"/>
    <w:rsid w:val="08E20D7A"/>
    <w:rsid w:val="09176AB1"/>
    <w:rsid w:val="091C4C21"/>
    <w:rsid w:val="091F2D9D"/>
    <w:rsid w:val="093A3F69"/>
    <w:rsid w:val="094E3682"/>
    <w:rsid w:val="095F2C2B"/>
    <w:rsid w:val="097430FA"/>
    <w:rsid w:val="098F35CC"/>
    <w:rsid w:val="0996269E"/>
    <w:rsid w:val="09C04738"/>
    <w:rsid w:val="0A037623"/>
    <w:rsid w:val="0A21210D"/>
    <w:rsid w:val="0A2460B7"/>
    <w:rsid w:val="0A290A04"/>
    <w:rsid w:val="0A643059"/>
    <w:rsid w:val="0A71382C"/>
    <w:rsid w:val="0A7804FE"/>
    <w:rsid w:val="0A7821D4"/>
    <w:rsid w:val="0A7B577C"/>
    <w:rsid w:val="0A8740E8"/>
    <w:rsid w:val="0A886687"/>
    <w:rsid w:val="0AB65CA8"/>
    <w:rsid w:val="0AC43BFC"/>
    <w:rsid w:val="0AE61DC4"/>
    <w:rsid w:val="0AFB0883"/>
    <w:rsid w:val="0B064214"/>
    <w:rsid w:val="0B09791D"/>
    <w:rsid w:val="0B186D4E"/>
    <w:rsid w:val="0B2B4B1C"/>
    <w:rsid w:val="0B347D3D"/>
    <w:rsid w:val="0B3628BB"/>
    <w:rsid w:val="0B3F4D4F"/>
    <w:rsid w:val="0B501E73"/>
    <w:rsid w:val="0B515FC1"/>
    <w:rsid w:val="0B703C02"/>
    <w:rsid w:val="0B81389B"/>
    <w:rsid w:val="0B8761C1"/>
    <w:rsid w:val="0B94714E"/>
    <w:rsid w:val="0B9B62A6"/>
    <w:rsid w:val="0BAE21B6"/>
    <w:rsid w:val="0BB64255"/>
    <w:rsid w:val="0BCB4B16"/>
    <w:rsid w:val="0BDE6F3F"/>
    <w:rsid w:val="0BF86793"/>
    <w:rsid w:val="0BF90648"/>
    <w:rsid w:val="0C1C61A4"/>
    <w:rsid w:val="0C1F7223"/>
    <w:rsid w:val="0C2C6625"/>
    <w:rsid w:val="0C330821"/>
    <w:rsid w:val="0C4A676F"/>
    <w:rsid w:val="0C71470F"/>
    <w:rsid w:val="0C740958"/>
    <w:rsid w:val="0C782EF0"/>
    <w:rsid w:val="0C784FC8"/>
    <w:rsid w:val="0CAA1D77"/>
    <w:rsid w:val="0CAD34A8"/>
    <w:rsid w:val="0CB1770B"/>
    <w:rsid w:val="0CE23985"/>
    <w:rsid w:val="0CE822BF"/>
    <w:rsid w:val="0CFD6A86"/>
    <w:rsid w:val="0D2374B7"/>
    <w:rsid w:val="0D2C3CDA"/>
    <w:rsid w:val="0D49663A"/>
    <w:rsid w:val="0D5374B9"/>
    <w:rsid w:val="0D6562B4"/>
    <w:rsid w:val="0D7D6961"/>
    <w:rsid w:val="0D8168A5"/>
    <w:rsid w:val="0D896292"/>
    <w:rsid w:val="0D9B7A1A"/>
    <w:rsid w:val="0DA41D7C"/>
    <w:rsid w:val="0DAD24B2"/>
    <w:rsid w:val="0DB65475"/>
    <w:rsid w:val="0DC007C2"/>
    <w:rsid w:val="0DC07DE4"/>
    <w:rsid w:val="0DE17323"/>
    <w:rsid w:val="0DE85C91"/>
    <w:rsid w:val="0DF608EA"/>
    <w:rsid w:val="0E1D3A1E"/>
    <w:rsid w:val="0E2560B0"/>
    <w:rsid w:val="0E2D1AB8"/>
    <w:rsid w:val="0E2D4DDA"/>
    <w:rsid w:val="0E381153"/>
    <w:rsid w:val="0E3E1F80"/>
    <w:rsid w:val="0E59465B"/>
    <w:rsid w:val="0E712A17"/>
    <w:rsid w:val="0E7616B1"/>
    <w:rsid w:val="0E7647CB"/>
    <w:rsid w:val="0E9D0CA4"/>
    <w:rsid w:val="0ECD14AE"/>
    <w:rsid w:val="0ECE2239"/>
    <w:rsid w:val="0EDD1EE4"/>
    <w:rsid w:val="0EEE56EB"/>
    <w:rsid w:val="0EFC4277"/>
    <w:rsid w:val="0F11030B"/>
    <w:rsid w:val="0F1F485D"/>
    <w:rsid w:val="0F371813"/>
    <w:rsid w:val="0F373F60"/>
    <w:rsid w:val="0F657030"/>
    <w:rsid w:val="0F7B4AA5"/>
    <w:rsid w:val="0F925F4A"/>
    <w:rsid w:val="0F953DB9"/>
    <w:rsid w:val="0FEE34C9"/>
    <w:rsid w:val="101D790A"/>
    <w:rsid w:val="102822F4"/>
    <w:rsid w:val="1032785A"/>
    <w:rsid w:val="10646263"/>
    <w:rsid w:val="10765998"/>
    <w:rsid w:val="107C3083"/>
    <w:rsid w:val="107C70AF"/>
    <w:rsid w:val="108005C5"/>
    <w:rsid w:val="10806BD8"/>
    <w:rsid w:val="108C1492"/>
    <w:rsid w:val="1092654A"/>
    <w:rsid w:val="10953945"/>
    <w:rsid w:val="109821D6"/>
    <w:rsid w:val="109D3775"/>
    <w:rsid w:val="10C20BDE"/>
    <w:rsid w:val="10CC5DDC"/>
    <w:rsid w:val="10E0785E"/>
    <w:rsid w:val="10EB2570"/>
    <w:rsid w:val="10EC6ED1"/>
    <w:rsid w:val="10F82934"/>
    <w:rsid w:val="10FA3DB5"/>
    <w:rsid w:val="1102181E"/>
    <w:rsid w:val="11064D17"/>
    <w:rsid w:val="11175835"/>
    <w:rsid w:val="112B14E7"/>
    <w:rsid w:val="112E4CB0"/>
    <w:rsid w:val="11301FEB"/>
    <w:rsid w:val="113B5214"/>
    <w:rsid w:val="11412CCD"/>
    <w:rsid w:val="1150327B"/>
    <w:rsid w:val="116457F1"/>
    <w:rsid w:val="11700B2A"/>
    <w:rsid w:val="118E2AE1"/>
    <w:rsid w:val="11910682"/>
    <w:rsid w:val="11925FC1"/>
    <w:rsid w:val="119662B2"/>
    <w:rsid w:val="11B25AEB"/>
    <w:rsid w:val="11B5604C"/>
    <w:rsid w:val="11C5780D"/>
    <w:rsid w:val="11CC53BF"/>
    <w:rsid w:val="11F14A22"/>
    <w:rsid w:val="11F76A92"/>
    <w:rsid w:val="11FA7F03"/>
    <w:rsid w:val="12086AC4"/>
    <w:rsid w:val="12096ADB"/>
    <w:rsid w:val="123E5441"/>
    <w:rsid w:val="12413DFE"/>
    <w:rsid w:val="12613ED3"/>
    <w:rsid w:val="1269070D"/>
    <w:rsid w:val="126B0053"/>
    <w:rsid w:val="12940358"/>
    <w:rsid w:val="12B952A8"/>
    <w:rsid w:val="12C361A6"/>
    <w:rsid w:val="12E3739D"/>
    <w:rsid w:val="12FF634A"/>
    <w:rsid w:val="130D198A"/>
    <w:rsid w:val="1312127D"/>
    <w:rsid w:val="13232993"/>
    <w:rsid w:val="13237A4E"/>
    <w:rsid w:val="134B4468"/>
    <w:rsid w:val="13737F6D"/>
    <w:rsid w:val="137912FC"/>
    <w:rsid w:val="138A2AE5"/>
    <w:rsid w:val="138C54D3"/>
    <w:rsid w:val="13906D71"/>
    <w:rsid w:val="13936861"/>
    <w:rsid w:val="13CE242D"/>
    <w:rsid w:val="13E310A9"/>
    <w:rsid w:val="13E65654"/>
    <w:rsid w:val="13F27AB4"/>
    <w:rsid w:val="141F00F5"/>
    <w:rsid w:val="14203868"/>
    <w:rsid w:val="14302302"/>
    <w:rsid w:val="143F0797"/>
    <w:rsid w:val="14455690"/>
    <w:rsid w:val="14794904"/>
    <w:rsid w:val="14C64A14"/>
    <w:rsid w:val="14FE497A"/>
    <w:rsid w:val="15276F40"/>
    <w:rsid w:val="154871D8"/>
    <w:rsid w:val="15802E15"/>
    <w:rsid w:val="15A061F5"/>
    <w:rsid w:val="15FD4466"/>
    <w:rsid w:val="161A0B74"/>
    <w:rsid w:val="164F51C6"/>
    <w:rsid w:val="16654A1A"/>
    <w:rsid w:val="16781D3E"/>
    <w:rsid w:val="16A3500D"/>
    <w:rsid w:val="16BF34C9"/>
    <w:rsid w:val="16CB6312"/>
    <w:rsid w:val="16E52493"/>
    <w:rsid w:val="16EF6275"/>
    <w:rsid w:val="16FC3064"/>
    <w:rsid w:val="16FD318F"/>
    <w:rsid w:val="17017211"/>
    <w:rsid w:val="17072D4E"/>
    <w:rsid w:val="171D7FB6"/>
    <w:rsid w:val="17282F39"/>
    <w:rsid w:val="172C4ACF"/>
    <w:rsid w:val="17335C37"/>
    <w:rsid w:val="174B232F"/>
    <w:rsid w:val="17515193"/>
    <w:rsid w:val="178179B3"/>
    <w:rsid w:val="179158D0"/>
    <w:rsid w:val="17A55002"/>
    <w:rsid w:val="17B84AE8"/>
    <w:rsid w:val="17C35253"/>
    <w:rsid w:val="17C4348D"/>
    <w:rsid w:val="17C654E3"/>
    <w:rsid w:val="17D80CE7"/>
    <w:rsid w:val="17DA597A"/>
    <w:rsid w:val="17DF02C7"/>
    <w:rsid w:val="17E70F2A"/>
    <w:rsid w:val="17E712BD"/>
    <w:rsid w:val="180E295A"/>
    <w:rsid w:val="183813D4"/>
    <w:rsid w:val="18392E36"/>
    <w:rsid w:val="184C249C"/>
    <w:rsid w:val="18510AE8"/>
    <w:rsid w:val="18875B29"/>
    <w:rsid w:val="188A4AC3"/>
    <w:rsid w:val="188B3FAB"/>
    <w:rsid w:val="188D75FC"/>
    <w:rsid w:val="189A6FD3"/>
    <w:rsid w:val="18BC4B06"/>
    <w:rsid w:val="18C1177B"/>
    <w:rsid w:val="18C72941"/>
    <w:rsid w:val="18D3325C"/>
    <w:rsid w:val="18E60E1F"/>
    <w:rsid w:val="18F45D57"/>
    <w:rsid w:val="18FC4558"/>
    <w:rsid w:val="18FE7DC3"/>
    <w:rsid w:val="18FF4051"/>
    <w:rsid w:val="190D49C0"/>
    <w:rsid w:val="1921143C"/>
    <w:rsid w:val="193826E6"/>
    <w:rsid w:val="19434886"/>
    <w:rsid w:val="19524AC9"/>
    <w:rsid w:val="195B035F"/>
    <w:rsid w:val="195C76F5"/>
    <w:rsid w:val="196A653F"/>
    <w:rsid w:val="196C13D6"/>
    <w:rsid w:val="1973531B"/>
    <w:rsid w:val="198E46C9"/>
    <w:rsid w:val="199407ED"/>
    <w:rsid w:val="199510E7"/>
    <w:rsid w:val="19AC1A35"/>
    <w:rsid w:val="19B157A7"/>
    <w:rsid w:val="19DD0836"/>
    <w:rsid w:val="1A2B77F4"/>
    <w:rsid w:val="1A2D08D4"/>
    <w:rsid w:val="1A314F7E"/>
    <w:rsid w:val="1A384461"/>
    <w:rsid w:val="1A3C3170"/>
    <w:rsid w:val="1A400DC5"/>
    <w:rsid w:val="1A424B3D"/>
    <w:rsid w:val="1A46058D"/>
    <w:rsid w:val="1A730679"/>
    <w:rsid w:val="1A952ED5"/>
    <w:rsid w:val="1A964C8B"/>
    <w:rsid w:val="1A974E89"/>
    <w:rsid w:val="1AAF7DCD"/>
    <w:rsid w:val="1B022D1F"/>
    <w:rsid w:val="1B1738D4"/>
    <w:rsid w:val="1B1867F7"/>
    <w:rsid w:val="1B235628"/>
    <w:rsid w:val="1B2A76BE"/>
    <w:rsid w:val="1B46065D"/>
    <w:rsid w:val="1B610FF3"/>
    <w:rsid w:val="1B762CF0"/>
    <w:rsid w:val="1B79477A"/>
    <w:rsid w:val="1B7C1AB9"/>
    <w:rsid w:val="1B8D2C20"/>
    <w:rsid w:val="1BC016EA"/>
    <w:rsid w:val="1BC577D4"/>
    <w:rsid w:val="1BDB47C6"/>
    <w:rsid w:val="1BF81957"/>
    <w:rsid w:val="1C053B84"/>
    <w:rsid w:val="1C0A11FF"/>
    <w:rsid w:val="1C580648"/>
    <w:rsid w:val="1C665CE4"/>
    <w:rsid w:val="1C686335"/>
    <w:rsid w:val="1C876837"/>
    <w:rsid w:val="1C884DB6"/>
    <w:rsid w:val="1C890801"/>
    <w:rsid w:val="1C894C01"/>
    <w:rsid w:val="1C9A61BB"/>
    <w:rsid w:val="1C9B741B"/>
    <w:rsid w:val="1C9C40CB"/>
    <w:rsid w:val="1CA613B3"/>
    <w:rsid w:val="1CCC2F82"/>
    <w:rsid w:val="1CD5055E"/>
    <w:rsid w:val="1CDB3C60"/>
    <w:rsid w:val="1CE51248"/>
    <w:rsid w:val="1CE819CC"/>
    <w:rsid w:val="1CFC69E7"/>
    <w:rsid w:val="1D4110DC"/>
    <w:rsid w:val="1D454306"/>
    <w:rsid w:val="1D6B4445"/>
    <w:rsid w:val="1D98784E"/>
    <w:rsid w:val="1D9D7A6F"/>
    <w:rsid w:val="1DB45D52"/>
    <w:rsid w:val="1DB63878"/>
    <w:rsid w:val="1DC17CA0"/>
    <w:rsid w:val="1DC600F1"/>
    <w:rsid w:val="1DCF66E8"/>
    <w:rsid w:val="1DD46836"/>
    <w:rsid w:val="1DE455F4"/>
    <w:rsid w:val="1DFD14A7"/>
    <w:rsid w:val="1E0C0B57"/>
    <w:rsid w:val="1E0F3F45"/>
    <w:rsid w:val="1E1648A2"/>
    <w:rsid w:val="1E2C4DA3"/>
    <w:rsid w:val="1E322EC1"/>
    <w:rsid w:val="1E3E386E"/>
    <w:rsid w:val="1E51534F"/>
    <w:rsid w:val="1E5D1F46"/>
    <w:rsid w:val="1E6819CE"/>
    <w:rsid w:val="1E9C5D68"/>
    <w:rsid w:val="1EAB3C7E"/>
    <w:rsid w:val="1EB53E16"/>
    <w:rsid w:val="1EB55259"/>
    <w:rsid w:val="1EC26675"/>
    <w:rsid w:val="1EC93137"/>
    <w:rsid w:val="1EE13326"/>
    <w:rsid w:val="1EE46B96"/>
    <w:rsid w:val="1EEA3B0B"/>
    <w:rsid w:val="1F3B6BEC"/>
    <w:rsid w:val="1F407FCA"/>
    <w:rsid w:val="1F49166F"/>
    <w:rsid w:val="1F5F1CED"/>
    <w:rsid w:val="1FB6070A"/>
    <w:rsid w:val="1FC423A8"/>
    <w:rsid w:val="1FC96EB6"/>
    <w:rsid w:val="1FFE1506"/>
    <w:rsid w:val="2000702C"/>
    <w:rsid w:val="20201954"/>
    <w:rsid w:val="202077B5"/>
    <w:rsid w:val="202820DF"/>
    <w:rsid w:val="20405BCB"/>
    <w:rsid w:val="204333BD"/>
    <w:rsid w:val="204A64FA"/>
    <w:rsid w:val="206A094A"/>
    <w:rsid w:val="207F146B"/>
    <w:rsid w:val="20801F1B"/>
    <w:rsid w:val="20B0298F"/>
    <w:rsid w:val="20C407B0"/>
    <w:rsid w:val="20F029B3"/>
    <w:rsid w:val="20F83B7A"/>
    <w:rsid w:val="210871DC"/>
    <w:rsid w:val="210D3C3C"/>
    <w:rsid w:val="212E7134"/>
    <w:rsid w:val="21350F58"/>
    <w:rsid w:val="213C324B"/>
    <w:rsid w:val="21425423"/>
    <w:rsid w:val="21506B6B"/>
    <w:rsid w:val="2188530E"/>
    <w:rsid w:val="218B0F2C"/>
    <w:rsid w:val="219B78E3"/>
    <w:rsid w:val="21A3434C"/>
    <w:rsid w:val="21AA36F4"/>
    <w:rsid w:val="21AF0D0A"/>
    <w:rsid w:val="21B01A06"/>
    <w:rsid w:val="21BA7225"/>
    <w:rsid w:val="21C3159C"/>
    <w:rsid w:val="21D000B2"/>
    <w:rsid w:val="21D37994"/>
    <w:rsid w:val="21DB5CEA"/>
    <w:rsid w:val="21E130E0"/>
    <w:rsid w:val="21FF3314"/>
    <w:rsid w:val="22121299"/>
    <w:rsid w:val="222F1FBC"/>
    <w:rsid w:val="223B3A70"/>
    <w:rsid w:val="22521696"/>
    <w:rsid w:val="22542E67"/>
    <w:rsid w:val="22673393"/>
    <w:rsid w:val="226736DD"/>
    <w:rsid w:val="22686AA0"/>
    <w:rsid w:val="226932DB"/>
    <w:rsid w:val="227A2375"/>
    <w:rsid w:val="22837AA1"/>
    <w:rsid w:val="228B7B4C"/>
    <w:rsid w:val="22A53D06"/>
    <w:rsid w:val="22BD17EE"/>
    <w:rsid w:val="22CE5740"/>
    <w:rsid w:val="22DB5B2F"/>
    <w:rsid w:val="22E904DA"/>
    <w:rsid w:val="22EF6C93"/>
    <w:rsid w:val="22F80437"/>
    <w:rsid w:val="230044F9"/>
    <w:rsid w:val="2309444A"/>
    <w:rsid w:val="230E2790"/>
    <w:rsid w:val="232C2DD6"/>
    <w:rsid w:val="23454D3D"/>
    <w:rsid w:val="234E39B9"/>
    <w:rsid w:val="236A2B39"/>
    <w:rsid w:val="23720350"/>
    <w:rsid w:val="238515A0"/>
    <w:rsid w:val="23896576"/>
    <w:rsid w:val="239C7906"/>
    <w:rsid w:val="239F2969"/>
    <w:rsid w:val="23B1063E"/>
    <w:rsid w:val="23F12787"/>
    <w:rsid w:val="23F5677C"/>
    <w:rsid w:val="23FA6108"/>
    <w:rsid w:val="2410185A"/>
    <w:rsid w:val="24247062"/>
    <w:rsid w:val="244B071C"/>
    <w:rsid w:val="244C209F"/>
    <w:rsid w:val="245354B5"/>
    <w:rsid w:val="24763D61"/>
    <w:rsid w:val="247858D4"/>
    <w:rsid w:val="24AA7567"/>
    <w:rsid w:val="24AF1021"/>
    <w:rsid w:val="24C3687B"/>
    <w:rsid w:val="24CE4405"/>
    <w:rsid w:val="24F1163A"/>
    <w:rsid w:val="25067598"/>
    <w:rsid w:val="251610A0"/>
    <w:rsid w:val="25214BFA"/>
    <w:rsid w:val="254A5C25"/>
    <w:rsid w:val="255F33B8"/>
    <w:rsid w:val="258424AE"/>
    <w:rsid w:val="258B7119"/>
    <w:rsid w:val="25A963DA"/>
    <w:rsid w:val="25B12908"/>
    <w:rsid w:val="25BE50D4"/>
    <w:rsid w:val="25BF34E6"/>
    <w:rsid w:val="25C07367"/>
    <w:rsid w:val="25C47253"/>
    <w:rsid w:val="25DB396E"/>
    <w:rsid w:val="25DF4AD8"/>
    <w:rsid w:val="25EF23C1"/>
    <w:rsid w:val="260875AE"/>
    <w:rsid w:val="260A7643"/>
    <w:rsid w:val="26172EF4"/>
    <w:rsid w:val="261C6242"/>
    <w:rsid w:val="2657168D"/>
    <w:rsid w:val="26607D19"/>
    <w:rsid w:val="267F32AA"/>
    <w:rsid w:val="2697493A"/>
    <w:rsid w:val="26D623BC"/>
    <w:rsid w:val="26D71AB4"/>
    <w:rsid w:val="26DE74A3"/>
    <w:rsid w:val="26E50978"/>
    <w:rsid w:val="26EF000B"/>
    <w:rsid w:val="270F4FFC"/>
    <w:rsid w:val="271260A4"/>
    <w:rsid w:val="271B2D57"/>
    <w:rsid w:val="2729330D"/>
    <w:rsid w:val="27312012"/>
    <w:rsid w:val="273218B1"/>
    <w:rsid w:val="275553FB"/>
    <w:rsid w:val="27667021"/>
    <w:rsid w:val="276A6917"/>
    <w:rsid w:val="27B04A0D"/>
    <w:rsid w:val="27C90A32"/>
    <w:rsid w:val="282231D5"/>
    <w:rsid w:val="283C3A32"/>
    <w:rsid w:val="28407FF0"/>
    <w:rsid w:val="284B2E0F"/>
    <w:rsid w:val="284D76B0"/>
    <w:rsid w:val="284E2EF4"/>
    <w:rsid w:val="286B1703"/>
    <w:rsid w:val="286D547B"/>
    <w:rsid w:val="28996589"/>
    <w:rsid w:val="28D66E77"/>
    <w:rsid w:val="290E4DB8"/>
    <w:rsid w:val="29151464"/>
    <w:rsid w:val="291823B6"/>
    <w:rsid w:val="291C779B"/>
    <w:rsid w:val="291D29FD"/>
    <w:rsid w:val="292D3D39"/>
    <w:rsid w:val="292D5B2B"/>
    <w:rsid w:val="2954325B"/>
    <w:rsid w:val="296E00F4"/>
    <w:rsid w:val="29853D68"/>
    <w:rsid w:val="29877DF7"/>
    <w:rsid w:val="29B019A3"/>
    <w:rsid w:val="29C77A06"/>
    <w:rsid w:val="29D478FA"/>
    <w:rsid w:val="29DA6B40"/>
    <w:rsid w:val="29EE3F40"/>
    <w:rsid w:val="29F75B47"/>
    <w:rsid w:val="2A0C5F19"/>
    <w:rsid w:val="2A1845F1"/>
    <w:rsid w:val="2A201310"/>
    <w:rsid w:val="2A372BFE"/>
    <w:rsid w:val="2A4027FF"/>
    <w:rsid w:val="2A48221F"/>
    <w:rsid w:val="2A4D7312"/>
    <w:rsid w:val="2A501351"/>
    <w:rsid w:val="2A554419"/>
    <w:rsid w:val="2ABD5BC8"/>
    <w:rsid w:val="2ADA0B22"/>
    <w:rsid w:val="2B033E75"/>
    <w:rsid w:val="2B234A65"/>
    <w:rsid w:val="2B2A7653"/>
    <w:rsid w:val="2B2D6C40"/>
    <w:rsid w:val="2B3E774D"/>
    <w:rsid w:val="2B3F248D"/>
    <w:rsid w:val="2B7D59D5"/>
    <w:rsid w:val="2B850095"/>
    <w:rsid w:val="2B9E76FA"/>
    <w:rsid w:val="2BBE35F8"/>
    <w:rsid w:val="2BF11C08"/>
    <w:rsid w:val="2C04764A"/>
    <w:rsid w:val="2C070278"/>
    <w:rsid w:val="2C123E8C"/>
    <w:rsid w:val="2C165411"/>
    <w:rsid w:val="2C18102B"/>
    <w:rsid w:val="2C195961"/>
    <w:rsid w:val="2C1C6ADF"/>
    <w:rsid w:val="2C3B3C25"/>
    <w:rsid w:val="2C3F712F"/>
    <w:rsid w:val="2C8B079D"/>
    <w:rsid w:val="2C8D241B"/>
    <w:rsid w:val="2C9B7ADD"/>
    <w:rsid w:val="2C9F7BCD"/>
    <w:rsid w:val="2CAB737C"/>
    <w:rsid w:val="2CBE7E45"/>
    <w:rsid w:val="2CD94E8D"/>
    <w:rsid w:val="2CDA60E2"/>
    <w:rsid w:val="2CE36BA7"/>
    <w:rsid w:val="2CF3423C"/>
    <w:rsid w:val="2CF717B7"/>
    <w:rsid w:val="2D082E33"/>
    <w:rsid w:val="2D235645"/>
    <w:rsid w:val="2D371D83"/>
    <w:rsid w:val="2D3D7099"/>
    <w:rsid w:val="2D5E0452"/>
    <w:rsid w:val="2D6901F8"/>
    <w:rsid w:val="2D6B4608"/>
    <w:rsid w:val="2D6F591F"/>
    <w:rsid w:val="2D7C3A6A"/>
    <w:rsid w:val="2D834B64"/>
    <w:rsid w:val="2D964B2C"/>
    <w:rsid w:val="2DA262AD"/>
    <w:rsid w:val="2DA37249"/>
    <w:rsid w:val="2DC46E07"/>
    <w:rsid w:val="2DCA0C7A"/>
    <w:rsid w:val="2DD30DA3"/>
    <w:rsid w:val="2E2E62CD"/>
    <w:rsid w:val="2E424CB4"/>
    <w:rsid w:val="2E584439"/>
    <w:rsid w:val="2E9A7967"/>
    <w:rsid w:val="2EB64AA0"/>
    <w:rsid w:val="2EC21951"/>
    <w:rsid w:val="2F012479"/>
    <w:rsid w:val="2F065CE2"/>
    <w:rsid w:val="2F522CD5"/>
    <w:rsid w:val="2F5539D1"/>
    <w:rsid w:val="2F613DDE"/>
    <w:rsid w:val="2F7D671D"/>
    <w:rsid w:val="2F987101"/>
    <w:rsid w:val="2F9B4F12"/>
    <w:rsid w:val="2FAB2766"/>
    <w:rsid w:val="2FCD6A90"/>
    <w:rsid w:val="2FCE5C26"/>
    <w:rsid w:val="2FE63FF6"/>
    <w:rsid w:val="301B4E64"/>
    <w:rsid w:val="302E0D3F"/>
    <w:rsid w:val="30317E66"/>
    <w:rsid w:val="304F7BF1"/>
    <w:rsid w:val="305029DC"/>
    <w:rsid w:val="30504859"/>
    <w:rsid w:val="305C5258"/>
    <w:rsid w:val="307F105F"/>
    <w:rsid w:val="3082583C"/>
    <w:rsid w:val="30832A0D"/>
    <w:rsid w:val="30870967"/>
    <w:rsid w:val="309912E9"/>
    <w:rsid w:val="30D95C08"/>
    <w:rsid w:val="30F1527B"/>
    <w:rsid w:val="30F3168F"/>
    <w:rsid w:val="310359C6"/>
    <w:rsid w:val="3107716B"/>
    <w:rsid w:val="311635A4"/>
    <w:rsid w:val="312132A7"/>
    <w:rsid w:val="3135465C"/>
    <w:rsid w:val="31584FF7"/>
    <w:rsid w:val="315A2315"/>
    <w:rsid w:val="315F6C99"/>
    <w:rsid w:val="31605B7D"/>
    <w:rsid w:val="31614304"/>
    <w:rsid w:val="316867E0"/>
    <w:rsid w:val="3175714F"/>
    <w:rsid w:val="318B2C9B"/>
    <w:rsid w:val="31996C16"/>
    <w:rsid w:val="31A34EC3"/>
    <w:rsid w:val="31B83952"/>
    <w:rsid w:val="31E122C4"/>
    <w:rsid w:val="31E4525B"/>
    <w:rsid w:val="31ED4F37"/>
    <w:rsid w:val="320F1351"/>
    <w:rsid w:val="322347F6"/>
    <w:rsid w:val="323A6272"/>
    <w:rsid w:val="32631A05"/>
    <w:rsid w:val="32760FE3"/>
    <w:rsid w:val="328420C2"/>
    <w:rsid w:val="32906D4E"/>
    <w:rsid w:val="329A63E0"/>
    <w:rsid w:val="32A270F3"/>
    <w:rsid w:val="32AA3551"/>
    <w:rsid w:val="32AB7818"/>
    <w:rsid w:val="32D81BF7"/>
    <w:rsid w:val="32DB1233"/>
    <w:rsid w:val="32DB3C82"/>
    <w:rsid w:val="32E26D0E"/>
    <w:rsid w:val="32F05959"/>
    <w:rsid w:val="32F3657D"/>
    <w:rsid w:val="3302241E"/>
    <w:rsid w:val="330E3476"/>
    <w:rsid w:val="332415BC"/>
    <w:rsid w:val="33256CA3"/>
    <w:rsid w:val="332E5353"/>
    <w:rsid w:val="3338406F"/>
    <w:rsid w:val="333F0CA1"/>
    <w:rsid w:val="335C05C6"/>
    <w:rsid w:val="33604985"/>
    <w:rsid w:val="33735022"/>
    <w:rsid w:val="339E79D6"/>
    <w:rsid w:val="33A73AD1"/>
    <w:rsid w:val="33B71CA0"/>
    <w:rsid w:val="33F153DA"/>
    <w:rsid w:val="33FB1B8D"/>
    <w:rsid w:val="340A2B91"/>
    <w:rsid w:val="34450DA2"/>
    <w:rsid w:val="345E036E"/>
    <w:rsid w:val="34675370"/>
    <w:rsid w:val="34694FBA"/>
    <w:rsid w:val="346F4329"/>
    <w:rsid w:val="349D2373"/>
    <w:rsid w:val="34A3530B"/>
    <w:rsid w:val="34A67BD8"/>
    <w:rsid w:val="34A7680C"/>
    <w:rsid w:val="34A9783B"/>
    <w:rsid w:val="34DD3297"/>
    <w:rsid w:val="34E13399"/>
    <w:rsid w:val="34E14E9E"/>
    <w:rsid w:val="34E940DB"/>
    <w:rsid w:val="34F03EEA"/>
    <w:rsid w:val="35035CE9"/>
    <w:rsid w:val="35141A9E"/>
    <w:rsid w:val="352549E8"/>
    <w:rsid w:val="352769B2"/>
    <w:rsid w:val="353A2A75"/>
    <w:rsid w:val="35453BD4"/>
    <w:rsid w:val="35462676"/>
    <w:rsid w:val="3554054C"/>
    <w:rsid w:val="355C678D"/>
    <w:rsid w:val="357065AB"/>
    <w:rsid w:val="357B288D"/>
    <w:rsid w:val="35972F9F"/>
    <w:rsid w:val="35A059EC"/>
    <w:rsid w:val="35AE423F"/>
    <w:rsid w:val="35C81D3D"/>
    <w:rsid w:val="35DB408D"/>
    <w:rsid w:val="35E154D0"/>
    <w:rsid w:val="35E718DC"/>
    <w:rsid w:val="35EC306A"/>
    <w:rsid w:val="35F82299"/>
    <w:rsid w:val="35FC2647"/>
    <w:rsid w:val="36001358"/>
    <w:rsid w:val="3628478F"/>
    <w:rsid w:val="36525CB0"/>
    <w:rsid w:val="366C0E9A"/>
    <w:rsid w:val="36791366"/>
    <w:rsid w:val="367C4AE4"/>
    <w:rsid w:val="367D0098"/>
    <w:rsid w:val="36845849"/>
    <w:rsid w:val="369E2CA4"/>
    <w:rsid w:val="36A87DD3"/>
    <w:rsid w:val="36B70D9A"/>
    <w:rsid w:val="36D44B17"/>
    <w:rsid w:val="36E25286"/>
    <w:rsid w:val="36F17129"/>
    <w:rsid w:val="36FC6348"/>
    <w:rsid w:val="370B658B"/>
    <w:rsid w:val="371E41AE"/>
    <w:rsid w:val="373553B6"/>
    <w:rsid w:val="3740260C"/>
    <w:rsid w:val="37767845"/>
    <w:rsid w:val="377D49C9"/>
    <w:rsid w:val="37893954"/>
    <w:rsid w:val="3796705F"/>
    <w:rsid w:val="37992989"/>
    <w:rsid w:val="379F4EDB"/>
    <w:rsid w:val="37A17D7D"/>
    <w:rsid w:val="37F5012B"/>
    <w:rsid w:val="3801494E"/>
    <w:rsid w:val="381E23B5"/>
    <w:rsid w:val="38225C9E"/>
    <w:rsid w:val="38397128"/>
    <w:rsid w:val="38500809"/>
    <w:rsid w:val="38797524"/>
    <w:rsid w:val="388D1222"/>
    <w:rsid w:val="389518C2"/>
    <w:rsid w:val="38B36318"/>
    <w:rsid w:val="38C904AC"/>
    <w:rsid w:val="38CF7906"/>
    <w:rsid w:val="38F562D9"/>
    <w:rsid w:val="390C2146"/>
    <w:rsid w:val="391D36F3"/>
    <w:rsid w:val="39395767"/>
    <w:rsid w:val="395B12C8"/>
    <w:rsid w:val="396A4CD9"/>
    <w:rsid w:val="396C09EB"/>
    <w:rsid w:val="3972249B"/>
    <w:rsid w:val="39754190"/>
    <w:rsid w:val="397C0D7A"/>
    <w:rsid w:val="3982065B"/>
    <w:rsid w:val="39A27598"/>
    <w:rsid w:val="39AD3929"/>
    <w:rsid w:val="39B316E7"/>
    <w:rsid w:val="39B34CB8"/>
    <w:rsid w:val="39E7368D"/>
    <w:rsid w:val="39EA4B06"/>
    <w:rsid w:val="39FC665F"/>
    <w:rsid w:val="3A013FB6"/>
    <w:rsid w:val="3A200804"/>
    <w:rsid w:val="3A322081"/>
    <w:rsid w:val="3A47183C"/>
    <w:rsid w:val="3A4A6127"/>
    <w:rsid w:val="3A4B7C26"/>
    <w:rsid w:val="3A526E97"/>
    <w:rsid w:val="3A6174CB"/>
    <w:rsid w:val="3A6C1F6B"/>
    <w:rsid w:val="3A6E02E4"/>
    <w:rsid w:val="3A6F7A25"/>
    <w:rsid w:val="3A8F74D3"/>
    <w:rsid w:val="3AB107C3"/>
    <w:rsid w:val="3AB630E4"/>
    <w:rsid w:val="3ACC4283"/>
    <w:rsid w:val="3AE540CF"/>
    <w:rsid w:val="3AF4771F"/>
    <w:rsid w:val="3AF527BA"/>
    <w:rsid w:val="3B0A1AA6"/>
    <w:rsid w:val="3B0C6285"/>
    <w:rsid w:val="3B2529E4"/>
    <w:rsid w:val="3B3E1006"/>
    <w:rsid w:val="3B430836"/>
    <w:rsid w:val="3B4628A8"/>
    <w:rsid w:val="3B5773BC"/>
    <w:rsid w:val="3B6D0BD7"/>
    <w:rsid w:val="3B6E0FD0"/>
    <w:rsid w:val="3B7566C9"/>
    <w:rsid w:val="3B7C7192"/>
    <w:rsid w:val="3B9D5C20"/>
    <w:rsid w:val="3BD95D06"/>
    <w:rsid w:val="3BDD6D37"/>
    <w:rsid w:val="3BE31272"/>
    <w:rsid w:val="3BEB698B"/>
    <w:rsid w:val="3BF36765"/>
    <w:rsid w:val="3C062FB8"/>
    <w:rsid w:val="3C1065C6"/>
    <w:rsid w:val="3C16249C"/>
    <w:rsid w:val="3C1D38EA"/>
    <w:rsid w:val="3C3A7F55"/>
    <w:rsid w:val="3C3C14B0"/>
    <w:rsid w:val="3C3C2D43"/>
    <w:rsid w:val="3C4B72BB"/>
    <w:rsid w:val="3C504A40"/>
    <w:rsid w:val="3C607CD7"/>
    <w:rsid w:val="3C941F0E"/>
    <w:rsid w:val="3CAA4150"/>
    <w:rsid w:val="3CB26DAC"/>
    <w:rsid w:val="3CB95FEF"/>
    <w:rsid w:val="3CC72F54"/>
    <w:rsid w:val="3CC82E64"/>
    <w:rsid w:val="3CD90A8C"/>
    <w:rsid w:val="3CDE3DFA"/>
    <w:rsid w:val="3CE329CE"/>
    <w:rsid w:val="3CF018E1"/>
    <w:rsid w:val="3CF317B6"/>
    <w:rsid w:val="3D037D04"/>
    <w:rsid w:val="3D0752FB"/>
    <w:rsid w:val="3D1754AE"/>
    <w:rsid w:val="3D385C00"/>
    <w:rsid w:val="3D435B2C"/>
    <w:rsid w:val="3D45031D"/>
    <w:rsid w:val="3D473AB7"/>
    <w:rsid w:val="3D49604E"/>
    <w:rsid w:val="3D6713D5"/>
    <w:rsid w:val="3D6C01D7"/>
    <w:rsid w:val="3DA90ACC"/>
    <w:rsid w:val="3DAE0417"/>
    <w:rsid w:val="3DE23DBE"/>
    <w:rsid w:val="3E1C6BE8"/>
    <w:rsid w:val="3E2B68C8"/>
    <w:rsid w:val="3E2C00BA"/>
    <w:rsid w:val="3E5558D6"/>
    <w:rsid w:val="3E7E3B9A"/>
    <w:rsid w:val="3E7E61D3"/>
    <w:rsid w:val="3E810EE1"/>
    <w:rsid w:val="3EA31F22"/>
    <w:rsid w:val="3EA464B7"/>
    <w:rsid w:val="3EAE5816"/>
    <w:rsid w:val="3EB47508"/>
    <w:rsid w:val="3EBE7B68"/>
    <w:rsid w:val="3EC86B10"/>
    <w:rsid w:val="3ED04DB2"/>
    <w:rsid w:val="3EEC6CA2"/>
    <w:rsid w:val="3EF51CA7"/>
    <w:rsid w:val="3EFA25A1"/>
    <w:rsid w:val="3EFA6D03"/>
    <w:rsid w:val="3F0044FB"/>
    <w:rsid w:val="3F1F27AF"/>
    <w:rsid w:val="3F3D7A62"/>
    <w:rsid w:val="3F4E170B"/>
    <w:rsid w:val="3F6425DF"/>
    <w:rsid w:val="3F680178"/>
    <w:rsid w:val="3F711643"/>
    <w:rsid w:val="3F7F7B16"/>
    <w:rsid w:val="3F8C7CE9"/>
    <w:rsid w:val="3F8E2A19"/>
    <w:rsid w:val="3F9822B1"/>
    <w:rsid w:val="3FA27361"/>
    <w:rsid w:val="3FB26998"/>
    <w:rsid w:val="3FB35DA1"/>
    <w:rsid w:val="3FBA0B4E"/>
    <w:rsid w:val="3FCA2EBD"/>
    <w:rsid w:val="3FDF3590"/>
    <w:rsid w:val="3FDF3CDF"/>
    <w:rsid w:val="3FF043E8"/>
    <w:rsid w:val="40175FFB"/>
    <w:rsid w:val="402976A5"/>
    <w:rsid w:val="404C2200"/>
    <w:rsid w:val="404E1296"/>
    <w:rsid w:val="40534656"/>
    <w:rsid w:val="40550877"/>
    <w:rsid w:val="405D538F"/>
    <w:rsid w:val="406D552D"/>
    <w:rsid w:val="4072769A"/>
    <w:rsid w:val="407D1338"/>
    <w:rsid w:val="409475F1"/>
    <w:rsid w:val="40AC3FD4"/>
    <w:rsid w:val="40C82570"/>
    <w:rsid w:val="40D460AF"/>
    <w:rsid w:val="40F62813"/>
    <w:rsid w:val="40FD5C49"/>
    <w:rsid w:val="41033C84"/>
    <w:rsid w:val="410C6AE6"/>
    <w:rsid w:val="410F6C78"/>
    <w:rsid w:val="41100F01"/>
    <w:rsid w:val="41346C36"/>
    <w:rsid w:val="41375249"/>
    <w:rsid w:val="415A6F31"/>
    <w:rsid w:val="415C7A00"/>
    <w:rsid w:val="4169240A"/>
    <w:rsid w:val="417A7DE9"/>
    <w:rsid w:val="41911515"/>
    <w:rsid w:val="419341B6"/>
    <w:rsid w:val="41A255BC"/>
    <w:rsid w:val="41AD023F"/>
    <w:rsid w:val="41E77BF5"/>
    <w:rsid w:val="41F15113"/>
    <w:rsid w:val="41F775A7"/>
    <w:rsid w:val="420F71E0"/>
    <w:rsid w:val="42107327"/>
    <w:rsid w:val="422505C9"/>
    <w:rsid w:val="422C129A"/>
    <w:rsid w:val="42300D53"/>
    <w:rsid w:val="42463094"/>
    <w:rsid w:val="42470693"/>
    <w:rsid w:val="42554B5E"/>
    <w:rsid w:val="42592EAA"/>
    <w:rsid w:val="42681653"/>
    <w:rsid w:val="428B4A24"/>
    <w:rsid w:val="429512DB"/>
    <w:rsid w:val="42AD2784"/>
    <w:rsid w:val="42BE7680"/>
    <w:rsid w:val="42C50568"/>
    <w:rsid w:val="42CE66BF"/>
    <w:rsid w:val="42D26B87"/>
    <w:rsid w:val="42DF7C63"/>
    <w:rsid w:val="42FF0487"/>
    <w:rsid w:val="432804EB"/>
    <w:rsid w:val="43487CF9"/>
    <w:rsid w:val="435B2202"/>
    <w:rsid w:val="43AE09CA"/>
    <w:rsid w:val="43B54B99"/>
    <w:rsid w:val="43C755E8"/>
    <w:rsid w:val="43E443EC"/>
    <w:rsid w:val="43F569FB"/>
    <w:rsid w:val="43FA1140"/>
    <w:rsid w:val="43FB34E3"/>
    <w:rsid w:val="44063681"/>
    <w:rsid w:val="440A245B"/>
    <w:rsid w:val="441E4BDC"/>
    <w:rsid w:val="4429702C"/>
    <w:rsid w:val="44391A3A"/>
    <w:rsid w:val="44496945"/>
    <w:rsid w:val="446A7659"/>
    <w:rsid w:val="449648A5"/>
    <w:rsid w:val="44A27FB3"/>
    <w:rsid w:val="44B441B3"/>
    <w:rsid w:val="44B475DA"/>
    <w:rsid w:val="44CF32EA"/>
    <w:rsid w:val="44D06D42"/>
    <w:rsid w:val="452C2575"/>
    <w:rsid w:val="452D0BB3"/>
    <w:rsid w:val="45406BAB"/>
    <w:rsid w:val="454D4212"/>
    <w:rsid w:val="45531534"/>
    <w:rsid w:val="45632EF0"/>
    <w:rsid w:val="458E32FC"/>
    <w:rsid w:val="45914145"/>
    <w:rsid w:val="45935D6C"/>
    <w:rsid w:val="459861AF"/>
    <w:rsid w:val="45997375"/>
    <w:rsid w:val="459D6604"/>
    <w:rsid w:val="45E16A89"/>
    <w:rsid w:val="45EE447B"/>
    <w:rsid w:val="45EF24D9"/>
    <w:rsid w:val="45F935A9"/>
    <w:rsid w:val="46064271"/>
    <w:rsid w:val="461048F2"/>
    <w:rsid w:val="4613736C"/>
    <w:rsid w:val="461E795D"/>
    <w:rsid w:val="46330706"/>
    <w:rsid w:val="4638539E"/>
    <w:rsid w:val="4651571E"/>
    <w:rsid w:val="46927031"/>
    <w:rsid w:val="46A10931"/>
    <w:rsid w:val="46A74EA4"/>
    <w:rsid w:val="46CC73B9"/>
    <w:rsid w:val="46D70238"/>
    <w:rsid w:val="46E31ACD"/>
    <w:rsid w:val="46F32B98"/>
    <w:rsid w:val="46FB3692"/>
    <w:rsid w:val="470533E6"/>
    <w:rsid w:val="470A223D"/>
    <w:rsid w:val="4712572F"/>
    <w:rsid w:val="47226FD9"/>
    <w:rsid w:val="472510C0"/>
    <w:rsid w:val="475A2C17"/>
    <w:rsid w:val="47796F15"/>
    <w:rsid w:val="47887784"/>
    <w:rsid w:val="47A10846"/>
    <w:rsid w:val="47A345BE"/>
    <w:rsid w:val="47A74B3D"/>
    <w:rsid w:val="47A959EE"/>
    <w:rsid w:val="47AC3472"/>
    <w:rsid w:val="47B162CB"/>
    <w:rsid w:val="47B5520C"/>
    <w:rsid w:val="47F46BC7"/>
    <w:rsid w:val="47FA3CDB"/>
    <w:rsid w:val="48032C9B"/>
    <w:rsid w:val="480A41AD"/>
    <w:rsid w:val="480B27CA"/>
    <w:rsid w:val="481D3FD0"/>
    <w:rsid w:val="48305BBF"/>
    <w:rsid w:val="484B3C8E"/>
    <w:rsid w:val="486C78B4"/>
    <w:rsid w:val="487C7310"/>
    <w:rsid w:val="48863E33"/>
    <w:rsid w:val="48C76AA6"/>
    <w:rsid w:val="48CE566A"/>
    <w:rsid w:val="48D779D2"/>
    <w:rsid w:val="48EE7ABB"/>
    <w:rsid w:val="490623F5"/>
    <w:rsid w:val="490E16AC"/>
    <w:rsid w:val="491A265E"/>
    <w:rsid w:val="491F4CE5"/>
    <w:rsid w:val="492D05E3"/>
    <w:rsid w:val="49301E81"/>
    <w:rsid w:val="493C0826"/>
    <w:rsid w:val="495E76CE"/>
    <w:rsid w:val="49777AB0"/>
    <w:rsid w:val="49870237"/>
    <w:rsid w:val="498F2C50"/>
    <w:rsid w:val="499C7517"/>
    <w:rsid w:val="49B02F22"/>
    <w:rsid w:val="49EC4271"/>
    <w:rsid w:val="49EF0D14"/>
    <w:rsid w:val="49F733BE"/>
    <w:rsid w:val="4A2F43EA"/>
    <w:rsid w:val="4A356528"/>
    <w:rsid w:val="4A4A7727"/>
    <w:rsid w:val="4A50107B"/>
    <w:rsid w:val="4A60165A"/>
    <w:rsid w:val="4A604112"/>
    <w:rsid w:val="4A6D5C5B"/>
    <w:rsid w:val="4A6F2395"/>
    <w:rsid w:val="4A7139F1"/>
    <w:rsid w:val="4A7E1EC7"/>
    <w:rsid w:val="4A7F5DC3"/>
    <w:rsid w:val="4AA258AB"/>
    <w:rsid w:val="4AB501B1"/>
    <w:rsid w:val="4ABB5060"/>
    <w:rsid w:val="4AD8457E"/>
    <w:rsid w:val="4AD91877"/>
    <w:rsid w:val="4AE04280"/>
    <w:rsid w:val="4AEC627C"/>
    <w:rsid w:val="4AF44474"/>
    <w:rsid w:val="4B0D7705"/>
    <w:rsid w:val="4B156138"/>
    <w:rsid w:val="4B160AC8"/>
    <w:rsid w:val="4B2D76BA"/>
    <w:rsid w:val="4B426D92"/>
    <w:rsid w:val="4B43314E"/>
    <w:rsid w:val="4B580D46"/>
    <w:rsid w:val="4B644064"/>
    <w:rsid w:val="4B83098E"/>
    <w:rsid w:val="4B8B15F1"/>
    <w:rsid w:val="4B8D5642"/>
    <w:rsid w:val="4B915A2B"/>
    <w:rsid w:val="4B9C2C83"/>
    <w:rsid w:val="4BAB3A41"/>
    <w:rsid w:val="4BB04076"/>
    <w:rsid w:val="4BB400BD"/>
    <w:rsid w:val="4BCB1D03"/>
    <w:rsid w:val="4C042D0A"/>
    <w:rsid w:val="4C1415E6"/>
    <w:rsid w:val="4C1C4F64"/>
    <w:rsid w:val="4C422C01"/>
    <w:rsid w:val="4C737CC2"/>
    <w:rsid w:val="4C781085"/>
    <w:rsid w:val="4CD54932"/>
    <w:rsid w:val="4CE42223"/>
    <w:rsid w:val="4D0E689A"/>
    <w:rsid w:val="4D1135B8"/>
    <w:rsid w:val="4D176E22"/>
    <w:rsid w:val="4D280FF1"/>
    <w:rsid w:val="4D2A7842"/>
    <w:rsid w:val="4D3D28A4"/>
    <w:rsid w:val="4D4C3002"/>
    <w:rsid w:val="4D58225C"/>
    <w:rsid w:val="4D8C33FE"/>
    <w:rsid w:val="4D8F321C"/>
    <w:rsid w:val="4DAB5F7A"/>
    <w:rsid w:val="4DB309A6"/>
    <w:rsid w:val="4DB43081"/>
    <w:rsid w:val="4DC64FE4"/>
    <w:rsid w:val="4DD23507"/>
    <w:rsid w:val="4DD32BC9"/>
    <w:rsid w:val="4DDA23BB"/>
    <w:rsid w:val="4DE0235E"/>
    <w:rsid w:val="4DE2647A"/>
    <w:rsid w:val="4DE33966"/>
    <w:rsid w:val="4E0D1794"/>
    <w:rsid w:val="4E0E3BF4"/>
    <w:rsid w:val="4E197388"/>
    <w:rsid w:val="4E232320"/>
    <w:rsid w:val="4E241889"/>
    <w:rsid w:val="4E28241B"/>
    <w:rsid w:val="4E29018B"/>
    <w:rsid w:val="4E3B50C6"/>
    <w:rsid w:val="4E427CCF"/>
    <w:rsid w:val="4E4B5067"/>
    <w:rsid w:val="4E601E9F"/>
    <w:rsid w:val="4E686795"/>
    <w:rsid w:val="4E8820E9"/>
    <w:rsid w:val="4E993801"/>
    <w:rsid w:val="4EA9042E"/>
    <w:rsid w:val="4EAA4409"/>
    <w:rsid w:val="4EBB4F42"/>
    <w:rsid w:val="4EBE1CDD"/>
    <w:rsid w:val="4ECB0939"/>
    <w:rsid w:val="4ED024F7"/>
    <w:rsid w:val="4F091B5D"/>
    <w:rsid w:val="4F4650BD"/>
    <w:rsid w:val="4F557A80"/>
    <w:rsid w:val="4F610456"/>
    <w:rsid w:val="4F622668"/>
    <w:rsid w:val="4F757DAC"/>
    <w:rsid w:val="4F9C201E"/>
    <w:rsid w:val="4FAF683B"/>
    <w:rsid w:val="4FCE4354"/>
    <w:rsid w:val="4FDF015D"/>
    <w:rsid w:val="4FE90FDC"/>
    <w:rsid w:val="500A6769"/>
    <w:rsid w:val="502B46AC"/>
    <w:rsid w:val="502F45D3"/>
    <w:rsid w:val="50324731"/>
    <w:rsid w:val="50346271"/>
    <w:rsid w:val="50451316"/>
    <w:rsid w:val="50473BD9"/>
    <w:rsid w:val="50715259"/>
    <w:rsid w:val="50826144"/>
    <w:rsid w:val="508A5EB8"/>
    <w:rsid w:val="508B02E5"/>
    <w:rsid w:val="50AC1135"/>
    <w:rsid w:val="50C23F33"/>
    <w:rsid w:val="50C51101"/>
    <w:rsid w:val="50CF31FB"/>
    <w:rsid w:val="50D81F61"/>
    <w:rsid w:val="50F639B0"/>
    <w:rsid w:val="510F6505"/>
    <w:rsid w:val="51120C27"/>
    <w:rsid w:val="51290C9B"/>
    <w:rsid w:val="512F0C70"/>
    <w:rsid w:val="51600E2A"/>
    <w:rsid w:val="516B2053"/>
    <w:rsid w:val="51795D76"/>
    <w:rsid w:val="518D0942"/>
    <w:rsid w:val="51A7600F"/>
    <w:rsid w:val="51A76A58"/>
    <w:rsid w:val="51AC0513"/>
    <w:rsid w:val="51B11685"/>
    <w:rsid w:val="51BC5F00"/>
    <w:rsid w:val="51E63A25"/>
    <w:rsid w:val="51E87E4E"/>
    <w:rsid w:val="51EE380D"/>
    <w:rsid w:val="5201260D"/>
    <w:rsid w:val="521F0D79"/>
    <w:rsid w:val="521F6F46"/>
    <w:rsid w:val="522925FF"/>
    <w:rsid w:val="52360212"/>
    <w:rsid w:val="523E560F"/>
    <w:rsid w:val="52412A09"/>
    <w:rsid w:val="52420DD2"/>
    <w:rsid w:val="52586361"/>
    <w:rsid w:val="526D7CA2"/>
    <w:rsid w:val="52743968"/>
    <w:rsid w:val="527D5F08"/>
    <w:rsid w:val="527E7720"/>
    <w:rsid w:val="528238AF"/>
    <w:rsid w:val="528B225A"/>
    <w:rsid w:val="528F5286"/>
    <w:rsid w:val="529472A2"/>
    <w:rsid w:val="529D410E"/>
    <w:rsid w:val="529E3F58"/>
    <w:rsid w:val="52B61643"/>
    <w:rsid w:val="52B80F85"/>
    <w:rsid w:val="52F12681"/>
    <w:rsid w:val="53000B16"/>
    <w:rsid w:val="53093FF1"/>
    <w:rsid w:val="531243A6"/>
    <w:rsid w:val="531A7374"/>
    <w:rsid w:val="531D18C3"/>
    <w:rsid w:val="5328225C"/>
    <w:rsid w:val="53490AFB"/>
    <w:rsid w:val="534A77C1"/>
    <w:rsid w:val="53514ECE"/>
    <w:rsid w:val="535B1393"/>
    <w:rsid w:val="537A08C9"/>
    <w:rsid w:val="537A428F"/>
    <w:rsid w:val="538232D9"/>
    <w:rsid w:val="538D4BC8"/>
    <w:rsid w:val="539960AE"/>
    <w:rsid w:val="539A3D52"/>
    <w:rsid w:val="53A5521A"/>
    <w:rsid w:val="53B12496"/>
    <w:rsid w:val="53BF35B0"/>
    <w:rsid w:val="53C00C4F"/>
    <w:rsid w:val="53E6234F"/>
    <w:rsid w:val="53EA6CC2"/>
    <w:rsid w:val="53F62BDA"/>
    <w:rsid w:val="54100872"/>
    <w:rsid w:val="54281936"/>
    <w:rsid w:val="542A5485"/>
    <w:rsid w:val="543547EF"/>
    <w:rsid w:val="54361EF5"/>
    <w:rsid w:val="543842E0"/>
    <w:rsid w:val="54422245"/>
    <w:rsid w:val="5449029B"/>
    <w:rsid w:val="545D78A2"/>
    <w:rsid w:val="545E57CA"/>
    <w:rsid w:val="54716723"/>
    <w:rsid w:val="548148DD"/>
    <w:rsid w:val="549D7E63"/>
    <w:rsid w:val="54CB6F02"/>
    <w:rsid w:val="54D66C51"/>
    <w:rsid w:val="551F4A3C"/>
    <w:rsid w:val="554050F4"/>
    <w:rsid w:val="554B09F6"/>
    <w:rsid w:val="554B1ED7"/>
    <w:rsid w:val="554C20B7"/>
    <w:rsid w:val="557D555B"/>
    <w:rsid w:val="55831E66"/>
    <w:rsid w:val="5585010D"/>
    <w:rsid w:val="559B4B26"/>
    <w:rsid w:val="55A34781"/>
    <w:rsid w:val="55A6636F"/>
    <w:rsid w:val="55BA7DB6"/>
    <w:rsid w:val="55DB4F23"/>
    <w:rsid w:val="562604F6"/>
    <w:rsid w:val="563352CC"/>
    <w:rsid w:val="5633546E"/>
    <w:rsid w:val="5635099B"/>
    <w:rsid w:val="563715A5"/>
    <w:rsid w:val="56426A49"/>
    <w:rsid w:val="567F1842"/>
    <w:rsid w:val="56903F5F"/>
    <w:rsid w:val="569C5F9D"/>
    <w:rsid w:val="569F0646"/>
    <w:rsid w:val="56E672CC"/>
    <w:rsid w:val="56FB3045"/>
    <w:rsid w:val="571E391C"/>
    <w:rsid w:val="571F2B37"/>
    <w:rsid w:val="573B0EEA"/>
    <w:rsid w:val="573F3226"/>
    <w:rsid w:val="574A3779"/>
    <w:rsid w:val="574D1E50"/>
    <w:rsid w:val="57520551"/>
    <w:rsid w:val="575732E5"/>
    <w:rsid w:val="575F35E9"/>
    <w:rsid w:val="57672F12"/>
    <w:rsid w:val="576D10A9"/>
    <w:rsid w:val="57931F59"/>
    <w:rsid w:val="57936CCF"/>
    <w:rsid w:val="579E009D"/>
    <w:rsid w:val="57AE3754"/>
    <w:rsid w:val="57B241B8"/>
    <w:rsid w:val="57BB212B"/>
    <w:rsid w:val="57BE32CF"/>
    <w:rsid w:val="57E55E35"/>
    <w:rsid w:val="57FB2C5D"/>
    <w:rsid w:val="580A3D5D"/>
    <w:rsid w:val="580E0F71"/>
    <w:rsid w:val="58952FED"/>
    <w:rsid w:val="58973269"/>
    <w:rsid w:val="58980D9E"/>
    <w:rsid w:val="58A61818"/>
    <w:rsid w:val="58B10DCF"/>
    <w:rsid w:val="58BA0D1E"/>
    <w:rsid w:val="58C209EA"/>
    <w:rsid w:val="58E00B59"/>
    <w:rsid w:val="58E07AA6"/>
    <w:rsid w:val="58F00CE5"/>
    <w:rsid w:val="58FC71A2"/>
    <w:rsid w:val="5922667A"/>
    <w:rsid w:val="5923730C"/>
    <w:rsid w:val="59325597"/>
    <w:rsid w:val="593643BE"/>
    <w:rsid w:val="595D7B77"/>
    <w:rsid w:val="59684F50"/>
    <w:rsid w:val="59690E37"/>
    <w:rsid w:val="5970475F"/>
    <w:rsid w:val="59791B24"/>
    <w:rsid w:val="598A2584"/>
    <w:rsid w:val="59947126"/>
    <w:rsid w:val="59AD4E28"/>
    <w:rsid w:val="59B54E64"/>
    <w:rsid w:val="59D241D1"/>
    <w:rsid w:val="59EE5C35"/>
    <w:rsid w:val="59FC451E"/>
    <w:rsid w:val="5A074538"/>
    <w:rsid w:val="5A091870"/>
    <w:rsid w:val="5A0A227A"/>
    <w:rsid w:val="5A577137"/>
    <w:rsid w:val="5A6251EC"/>
    <w:rsid w:val="5A6C2FE9"/>
    <w:rsid w:val="5A6E6B84"/>
    <w:rsid w:val="5A755356"/>
    <w:rsid w:val="5A7709B2"/>
    <w:rsid w:val="5A7D0C9E"/>
    <w:rsid w:val="5A84202D"/>
    <w:rsid w:val="5A8A2C88"/>
    <w:rsid w:val="5ABF68F1"/>
    <w:rsid w:val="5AD85ED5"/>
    <w:rsid w:val="5AE80C39"/>
    <w:rsid w:val="5AEC2D3D"/>
    <w:rsid w:val="5AFC1BC3"/>
    <w:rsid w:val="5B0A47BD"/>
    <w:rsid w:val="5B0E47F8"/>
    <w:rsid w:val="5B2D6DAA"/>
    <w:rsid w:val="5B2F7128"/>
    <w:rsid w:val="5B434CCD"/>
    <w:rsid w:val="5B4821B0"/>
    <w:rsid w:val="5B5C2B1D"/>
    <w:rsid w:val="5B6D486F"/>
    <w:rsid w:val="5B7A0C6E"/>
    <w:rsid w:val="5B8E00CD"/>
    <w:rsid w:val="5B8F30B2"/>
    <w:rsid w:val="5B9725E1"/>
    <w:rsid w:val="5B9A0F5B"/>
    <w:rsid w:val="5BDA310F"/>
    <w:rsid w:val="5BE70AC5"/>
    <w:rsid w:val="5BE82E67"/>
    <w:rsid w:val="5BF8510E"/>
    <w:rsid w:val="5C081206"/>
    <w:rsid w:val="5C49708A"/>
    <w:rsid w:val="5C5D508A"/>
    <w:rsid w:val="5C893A86"/>
    <w:rsid w:val="5CE73C77"/>
    <w:rsid w:val="5CFE1554"/>
    <w:rsid w:val="5CFF7BBB"/>
    <w:rsid w:val="5D0E399E"/>
    <w:rsid w:val="5D132BF0"/>
    <w:rsid w:val="5D1E0517"/>
    <w:rsid w:val="5D267F6F"/>
    <w:rsid w:val="5D270EC4"/>
    <w:rsid w:val="5D4B6E32"/>
    <w:rsid w:val="5D7C6E85"/>
    <w:rsid w:val="5D7F620D"/>
    <w:rsid w:val="5D810AA5"/>
    <w:rsid w:val="5D972077"/>
    <w:rsid w:val="5DA12EF6"/>
    <w:rsid w:val="5DBF0545"/>
    <w:rsid w:val="5DC26483"/>
    <w:rsid w:val="5DC649B0"/>
    <w:rsid w:val="5DD22C6C"/>
    <w:rsid w:val="5DF26102"/>
    <w:rsid w:val="5E1D3074"/>
    <w:rsid w:val="5E2A2EEB"/>
    <w:rsid w:val="5E2C3A69"/>
    <w:rsid w:val="5E36194B"/>
    <w:rsid w:val="5E391380"/>
    <w:rsid w:val="5E443FAD"/>
    <w:rsid w:val="5E5A6A57"/>
    <w:rsid w:val="5E6261E1"/>
    <w:rsid w:val="5E69724E"/>
    <w:rsid w:val="5E6B6A68"/>
    <w:rsid w:val="5E856373"/>
    <w:rsid w:val="5E937A72"/>
    <w:rsid w:val="5EAA7B89"/>
    <w:rsid w:val="5EC92704"/>
    <w:rsid w:val="5EE268BB"/>
    <w:rsid w:val="5EF41669"/>
    <w:rsid w:val="5EFE6DD6"/>
    <w:rsid w:val="5F051A97"/>
    <w:rsid w:val="5F1341A5"/>
    <w:rsid w:val="5F192F04"/>
    <w:rsid w:val="5F1C40C7"/>
    <w:rsid w:val="5F28055B"/>
    <w:rsid w:val="5F2F5EB3"/>
    <w:rsid w:val="5F3B6360"/>
    <w:rsid w:val="5F484852"/>
    <w:rsid w:val="5F553F98"/>
    <w:rsid w:val="5F61293D"/>
    <w:rsid w:val="5F90442C"/>
    <w:rsid w:val="5F943FFE"/>
    <w:rsid w:val="5FAC50DF"/>
    <w:rsid w:val="5FB5112F"/>
    <w:rsid w:val="5FD63A53"/>
    <w:rsid w:val="60044F04"/>
    <w:rsid w:val="600450EA"/>
    <w:rsid w:val="600551E4"/>
    <w:rsid w:val="601C2385"/>
    <w:rsid w:val="601C6A00"/>
    <w:rsid w:val="601D7DA6"/>
    <w:rsid w:val="602C1FFA"/>
    <w:rsid w:val="604858AA"/>
    <w:rsid w:val="60524492"/>
    <w:rsid w:val="605C04C5"/>
    <w:rsid w:val="6061458A"/>
    <w:rsid w:val="606746B7"/>
    <w:rsid w:val="607A58BE"/>
    <w:rsid w:val="608E4048"/>
    <w:rsid w:val="60A50815"/>
    <w:rsid w:val="60B35B40"/>
    <w:rsid w:val="60CA2D80"/>
    <w:rsid w:val="60D13AF2"/>
    <w:rsid w:val="60E779F5"/>
    <w:rsid w:val="60EF4DCF"/>
    <w:rsid w:val="60F202B0"/>
    <w:rsid w:val="611A225C"/>
    <w:rsid w:val="614D00E2"/>
    <w:rsid w:val="614D13CA"/>
    <w:rsid w:val="6151078F"/>
    <w:rsid w:val="61527B1E"/>
    <w:rsid w:val="615D5386"/>
    <w:rsid w:val="615F0024"/>
    <w:rsid w:val="61693D2A"/>
    <w:rsid w:val="61865CFF"/>
    <w:rsid w:val="61920923"/>
    <w:rsid w:val="619E0EC8"/>
    <w:rsid w:val="61CA54B9"/>
    <w:rsid w:val="61CF0031"/>
    <w:rsid w:val="61D75138"/>
    <w:rsid w:val="61E05919"/>
    <w:rsid w:val="61E4440D"/>
    <w:rsid w:val="61EF4230"/>
    <w:rsid w:val="61F83CC0"/>
    <w:rsid w:val="61FB723B"/>
    <w:rsid w:val="620C5E68"/>
    <w:rsid w:val="6210721F"/>
    <w:rsid w:val="621517BC"/>
    <w:rsid w:val="621B3277"/>
    <w:rsid w:val="624E2FF1"/>
    <w:rsid w:val="62761EE2"/>
    <w:rsid w:val="6295633B"/>
    <w:rsid w:val="62B03CFA"/>
    <w:rsid w:val="62B64EC4"/>
    <w:rsid w:val="62BA5B9D"/>
    <w:rsid w:val="62BD10B9"/>
    <w:rsid w:val="62BF2BB0"/>
    <w:rsid w:val="62D82693"/>
    <w:rsid w:val="62DF4322"/>
    <w:rsid w:val="62E61AA9"/>
    <w:rsid w:val="62F67840"/>
    <w:rsid w:val="63092D78"/>
    <w:rsid w:val="63211912"/>
    <w:rsid w:val="634A6066"/>
    <w:rsid w:val="6373126A"/>
    <w:rsid w:val="63753660"/>
    <w:rsid w:val="640811E0"/>
    <w:rsid w:val="641C6E32"/>
    <w:rsid w:val="643F631D"/>
    <w:rsid w:val="64446389"/>
    <w:rsid w:val="64804FE3"/>
    <w:rsid w:val="64850E7B"/>
    <w:rsid w:val="649C5E02"/>
    <w:rsid w:val="64A648F8"/>
    <w:rsid w:val="64A70DF2"/>
    <w:rsid w:val="64CC0858"/>
    <w:rsid w:val="64DB4361"/>
    <w:rsid w:val="64DF6D0B"/>
    <w:rsid w:val="64E648B6"/>
    <w:rsid w:val="64EC0EFA"/>
    <w:rsid w:val="64ED1485"/>
    <w:rsid w:val="65156591"/>
    <w:rsid w:val="65397FF9"/>
    <w:rsid w:val="653D64C9"/>
    <w:rsid w:val="656F76AE"/>
    <w:rsid w:val="657C3143"/>
    <w:rsid w:val="658A33DD"/>
    <w:rsid w:val="658A4074"/>
    <w:rsid w:val="658D1799"/>
    <w:rsid w:val="65910067"/>
    <w:rsid w:val="65B45165"/>
    <w:rsid w:val="65BE22AA"/>
    <w:rsid w:val="65CB5859"/>
    <w:rsid w:val="65D16475"/>
    <w:rsid w:val="65D6157E"/>
    <w:rsid w:val="65DD33BC"/>
    <w:rsid w:val="65DF46A7"/>
    <w:rsid w:val="65E52E95"/>
    <w:rsid w:val="66312EF1"/>
    <w:rsid w:val="666B5E4F"/>
    <w:rsid w:val="667C7999"/>
    <w:rsid w:val="667D6792"/>
    <w:rsid w:val="668A2779"/>
    <w:rsid w:val="668C2539"/>
    <w:rsid w:val="669A49F8"/>
    <w:rsid w:val="669A6670"/>
    <w:rsid w:val="66CD3A3F"/>
    <w:rsid w:val="66E0683D"/>
    <w:rsid w:val="66E14363"/>
    <w:rsid w:val="66EC6F90"/>
    <w:rsid w:val="66F10A4A"/>
    <w:rsid w:val="671965E5"/>
    <w:rsid w:val="672E3664"/>
    <w:rsid w:val="6734640B"/>
    <w:rsid w:val="67395F4D"/>
    <w:rsid w:val="673F17B5"/>
    <w:rsid w:val="67401A40"/>
    <w:rsid w:val="67446DCC"/>
    <w:rsid w:val="674B6263"/>
    <w:rsid w:val="674C27AF"/>
    <w:rsid w:val="67612C8C"/>
    <w:rsid w:val="67736052"/>
    <w:rsid w:val="6783130C"/>
    <w:rsid w:val="67876CB8"/>
    <w:rsid w:val="67974D72"/>
    <w:rsid w:val="67AF7FBD"/>
    <w:rsid w:val="67B850C4"/>
    <w:rsid w:val="67CB5BE6"/>
    <w:rsid w:val="67CD0C59"/>
    <w:rsid w:val="67E74F99"/>
    <w:rsid w:val="68454BED"/>
    <w:rsid w:val="684640E4"/>
    <w:rsid w:val="68592BD9"/>
    <w:rsid w:val="685E7B92"/>
    <w:rsid w:val="68614624"/>
    <w:rsid w:val="686D5118"/>
    <w:rsid w:val="68702B01"/>
    <w:rsid w:val="68912470"/>
    <w:rsid w:val="68975E15"/>
    <w:rsid w:val="68A6264E"/>
    <w:rsid w:val="68AD7221"/>
    <w:rsid w:val="68AF0A65"/>
    <w:rsid w:val="68B47F81"/>
    <w:rsid w:val="68BD2FEC"/>
    <w:rsid w:val="68C253BC"/>
    <w:rsid w:val="68D2069A"/>
    <w:rsid w:val="68D21582"/>
    <w:rsid w:val="68D221B5"/>
    <w:rsid w:val="68D82497"/>
    <w:rsid w:val="68DF54C0"/>
    <w:rsid w:val="69040D09"/>
    <w:rsid w:val="693D0C00"/>
    <w:rsid w:val="694D6913"/>
    <w:rsid w:val="694E026B"/>
    <w:rsid w:val="694E2341"/>
    <w:rsid w:val="696221AC"/>
    <w:rsid w:val="69630652"/>
    <w:rsid w:val="69652466"/>
    <w:rsid w:val="69673AF9"/>
    <w:rsid w:val="69681B5B"/>
    <w:rsid w:val="69681F9A"/>
    <w:rsid w:val="69694F35"/>
    <w:rsid w:val="696D215F"/>
    <w:rsid w:val="6976256C"/>
    <w:rsid w:val="69802B13"/>
    <w:rsid w:val="69811BFE"/>
    <w:rsid w:val="69931944"/>
    <w:rsid w:val="69B40DC4"/>
    <w:rsid w:val="69CD5BD4"/>
    <w:rsid w:val="69F525FF"/>
    <w:rsid w:val="6A0C153A"/>
    <w:rsid w:val="6A0E76C1"/>
    <w:rsid w:val="6A102F95"/>
    <w:rsid w:val="6A107439"/>
    <w:rsid w:val="6A1A034C"/>
    <w:rsid w:val="6A1F09E3"/>
    <w:rsid w:val="6A242416"/>
    <w:rsid w:val="6A2517AB"/>
    <w:rsid w:val="6A2B52A9"/>
    <w:rsid w:val="6A3F1ACC"/>
    <w:rsid w:val="6A510FE3"/>
    <w:rsid w:val="6A704B5A"/>
    <w:rsid w:val="6A7C0362"/>
    <w:rsid w:val="6ABB39F5"/>
    <w:rsid w:val="6AC50223"/>
    <w:rsid w:val="6AE82164"/>
    <w:rsid w:val="6AF551E1"/>
    <w:rsid w:val="6AF82EED"/>
    <w:rsid w:val="6AF86427"/>
    <w:rsid w:val="6B081DBE"/>
    <w:rsid w:val="6B1B42E7"/>
    <w:rsid w:val="6B20689D"/>
    <w:rsid w:val="6B23319C"/>
    <w:rsid w:val="6B301415"/>
    <w:rsid w:val="6B3018EE"/>
    <w:rsid w:val="6B350646"/>
    <w:rsid w:val="6B363AAB"/>
    <w:rsid w:val="6B3873E2"/>
    <w:rsid w:val="6B4A24D7"/>
    <w:rsid w:val="6B5E2426"/>
    <w:rsid w:val="6B9E323C"/>
    <w:rsid w:val="6BB16E4F"/>
    <w:rsid w:val="6BB56455"/>
    <w:rsid w:val="6BCC7390"/>
    <w:rsid w:val="6BE94FA9"/>
    <w:rsid w:val="6BF947CC"/>
    <w:rsid w:val="6C035991"/>
    <w:rsid w:val="6C0B2149"/>
    <w:rsid w:val="6C6E6699"/>
    <w:rsid w:val="6C7A3290"/>
    <w:rsid w:val="6C8B1C1A"/>
    <w:rsid w:val="6CA51E3D"/>
    <w:rsid w:val="6CB071C9"/>
    <w:rsid w:val="6CD34D77"/>
    <w:rsid w:val="6D0F0387"/>
    <w:rsid w:val="6D0F16AF"/>
    <w:rsid w:val="6D143A89"/>
    <w:rsid w:val="6D17249C"/>
    <w:rsid w:val="6D45389E"/>
    <w:rsid w:val="6D5E18F5"/>
    <w:rsid w:val="6D7955B3"/>
    <w:rsid w:val="6D8B63EC"/>
    <w:rsid w:val="6DD616F3"/>
    <w:rsid w:val="6DD62421"/>
    <w:rsid w:val="6E186E70"/>
    <w:rsid w:val="6E201C15"/>
    <w:rsid w:val="6E3A0B40"/>
    <w:rsid w:val="6E4B103C"/>
    <w:rsid w:val="6E4E0530"/>
    <w:rsid w:val="6E580C9C"/>
    <w:rsid w:val="6E62222D"/>
    <w:rsid w:val="6E706117"/>
    <w:rsid w:val="6E79170D"/>
    <w:rsid w:val="6E7C32EF"/>
    <w:rsid w:val="6EA2087C"/>
    <w:rsid w:val="6EDF73DA"/>
    <w:rsid w:val="6EE03EC0"/>
    <w:rsid w:val="6F0E50B8"/>
    <w:rsid w:val="6F125A01"/>
    <w:rsid w:val="6F196D90"/>
    <w:rsid w:val="6F72024E"/>
    <w:rsid w:val="6F7D5FA4"/>
    <w:rsid w:val="6F92031C"/>
    <w:rsid w:val="6FB77D12"/>
    <w:rsid w:val="6FE05419"/>
    <w:rsid w:val="6FE16EE1"/>
    <w:rsid w:val="70156F46"/>
    <w:rsid w:val="703A67DC"/>
    <w:rsid w:val="70483BF2"/>
    <w:rsid w:val="704A532F"/>
    <w:rsid w:val="704C4F43"/>
    <w:rsid w:val="70536748"/>
    <w:rsid w:val="7056191E"/>
    <w:rsid w:val="707D6EAA"/>
    <w:rsid w:val="70880211"/>
    <w:rsid w:val="70A703CB"/>
    <w:rsid w:val="70CA1025"/>
    <w:rsid w:val="70CE6786"/>
    <w:rsid w:val="70DD1BA1"/>
    <w:rsid w:val="70FD13AF"/>
    <w:rsid w:val="711A7541"/>
    <w:rsid w:val="71204515"/>
    <w:rsid w:val="713B1372"/>
    <w:rsid w:val="716B211A"/>
    <w:rsid w:val="71744751"/>
    <w:rsid w:val="717604C9"/>
    <w:rsid w:val="71902C0D"/>
    <w:rsid w:val="71AA5510"/>
    <w:rsid w:val="71AD0DB2"/>
    <w:rsid w:val="71BE11A3"/>
    <w:rsid w:val="71CA6073"/>
    <w:rsid w:val="71D73AE0"/>
    <w:rsid w:val="7200001E"/>
    <w:rsid w:val="72083E75"/>
    <w:rsid w:val="72287C47"/>
    <w:rsid w:val="7246696A"/>
    <w:rsid w:val="7255295D"/>
    <w:rsid w:val="726020EC"/>
    <w:rsid w:val="72807855"/>
    <w:rsid w:val="72B05B37"/>
    <w:rsid w:val="72C54B39"/>
    <w:rsid w:val="72C83C00"/>
    <w:rsid w:val="730E4732"/>
    <w:rsid w:val="732A69DD"/>
    <w:rsid w:val="733B506B"/>
    <w:rsid w:val="733E5017"/>
    <w:rsid w:val="73412D45"/>
    <w:rsid w:val="734A6984"/>
    <w:rsid w:val="73515C81"/>
    <w:rsid w:val="73674D02"/>
    <w:rsid w:val="737C4833"/>
    <w:rsid w:val="738370EC"/>
    <w:rsid w:val="73A56E44"/>
    <w:rsid w:val="73C211FE"/>
    <w:rsid w:val="73E7745D"/>
    <w:rsid w:val="73E9475B"/>
    <w:rsid w:val="73F867D0"/>
    <w:rsid w:val="7423447C"/>
    <w:rsid w:val="74367A9C"/>
    <w:rsid w:val="743B3304"/>
    <w:rsid w:val="7451427E"/>
    <w:rsid w:val="74571C24"/>
    <w:rsid w:val="74650381"/>
    <w:rsid w:val="74754AD5"/>
    <w:rsid w:val="747E4204"/>
    <w:rsid w:val="74911301"/>
    <w:rsid w:val="749F61E3"/>
    <w:rsid w:val="74AE049B"/>
    <w:rsid w:val="74D07EF1"/>
    <w:rsid w:val="74F0512C"/>
    <w:rsid w:val="75100EB7"/>
    <w:rsid w:val="75507BBA"/>
    <w:rsid w:val="75596138"/>
    <w:rsid w:val="75666953"/>
    <w:rsid w:val="75722DB1"/>
    <w:rsid w:val="757D2CAE"/>
    <w:rsid w:val="758273AA"/>
    <w:rsid w:val="75945608"/>
    <w:rsid w:val="75A0270B"/>
    <w:rsid w:val="75A0379B"/>
    <w:rsid w:val="75AA684B"/>
    <w:rsid w:val="75C54696"/>
    <w:rsid w:val="75CD61DE"/>
    <w:rsid w:val="75D51537"/>
    <w:rsid w:val="75E1612D"/>
    <w:rsid w:val="75E8143D"/>
    <w:rsid w:val="75E874BC"/>
    <w:rsid w:val="762A3631"/>
    <w:rsid w:val="763563AC"/>
    <w:rsid w:val="764C7A4B"/>
    <w:rsid w:val="766F54E7"/>
    <w:rsid w:val="767174B1"/>
    <w:rsid w:val="768005D5"/>
    <w:rsid w:val="76A20849"/>
    <w:rsid w:val="76AE6010"/>
    <w:rsid w:val="76E52316"/>
    <w:rsid w:val="76ED62F7"/>
    <w:rsid w:val="77185B7F"/>
    <w:rsid w:val="77290059"/>
    <w:rsid w:val="77356731"/>
    <w:rsid w:val="773A3D47"/>
    <w:rsid w:val="773B1910"/>
    <w:rsid w:val="774B036C"/>
    <w:rsid w:val="77654CEA"/>
    <w:rsid w:val="776718A0"/>
    <w:rsid w:val="77701517"/>
    <w:rsid w:val="778F2152"/>
    <w:rsid w:val="779055B5"/>
    <w:rsid w:val="779A73D7"/>
    <w:rsid w:val="77A37E61"/>
    <w:rsid w:val="77A74AE9"/>
    <w:rsid w:val="77C356D5"/>
    <w:rsid w:val="77CD0717"/>
    <w:rsid w:val="77D355E5"/>
    <w:rsid w:val="77FC5E57"/>
    <w:rsid w:val="78025FB1"/>
    <w:rsid w:val="780E632E"/>
    <w:rsid w:val="783E1615"/>
    <w:rsid w:val="784A46F8"/>
    <w:rsid w:val="785A2E96"/>
    <w:rsid w:val="78743289"/>
    <w:rsid w:val="787D168B"/>
    <w:rsid w:val="788F76D2"/>
    <w:rsid w:val="789C675D"/>
    <w:rsid w:val="789D7ED1"/>
    <w:rsid w:val="78A15440"/>
    <w:rsid w:val="78A3722B"/>
    <w:rsid w:val="78B10039"/>
    <w:rsid w:val="78B6437D"/>
    <w:rsid w:val="78BD5024"/>
    <w:rsid w:val="78C22246"/>
    <w:rsid w:val="78CF59BC"/>
    <w:rsid w:val="78F37C40"/>
    <w:rsid w:val="79056756"/>
    <w:rsid w:val="79305F6E"/>
    <w:rsid w:val="79A33E26"/>
    <w:rsid w:val="79A656C4"/>
    <w:rsid w:val="79AC3733"/>
    <w:rsid w:val="79BA116F"/>
    <w:rsid w:val="79C86F72"/>
    <w:rsid w:val="79E32474"/>
    <w:rsid w:val="7A016D9E"/>
    <w:rsid w:val="7A116D77"/>
    <w:rsid w:val="7A262665"/>
    <w:rsid w:val="7A2F605F"/>
    <w:rsid w:val="7A403193"/>
    <w:rsid w:val="7A4D1FE3"/>
    <w:rsid w:val="7A6A0BEA"/>
    <w:rsid w:val="7A756E44"/>
    <w:rsid w:val="7A7914E4"/>
    <w:rsid w:val="7A795BAE"/>
    <w:rsid w:val="7A840C8C"/>
    <w:rsid w:val="7A8B6884"/>
    <w:rsid w:val="7A944E86"/>
    <w:rsid w:val="7A9906A5"/>
    <w:rsid w:val="7A9929DA"/>
    <w:rsid w:val="7AAA4D40"/>
    <w:rsid w:val="7AC31EC5"/>
    <w:rsid w:val="7ADD40E9"/>
    <w:rsid w:val="7AE14B5A"/>
    <w:rsid w:val="7AE87E91"/>
    <w:rsid w:val="7AFA749C"/>
    <w:rsid w:val="7B0028C5"/>
    <w:rsid w:val="7B056C41"/>
    <w:rsid w:val="7B0A57DF"/>
    <w:rsid w:val="7B136D89"/>
    <w:rsid w:val="7B15607E"/>
    <w:rsid w:val="7B225A37"/>
    <w:rsid w:val="7B285B94"/>
    <w:rsid w:val="7B423576"/>
    <w:rsid w:val="7B4F4A6F"/>
    <w:rsid w:val="7B4F7C63"/>
    <w:rsid w:val="7B5C19EF"/>
    <w:rsid w:val="7B607BA8"/>
    <w:rsid w:val="7B885826"/>
    <w:rsid w:val="7BC2122B"/>
    <w:rsid w:val="7BC71559"/>
    <w:rsid w:val="7BC9561B"/>
    <w:rsid w:val="7BDA43CC"/>
    <w:rsid w:val="7BDD5D4D"/>
    <w:rsid w:val="7BE42D84"/>
    <w:rsid w:val="7BFA5853"/>
    <w:rsid w:val="7BFC5A6F"/>
    <w:rsid w:val="7C0B6643"/>
    <w:rsid w:val="7C0E3AED"/>
    <w:rsid w:val="7C0E7550"/>
    <w:rsid w:val="7C286864"/>
    <w:rsid w:val="7C2D27B8"/>
    <w:rsid w:val="7C4A6F96"/>
    <w:rsid w:val="7C4B79CC"/>
    <w:rsid w:val="7C5A78DD"/>
    <w:rsid w:val="7C643D1C"/>
    <w:rsid w:val="7C745C92"/>
    <w:rsid w:val="7C7A7D18"/>
    <w:rsid w:val="7C806A6D"/>
    <w:rsid w:val="7C914409"/>
    <w:rsid w:val="7CB926AE"/>
    <w:rsid w:val="7CD0340F"/>
    <w:rsid w:val="7CD42548"/>
    <w:rsid w:val="7CDB38D7"/>
    <w:rsid w:val="7CE94BE1"/>
    <w:rsid w:val="7D125D1A"/>
    <w:rsid w:val="7D2012E9"/>
    <w:rsid w:val="7D4D1BB7"/>
    <w:rsid w:val="7D5067B0"/>
    <w:rsid w:val="7D6E26DE"/>
    <w:rsid w:val="7D713CF1"/>
    <w:rsid w:val="7D7A5E85"/>
    <w:rsid w:val="7D7F083B"/>
    <w:rsid w:val="7D8B70AB"/>
    <w:rsid w:val="7D9357F1"/>
    <w:rsid w:val="7D9961FE"/>
    <w:rsid w:val="7D9E22E9"/>
    <w:rsid w:val="7DC73E5B"/>
    <w:rsid w:val="7DCF7A9B"/>
    <w:rsid w:val="7DE46F41"/>
    <w:rsid w:val="7E237E00"/>
    <w:rsid w:val="7E2D0162"/>
    <w:rsid w:val="7E2E3EDA"/>
    <w:rsid w:val="7E491928"/>
    <w:rsid w:val="7E4F0AB8"/>
    <w:rsid w:val="7E526D48"/>
    <w:rsid w:val="7E594419"/>
    <w:rsid w:val="7E5C0A47"/>
    <w:rsid w:val="7E5F5E41"/>
    <w:rsid w:val="7E6E2528"/>
    <w:rsid w:val="7E6F63C2"/>
    <w:rsid w:val="7EB459DD"/>
    <w:rsid w:val="7ED07DA7"/>
    <w:rsid w:val="7ED35753"/>
    <w:rsid w:val="7F1B445E"/>
    <w:rsid w:val="7F1D77A1"/>
    <w:rsid w:val="7F2C3C3F"/>
    <w:rsid w:val="7F3B2FEB"/>
    <w:rsid w:val="7F494C50"/>
    <w:rsid w:val="7F651158"/>
    <w:rsid w:val="7F7156E2"/>
    <w:rsid w:val="7F871802"/>
    <w:rsid w:val="7FAE52D2"/>
    <w:rsid w:val="7FB03369"/>
    <w:rsid w:val="7FB52621"/>
    <w:rsid w:val="7FE51CC9"/>
    <w:rsid w:val="7FE9182C"/>
    <w:rsid w:val="7FEC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widowControl/>
      <w:tabs>
        <w:tab w:val="left" w:pos="432"/>
      </w:tabs>
      <w:ind w:left="432" w:hanging="432"/>
      <w:jc w:val="center"/>
      <w:outlineLvl w:val="0"/>
    </w:pPr>
    <w:rPr>
      <w:rFonts w:ascii="黑体"/>
      <w:b/>
      <w:kern w:val="0"/>
      <w:sz w:val="32"/>
      <w:szCs w:val="20"/>
    </w:rPr>
  </w:style>
  <w:style w:type="paragraph" w:styleId="5">
    <w:name w:val="heading 2"/>
    <w:basedOn w:val="1"/>
    <w:next w:val="1"/>
    <w:link w:val="81"/>
    <w:autoRedefine/>
    <w:qFormat/>
    <w:uiPriority w:val="0"/>
    <w:pPr>
      <w:keepNext/>
      <w:keepLines/>
      <w:spacing w:before="260" w:after="260" w:line="413" w:lineRule="auto"/>
      <w:jc w:val="left"/>
      <w:outlineLvl w:val="1"/>
    </w:pPr>
    <w:rPr>
      <w:rFonts w:ascii="Arial" w:hAnsi="Arial"/>
      <w:b/>
      <w:bCs/>
      <w:sz w:val="30"/>
      <w:szCs w:val="32"/>
    </w:rPr>
  </w:style>
  <w:style w:type="paragraph" w:styleId="6">
    <w:name w:val="heading 3"/>
    <w:basedOn w:val="1"/>
    <w:next w:val="1"/>
    <w:autoRedefine/>
    <w:qFormat/>
    <w:uiPriority w:val="0"/>
    <w:pPr>
      <w:keepNext/>
      <w:keepLines/>
      <w:spacing w:line="360" w:lineRule="auto"/>
      <w:ind w:firstLine="200" w:firstLineChars="200"/>
      <w:outlineLvl w:val="2"/>
    </w:pPr>
    <w:rPr>
      <w:b/>
      <w:bCs/>
      <w:szCs w:val="32"/>
    </w:rPr>
  </w:style>
  <w:style w:type="paragraph" w:styleId="7">
    <w:name w:val="heading 4"/>
    <w:basedOn w:val="1"/>
    <w:next w:val="8"/>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9"/>
    <w:basedOn w:val="1"/>
    <w:next w:val="1"/>
    <w:qFormat/>
    <w:uiPriority w:val="0"/>
    <w:pPr>
      <w:keepNext/>
      <w:keepLines/>
      <w:widowControl w:val="0"/>
      <w:spacing w:before="240" w:after="64" w:line="319" w:lineRule="auto"/>
      <w:outlineLvl w:val="8"/>
    </w:pPr>
    <w:rPr>
      <w:rFonts w:ascii="Arial" w:hAnsi="Arial" w:eastAsia="黑体"/>
      <w:kern w:val="0"/>
      <w:sz w:val="20"/>
      <w:szCs w:val="21"/>
    </w:rPr>
  </w:style>
  <w:style w:type="character" w:default="1" w:styleId="33">
    <w:name w:val="Default Paragraph Font"/>
    <w:autoRedefine/>
    <w:unhideWhenUsed/>
    <w:qFormat/>
    <w:uiPriority w:val="1"/>
  </w:style>
  <w:style w:type="table" w:default="1" w:styleId="31">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ind w:left="0" w:leftChars="0" w:firstLine="420" w:firstLineChars="200"/>
    </w:pPr>
    <w:rPr>
      <w:spacing w:val="4"/>
      <w:sz w:val="24"/>
      <w:szCs w:val="24"/>
    </w:rPr>
  </w:style>
  <w:style w:type="paragraph" w:styleId="3">
    <w:name w:val="Body Text Indent"/>
    <w:basedOn w:val="1"/>
    <w:autoRedefine/>
    <w:qFormat/>
    <w:uiPriority w:val="99"/>
    <w:pPr>
      <w:spacing w:after="120"/>
      <w:ind w:left="420" w:leftChars="200"/>
    </w:pPr>
    <w:rPr>
      <w:kern w:val="0"/>
      <w:sz w:val="20"/>
    </w:rPr>
  </w:style>
  <w:style w:type="paragraph" w:styleId="8">
    <w:name w:val="Normal Indent"/>
    <w:basedOn w:val="1"/>
    <w:autoRedefine/>
    <w:qFormat/>
    <w:uiPriority w:val="99"/>
    <w:pPr>
      <w:ind w:firstLine="560" w:firstLineChars="200"/>
    </w:pPr>
    <w:rPr>
      <w:sz w:val="28"/>
      <w:szCs w:val="24"/>
    </w:rPr>
  </w:style>
  <w:style w:type="paragraph" w:styleId="10">
    <w:name w:val="annotation text"/>
    <w:basedOn w:val="1"/>
    <w:autoRedefine/>
    <w:qFormat/>
    <w:uiPriority w:val="0"/>
    <w:pPr>
      <w:adjustRightInd w:val="0"/>
      <w:spacing w:line="360" w:lineRule="atLeast"/>
      <w:jc w:val="left"/>
      <w:textAlignment w:val="baseline"/>
    </w:pPr>
    <w:rPr>
      <w:kern w:val="0"/>
    </w:rPr>
  </w:style>
  <w:style w:type="paragraph" w:styleId="11">
    <w:name w:val="Body Text"/>
    <w:basedOn w:val="1"/>
    <w:next w:val="1"/>
    <w:autoRedefine/>
    <w:qFormat/>
    <w:uiPriority w:val="99"/>
    <w:rPr>
      <w:kern w:val="0"/>
      <w:sz w:val="24"/>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99"/>
    <w:rPr>
      <w:rFonts w:ascii="宋体"/>
      <w:kern w:val="0"/>
      <w:szCs w:val="21"/>
    </w:rPr>
  </w:style>
  <w:style w:type="paragraph" w:styleId="14">
    <w:name w:val="Date"/>
    <w:basedOn w:val="1"/>
    <w:next w:val="1"/>
    <w:autoRedefine/>
    <w:qFormat/>
    <w:uiPriority w:val="0"/>
    <w:pPr>
      <w:ind w:left="100" w:leftChars="2500"/>
    </w:pPr>
  </w:style>
  <w:style w:type="paragraph" w:styleId="15">
    <w:name w:val="Body Text Indent 2"/>
    <w:basedOn w:val="1"/>
    <w:autoRedefine/>
    <w:qFormat/>
    <w:uiPriority w:val="0"/>
    <w:pPr>
      <w:widowControl/>
      <w:spacing w:line="360" w:lineRule="auto"/>
      <w:ind w:firstLine="480" w:firstLineChars="200"/>
      <w:jc w:val="left"/>
    </w:pPr>
    <w:rPr>
      <w:kern w:val="0"/>
      <w:sz w:val="24"/>
      <w:szCs w:val="20"/>
    </w:rPr>
  </w:style>
  <w:style w:type="paragraph" w:styleId="16">
    <w:name w:val="Balloon Text"/>
    <w:basedOn w:val="1"/>
    <w:link w:val="55"/>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envelope return"/>
    <w:basedOn w:val="1"/>
    <w:autoRedefine/>
    <w:qFormat/>
    <w:uiPriority w:val="99"/>
    <w:pPr>
      <w:snapToGrid w:val="0"/>
    </w:pPr>
    <w:rPr>
      <w:rFonts w:ascii="Arial" w:hAnsi="Arial"/>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style>
  <w:style w:type="paragraph" w:styleId="21">
    <w:name w:val="table of figures"/>
    <w:basedOn w:val="1"/>
    <w:next w:val="1"/>
    <w:autoRedefine/>
    <w:qFormat/>
    <w:uiPriority w:val="99"/>
    <w:pPr>
      <w:spacing w:line="360" w:lineRule="auto"/>
      <w:ind w:left="840" w:leftChars="200" w:hanging="420" w:hangingChars="200"/>
    </w:pPr>
    <w:rPr>
      <w:sz w:val="24"/>
    </w:rPr>
  </w:style>
  <w:style w:type="paragraph" w:styleId="22">
    <w:name w:val="toc 2"/>
    <w:basedOn w:val="1"/>
    <w:next w:val="1"/>
    <w:autoRedefine/>
    <w:qFormat/>
    <w:uiPriority w:val="0"/>
    <w:pPr>
      <w:tabs>
        <w:tab w:val="right" w:leader="dot" w:pos="9060"/>
      </w:tabs>
      <w:spacing w:line="440" w:lineRule="exact"/>
    </w:pPr>
    <w:rPr>
      <w:sz w:val="24"/>
    </w:rPr>
  </w:style>
  <w:style w:type="paragraph" w:styleId="23">
    <w:name w:val="Body Text 2"/>
    <w:basedOn w:val="1"/>
    <w:next w:val="11"/>
    <w:autoRedefine/>
    <w:qFormat/>
    <w:uiPriority w:val="0"/>
    <w:rPr>
      <w:b/>
    </w:rPr>
  </w:style>
  <w:style w:type="paragraph" w:styleId="24">
    <w:name w:val="List Continue 2"/>
    <w:basedOn w:val="1"/>
    <w:autoRedefine/>
    <w:qFormat/>
    <w:uiPriority w:val="0"/>
    <w:pPr>
      <w:spacing w:after="120"/>
      <w:ind w:left="840" w:leftChars="400"/>
    </w:pPr>
  </w:style>
  <w:style w:type="paragraph" w:styleId="2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6" w:lineRule="atLeast"/>
      <w:jc w:val="left"/>
    </w:pPr>
    <w:rPr>
      <w:rFonts w:ascii="Arial" w:hAnsi="Arial"/>
      <w:kern w:val="0"/>
      <w:sz w:val="25"/>
      <w:szCs w:val="25"/>
    </w:rPr>
  </w:style>
  <w:style w:type="paragraph" w:styleId="27">
    <w:name w:val="Normal (Web)"/>
    <w:basedOn w:val="1"/>
    <w:autoRedefine/>
    <w:qFormat/>
    <w:uiPriority w:val="99"/>
    <w:pPr>
      <w:widowControl/>
      <w:spacing w:afterAutospacing="1"/>
      <w:jc w:val="left"/>
    </w:pPr>
    <w:rPr>
      <w:rFonts w:ascii="宋体" w:hAnsi="宋体"/>
      <w:kern w:val="0"/>
      <w:sz w:val="24"/>
    </w:rPr>
  </w:style>
  <w:style w:type="paragraph" w:styleId="28">
    <w:name w:val="index 1"/>
    <w:basedOn w:val="1"/>
    <w:next w:val="1"/>
    <w:qFormat/>
    <w:uiPriority w:val="0"/>
    <w:pPr>
      <w:widowControl w:val="0"/>
      <w:autoSpaceDE/>
      <w:autoSpaceDN/>
      <w:spacing w:before="0" w:after="0" w:line="240" w:lineRule="auto"/>
      <w:ind w:left="0" w:firstLine="0"/>
      <w:jc w:val="both"/>
    </w:pPr>
    <w:rPr>
      <w:rFonts w:ascii="Times New Roman" w:eastAsia="宋体"/>
      <w:sz w:val="21"/>
    </w:rPr>
  </w:style>
  <w:style w:type="paragraph" w:styleId="29">
    <w:name w:val="Title"/>
    <w:basedOn w:val="1"/>
    <w:autoRedefine/>
    <w:qFormat/>
    <w:uiPriority w:val="0"/>
    <w:pPr>
      <w:spacing w:line="360" w:lineRule="auto"/>
      <w:jc w:val="center"/>
      <w:outlineLvl w:val="0"/>
    </w:pPr>
    <w:rPr>
      <w:rFonts w:ascii="宋体" w:hAnsi="宋体"/>
      <w:b/>
      <w:sz w:val="28"/>
      <w:szCs w:val="28"/>
    </w:rPr>
  </w:style>
  <w:style w:type="paragraph" w:styleId="30">
    <w:name w:val="Body Text First Indent"/>
    <w:basedOn w:val="11"/>
    <w:autoRedefine/>
    <w:qFormat/>
    <w:uiPriority w:val="0"/>
    <w:pPr>
      <w:ind w:firstLine="420" w:firstLineChars="100"/>
    </w:pPr>
    <w:rPr>
      <w:rFonts w:eastAsia="仿宋_GB2312"/>
      <w:sz w:val="28"/>
    </w:rPr>
  </w:style>
  <w:style w:type="table" w:styleId="32">
    <w:name w:val="Table Grid"/>
    <w:basedOn w:val="3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bCs/>
    </w:rPr>
  </w:style>
  <w:style w:type="character" w:styleId="35">
    <w:name w:val="page number"/>
    <w:basedOn w:val="33"/>
    <w:autoRedefine/>
    <w:qFormat/>
    <w:uiPriority w:val="0"/>
  </w:style>
  <w:style w:type="character" w:styleId="36">
    <w:name w:val="FollowedHyperlink"/>
    <w:basedOn w:val="33"/>
    <w:autoRedefine/>
    <w:unhideWhenUsed/>
    <w:qFormat/>
    <w:uiPriority w:val="99"/>
    <w:rPr>
      <w:rFonts w:hint="eastAsia" w:ascii="微软雅黑" w:hAnsi="微软雅黑" w:eastAsia="微软雅黑" w:cs="微软雅黑"/>
      <w:color w:val="428BCA"/>
      <w:u w:val="none"/>
    </w:rPr>
  </w:style>
  <w:style w:type="character" w:styleId="37">
    <w:name w:val="Emphasis"/>
    <w:basedOn w:val="33"/>
    <w:qFormat/>
    <w:uiPriority w:val="0"/>
  </w:style>
  <w:style w:type="character" w:styleId="38">
    <w:name w:val="HTML Definition"/>
    <w:basedOn w:val="33"/>
    <w:autoRedefine/>
    <w:qFormat/>
    <w:uiPriority w:val="0"/>
    <w:rPr>
      <w:i/>
      <w:iCs/>
    </w:rPr>
  </w:style>
  <w:style w:type="character" w:styleId="39">
    <w:name w:val="HTML Typewriter"/>
    <w:basedOn w:val="33"/>
    <w:qFormat/>
    <w:uiPriority w:val="0"/>
    <w:rPr>
      <w:rFonts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autoRedefine/>
    <w:qFormat/>
    <w:uiPriority w:val="99"/>
    <w:rPr>
      <w:rFonts w:ascii="微软雅黑" w:hAnsi="微软雅黑" w:eastAsia="微软雅黑" w:cs="微软雅黑"/>
      <w:color w:val="428BCA"/>
      <w:u w:val="none"/>
    </w:rPr>
  </w:style>
  <w:style w:type="character" w:styleId="43">
    <w:name w:val="HTML Code"/>
    <w:basedOn w:val="33"/>
    <w:autoRedefine/>
    <w:qFormat/>
    <w:uiPriority w:val="0"/>
    <w:rPr>
      <w:rFonts w:ascii="Consolas" w:hAnsi="Consolas" w:eastAsia="Consolas" w:cs="Consolas"/>
      <w:color w:val="C7254E"/>
      <w:sz w:val="21"/>
      <w:szCs w:val="21"/>
      <w:shd w:val="clear" w:color="auto" w:fill="F9F2F4"/>
    </w:rPr>
  </w:style>
  <w:style w:type="character" w:styleId="44">
    <w:name w:val="HTML Cite"/>
    <w:basedOn w:val="33"/>
    <w:qFormat/>
    <w:uiPriority w:val="0"/>
  </w:style>
  <w:style w:type="character" w:styleId="45">
    <w:name w:val="HTML Keyboard"/>
    <w:basedOn w:val="33"/>
    <w:autoRedefine/>
    <w:qFormat/>
    <w:uiPriority w:val="0"/>
    <w:rPr>
      <w:rFonts w:hint="default" w:ascii="Consolas" w:hAnsi="Consolas" w:eastAsia="Consolas" w:cs="Consolas"/>
      <w:color w:val="FFFFFF"/>
      <w:sz w:val="21"/>
      <w:szCs w:val="21"/>
      <w:shd w:val="clear" w:color="auto" w:fill="333333"/>
    </w:rPr>
  </w:style>
  <w:style w:type="character" w:styleId="46">
    <w:name w:val="HTML Sample"/>
    <w:basedOn w:val="33"/>
    <w:autoRedefine/>
    <w:qFormat/>
    <w:uiPriority w:val="0"/>
    <w:rPr>
      <w:rFonts w:hint="default" w:ascii="Consolas" w:hAnsi="Consolas" w:eastAsia="Consolas" w:cs="Consolas"/>
      <w:sz w:val="21"/>
      <w:szCs w:val="21"/>
    </w:rPr>
  </w:style>
  <w:style w:type="paragraph" w:customStyle="1" w:styleId="47">
    <w:name w:val="无间隔1"/>
    <w:basedOn w:val="1"/>
    <w:autoRedefine/>
    <w:qFormat/>
    <w:uiPriority w:val="99"/>
    <w:pPr>
      <w:spacing w:line="400" w:lineRule="exact"/>
    </w:pPr>
    <w:rPr>
      <w:sz w:val="24"/>
    </w:rPr>
  </w:style>
  <w:style w:type="paragraph" w:customStyle="1" w:styleId="48">
    <w:name w:val="Default"/>
    <w:basedOn w:val="13"/>
    <w:next w:val="4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大标题"/>
    <w:basedOn w:val="1"/>
    <w:next w:val="2"/>
    <w:autoRedefine/>
    <w:qFormat/>
    <w:uiPriority w:val="99"/>
    <w:pPr>
      <w:jc w:val="center"/>
    </w:pPr>
    <w:rPr>
      <w:rFonts w:ascii="Arial" w:hAnsi="Arial" w:cs="Arial"/>
      <w:b/>
      <w:bCs/>
      <w:sz w:val="28"/>
      <w:szCs w:val="28"/>
    </w:rPr>
  </w:style>
  <w:style w:type="paragraph" w:customStyle="1" w:styleId="50">
    <w:name w:val="No Spacing1"/>
    <w:basedOn w:val="1"/>
    <w:autoRedefine/>
    <w:qFormat/>
    <w:uiPriority w:val="0"/>
    <w:pPr>
      <w:spacing w:line="400" w:lineRule="exact"/>
    </w:pPr>
    <w:rPr>
      <w:sz w:val="24"/>
    </w:rPr>
  </w:style>
  <w:style w:type="paragraph" w:customStyle="1" w:styleId="51">
    <w:name w:val="style4"/>
    <w:basedOn w:val="1"/>
    <w:next w:val="52"/>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52">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TOC Heading1"/>
    <w:next w:val="1"/>
    <w:autoRedefine/>
    <w:unhideWhenUsed/>
    <w:qFormat/>
    <w:uiPriority w:val="0"/>
    <w:pPr>
      <w:wordWrap w:val="0"/>
      <w:spacing w:beforeLines="0" w:afterLines="0"/>
    </w:pPr>
    <w:rPr>
      <w:rFonts w:hint="eastAsia" w:ascii="Times New Roman" w:hAnsi="Times New Roman" w:eastAsia="Times New Roman" w:cs="Times New Roman"/>
      <w:sz w:val="32"/>
      <w:szCs w:val="22"/>
      <w:lang w:val="en-US" w:eastAsia="zh-CN" w:bidi="ar-SA"/>
    </w:rPr>
  </w:style>
  <w:style w:type="character" w:customStyle="1" w:styleId="55">
    <w:name w:val="批注框文本 Char"/>
    <w:basedOn w:val="33"/>
    <w:link w:val="16"/>
    <w:autoRedefine/>
    <w:qFormat/>
    <w:uiPriority w:val="0"/>
    <w:rPr>
      <w:kern w:val="2"/>
      <w:sz w:val="18"/>
      <w:szCs w:val="18"/>
    </w:rPr>
  </w:style>
  <w:style w:type="paragraph" w:customStyle="1" w:styleId="56">
    <w:name w:val="p0"/>
    <w:basedOn w:val="1"/>
    <w:autoRedefine/>
    <w:unhideWhenUsed/>
    <w:qFormat/>
    <w:uiPriority w:val="99"/>
    <w:pPr>
      <w:widowControl/>
    </w:pPr>
    <w:rPr>
      <w:rFonts w:hint="eastAsia"/>
    </w:rPr>
  </w:style>
  <w:style w:type="paragraph" w:customStyle="1" w:styleId="57">
    <w:name w:val="列出段落1"/>
    <w:basedOn w:val="1"/>
    <w:autoRedefine/>
    <w:qFormat/>
    <w:uiPriority w:val="34"/>
    <w:pPr>
      <w:ind w:firstLine="420" w:firstLineChars="200"/>
    </w:pPr>
  </w:style>
  <w:style w:type="paragraph" w:customStyle="1" w:styleId="58">
    <w:name w:val="xl66"/>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59">
    <w:name w:val="xl6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60">
    <w:name w:val="xl6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61">
    <w:name w:val="xl6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62">
    <w:name w:val="xl70"/>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3">
    <w:name w:val="xl71"/>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64">
    <w:name w:val="xl72"/>
    <w:basedOn w:val="1"/>
    <w:autoRedefine/>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65">
    <w:name w:val="xl73"/>
    <w:basedOn w:val="1"/>
    <w:autoRedefine/>
    <w:qFormat/>
    <w:uiPriority w:val="0"/>
    <w:pPr>
      <w:widowControl/>
      <w:shd w:val="clear" w:color="FFFFFF" w:fill="FFFFFF"/>
      <w:spacing w:before="100" w:beforeAutospacing="1" w:after="100" w:afterAutospacing="1"/>
      <w:jc w:val="center"/>
      <w:textAlignment w:val="center"/>
    </w:pPr>
    <w:rPr>
      <w:rFonts w:ascii="宋体" w:hAnsi="宋体" w:cs="宋体"/>
      <w:b/>
      <w:bCs/>
      <w:kern w:val="0"/>
      <w:sz w:val="40"/>
      <w:szCs w:val="40"/>
    </w:rPr>
  </w:style>
  <w:style w:type="paragraph" w:customStyle="1" w:styleId="66">
    <w:name w:val="xl74"/>
    <w:basedOn w:val="1"/>
    <w:autoRedefine/>
    <w:qFormat/>
    <w:uiPriority w:val="0"/>
    <w:pPr>
      <w:widowControl/>
      <w:shd w:val="clear" w:color="FFFFFF" w:fill="FFFFFF"/>
      <w:spacing w:before="100" w:beforeAutospacing="1" w:after="100" w:afterAutospacing="1"/>
      <w:jc w:val="right"/>
      <w:textAlignment w:val="center"/>
    </w:pPr>
    <w:rPr>
      <w:rFonts w:ascii="宋体" w:hAnsi="宋体" w:cs="宋体"/>
      <w:b/>
      <w:bCs/>
      <w:kern w:val="0"/>
      <w:sz w:val="40"/>
      <w:szCs w:val="40"/>
    </w:rPr>
  </w:style>
  <w:style w:type="paragraph" w:customStyle="1" w:styleId="67">
    <w:name w:val="xl75"/>
    <w:basedOn w:val="1"/>
    <w:autoRedefine/>
    <w:qFormat/>
    <w:uiPriority w:val="0"/>
    <w:pPr>
      <w:widowControl/>
      <w:shd w:val="clear" w:color="FFFFFF" w:fill="FFFFFF"/>
      <w:spacing w:before="100" w:beforeAutospacing="1" w:after="100" w:afterAutospacing="1"/>
      <w:jc w:val="left"/>
    </w:pPr>
    <w:rPr>
      <w:rFonts w:ascii="宋体" w:hAnsi="宋体" w:cs="宋体"/>
      <w:kern w:val="0"/>
      <w:sz w:val="24"/>
    </w:rPr>
  </w:style>
  <w:style w:type="paragraph" w:customStyle="1" w:styleId="68">
    <w:name w:val="xl76"/>
    <w:basedOn w:val="1"/>
    <w:autoRedefine/>
    <w:qFormat/>
    <w:uiPriority w:val="0"/>
    <w:pPr>
      <w:widowControl/>
      <w:shd w:val="clear" w:color="FFFFFF" w:fill="FFFFFF"/>
      <w:spacing w:before="100" w:beforeAutospacing="1" w:after="100" w:afterAutospacing="1"/>
      <w:jc w:val="right"/>
    </w:pPr>
    <w:rPr>
      <w:rFonts w:ascii="宋体" w:hAnsi="宋体" w:cs="宋体"/>
      <w:kern w:val="0"/>
      <w:sz w:val="24"/>
    </w:rPr>
  </w:style>
  <w:style w:type="paragraph" w:customStyle="1" w:styleId="69">
    <w:name w:val="xl77"/>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70">
    <w:name w:val="xl78"/>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71">
    <w:name w:val="xl79"/>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72">
    <w:name w:val="xl8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73">
    <w:name w:val="xl81"/>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74">
    <w:name w:val="xl82"/>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75">
    <w:name w:val="xl83"/>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76">
    <w:name w:val="xl84"/>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77">
    <w:name w:val="xl85"/>
    <w:basedOn w:val="1"/>
    <w:autoRedefine/>
    <w:qFormat/>
    <w:uiPriority w:val="0"/>
    <w:pPr>
      <w:widowControl/>
      <w:shd w:val="clear" w:color="FFFFFF" w:fill="FFFFFF"/>
      <w:spacing w:before="100" w:beforeAutospacing="1" w:after="100" w:afterAutospacing="1"/>
      <w:jc w:val="left"/>
      <w:textAlignment w:val="top"/>
    </w:pPr>
    <w:rPr>
      <w:rFonts w:ascii="宋体" w:hAnsi="宋体" w:cs="宋体"/>
      <w:kern w:val="0"/>
      <w:sz w:val="24"/>
    </w:rPr>
  </w:style>
  <w:style w:type="paragraph" w:customStyle="1" w:styleId="78">
    <w:name w:val="xl86"/>
    <w:basedOn w:val="1"/>
    <w:autoRedefine/>
    <w:qFormat/>
    <w:uiPriority w:val="0"/>
    <w:pPr>
      <w:widowControl/>
      <w:shd w:val="clear" w:color="FFFFFF" w:fill="FFFFFF"/>
      <w:spacing w:before="100" w:beforeAutospacing="1" w:after="100" w:afterAutospacing="1"/>
      <w:jc w:val="left"/>
      <w:textAlignment w:val="top"/>
    </w:pPr>
    <w:rPr>
      <w:rFonts w:ascii="宋体" w:hAnsi="宋体" w:cs="宋体"/>
      <w:kern w:val="0"/>
      <w:sz w:val="24"/>
      <w:u w:val="single"/>
    </w:rPr>
  </w:style>
  <w:style w:type="paragraph" w:customStyle="1" w:styleId="79">
    <w:name w:val="xl87"/>
    <w:basedOn w:val="1"/>
    <w:autoRedefine/>
    <w:qFormat/>
    <w:uiPriority w:val="0"/>
    <w:pPr>
      <w:widowControl/>
      <w:shd w:val="clear" w:color="FFFFFF" w:fill="FFFFFF"/>
      <w:spacing w:before="100" w:beforeAutospacing="1" w:after="100" w:afterAutospacing="1"/>
      <w:jc w:val="right"/>
      <w:textAlignment w:val="top"/>
    </w:pPr>
    <w:rPr>
      <w:rFonts w:ascii="宋体" w:hAnsi="宋体" w:cs="宋体"/>
      <w:kern w:val="0"/>
      <w:sz w:val="24"/>
    </w:rPr>
  </w:style>
  <w:style w:type="paragraph" w:customStyle="1" w:styleId="80">
    <w:name w:val="Char Char3 Char Char"/>
    <w:basedOn w:val="1"/>
    <w:autoRedefine/>
    <w:qFormat/>
    <w:uiPriority w:val="0"/>
    <w:pPr>
      <w:autoSpaceDE w:val="0"/>
      <w:autoSpaceDN w:val="0"/>
      <w:adjustRightInd w:val="0"/>
      <w:jc w:val="left"/>
    </w:pPr>
    <w:rPr>
      <w:kern w:val="0"/>
      <w:sz w:val="20"/>
    </w:rPr>
  </w:style>
  <w:style w:type="character" w:customStyle="1" w:styleId="81">
    <w:name w:val="标题 2 Char"/>
    <w:link w:val="5"/>
    <w:autoRedefine/>
    <w:qFormat/>
    <w:locked/>
    <w:uiPriority w:val="99"/>
    <w:rPr>
      <w:rFonts w:ascii="Arial" w:hAnsi="Arial"/>
      <w:b/>
      <w:bCs/>
      <w:sz w:val="30"/>
      <w:szCs w:val="32"/>
    </w:rPr>
  </w:style>
  <w:style w:type="paragraph" w:customStyle="1" w:styleId="82">
    <w:name w:val="Table Paragraph"/>
    <w:basedOn w:val="1"/>
    <w:autoRedefine/>
    <w:qFormat/>
    <w:uiPriority w:val="99"/>
    <w:rPr>
      <w:sz w:val="24"/>
    </w:rPr>
  </w:style>
  <w:style w:type="paragraph" w:customStyle="1" w:styleId="83">
    <w:name w:val="NormalIndent"/>
    <w:basedOn w:val="1"/>
    <w:autoRedefine/>
    <w:qFormat/>
    <w:uiPriority w:val="0"/>
    <w:pPr>
      <w:spacing w:line="240" w:lineRule="auto"/>
      <w:ind w:firstLine="420" w:firstLineChars="200"/>
      <w:jc w:val="both"/>
      <w:textAlignment w:val="baseline"/>
    </w:pPr>
    <w:rPr>
      <w:rFonts w:ascii="Calibri" w:hAnsi="Calibri" w:eastAsia="宋体" w:cs="Times New Roman"/>
    </w:rPr>
  </w:style>
  <w:style w:type="character" w:customStyle="1" w:styleId="84">
    <w:name w:val="UserStyle_0"/>
    <w:autoRedefine/>
    <w:semiHidden/>
    <w:qFormat/>
    <w:uiPriority w:val="0"/>
  </w:style>
  <w:style w:type="paragraph" w:customStyle="1" w:styleId="85">
    <w:name w:val="UserStyle_5"/>
    <w:basedOn w:val="1"/>
    <w:autoRedefine/>
    <w:qFormat/>
    <w:uiPriority w:val="0"/>
    <w:pPr>
      <w:widowControl/>
      <w:spacing w:line="240" w:lineRule="auto"/>
      <w:ind w:firstLine="420" w:firstLineChars="200"/>
      <w:jc w:val="both"/>
      <w:textAlignment w:val="baseline"/>
    </w:pPr>
  </w:style>
  <w:style w:type="character" w:customStyle="1" w:styleId="86">
    <w:name w:val="UserStyle_2"/>
    <w:autoRedefine/>
    <w:semiHidden/>
    <w:qFormat/>
    <w:uiPriority w:val="0"/>
    <w:rPr>
      <w:rFonts w:ascii="Times New Roman" w:hAnsi="Times New Roman" w:eastAsia="宋体" w:cs="Times New Roman"/>
      <w:color w:val="000000"/>
      <w:sz w:val="21"/>
      <w:lang w:val="en-US" w:eastAsia="zh-CN" w:bidi="ar-SA"/>
    </w:rPr>
  </w:style>
  <w:style w:type="character" w:customStyle="1" w:styleId="87">
    <w:name w:val="hover4"/>
    <w:basedOn w:val="33"/>
    <w:autoRedefine/>
    <w:qFormat/>
    <w:uiPriority w:val="0"/>
  </w:style>
  <w:style w:type="character" w:customStyle="1" w:styleId="88">
    <w:name w:val="hover5"/>
    <w:basedOn w:val="33"/>
    <w:autoRedefine/>
    <w:qFormat/>
    <w:uiPriority w:val="0"/>
  </w:style>
  <w:style w:type="paragraph" w:customStyle="1" w:styleId="89">
    <w:name w:val="Header or footer|2"/>
    <w:basedOn w:val="1"/>
    <w:autoRedefine/>
    <w:qFormat/>
    <w:uiPriority w:val="0"/>
    <w:rPr>
      <w:sz w:val="20"/>
      <w:szCs w:val="20"/>
      <w:lang w:val="zh-TW" w:eastAsia="zh-TW" w:bidi="zh-TW"/>
    </w:rPr>
  </w:style>
  <w:style w:type="paragraph" w:customStyle="1" w:styleId="90">
    <w:name w:val="Body text|1"/>
    <w:basedOn w:val="1"/>
    <w:autoRedefine/>
    <w:qFormat/>
    <w:uiPriority w:val="0"/>
    <w:pPr>
      <w:spacing w:after="20" w:line="408" w:lineRule="auto"/>
      <w:ind w:firstLine="400"/>
    </w:pPr>
    <w:rPr>
      <w:rFonts w:ascii="宋体" w:hAnsi="宋体" w:eastAsia="宋体" w:cs="宋体"/>
      <w:sz w:val="84"/>
      <w:szCs w:val="84"/>
      <w:lang w:val="zh-TW" w:eastAsia="zh-TW" w:bidi="zh-TW"/>
    </w:rPr>
  </w:style>
  <w:style w:type="paragraph" w:customStyle="1" w:styleId="91">
    <w:name w:val="Body text|2"/>
    <w:basedOn w:val="1"/>
    <w:autoRedefine/>
    <w:qFormat/>
    <w:uiPriority w:val="0"/>
    <w:rPr>
      <w:sz w:val="32"/>
      <w:szCs w:val="32"/>
      <w:shd w:val="clear" w:color="auto" w:fill="FFFFFF"/>
    </w:rPr>
  </w:style>
  <w:style w:type="character" w:customStyle="1" w:styleId="92">
    <w:name w:val="font21"/>
    <w:basedOn w:val="33"/>
    <w:autoRedefine/>
    <w:qFormat/>
    <w:uiPriority w:val="0"/>
    <w:rPr>
      <w:rFonts w:hint="eastAsia" w:ascii="宋体" w:hAnsi="宋体" w:eastAsia="宋体" w:cs="宋体"/>
      <w:b/>
      <w:bCs/>
      <w:color w:val="FF0000"/>
      <w:sz w:val="20"/>
      <w:szCs w:val="20"/>
      <w:u w:val="none"/>
    </w:rPr>
  </w:style>
  <w:style w:type="character" w:customStyle="1" w:styleId="93">
    <w:name w:val="font81"/>
    <w:basedOn w:val="33"/>
    <w:autoRedefine/>
    <w:qFormat/>
    <w:uiPriority w:val="0"/>
    <w:rPr>
      <w:rFonts w:hint="eastAsia" w:ascii="宋体" w:hAnsi="宋体" w:eastAsia="宋体" w:cs="宋体"/>
      <w:color w:val="FF0000"/>
      <w:sz w:val="20"/>
      <w:szCs w:val="20"/>
      <w:u w:val="none"/>
    </w:rPr>
  </w:style>
  <w:style w:type="character" w:customStyle="1" w:styleId="94">
    <w:name w:val="font61"/>
    <w:basedOn w:val="33"/>
    <w:autoRedefine/>
    <w:qFormat/>
    <w:uiPriority w:val="0"/>
    <w:rPr>
      <w:rFonts w:hint="eastAsia" w:ascii="宋体" w:hAnsi="宋体" w:eastAsia="宋体" w:cs="宋体"/>
      <w:color w:val="000000"/>
      <w:sz w:val="20"/>
      <w:szCs w:val="20"/>
      <w:u w:val="none"/>
    </w:rPr>
  </w:style>
  <w:style w:type="character" w:customStyle="1" w:styleId="95">
    <w:name w:val="font71"/>
    <w:basedOn w:val="33"/>
    <w:autoRedefine/>
    <w:qFormat/>
    <w:uiPriority w:val="0"/>
    <w:rPr>
      <w:rFonts w:hint="eastAsia" w:ascii="宋体" w:hAnsi="宋体" w:eastAsia="宋体" w:cs="宋体"/>
      <w:b/>
      <w:bCs/>
      <w:color w:val="000000"/>
      <w:sz w:val="20"/>
      <w:szCs w:val="20"/>
      <w:u w:val="none"/>
    </w:rPr>
  </w:style>
  <w:style w:type="character" w:customStyle="1" w:styleId="96">
    <w:name w:val="font91"/>
    <w:basedOn w:val="33"/>
    <w:autoRedefine/>
    <w:qFormat/>
    <w:uiPriority w:val="0"/>
    <w:rPr>
      <w:rFonts w:hint="eastAsia" w:ascii="宋体" w:hAnsi="宋体" w:eastAsia="宋体" w:cs="宋体"/>
      <w:color w:val="000000"/>
      <w:sz w:val="20"/>
      <w:szCs w:val="20"/>
      <w:u w:val="none"/>
    </w:rPr>
  </w:style>
  <w:style w:type="character" w:customStyle="1" w:styleId="97">
    <w:name w:val="font101"/>
    <w:basedOn w:val="33"/>
    <w:autoRedefine/>
    <w:qFormat/>
    <w:uiPriority w:val="0"/>
    <w:rPr>
      <w:rFonts w:hint="eastAsia" w:ascii="宋体" w:hAnsi="宋体" w:eastAsia="宋体" w:cs="宋体"/>
      <w:color w:val="000000"/>
      <w:sz w:val="20"/>
      <w:szCs w:val="20"/>
      <w:u w:val="none"/>
    </w:rPr>
  </w:style>
  <w:style w:type="character" w:customStyle="1" w:styleId="98">
    <w:name w:val="font51"/>
    <w:basedOn w:val="33"/>
    <w:autoRedefine/>
    <w:qFormat/>
    <w:uiPriority w:val="0"/>
    <w:rPr>
      <w:rFonts w:hint="eastAsia" w:ascii="宋体" w:hAnsi="宋体" w:eastAsia="宋体" w:cs="宋体"/>
      <w:color w:val="000000"/>
      <w:sz w:val="20"/>
      <w:szCs w:val="20"/>
      <w:u w:val="none"/>
    </w:rPr>
  </w:style>
  <w:style w:type="character" w:customStyle="1" w:styleId="99">
    <w:name w:val="icon_ds"/>
    <w:basedOn w:val="33"/>
    <w:autoRedefine/>
    <w:qFormat/>
    <w:uiPriority w:val="0"/>
    <w:rPr>
      <w:sz w:val="21"/>
      <w:szCs w:val="21"/>
    </w:rPr>
  </w:style>
  <w:style w:type="character" w:customStyle="1" w:styleId="100">
    <w:name w:val="icon_ds1"/>
    <w:basedOn w:val="33"/>
    <w:autoRedefine/>
    <w:qFormat/>
    <w:uiPriority w:val="0"/>
  </w:style>
  <w:style w:type="character" w:customStyle="1" w:styleId="101">
    <w:name w:val="xiadan"/>
    <w:basedOn w:val="33"/>
    <w:autoRedefine/>
    <w:qFormat/>
    <w:uiPriority w:val="0"/>
    <w:rPr>
      <w:shd w:val="clear" w:fill="E4393C"/>
    </w:rPr>
  </w:style>
  <w:style w:type="character" w:customStyle="1" w:styleId="102">
    <w:name w:val="first-child1"/>
    <w:basedOn w:val="33"/>
    <w:autoRedefine/>
    <w:qFormat/>
    <w:uiPriority w:val="0"/>
    <w:rPr>
      <w:color w:val="1F3149"/>
      <w:sz w:val="24"/>
      <w:szCs w:val="24"/>
    </w:rPr>
  </w:style>
  <w:style w:type="character" w:customStyle="1" w:styleId="103">
    <w:name w:val="fr"/>
    <w:basedOn w:val="33"/>
    <w:autoRedefine/>
    <w:qFormat/>
    <w:uiPriority w:val="0"/>
  </w:style>
  <w:style w:type="character" w:customStyle="1" w:styleId="104">
    <w:name w:val="icon_gys"/>
    <w:basedOn w:val="33"/>
    <w:autoRedefine/>
    <w:qFormat/>
    <w:uiPriority w:val="0"/>
    <w:rPr>
      <w:sz w:val="21"/>
      <w:szCs w:val="21"/>
    </w:rPr>
  </w:style>
  <w:style w:type="paragraph" w:customStyle="1" w:styleId="105">
    <w:name w:val="列表段落1"/>
    <w:basedOn w:val="1"/>
    <w:autoRedefine/>
    <w:qFormat/>
    <w:uiPriority w:val="34"/>
    <w:pPr>
      <w:ind w:firstLine="420" w:firstLineChars="200"/>
    </w:pPr>
  </w:style>
  <w:style w:type="character" w:customStyle="1" w:styleId="106">
    <w:name w:val="font11"/>
    <w:basedOn w:val="33"/>
    <w:autoRedefine/>
    <w:qFormat/>
    <w:uiPriority w:val="0"/>
    <w:rPr>
      <w:rFonts w:ascii="Arial" w:hAnsi="Arial" w:cs="Arial"/>
      <w:color w:val="000000"/>
      <w:sz w:val="24"/>
      <w:szCs w:val="24"/>
      <w:u w:val="none"/>
    </w:rPr>
  </w:style>
  <w:style w:type="character" w:customStyle="1" w:styleId="107">
    <w:name w:val="font01"/>
    <w:basedOn w:val="33"/>
    <w:autoRedefine/>
    <w:qFormat/>
    <w:uiPriority w:val="0"/>
    <w:rPr>
      <w:rFonts w:hint="eastAsia" w:ascii="宋体" w:hAnsi="宋体" w:eastAsia="宋体" w:cs="宋体"/>
      <w:color w:val="000000"/>
      <w:sz w:val="24"/>
      <w:szCs w:val="24"/>
      <w:u w:val="none"/>
    </w:rPr>
  </w:style>
  <w:style w:type="paragraph" w:customStyle="1" w:styleId="108">
    <w:name w:val="正文缩进1"/>
    <w:basedOn w:val="1"/>
    <w:autoRedefine/>
    <w:qFormat/>
    <w:uiPriority w:val="0"/>
    <w:pPr>
      <w:autoSpaceDE w:val="0"/>
      <w:autoSpaceDN w:val="0"/>
      <w:adjustRightInd w:val="0"/>
      <w:ind w:firstLine="420"/>
      <w:jc w:val="left"/>
    </w:pPr>
    <w:rPr>
      <w:rFonts w:ascii="宋体" w:hAnsi="Calibri"/>
      <w:kern w:val="0"/>
      <w:sz w:val="24"/>
      <w:szCs w:val="20"/>
    </w:rPr>
  </w:style>
  <w:style w:type="paragraph" w:customStyle="1" w:styleId="109">
    <w:name w:val="索引 11"/>
    <w:basedOn w:val="1"/>
    <w:next w:val="1"/>
    <w:autoRedefine/>
    <w:qFormat/>
    <w:uiPriority w:val="0"/>
    <w:pPr>
      <w:spacing w:line="360" w:lineRule="auto"/>
    </w:pPr>
    <w:rPr>
      <w:rFonts w:ascii="仿宋_GB2312" w:eastAsia="仿宋_GB2312"/>
      <w:sz w:val="24"/>
      <w:szCs w:val="20"/>
    </w:rPr>
  </w:style>
  <w:style w:type="paragraph" w:customStyle="1" w:styleId="110">
    <w:name w:val="纯文本1"/>
    <w:basedOn w:val="1"/>
    <w:autoRedefine/>
    <w:qFormat/>
    <w:uiPriority w:val="0"/>
    <w:rPr>
      <w:rFonts w:ascii="宋体" w:hAnsi="Courier New"/>
      <w:kern w:val="0"/>
      <w:sz w:val="20"/>
      <w:szCs w:val="20"/>
    </w:rPr>
  </w:style>
  <w:style w:type="paragraph" w:customStyle="1" w:styleId="111">
    <w:name w:val="List Paragraph"/>
    <w:basedOn w:val="1"/>
    <w:autoRedefine/>
    <w:qFormat/>
    <w:uiPriority w:val="34"/>
    <w:pPr>
      <w:ind w:firstLine="420" w:firstLineChars="200"/>
    </w:pPr>
  </w:style>
  <w:style w:type="paragraph" w:customStyle="1" w:styleId="112">
    <w:name w:val="U_编号2"/>
    <w:basedOn w:val="1"/>
    <w:autoRedefine/>
    <w:qFormat/>
    <w:uiPriority w:val="0"/>
    <w:pPr>
      <w:widowControl/>
      <w:tabs>
        <w:tab w:val="left" w:pos="720"/>
        <w:tab w:val="left" w:pos="785"/>
      </w:tabs>
      <w:adjustRightInd w:val="0"/>
      <w:snapToGrid w:val="0"/>
      <w:spacing w:beforeLines="10" w:afterLines="10" w:line="300" w:lineRule="auto"/>
      <w:ind w:left="720" w:hanging="720"/>
      <w:jc w:val="left"/>
    </w:pPr>
    <w:rPr>
      <w:rFonts w:ascii="Tahoma" w:hAnsi="Tahoma"/>
      <w:kern w:val="0"/>
      <w:sz w:val="24"/>
      <w:szCs w:val="20"/>
    </w:rPr>
  </w:style>
  <w:style w:type="paragraph" w:customStyle="1" w:styleId="113">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114">
    <w:name w:val="正文+缩进"/>
    <w:basedOn w:val="1"/>
    <w:autoRedefine/>
    <w:qFormat/>
    <w:uiPriority w:val="0"/>
    <w:pPr>
      <w:ind w:firstLine="200" w:firstLineChars="200"/>
    </w:pPr>
  </w:style>
  <w:style w:type="character" w:customStyle="1" w:styleId="115">
    <w:name w:val="NormalCharacter"/>
    <w:link w:val="1"/>
    <w:autoRedefine/>
    <w:qFormat/>
    <w:uiPriority w:val="0"/>
    <w:rPr>
      <w:rFonts w:ascii="Times New Roman" w:hAnsi="Times New Roman" w:eastAsia="宋体" w:cs="Times New Roman"/>
      <w:kern w:val="2"/>
      <w:sz w:val="21"/>
      <w:szCs w:val="24"/>
      <w:lang w:val="en-US" w:eastAsia="zh-CN" w:bidi="ar-SA"/>
    </w:rPr>
  </w:style>
  <w:style w:type="character" w:customStyle="1" w:styleId="116">
    <w:name w:val="font41"/>
    <w:basedOn w:val="33"/>
    <w:autoRedefine/>
    <w:qFormat/>
    <w:uiPriority w:val="0"/>
    <w:rPr>
      <w:rFonts w:hint="eastAsia" w:ascii="微软雅黑" w:hAnsi="微软雅黑" w:eastAsia="微软雅黑" w:cs="微软雅黑"/>
      <w:b/>
      <w:color w:val="000000"/>
      <w:sz w:val="19"/>
      <w:szCs w:val="19"/>
      <w:u w:val="none"/>
    </w:rPr>
  </w:style>
  <w:style w:type="table" w:customStyle="1" w:styleId="117">
    <w:name w:val="Table Normal"/>
    <w:basedOn w:val="31"/>
    <w:semiHidden/>
    <w:unhideWhenUsed/>
    <w:qFormat/>
    <w:uiPriority w:val="0"/>
    <w:tblPr>
      <w:tblCellMar>
        <w:top w:w="0" w:type="dxa"/>
        <w:left w:w="0" w:type="dxa"/>
        <w:bottom w:w="0" w:type="dxa"/>
        <w:right w:w="0" w:type="dxa"/>
      </w:tblCellMar>
    </w:tblPr>
  </w:style>
  <w:style w:type="paragraph" w:customStyle="1" w:styleId="118">
    <w:name w:val="Table Text"/>
    <w:basedOn w:val="1"/>
    <w:semiHidden/>
    <w:qFormat/>
    <w:uiPriority w:val="0"/>
    <w:rPr>
      <w:rFonts w:ascii="Arial" w:hAnsi="Arial" w:eastAsia="Arial" w:cs="Arial"/>
      <w:sz w:val="21"/>
      <w:szCs w:val="21"/>
      <w:lang w:val="en-US" w:eastAsia="en-US" w:bidi="ar-SA"/>
    </w:rPr>
  </w:style>
  <w:style w:type="paragraph" w:customStyle="1" w:styleId="119">
    <w:name w:val="Heading2"/>
    <w:basedOn w:val="1"/>
    <w:next w:val="1"/>
    <w:autoRedefine/>
    <w:qFormat/>
    <w:uiPriority w:val="0"/>
    <w:pPr>
      <w:keepNext/>
      <w:keepLines/>
      <w:spacing w:before="260" w:after="260" w:line="416" w:lineRule="auto"/>
      <w:jc w:val="both"/>
    </w:pPr>
    <w:rPr>
      <w:rFonts w:ascii="Arial" w:hAnsi="Arial" w:eastAsia="黑体"/>
      <w:b/>
      <w:bCs/>
      <w:kern w:val="2"/>
      <w:sz w:val="32"/>
      <w:szCs w:val="3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emf"/><Relationship Id="rId13" Type="http://schemas.openxmlformats.org/officeDocument/2006/relationships/oleObject" Target="embeddings/oleObject1.bin"/><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EC601-444F-4274-94AE-9A0E0F8BA00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55</Pages>
  <Words>12074</Words>
  <Characters>12745</Characters>
  <Lines>1</Lines>
  <Paragraphs>1</Paragraphs>
  <TotalTime>3</TotalTime>
  <ScaleCrop>false</ScaleCrop>
  <LinksUpToDate>false</LinksUpToDate>
  <CharactersWithSpaces>12928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2012-06-04T00:26:00Z</dcterms:created>
  <dc:creator>luobo</dc:creator>
  <cp:lastModifiedBy>河南联达工程管理有限公司:河南联达工程管理有限公司</cp:lastModifiedBy>
  <cp:lastPrinted>2025-03-24T03:50:00Z</cp:lastPrinted>
  <dcterms:modified xsi:type="dcterms:W3CDTF">2026-04-16T03:57:19Z</dcterms:modified>
  <dc:title>民权县实创花园一期工程施工招标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511F75B27D27483BB1E4C7D2881F0115_13</vt:lpwstr>
  </property>
  <property fmtid="{D5CDD505-2E9C-101B-9397-08002B2CF9AE}" pid="3" name="KSOProductBuildVer">
    <vt:lpwstr>2052-12.1.0.25225</vt:lpwstr>
  </property>
  <property fmtid="{D5CDD505-2E9C-101B-9397-08002B2CF9AE}" pid="4" name="KSOTemplateDocerSaveRecord">
    <vt:lpwstr>eyJoZGlkIjoiYjM5YzdmZjc5YTExZWE3ZjIyNDlmZjMwMzhiMWIzMTEiLCJ1c2VySWQiOiI4OTIxMDg3MzEifQ==</vt:lpwstr>
  </property>
</Properties>
</file>