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B58CAD0">
      <w:pPr>
        <w:snapToGrid w:val="0"/>
        <w:spacing w:line="360" w:lineRule="auto"/>
        <w:jc w:val="center"/>
        <w:rPr>
          <w:rFonts w:hint="eastAsia" w:ascii="微软雅黑" w:hAnsi="微软雅黑" w:eastAsia="微软雅黑" w:cs="微软雅黑"/>
          <w:b/>
          <w:bCs/>
          <w:color w:val="auto"/>
          <w:sz w:val="52"/>
          <w:szCs w:val="52"/>
          <w:highlight w:val="none"/>
          <w:lang w:eastAsia="zh-CN"/>
        </w:rPr>
      </w:pPr>
      <w:r>
        <w:rPr>
          <w:rFonts w:hint="eastAsia" w:ascii="微软雅黑" w:hAnsi="微软雅黑" w:eastAsia="微软雅黑" w:cs="微软雅黑"/>
          <w:b/>
          <w:bCs/>
          <w:color w:val="auto"/>
          <w:sz w:val="52"/>
          <w:szCs w:val="52"/>
          <w:highlight w:val="none"/>
          <w:lang w:eastAsia="zh-CN"/>
        </w:rPr>
        <w:t xml:space="preserve">荥阳市自然资源和规划局荥阳市地籍成果入库汇交工作项目 </w:t>
      </w:r>
    </w:p>
    <w:p w14:paraId="7FE18CD7">
      <w:pPr>
        <w:pStyle w:val="51"/>
        <w:rPr>
          <w:rFonts w:hint="eastAsia"/>
          <w:color w:val="auto"/>
          <w:highlight w:val="none"/>
          <w:lang w:eastAsia="zh-CN"/>
        </w:rPr>
      </w:pPr>
    </w:p>
    <w:p w14:paraId="49FFA9FF">
      <w:pPr>
        <w:pStyle w:val="51"/>
        <w:rPr>
          <w:rFonts w:hint="eastAsia"/>
          <w:color w:val="auto"/>
          <w:highlight w:val="none"/>
          <w:lang w:eastAsia="zh-CN"/>
        </w:rPr>
      </w:pPr>
    </w:p>
    <w:p w14:paraId="54744681">
      <w:pPr>
        <w:pStyle w:val="51"/>
        <w:rPr>
          <w:rFonts w:hint="eastAsia"/>
          <w:color w:val="auto"/>
          <w:highlight w:val="none"/>
          <w:lang w:eastAsia="zh-CN"/>
        </w:rPr>
      </w:pPr>
    </w:p>
    <w:p w14:paraId="45289760">
      <w:pPr>
        <w:spacing w:line="360" w:lineRule="auto"/>
        <w:jc w:val="center"/>
        <w:rPr>
          <w:rFonts w:hint="eastAsia" w:ascii="宋体" w:hAnsi="宋体" w:cs="宋体"/>
          <w:b/>
          <w:bCs/>
          <w:color w:val="auto"/>
          <w:spacing w:val="20"/>
          <w:sz w:val="96"/>
          <w:szCs w:val="96"/>
          <w:highlight w:val="none"/>
        </w:rPr>
      </w:pPr>
      <w:r>
        <w:rPr>
          <w:rFonts w:hint="eastAsia" w:ascii="宋体" w:hAnsi="宋体" w:cs="宋体"/>
          <w:b/>
          <w:bCs/>
          <w:color w:val="auto"/>
          <w:spacing w:val="20"/>
          <w:sz w:val="96"/>
          <w:szCs w:val="96"/>
          <w:highlight w:val="none"/>
        </w:rPr>
        <w:t>招</w:t>
      </w:r>
      <w:r>
        <w:rPr>
          <w:rFonts w:hint="eastAsia" w:ascii="宋体" w:hAnsi="宋体" w:cs="宋体"/>
          <w:b/>
          <w:bCs/>
          <w:color w:val="auto"/>
          <w:spacing w:val="20"/>
          <w:sz w:val="96"/>
          <w:szCs w:val="96"/>
          <w:highlight w:val="none"/>
          <w:lang w:val="en-US" w:eastAsia="zh-CN"/>
        </w:rPr>
        <w:t xml:space="preserve"> </w:t>
      </w:r>
      <w:r>
        <w:rPr>
          <w:rFonts w:hint="eastAsia" w:ascii="宋体" w:hAnsi="宋体" w:cs="宋体"/>
          <w:b/>
          <w:bCs/>
          <w:color w:val="auto"/>
          <w:spacing w:val="20"/>
          <w:sz w:val="96"/>
          <w:szCs w:val="96"/>
          <w:highlight w:val="none"/>
        </w:rPr>
        <w:t>标</w:t>
      </w:r>
      <w:r>
        <w:rPr>
          <w:rFonts w:hint="eastAsia" w:ascii="宋体" w:hAnsi="宋体" w:cs="宋体"/>
          <w:b/>
          <w:bCs/>
          <w:color w:val="auto"/>
          <w:spacing w:val="20"/>
          <w:sz w:val="96"/>
          <w:szCs w:val="96"/>
          <w:highlight w:val="none"/>
          <w:lang w:val="en-US" w:eastAsia="zh-CN"/>
        </w:rPr>
        <w:t xml:space="preserve"> </w:t>
      </w:r>
      <w:r>
        <w:rPr>
          <w:rFonts w:hint="eastAsia" w:ascii="宋体" w:hAnsi="宋体" w:cs="宋体"/>
          <w:b/>
          <w:bCs/>
          <w:color w:val="auto"/>
          <w:spacing w:val="20"/>
          <w:sz w:val="96"/>
          <w:szCs w:val="96"/>
          <w:highlight w:val="none"/>
        </w:rPr>
        <w:t>文</w:t>
      </w:r>
      <w:r>
        <w:rPr>
          <w:rFonts w:hint="eastAsia" w:ascii="宋体" w:hAnsi="宋体" w:cs="宋体"/>
          <w:b/>
          <w:bCs/>
          <w:color w:val="auto"/>
          <w:spacing w:val="20"/>
          <w:sz w:val="96"/>
          <w:szCs w:val="96"/>
          <w:highlight w:val="none"/>
          <w:lang w:val="en-US" w:eastAsia="zh-CN"/>
        </w:rPr>
        <w:t xml:space="preserve"> </w:t>
      </w:r>
      <w:r>
        <w:rPr>
          <w:rFonts w:hint="eastAsia" w:ascii="宋体" w:hAnsi="宋体" w:cs="宋体"/>
          <w:b/>
          <w:bCs/>
          <w:color w:val="auto"/>
          <w:spacing w:val="20"/>
          <w:sz w:val="96"/>
          <w:szCs w:val="96"/>
          <w:highlight w:val="none"/>
        </w:rPr>
        <w:t>件</w:t>
      </w:r>
    </w:p>
    <w:p w14:paraId="7FD3CE8B">
      <w:pPr>
        <w:pStyle w:val="51"/>
        <w:rPr>
          <w:rFonts w:hint="eastAsia"/>
          <w:color w:val="auto"/>
          <w:highlight w:val="none"/>
        </w:rPr>
      </w:pPr>
    </w:p>
    <w:p w14:paraId="0F9B4E67">
      <w:pPr>
        <w:spacing w:line="360" w:lineRule="auto"/>
        <w:jc w:val="center"/>
        <w:rPr>
          <w:rFonts w:hint="default" w:ascii="宋体" w:hAnsi="宋体" w:eastAsia="宋体" w:cs="宋体"/>
          <w:bCs/>
          <w:color w:val="auto"/>
          <w:sz w:val="32"/>
          <w:szCs w:val="32"/>
          <w:highlight w:val="none"/>
          <w:lang w:val="en-US" w:eastAsia="zh-CN"/>
        </w:rPr>
      </w:pPr>
      <w:r>
        <w:rPr>
          <w:rFonts w:hint="eastAsia"/>
          <w:b/>
          <w:bCs/>
          <w:color w:val="auto"/>
          <w:sz w:val="24"/>
          <w:szCs w:val="24"/>
          <w:highlight w:val="none"/>
          <w:lang w:val="en-US" w:eastAsia="zh-CN"/>
        </w:rPr>
        <w:t xml:space="preserve"> </w:t>
      </w:r>
      <w:r>
        <w:rPr>
          <w:rFonts w:hint="eastAsia"/>
          <w:b/>
          <w:bCs/>
          <w:color w:val="auto"/>
          <w:sz w:val="24"/>
          <w:szCs w:val="24"/>
          <w:highlight w:val="none"/>
          <w:lang w:eastAsia="zh-CN"/>
        </w:rPr>
        <w:t>项目编号：荥财公开-2026</w:t>
      </w:r>
      <w:r>
        <w:rPr>
          <w:rFonts w:hint="eastAsia"/>
          <w:b/>
          <w:bCs/>
          <w:color w:val="auto"/>
          <w:sz w:val="24"/>
          <w:szCs w:val="24"/>
          <w:highlight w:val="none"/>
          <w:lang w:val="en-US" w:eastAsia="zh-CN"/>
        </w:rPr>
        <w:t>-17</w:t>
      </w:r>
    </w:p>
    <w:p w14:paraId="056171FD">
      <w:pPr>
        <w:spacing w:line="360" w:lineRule="auto"/>
        <w:ind w:left="2100" w:leftChars="1000"/>
        <w:jc w:val="center"/>
        <w:rPr>
          <w:rFonts w:ascii="宋体" w:hAnsi="宋体" w:cs="宋体"/>
          <w:b/>
          <w:bCs/>
          <w:color w:val="auto"/>
          <w:spacing w:val="29"/>
          <w:sz w:val="32"/>
          <w:szCs w:val="32"/>
          <w:highlight w:val="none"/>
        </w:rPr>
      </w:pPr>
    </w:p>
    <w:p w14:paraId="51097453">
      <w:pPr>
        <w:spacing w:line="360" w:lineRule="auto"/>
        <w:rPr>
          <w:rFonts w:ascii="宋体" w:hAnsi="宋体" w:cs="宋体"/>
          <w:b/>
          <w:bCs/>
          <w:color w:val="auto"/>
          <w:spacing w:val="29"/>
          <w:sz w:val="32"/>
          <w:szCs w:val="32"/>
          <w:highlight w:val="none"/>
        </w:rPr>
      </w:pPr>
    </w:p>
    <w:p w14:paraId="033DCD1D">
      <w:pPr>
        <w:spacing w:line="360" w:lineRule="auto"/>
        <w:ind w:left="2100" w:leftChars="1000"/>
        <w:jc w:val="both"/>
        <w:rPr>
          <w:rFonts w:ascii="宋体" w:hAnsi="宋体" w:cs="宋体"/>
          <w:b/>
          <w:bCs/>
          <w:color w:val="auto"/>
          <w:spacing w:val="29"/>
          <w:sz w:val="32"/>
          <w:szCs w:val="32"/>
          <w:highlight w:val="none"/>
        </w:rPr>
      </w:pPr>
    </w:p>
    <w:p w14:paraId="4C768E76">
      <w:pPr>
        <w:snapToGrid w:val="0"/>
        <w:spacing w:line="360" w:lineRule="auto"/>
        <w:jc w:val="center"/>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 xml:space="preserve">   </w:t>
      </w:r>
    </w:p>
    <w:p w14:paraId="4CB35095">
      <w:pPr>
        <w:pStyle w:val="4"/>
        <w:rPr>
          <w:rFonts w:hint="eastAsia"/>
          <w:color w:val="auto"/>
          <w:highlight w:val="none"/>
          <w:lang w:val="en-US" w:eastAsia="zh-CN"/>
        </w:rPr>
      </w:pPr>
    </w:p>
    <w:p w14:paraId="4F1A600C">
      <w:pPr>
        <w:snapToGrid w:val="0"/>
        <w:spacing w:line="360" w:lineRule="auto"/>
        <w:jc w:val="both"/>
        <w:rPr>
          <w:rFonts w:hint="eastAsia" w:ascii="宋体" w:hAnsi="宋体" w:cs="宋体"/>
          <w:b/>
          <w:bCs/>
          <w:color w:val="auto"/>
          <w:sz w:val="32"/>
          <w:szCs w:val="32"/>
          <w:highlight w:val="none"/>
          <w:lang w:val="en-US" w:eastAsia="zh-CN"/>
        </w:rPr>
      </w:pPr>
    </w:p>
    <w:p w14:paraId="46548D35">
      <w:pPr>
        <w:snapToGrid w:val="0"/>
        <w:spacing w:line="360" w:lineRule="auto"/>
        <w:ind w:firstLine="1928" w:firstLineChars="600"/>
        <w:jc w:val="both"/>
        <w:rPr>
          <w:rFonts w:hint="eastAsia" w:ascii="宋体" w:hAnsi="宋体" w:cs="宋体"/>
          <w:b/>
          <w:bCs/>
          <w:color w:val="auto"/>
          <w:sz w:val="32"/>
          <w:szCs w:val="32"/>
          <w:highlight w:val="none"/>
          <w:lang w:eastAsia="zh-CN"/>
        </w:rPr>
      </w:pPr>
      <w:r>
        <w:rPr>
          <w:rFonts w:hint="eastAsia" w:ascii="宋体" w:hAnsi="宋体" w:cs="宋体"/>
          <w:b/>
          <w:bCs/>
          <w:color w:val="auto"/>
          <w:sz w:val="32"/>
          <w:szCs w:val="32"/>
          <w:highlight w:val="none"/>
          <w:lang w:val="en-US" w:eastAsia="zh-CN"/>
        </w:rPr>
        <w:t>采 购</w:t>
      </w:r>
      <w:r>
        <w:rPr>
          <w:rFonts w:hint="eastAsia" w:ascii="宋体" w:hAnsi="宋体" w:cs="宋体"/>
          <w:b/>
          <w:bCs/>
          <w:color w:val="auto"/>
          <w:sz w:val="32"/>
          <w:szCs w:val="32"/>
          <w:highlight w:val="none"/>
        </w:rPr>
        <w:t xml:space="preserve"> 人：</w:t>
      </w:r>
      <w:r>
        <w:rPr>
          <w:rFonts w:hint="eastAsia" w:ascii="宋体" w:hAnsi="宋体" w:cs="宋体"/>
          <w:b/>
          <w:bCs/>
          <w:color w:val="auto"/>
          <w:sz w:val="32"/>
          <w:szCs w:val="32"/>
          <w:highlight w:val="none"/>
          <w:lang w:eastAsia="zh-CN"/>
        </w:rPr>
        <w:t>荥阳市自然资源和规划局</w:t>
      </w:r>
    </w:p>
    <w:p w14:paraId="5E3B9ED0">
      <w:pPr>
        <w:snapToGrid w:val="0"/>
        <w:spacing w:line="360" w:lineRule="auto"/>
        <w:ind w:firstLine="1928" w:firstLineChars="600"/>
        <w:jc w:val="both"/>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lang w:val="en-US" w:eastAsia="zh-CN"/>
        </w:rPr>
        <w:t>采购</w:t>
      </w:r>
      <w:r>
        <w:rPr>
          <w:rFonts w:hint="eastAsia" w:ascii="宋体" w:hAnsi="宋体" w:cs="宋体"/>
          <w:b/>
          <w:bCs/>
          <w:color w:val="auto"/>
          <w:sz w:val="32"/>
          <w:szCs w:val="32"/>
          <w:highlight w:val="none"/>
        </w:rPr>
        <w:t>代理机构：</w:t>
      </w:r>
      <w:r>
        <w:rPr>
          <w:rFonts w:hint="eastAsia" w:ascii="宋体" w:hAnsi="宋体" w:cs="宋体"/>
          <w:b/>
          <w:bCs/>
          <w:color w:val="auto"/>
          <w:sz w:val="32"/>
          <w:szCs w:val="32"/>
          <w:highlight w:val="none"/>
          <w:lang w:eastAsia="zh-CN"/>
        </w:rPr>
        <w:t xml:space="preserve">河南德旭项目管理有限公司 </w:t>
      </w:r>
    </w:p>
    <w:p w14:paraId="6A075D25">
      <w:pPr>
        <w:snapToGrid w:val="0"/>
        <w:spacing w:line="360" w:lineRule="auto"/>
        <w:ind w:firstLine="1928" w:firstLineChars="600"/>
        <w:jc w:val="both"/>
        <w:rPr>
          <w:rFonts w:ascii="宋体" w:hAnsi="宋体" w:cs="宋体"/>
          <w:b/>
          <w:bCs/>
          <w:color w:val="auto"/>
          <w:sz w:val="32"/>
          <w:szCs w:val="32"/>
          <w:highlight w:val="none"/>
        </w:rPr>
      </w:pPr>
      <w:r>
        <w:rPr>
          <w:rFonts w:hint="eastAsia" w:ascii="宋体" w:hAnsi="宋体" w:cs="宋体"/>
          <w:b/>
          <w:bCs/>
          <w:color w:val="auto"/>
          <w:sz w:val="32"/>
          <w:szCs w:val="32"/>
          <w:highlight w:val="none"/>
          <w:lang w:val="en-US" w:eastAsia="zh-CN"/>
        </w:rPr>
        <w:t>编 制 日 期：2026年10月</w:t>
      </w:r>
    </w:p>
    <w:p w14:paraId="5E96F42A">
      <w:pPr>
        <w:spacing w:line="360" w:lineRule="auto"/>
        <w:ind w:firstLine="3145" w:firstLineChars="979"/>
        <w:rPr>
          <w:rFonts w:ascii="宋体" w:hAnsi="宋体" w:cs="宋体"/>
          <w:b/>
          <w:bCs/>
          <w:color w:val="auto"/>
          <w:sz w:val="32"/>
          <w:szCs w:val="32"/>
          <w:highlight w:val="none"/>
        </w:rPr>
        <w:sectPr>
          <w:headerReference r:id="rId4" w:type="first"/>
          <w:headerReference r:id="rId3" w:type="default"/>
          <w:footerReference r:id="rId5" w:type="default"/>
          <w:footerReference r:id="rId6" w:type="even"/>
          <w:pgSz w:w="11906" w:h="16838"/>
          <w:pgMar w:top="1440" w:right="1418" w:bottom="1440" w:left="1134" w:header="851" w:footer="992" w:gutter="0"/>
          <w:pgBorders>
            <w:top w:val="none" w:sz="0" w:space="0"/>
            <w:left w:val="none" w:sz="0" w:space="0"/>
            <w:bottom w:val="none" w:sz="0" w:space="0"/>
            <w:right w:val="none" w:sz="0" w:space="0"/>
          </w:pgBorders>
          <w:pgNumType w:start="0"/>
          <w:cols w:space="720" w:num="1"/>
          <w:titlePg/>
          <w:docGrid w:type="lines" w:linePitch="312" w:charSpace="0"/>
        </w:sectPr>
      </w:pPr>
    </w:p>
    <w:p w14:paraId="10271B4A">
      <w:pPr>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目  录</w:t>
      </w:r>
    </w:p>
    <w:p w14:paraId="5D3A2729">
      <w:pPr>
        <w:pStyle w:val="24"/>
        <w:tabs>
          <w:tab w:val="right" w:leader="dot" w:pos="9070"/>
        </w:tabs>
        <w:rPr>
          <w:color w:val="auto"/>
          <w:highlight w:val="none"/>
        </w:rPr>
      </w:pPr>
      <w:bookmarkStart w:id="0" w:name="_Toc193440911"/>
      <w:r>
        <w:rPr>
          <w:rFonts w:hint="eastAsia" w:ascii="宋体" w:hAnsi="宋体" w:cs="宋体"/>
          <w:b/>
          <w:bCs/>
          <w:color w:val="auto"/>
          <w:spacing w:val="138"/>
          <w:kern w:val="0"/>
          <w:sz w:val="32"/>
          <w:szCs w:val="32"/>
          <w:highlight w:val="none"/>
        </w:rPr>
        <w:fldChar w:fldCharType="begin"/>
      </w:r>
      <w:r>
        <w:rPr>
          <w:rFonts w:hint="eastAsia" w:ascii="宋体" w:hAnsi="宋体" w:cs="宋体"/>
          <w:b/>
          <w:bCs/>
          <w:color w:val="auto"/>
          <w:spacing w:val="138"/>
          <w:kern w:val="0"/>
          <w:sz w:val="32"/>
          <w:szCs w:val="32"/>
          <w:highlight w:val="none"/>
        </w:rPr>
        <w:instrText xml:space="preserve"> TOC \o "1-4" \h \z \u </w:instrText>
      </w:r>
      <w:r>
        <w:rPr>
          <w:rFonts w:hint="eastAsia" w:ascii="宋体" w:hAnsi="宋体" w:cs="宋体"/>
          <w:b/>
          <w:bCs/>
          <w:color w:val="auto"/>
          <w:spacing w:val="138"/>
          <w:kern w:val="0"/>
          <w:sz w:val="32"/>
          <w:szCs w:val="32"/>
          <w:highlight w:val="none"/>
        </w:rPr>
        <w:fldChar w:fldCharType="separate"/>
      </w: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_Toc30697 </w:instrText>
      </w:r>
      <w:r>
        <w:rPr>
          <w:rFonts w:hint="eastAsia" w:ascii="宋体" w:hAnsi="宋体" w:cs="宋体"/>
          <w:bCs/>
          <w:color w:val="auto"/>
          <w:spacing w:val="138"/>
          <w:kern w:val="0"/>
          <w:szCs w:val="32"/>
          <w:highlight w:val="none"/>
        </w:rPr>
        <w:fldChar w:fldCharType="separate"/>
      </w:r>
      <w:r>
        <w:rPr>
          <w:rFonts w:hint="eastAsia" w:asciiTheme="majorEastAsia" w:hAnsiTheme="majorEastAsia" w:eastAsiaTheme="majorEastAsia" w:cstheme="majorEastAsia"/>
          <w:color w:val="auto"/>
          <w:kern w:val="0"/>
          <w:szCs w:val="32"/>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_Toc30697 \h </w:instrText>
      </w:r>
      <w:r>
        <w:rPr>
          <w:color w:val="auto"/>
          <w:highlight w:val="none"/>
        </w:rPr>
        <w:fldChar w:fldCharType="separate"/>
      </w:r>
      <w:r>
        <w:rPr>
          <w:color w:val="auto"/>
          <w:highlight w:val="none"/>
        </w:rPr>
        <w:t>3</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50638D4F">
      <w:pPr>
        <w:pStyle w:val="24"/>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_Toc6835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32"/>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_Toc6835 \h </w:instrText>
      </w:r>
      <w:r>
        <w:rPr>
          <w:color w:val="auto"/>
          <w:highlight w:val="none"/>
        </w:rPr>
        <w:fldChar w:fldCharType="separate"/>
      </w:r>
      <w:r>
        <w:rPr>
          <w:color w:val="auto"/>
          <w:highlight w:val="none"/>
        </w:rPr>
        <w:t>7</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142ED7A6">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_Toc30578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总则</w:t>
      </w:r>
      <w:r>
        <w:rPr>
          <w:color w:val="auto"/>
          <w:highlight w:val="none"/>
        </w:rPr>
        <w:tab/>
      </w:r>
      <w:r>
        <w:rPr>
          <w:color w:val="auto"/>
          <w:highlight w:val="none"/>
        </w:rPr>
        <w:fldChar w:fldCharType="begin"/>
      </w:r>
      <w:r>
        <w:rPr>
          <w:color w:val="auto"/>
          <w:highlight w:val="none"/>
        </w:rPr>
        <w:instrText xml:space="preserve"> PAGEREF _Toc30578 \h </w:instrText>
      </w:r>
      <w:r>
        <w:rPr>
          <w:color w:val="auto"/>
          <w:highlight w:val="none"/>
        </w:rPr>
        <w:fldChar w:fldCharType="separate"/>
      </w:r>
      <w:r>
        <w:rPr>
          <w:color w:val="auto"/>
          <w:highlight w:val="none"/>
        </w:rPr>
        <w:t>11</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1E09198E">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_Toc31947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1.1 项目概况</w:t>
      </w:r>
      <w:r>
        <w:rPr>
          <w:color w:val="auto"/>
          <w:highlight w:val="none"/>
        </w:rPr>
        <w:tab/>
      </w:r>
      <w:r>
        <w:rPr>
          <w:color w:val="auto"/>
          <w:highlight w:val="none"/>
        </w:rPr>
        <w:fldChar w:fldCharType="begin"/>
      </w:r>
      <w:r>
        <w:rPr>
          <w:color w:val="auto"/>
          <w:highlight w:val="none"/>
        </w:rPr>
        <w:instrText xml:space="preserve"> PAGEREF _Toc31947 \h </w:instrText>
      </w:r>
      <w:r>
        <w:rPr>
          <w:color w:val="auto"/>
          <w:highlight w:val="none"/>
        </w:rPr>
        <w:fldChar w:fldCharType="separate"/>
      </w:r>
      <w:r>
        <w:rPr>
          <w:color w:val="auto"/>
          <w:highlight w:val="none"/>
        </w:rPr>
        <w:t>13</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810AA2D">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_Toc6446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1.2 资金来源和落实情况</w:t>
      </w:r>
      <w:r>
        <w:rPr>
          <w:color w:val="auto"/>
          <w:highlight w:val="none"/>
        </w:rPr>
        <w:tab/>
      </w:r>
      <w:r>
        <w:rPr>
          <w:color w:val="auto"/>
          <w:highlight w:val="none"/>
        </w:rPr>
        <w:fldChar w:fldCharType="begin"/>
      </w:r>
      <w:r>
        <w:rPr>
          <w:color w:val="auto"/>
          <w:highlight w:val="none"/>
        </w:rPr>
        <w:instrText xml:space="preserve"> PAGEREF _Toc6446 \h </w:instrText>
      </w:r>
      <w:r>
        <w:rPr>
          <w:color w:val="auto"/>
          <w:highlight w:val="none"/>
        </w:rPr>
        <w:fldChar w:fldCharType="separate"/>
      </w:r>
      <w:r>
        <w:rPr>
          <w:color w:val="auto"/>
          <w:highlight w:val="none"/>
        </w:rPr>
        <w:t>13</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1B55473">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_Toc301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1.3 招标范围和标段划分、</w:t>
      </w:r>
      <w:r>
        <w:rPr>
          <w:rFonts w:hint="eastAsia" w:ascii="宋体" w:hAnsi="宋体" w:eastAsia="宋体" w:cs="宋体"/>
          <w:color w:val="auto"/>
          <w:szCs w:val="21"/>
          <w:highlight w:val="none"/>
          <w:lang w:val="en-US" w:eastAsia="zh-CN"/>
        </w:rPr>
        <w:t>服务周期</w:t>
      </w:r>
      <w:r>
        <w:rPr>
          <w:rFonts w:hint="eastAsia" w:ascii="宋体" w:hAnsi="宋体" w:eastAsia="宋体" w:cs="宋体"/>
          <w:color w:val="auto"/>
          <w:szCs w:val="21"/>
          <w:highlight w:val="none"/>
        </w:rPr>
        <w:t>和质量要求</w:t>
      </w:r>
      <w:r>
        <w:rPr>
          <w:color w:val="auto"/>
          <w:highlight w:val="none"/>
        </w:rPr>
        <w:tab/>
      </w:r>
      <w:r>
        <w:rPr>
          <w:color w:val="auto"/>
          <w:highlight w:val="none"/>
        </w:rPr>
        <w:fldChar w:fldCharType="begin"/>
      </w:r>
      <w:r>
        <w:rPr>
          <w:color w:val="auto"/>
          <w:highlight w:val="none"/>
        </w:rPr>
        <w:instrText xml:space="preserve"> PAGEREF _Toc301 \h </w:instrText>
      </w:r>
      <w:r>
        <w:rPr>
          <w:color w:val="auto"/>
          <w:highlight w:val="none"/>
        </w:rPr>
        <w:fldChar w:fldCharType="separate"/>
      </w:r>
      <w:r>
        <w:rPr>
          <w:color w:val="auto"/>
          <w:highlight w:val="none"/>
        </w:rPr>
        <w:t>14</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1EB6BD9E">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_Toc2668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1.4 投标人资格要求</w:t>
      </w:r>
      <w:r>
        <w:rPr>
          <w:color w:val="auto"/>
          <w:highlight w:val="none"/>
        </w:rPr>
        <w:tab/>
      </w:r>
      <w:r>
        <w:rPr>
          <w:color w:val="auto"/>
          <w:highlight w:val="none"/>
        </w:rPr>
        <w:fldChar w:fldCharType="begin"/>
      </w:r>
      <w:r>
        <w:rPr>
          <w:color w:val="auto"/>
          <w:highlight w:val="none"/>
        </w:rPr>
        <w:instrText xml:space="preserve"> PAGEREF _Toc2668 \h </w:instrText>
      </w:r>
      <w:r>
        <w:rPr>
          <w:color w:val="auto"/>
          <w:highlight w:val="none"/>
        </w:rPr>
        <w:fldChar w:fldCharType="separate"/>
      </w:r>
      <w:r>
        <w:rPr>
          <w:color w:val="auto"/>
          <w:highlight w:val="none"/>
        </w:rPr>
        <w:t>14</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3BE92FBE">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_Toc233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1.5 费用承担</w:t>
      </w:r>
      <w:r>
        <w:rPr>
          <w:color w:val="auto"/>
          <w:highlight w:val="none"/>
        </w:rPr>
        <w:tab/>
      </w:r>
      <w:r>
        <w:rPr>
          <w:color w:val="auto"/>
          <w:highlight w:val="none"/>
        </w:rPr>
        <w:fldChar w:fldCharType="begin"/>
      </w:r>
      <w:r>
        <w:rPr>
          <w:color w:val="auto"/>
          <w:highlight w:val="none"/>
        </w:rPr>
        <w:instrText xml:space="preserve"> PAGEREF _Toc233 \h </w:instrText>
      </w:r>
      <w:r>
        <w:rPr>
          <w:color w:val="auto"/>
          <w:highlight w:val="none"/>
        </w:rPr>
        <w:fldChar w:fldCharType="separate"/>
      </w:r>
      <w:r>
        <w:rPr>
          <w:color w:val="auto"/>
          <w:highlight w:val="none"/>
        </w:rPr>
        <w:t>14</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5B9B974">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_Toc9460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1.6 保密</w:t>
      </w:r>
      <w:r>
        <w:rPr>
          <w:color w:val="auto"/>
          <w:highlight w:val="none"/>
        </w:rPr>
        <w:tab/>
      </w:r>
      <w:r>
        <w:rPr>
          <w:color w:val="auto"/>
          <w:highlight w:val="none"/>
        </w:rPr>
        <w:fldChar w:fldCharType="begin"/>
      </w:r>
      <w:r>
        <w:rPr>
          <w:color w:val="auto"/>
          <w:highlight w:val="none"/>
        </w:rPr>
        <w:instrText xml:space="preserve"> PAGEREF _Toc9460 \h </w:instrText>
      </w:r>
      <w:r>
        <w:rPr>
          <w:color w:val="auto"/>
          <w:highlight w:val="none"/>
        </w:rPr>
        <w:fldChar w:fldCharType="separate"/>
      </w:r>
      <w:r>
        <w:rPr>
          <w:color w:val="auto"/>
          <w:highlight w:val="none"/>
        </w:rPr>
        <w:t>14</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28F7A7DC">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_Toc10173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1.7 语言文字</w:t>
      </w:r>
      <w:r>
        <w:rPr>
          <w:color w:val="auto"/>
          <w:highlight w:val="none"/>
        </w:rPr>
        <w:tab/>
      </w:r>
      <w:r>
        <w:rPr>
          <w:color w:val="auto"/>
          <w:highlight w:val="none"/>
        </w:rPr>
        <w:fldChar w:fldCharType="begin"/>
      </w:r>
      <w:r>
        <w:rPr>
          <w:color w:val="auto"/>
          <w:highlight w:val="none"/>
        </w:rPr>
        <w:instrText xml:space="preserve"> PAGEREF _Toc10173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34FC337">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_Toc601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1.8 计量单位</w:t>
      </w:r>
      <w:r>
        <w:rPr>
          <w:color w:val="auto"/>
          <w:highlight w:val="none"/>
        </w:rPr>
        <w:tab/>
      </w:r>
      <w:r>
        <w:rPr>
          <w:color w:val="auto"/>
          <w:highlight w:val="none"/>
        </w:rPr>
        <w:fldChar w:fldCharType="begin"/>
      </w:r>
      <w:r>
        <w:rPr>
          <w:color w:val="auto"/>
          <w:highlight w:val="none"/>
        </w:rPr>
        <w:instrText xml:space="preserve"> PAGEREF _Toc601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44C173A">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_Toc31373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1.9 踏勘现场（不组织）</w:t>
      </w:r>
      <w:r>
        <w:rPr>
          <w:color w:val="auto"/>
          <w:highlight w:val="none"/>
        </w:rPr>
        <w:tab/>
      </w:r>
      <w:r>
        <w:rPr>
          <w:color w:val="auto"/>
          <w:highlight w:val="none"/>
        </w:rPr>
        <w:fldChar w:fldCharType="begin"/>
      </w:r>
      <w:r>
        <w:rPr>
          <w:color w:val="auto"/>
          <w:highlight w:val="none"/>
        </w:rPr>
        <w:instrText xml:space="preserve"> PAGEREF _Toc31373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10BD486">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_Toc9988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1.10 投标预备会</w:t>
      </w:r>
      <w:r>
        <w:rPr>
          <w:color w:val="auto"/>
          <w:highlight w:val="none"/>
        </w:rPr>
        <w:tab/>
      </w:r>
      <w:r>
        <w:rPr>
          <w:color w:val="auto"/>
          <w:highlight w:val="none"/>
        </w:rPr>
        <w:fldChar w:fldCharType="begin"/>
      </w:r>
      <w:r>
        <w:rPr>
          <w:color w:val="auto"/>
          <w:highlight w:val="none"/>
        </w:rPr>
        <w:instrText xml:space="preserve"> PAGEREF _Toc9988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7B3C0CB4">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_Toc6869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1.11 分包</w:t>
      </w:r>
      <w:r>
        <w:rPr>
          <w:color w:val="auto"/>
          <w:highlight w:val="none"/>
        </w:rPr>
        <w:tab/>
      </w:r>
      <w:r>
        <w:rPr>
          <w:color w:val="auto"/>
          <w:highlight w:val="none"/>
        </w:rPr>
        <w:fldChar w:fldCharType="begin"/>
      </w:r>
      <w:r>
        <w:rPr>
          <w:color w:val="auto"/>
          <w:highlight w:val="none"/>
        </w:rPr>
        <w:instrText xml:space="preserve"> PAGEREF _Toc6869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4A8B85FB">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_Toc27249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1.12 偏离</w:t>
      </w:r>
      <w:r>
        <w:rPr>
          <w:color w:val="auto"/>
          <w:highlight w:val="none"/>
        </w:rPr>
        <w:tab/>
      </w:r>
      <w:r>
        <w:rPr>
          <w:color w:val="auto"/>
          <w:highlight w:val="none"/>
        </w:rPr>
        <w:fldChar w:fldCharType="begin"/>
      </w:r>
      <w:r>
        <w:rPr>
          <w:color w:val="auto"/>
          <w:highlight w:val="none"/>
        </w:rPr>
        <w:instrText xml:space="preserve"> PAGEREF _Toc27249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16935617">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_Toc30305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2．招标文件</w:t>
      </w:r>
      <w:r>
        <w:rPr>
          <w:color w:val="auto"/>
          <w:highlight w:val="none"/>
        </w:rPr>
        <w:tab/>
      </w:r>
      <w:r>
        <w:rPr>
          <w:color w:val="auto"/>
          <w:highlight w:val="none"/>
        </w:rPr>
        <w:fldChar w:fldCharType="begin"/>
      </w:r>
      <w:r>
        <w:rPr>
          <w:color w:val="auto"/>
          <w:highlight w:val="none"/>
        </w:rPr>
        <w:instrText xml:space="preserve"> PAGEREF _Toc30305 \h </w:instrText>
      </w:r>
      <w:r>
        <w:rPr>
          <w:color w:val="auto"/>
          <w:highlight w:val="none"/>
        </w:rPr>
        <w:fldChar w:fldCharType="separate"/>
      </w:r>
      <w:r>
        <w:rPr>
          <w:color w:val="auto"/>
          <w:highlight w:val="none"/>
        </w:rPr>
        <w:t>16</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36B56413">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_Toc11890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2.1 招标文件的组成</w:t>
      </w:r>
      <w:r>
        <w:rPr>
          <w:color w:val="auto"/>
          <w:highlight w:val="none"/>
        </w:rPr>
        <w:tab/>
      </w:r>
      <w:r>
        <w:rPr>
          <w:color w:val="auto"/>
          <w:highlight w:val="none"/>
        </w:rPr>
        <w:fldChar w:fldCharType="begin"/>
      </w:r>
      <w:r>
        <w:rPr>
          <w:color w:val="auto"/>
          <w:highlight w:val="none"/>
        </w:rPr>
        <w:instrText xml:space="preserve"> PAGEREF _Toc11890 \h </w:instrText>
      </w:r>
      <w:r>
        <w:rPr>
          <w:color w:val="auto"/>
          <w:highlight w:val="none"/>
        </w:rPr>
        <w:fldChar w:fldCharType="separate"/>
      </w:r>
      <w:r>
        <w:rPr>
          <w:color w:val="auto"/>
          <w:highlight w:val="none"/>
        </w:rPr>
        <w:t>16</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2A4E812">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_Toc19984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2.2 招标文件的澄清</w:t>
      </w:r>
      <w:r>
        <w:rPr>
          <w:color w:val="auto"/>
          <w:highlight w:val="none"/>
        </w:rPr>
        <w:tab/>
      </w:r>
      <w:r>
        <w:rPr>
          <w:color w:val="auto"/>
          <w:highlight w:val="none"/>
        </w:rPr>
        <w:fldChar w:fldCharType="begin"/>
      </w:r>
      <w:r>
        <w:rPr>
          <w:color w:val="auto"/>
          <w:highlight w:val="none"/>
        </w:rPr>
        <w:instrText xml:space="preserve"> PAGEREF _Toc19984 \h </w:instrText>
      </w:r>
      <w:r>
        <w:rPr>
          <w:color w:val="auto"/>
          <w:highlight w:val="none"/>
        </w:rPr>
        <w:fldChar w:fldCharType="separate"/>
      </w:r>
      <w:r>
        <w:rPr>
          <w:color w:val="auto"/>
          <w:highlight w:val="none"/>
        </w:rPr>
        <w:t>16</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2E4F85E">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_Toc17782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2.3 招标文件的修改</w:t>
      </w:r>
      <w:r>
        <w:rPr>
          <w:color w:val="auto"/>
          <w:highlight w:val="none"/>
        </w:rPr>
        <w:tab/>
      </w:r>
      <w:r>
        <w:rPr>
          <w:color w:val="auto"/>
          <w:highlight w:val="none"/>
        </w:rPr>
        <w:fldChar w:fldCharType="begin"/>
      </w:r>
      <w:r>
        <w:rPr>
          <w:color w:val="auto"/>
          <w:highlight w:val="none"/>
        </w:rPr>
        <w:instrText xml:space="preserve"> PAGEREF _Toc17782 \h </w:instrText>
      </w:r>
      <w:r>
        <w:rPr>
          <w:color w:val="auto"/>
          <w:highlight w:val="none"/>
        </w:rPr>
        <w:fldChar w:fldCharType="separate"/>
      </w:r>
      <w:r>
        <w:rPr>
          <w:color w:val="auto"/>
          <w:highlight w:val="none"/>
        </w:rPr>
        <w:t>16</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7F8E4515">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_Toc4977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3．投标文件</w:t>
      </w:r>
      <w:r>
        <w:rPr>
          <w:color w:val="auto"/>
          <w:highlight w:val="none"/>
        </w:rPr>
        <w:tab/>
      </w:r>
      <w:r>
        <w:rPr>
          <w:color w:val="auto"/>
          <w:highlight w:val="none"/>
        </w:rPr>
        <w:fldChar w:fldCharType="begin"/>
      </w:r>
      <w:r>
        <w:rPr>
          <w:color w:val="auto"/>
          <w:highlight w:val="none"/>
        </w:rPr>
        <w:instrText xml:space="preserve"> PAGEREF _Toc4977 \h </w:instrText>
      </w:r>
      <w:r>
        <w:rPr>
          <w:color w:val="auto"/>
          <w:highlight w:val="none"/>
        </w:rPr>
        <w:fldChar w:fldCharType="separate"/>
      </w:r>
      <w:r>
        <w:rPr>
          <w:color w:val="auto"/>
          <w:highlight w:val="none"/>
        </w:rPr>
        <w:t>16</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25CBB2DD">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_Toc10282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3.1 投标文件的组成</w:t>
      </w:r>
      <w:r>
        <w:rPr>
          <w:color w:val="auto"/>
          <w:highlight w:val="none"/>
        </w:rPr>
        <w:tab/>
      </w:r>
      <w:r>
        <w:rPr>
          <w:color w:val="auto"/>
          <w:highlight w:val="none"/>
        </w:rPr>
        <w:fldChar w:fldCharType="begin"/>
      </w:r>
      <w:r>
        <w:rPr>
          <w:color w:val="auto"/>
          <w:highlight w:val="none"/>
        </w:rPr>
        <w:instrText xml:space="preserve"> PAGEREF _Toc10282 \h </w:instrText>
      </w:r>
      <w:r>
        <w:rPr>
          <w:color w:val="auto"/>
          <w:highlight w:val="none"/>
        </w:rPr>
        <w:fldChar w:fldCharType="separate"/>
      </w:r>
      <w:r>
        <w:rPr>
          <w:color w:val="auto"/>
          <w:highlight w:val="none"/>
        </w:rPr>
        <w:t>16</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3D501FDE">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_Toc23667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3.2 投标报价</w:t>
      </w:r>
      <w:r>
        <w:rPr>
          <w:color w:val="auto"/>
          <w:highlight w:val="none"/>
        </w:rPr>
        <w:tab/>
      </w:r>
      <w:r>
        <w:rPr>
          <w:color w:val="auto"/>
          <w:highlight w:val="none"/>
        </w:rPr>
        <w:fldChar w:fldCharType="begin"/>
      </w:r>
      <w:r>
        <w:rPr>
          <w:color w:val="auto"/>
          <w:highlight w:val="none"/>
        </w:rPr>
        <w:instrText xml:space="preserve"> PAGEREF _Toc23667 \h </w:instrText>
      </w:r>
      <w:r>
        <w:rPr>
          <w:color w:val="auto"/>
          <w:highlight w:val="none"/>
        </w:rPr>
        <w:fldChar w:fldCharType="separate"/>
      </w:r>
      <w:r>
        <w:rPr>
          <w:color w:val="auto"/>
          <w:highlight w:val="none"/>
        </w:rPr>
        <w:t>17</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702E7444">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_Toc23783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3.3 投标有效期</w:t>
      </w:r>
      <w:r>
        <w:rPr>
          <w:color w:val="auto"/>
          <w:highlight w:val="none"/>
        </w:rPr>
        <w:tab/>
      </w:r>
      <w:r>
        <w:rPr>
          <w:color w:val="auto"/>
          <w:highlight w:val="none"/>
        </w:rPr>
        <w:fldChar w:fldCharType="begin"/>
      </w:r>
      <w:r>
        <w:rPr>
          <w:color w:val="auto"/>
          <w:highlight w:val="none"/>
        </w:rPr>
        <w:instrText xml:space="preserve"> PAGEREF _Toc23783 \h </w:instrText>
      </w:r>
      <w:r>
        <w:rPr>
          <w:color w:val="auto"/>
          <w:highlight w:val="none"/>
        </w:rPr>
        <w:fldChar w:fldCharType="separate"/>
      </w:r>
      <w:r>
        <w:rPr>
          <w:color w:val="auto"/>
          <w:highlight w:val="none"/>
        </w:rPr>
        <w:t>17</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74EDD30B">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_Toc25996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3.4 投标保证金</w:t>
      </w:r>
      <w:r>
        <w:rPr>
          <w:rFonts w:hint="eastAsia" w:ascii="宋体" w:hAnsi="宋体" w:eastAsia="宋体" w:cs="宋体"/>
          <w:color w:val="auto"/>
          <w:szCs w:val="21"/>
          <w:highlight w:val="none"/>
          <w:lang w:eastAsia="zh-CN"/>
        </w:rPr>
        <w:t>（不适用）</w:t>
      </w:r>
      <w:r>
        <w:rPr>
          <w:color w:val="auto"/>
          <w:highlight w:val="none"/>
        </w:rPr>
        <w:tab/>
      </w:r>
      <w:r>
        <w:rPr>
          <w:color w:val="auto"/>
          <w:highlight w:val="none"/>
        </w:rPr>
        <w:fldChar w:fldCharType="begin"/>
      </w:r>
      <w:r>
        <w:rPr>
          <w:color w:val="auto"/>
          <w:highlight w:val="none"/>
        </w:rPr>
        <w:instrText xml:space="preserve"> PAGEREF _Toc25996 \h </w:instrText>
      </w:r>
      <w:r>
        <w:rPr>
          <w:color w:val="auto"/>
          <w:highlight w:val="none"/>
        </w:rPr>
        <w:fldChar w:fldCharType="separate"/>
      </w:r>
      <w:r>
        <w:rPr>
          <w:color w:val="auto"/>
          <w:highlight w:val="none"/>
        </w:rPr>
        <w:t>18</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4182FDA2">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_Toc18380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3.5 资格审查资料</w:t>
      </w:r>
      <w:r>
        <w:rPr>
          <w:color w:val="auto"/>
          <w:highlight w:val="none"/>
        </w:rPr>
        <w:tab/>
      </w:r>
      <w:r>
        <w:rPr>
          <w:color w:val="auto"/>
          <w:highlight w:val="none"/>
        </w:rPr>
        <w:fldChar w:fldCharType="begin"/>
      </w:r>
      <w:r>
        <w:rPr>
          <w:color w:val="auto"/>
          <w:highlight w:val="none"/>
        </w:rPr>
        <w:instrText xml:space="preserve"> PAGEREF _Toc18380 \h </w:instrText>
      </w:r>
      <w:r>
        <w:rPr>
          <w:color w:val="auto"/>
          <w:highlight w:val="none"/>
        </w:rPr>
        <w:fldChar w:fldCharType="separate"/>
      </w:r>
      <w:r>
        <w:rPr>
          <w:color w:val="auto"/>
          <w:highlight w:val="none"/>
        </w:rPr>
        <w:t>18</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48CF25B5">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_Toc7668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3.6 备选投标方案（不允许）</w:t>
      </w:r>
      <w:r>
        <w:rPr>
          <w:color w:val="auto"/>
          <w:highlight w:val="none"/>
        </w:rPr>
        <w:tab/>
      </w:r>
      <w:r>
        <w:rPr>
          <w:color w:val="auto"/>
          <w:highlight w:val="none"/>
        </w:rPr>
        <w:fldChar w:fldCharType="begin"/>
      </w:r>
      <w:r>
        <w:rPr>
          <w:color w:val="auto"/>
          <w:highlight w:val="none"/>
        </w:rPr>
        <w:instrText xml:space="preserve"> PAGEREF _Toc7668 \h </w:instrText>
      </w:r>
      <w:r>
        <w:rPr>
          <w:color w:val="auto"/>
          <w:highlight w:val="none"/>
        </w:rPr>
        <w:fldChar w:fldCharType="separate"/>
      </w:r>
      <w:r>
        <w:rPr>
          <w:color w:val="auto"/>
          <w:highlight w:val="none"/>
        </w:rPr>
        <w:t>18</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3613C06A">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_Toc4215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3.7 投标文件的编制</w:t>
      </w:r>
      <w:r>
        <w:rPr>
          <w:color w:val="auto"/>
          <w:highlight w:val="none"/>
        </w:rPr>
        <w:tab/>
      </w:r>
      <w:r>
        <w:rPr>
          <w:color w:val="auto"/>
          <w:highlight w:val="none"/>
        </w:rPr>
        <w:fldChar w:fldCharType="begin"/>
      </w:r>
      <w:r>
        <w:rPr>
          <w:color w:val="auto"/>
          <w:highlight w:val="none"/>
        </w:rPr>
        <w:instrText xml:space="preserve"> PAGEREF _Toc4215 \h </w:instrText>
      </w:r>
      <w:r>
        <w:rPr>
          <w:color w:val="auto"/>
          <w:highlight w:val="none"/>
        </w:rPr>
        <w:fldChar w:fldCharType="separate"/>
      </w:r>
      <w:r>
        <w:rPr>
          <w:color w:val="auto"/>
          <w:highlight w:val="none"/>
        </w:rPr>
        <w:t>18</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3E9132BF">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_Toc22253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4．投标</w:t>
      </w:r>
      <w:r>
        <w:rPr>
          <w:color w:val="auto"/>
          <w:highlight w:val="none"/>
        </w:rPr>
        <w:tab/>
      </w:r>
      <w:r>
        <w:rPr>
          <w:color w:val="auto"/>
          <w:highlight w:val="none"/>
        </w:rPr>
        <w:fldChar w:fldCharType="begin"/>
      </w:r>
      <w:r>
        <w:rPr>
          <w:color w:val="auto"/>
          <w:highlight w:val="none"/>
        </w:rPr>
        <w:instrText xml:space="preserve"> PAGEREF _Toc22253 \h </w:instrText>
      </w:r>
      <w:r>
        <w:rPr>
          <w:color w:val="auto"/>
          <w:highlight w:val="none"/>
        </w:rPr>
        <w:fldChar w:fldCharType="separate"/>
      </w:r>
      <w:r>
        <w:rPr>
          <w:color w:val="auto"/>
          <w:highlight w:val="none"/>
        </w:rPr>
        <w:t>18</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AB39266">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_Toc29370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4.1 投标文件的密封和标记</w:t>
      </w:r>
      <w:r>
        <w:rPr>
          <w:color w:val="auto"/>
          <w:highlight w:val="none"/>
        </w:rPr>
        <w:tab/>
      </w:r>
      <w:r>
        <w:rPr>
          <w:color w:val="auto"/>
          <w:highlight w:val="none"/>
        </w:rPr>
        <w:fldChar w:fldCharType="begin"/>
      </w:r>
      <w:r>
        <w:rPr>
          <w:color w:val="auto"/>
          <w:highlight w:val="none"/>
        </w:rPr>
        <w:instrText xml:space="preserve"> PAGEREF _Toc29370 \h </w:instrText>
      </w:r>
      <w:r>
        <w:rPr>
          <w:color w:val="auto"/>
          <w:highlight w:val="none"/>
        </w:rPr>
        <w:fldChar w:fldCharType="separate"/>
      </w:r>
      <w:r>
        <w:rPr>
          <w:color w:val="auto"/>
          <w:highlight w:val="none"/>
        </w:rPr>
        <w:t>18</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57EE3E79">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_Toc13880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4.2 投标文件的递交</w:t>
      </w:r>
      <w:r>
        <w:rPr>
          <w:color w:val="auto"/>
          <w:highlight w:val="none"/>
        </w:rPr>
        <w:tab/>
      </w:r>
      <w:r>
        <w:rPr>
          <w:color w:val="auto"/>
          <w:highlight w:val="none"/>
        </w:rPr>
        <w:fldChar w:fldCharType="begin"/>
      </w:r>
      <w:r>
        <w:rPr>
          <w:color w:val="auto"/>
          <w:highlight w:val="none"/>
        </w:rPr>
        <w:instrText xml:space="preserve"> PAGEREF _Toc13880 \h </w:instrText>
      </w:r>
      <w:r>
        <w:rPr>
          <w:color w:val="auto"/>
          <w:highlight w:val="none"/>
        </w:rPr>
        <w:fldChar w:fldCharType="separate"/>
      </w:r>
      <w:r>
        <w:rPr>
          <w:color w:val="auto"/>
          <w:highlight w:val="none"/>
        </w:rPr>
        <w:t>19</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7D473F9">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_Toc14782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4.3 投标文件的修改与撤回</w:t>
      </w:r>
      <w:r>
        <w:rPr>
          <w:color w:val="auto"/>
          <w:highlight w:val="none"/>
        </w:rPr>
        <w:tab/>
      </w:r>
      <w:r>
        <w:rPr>
          <w:color w:val="auto"/>
          <w:highlight w:val="none"/>
        </w:rPr>
        <w:fldChar w:fldCharType="begin"/>
      </w:r>
      <w:r>
        <w:rPr>
          <w:color w:val="auto"/>
          <w:highlight w:val="none"/>
        </w:rPr>
        <w:instrText xml:space="preserve"> PAGEREF _Toc14782 \h </w:instrText>
      </w:r>
      <w:r>
        <w:rPr>
          <w:color w:val="auto"/>
          <w:highlight w:val="none"/>
        </w:rPr>
        <w:fldChar w:fldCharType="separate"/>
      </w:r>
      <w:r>
        <w:rPr>
          <w:color w:val="auto"/>
          <w:highlight w:val="none"/>
        </w:rPr>
        <w:t>19</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39DAD31C">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_Toc19739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5．开标</w:t>
      </w:r>
      <w:r>
        <w:rPr>
          <w:color w:val="auto"/>
          <w:highlight w:val="none"/>
        </w:rPr>
        <w:tab/>
      </w:r>
      <w:r>
        <w:rPr>
          <w:color w:val="auto"/>
          <w:highlight w:val="none"/>
        </w:rPr>
        <w:fldChar w:fldCharType="begin"/>
      </w:r>
      <w:r>
        <w:rPr>
          <w:color w:val="auto"/>
          <w:highlight w:val="none"/>
        </w:rPr>
        <w:instrText xml:space="preserve"> PAGEREF _Toc19739 \h </w:instrText>
      </w:r>
      <w:r>
        <w:rPr>
          <w:color w:val="auto"/>
          <w:highlight w:val="none"/>
        </w:rPr>
        <w:fldChar w:fldCharType="separate"/>
      </w:r>
      <w:r>
        <w:rPr>
          <w:color w:val="auto"/>
          <w:highlight w:val="none"/>
        </w:rPr>
        <w:t>19</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19D06F17">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_Toc24943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5.1 开标时间和地点</w:t>
      </w:r>
      <w:r>
        <w:rPr>
          <w:color w:val="auto"/>
          <w:highlight w:val="none"/>
        </w:rPr>
        <w:tab/>
      </w:r>
      <w:r>
        <w:rPr>
          <w:color w:val="auto"/>
          <w:highlight w:val="none"/>
        </w:rPr>
        <w:fldChar w:fldCharType="begin"/>
      </w:r>
      <w:r>
        <w:rPr>
          <w:color w:val="auto"/>
          <w:highlight w:val="none"/>
        </w:rPr>
        <w:instrText xml:space="preserve"> PAGEREF _Toc24943 \h </w:instrText>
      </w:r>
      <w:r>
        <w:rPr>
          <w:color w:val="auto"/>
          <w:highlight w:val="none"/>
        </w:rPr>
        <w:fldChar w:fldCharType="separate"/>
      </w:r>
      <w:r>
        <w:rPr>
          <w:color w:val="auto"/>
          <w:highlight w:val="none"/>
        </w:rPr>
        <w:t>19</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4650D413">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_Toc161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5.2 开标程序</w:t>
      </w:r>
      <w:r>
        <w:rPr>
          <w:color w:val="auto"/>
          <w:highlight w:val="none"/>
        </w:rPr>
        <w:tab/>
      </w:r>
      <w:r>
        <w:rPr>
          <w:color w:val="auto"/>
          <w:highlight w:val="none"/>
        </w:rPr>
        <w:fldChar w:fldCharType="begin"/>
      </w:r>
      <w:r>
        <w:rPr>
          <w:color w:val="auto"/>
          <w:highlight w:val="none"/>
        </w:rPr>
        <w:instrText xml:space="preserve"> PAGEREF _Toc161 \h </w:instrText>
      </w:r>
      <w:r>
        <w:rPr>
          <w:color w:val="auto"/>
          <w:highlight w:val="none"/>
        </w:rPr>
        <w:fldChar w:fldCharType="separate"/>
      </w:r>
      <w:r>
        <w:rPr>
          <w:color w:val="auto"/>
          <w:highlight w:val="none"/>
        </w:rPr>
        <w:t>19</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275CCE59">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_Toc30765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6．评标</w:t>
      </w:r>
      <w:r>
        <w:rPr>
          <w:color w:val="auto"/>
          <w:highlight w:val="none"/>
        </w:rPr>
        <w:tab/>
      </w:r>
      <w:r>
        <w:rPr>
          <w:color w:val="auto"/>
          <w:highlight w:val="none"/>
        </w:rPr>
        <w:fldChar w:fldCharType="begin"/>
      </w:r>
      <w:r>
        <w:rPr>
          <w:color w:val="auto"/>
          <w:highlight w:val="none"/>
        </w:rPr>
        <w:instrText xml:space="preserve"> PAGEREF _Toc30765 \h </w:instrText>
      </w:r>
      <w:r>
        <w:rPr>
          <w:color w:val="auto"/>
          <w:highlight w:val="none"/>
        </w:rPr>
        <w:fldChar w:fldCharType="separate"/>
      </w:r>
      <w:r>
        <w:rPr>
          <w:color w:val="auto"/>
          <w:highlight w:val="none"/>
        </w:rPr>
        <w:t>20</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73D7090B">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_Toc5389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6.1 评标委员会</w:t>
      </w:r>
      <w:r>
        <w:rPr>
          <w:color w:val="auto"/>
          <w:highlight w:val="none"/>
        </w:rPr>
        <w:tab/>
      </w:r>
      <w:r>
        <w:rPr>
          <w:color w:val="auto"/>
          <w:highlight w:val="none"/>
        </w:rPr>
        <w:fldChar w:fldCharType="begin"/>
      </w:r>
      <w:r>
        <w:rPr>
          <w:color w:val="auto"/>
          <w:highlight w:val="none"/>
        </w:rPr>
        <w:instrText xml:space="preserve"> PAGEREF _Toc5389 \h </w:instrText>
      </w:r>
      <w:r>
        <w:rPr>
          <w:color w:val="auto"/>
          <w:highlight w:val="none"/>
        </w:rPr>
        <w:fldChar w:fldCharType="separate"/>
      </w:r>
      <w:r>
        <w:rPr>
          <w:color w:val="auto"/>
          <w:highlight w:val="none"/>
        </w:rPr>
        <w:t>20</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7450F8A2">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_Toc27410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6.2 评标原则</w:t>
      </w:r>
      <w:r>
        <w:rPr>
          <w:color w:val="auto"/>
          <w:highlight w:val="none"/>
        </w:rPr>
        <w:tab/>
      </w:r>
      <w:r>
        <w:rPr>
          <w:color w:val="auto"/>
          <w:highlight w:val="none"/>
        </w:rPr>
        <w:fldChar w:fldCharType="begin"/>
      </w:r>
      <w:r>
        <w:rPr>
          <w:color w:val="auto"/>
          <w:highlight w:val="none"/>
        </w:rPr>
        <w:instrText xml:space="preserve"> PAGEREF _Toc27410 \h </w:instrText>
      </w:r>
      <w:r>
        <w:rPr>
          <w:color w:val="auto"/>
          <w:highlight w:val="none"/>
        </w:rPr>
        <w:fldChar w:fldCharType="separate"/>
      </w:r>
      <w:r>
        <w:rPr>
          <w:color w:val="auto"/>
          <w:highlight w:val="none"/>
        </w:rPr>
        <w:t>20</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5119FC18">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_Toc32136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6.3 评标</w:t>
      </w:r>
      <w:r>
        <w:rPr>
          <w:color w:val="auto"/>
          <w:highlight w:val="none"/>
        </w:rPr>
        <w:tab/>
      </w:r>
      <w:r>
        <w:rPr>
          <w:color w:val="auto"/>
          <w:highlight w:val="none"/>
        </w:rPr>
        <w:fldChar w:fldCharType="begin"/>
      </w:r>
      <w:r>
        <w:rPr>
          <w:color w:val="auto"/>
          <w:highlight w:val="none"/>
        </w:rPr>
        <w:instrText xml:space="preserve"> PAGEREF _Toc32136 \h </w:instrText>
      </w:r>
      <w:r>
        <w:rPr>
          <w:color w:val="auto"/>
          <w:highlight w:val="none"/>
        </w:rPr>
        <w:fldChar w:fldCharType="separate"/>
      </w:r>
      <w:r>
        <w:rPr>
          <w:color w:val="auto"/>
          <w:highlight w:val="none"/>
        </w:rPr>
        <w:t>20</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4D3AD82">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_Toc31047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7．合同授予</w:t>
      </w:r>
      <w:r>
        <w:rPr>
          <w:color w:val="auto"/>
          <w:highlight w:val="none"/>
        </w:rPr>
        <w:tab/>
      </w:r>
      <w:r>
        <w:rPr>
          <w:color w:val="auto"/>
          <w:highlight w:val="none"/>
        </w:rPr>
        <w:fldChar w:fldCharType="begin"/>
      </w:r>
      <w:r>
        <w:rPr>
          <w:color w:val="auto"/>
          <w:highlight w:val="none"/>
        </w:rPr>
        <w:instrText xml:space="preserve"> PAGEREF _Toc31047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E65E17F">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_Toc23186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7.1 定标方式</w:t>
      </w:r>
      <w:r>
        <w:rPr>
          <w:color w:val="auto"/>
          <w:highlight w:val="none"/>
        </w:rPr>
        <w:tab/>
      </w:r>
      <w:r>
        <w:rPr>
          <w:color w:val="auto"/>
          <w:highlight w:val="none"/>
        </w:rPr>
        <w:fldChar w:fldCharType="begin"/>
      </w:r>
      <w:r>
        <w:rPr>
          <w:color w:val="auto"/>
          <w:highlight w:val="none"/>
        </w:rPr>
        <w:instrText xml:space="preserve"> PAGEREF _Toc23186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211C7818">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_Toc12106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7.2 中标通知</w:t>
      </w:r>
      <w:r>
        <w:rPr>
          <w:color w:val="auto"/>
          <w:highlight w:val="none"/>
        </w:rPr>
        <w:tab/>
      </w:r>
      <w:r>
        <w:rPr>
          <w:color w:val="auto"/>
          <w:highlight w:val="none"/>
        </w:rPr>
        <w:fldChar w:fldCharType="begin"/>
      </w:r>
      <w:r>
        <w:rPr>
          <w:color w:val="auto"/>
          <w:highlight w:val="none"/>
        </w:rPr>
        <w:instrText xml:space="preserve"> PAGEREF _Toc12106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45C9BE60">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_Toc9415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7.3 履约担保</w:t>
      </w:r>
      <w:r>
        <w:rPr>
          <w:color w:val="auto"/>
          <w:highlight w:val="none"/>
        </w:rPr>
        <w:tab/>
      </w:r>
      <w:r>
        <w:rPr>
          <w:color w:val="auto"/>
          <w:highlight w:val="none"/>
        </w:rPr>
        <w:fldChar w:fldCharType="begin"/>
      </w:r>
      <w:r>
        <w:rPr>
          <w:color w:val="auto"/>
          <w:highlight w:val="none"/>
        </w:rPr>
        <w:instrText xml:space="preserve"> PAGEREF _Toc9415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204AEE74">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_Toc4366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7.4 签订合同</w:t>
      </w:r>
      <w:r>
        <w:rPr>
          <w:color w:val="auto"/>
          <w:highlight w:val="none"/>
        </w:rPr>
        <w:tab/>
      </w:r>
      <w:r>
        <w:rPr>
          <w:color w:val="auto"/>
          <w:highlight w:val="none"/>
        </w:rPr>
        <w:fldChar w:fldCharType="begin"/>
      </w:r>
      <w:r>
        <w:rPr>
          <w:color w:val="auto"/>
          <w:highlight w:val="none"/>
        </w:rPr>
        <w:instrText xml:space="preserve"> PAGEREF _Toc4366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690E134">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_Toc12016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8．重新招标和不再招标</w:t>
      </w:r>
      <w:r>
        <w:rPr>
          <w:color w:val="auto"/>
          <w:highlight w:val="none"/>
        </w:rPr>
        <w:tab/>
      </w:r>
      <w:r>
        <w:rPr>
          <w:color w:val="auto"/>
          <w:highlight w:val="none"/>
        </w:rPr>
        <w:fldChar w:fldCharType="begin"/>
      </w:r>
      <w:r>
        <w:rPr>
          <w:color w:val="auto"/>
          <w:highlight w:val="none"/>
        </w:rPr>
        <w:instrText xml:space="preserve"> PAGEREF _Toc12016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7D66E491">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_Toc4693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8.1 重新招标</w:t>
      </w:r>
      <w:r>
        <w:rPr>
          <w:color w:val="auto"/>
          <w:highlight w:val="none"/>
        </w:rPr>
        <w:tab/>
      </w:r>
      <w:r>
        <w:rPr>
          <w:color w:val="auto"/>
          <w:highlight w:val="none"/>
        </w:rPr>
        <w:fldChar w:fldCharType="begin"/>
      </w:r>
      <w:r>
        <w:rPr>
          <w:color w:val="auto"/>
          <w:highlight w:val="none"/>
        </w:rPr>
        <w:instrText xml:space="preserve"> PAGEREF _Toc4693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4DBC11E6">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_Toc16763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8.2 不再招标</w:t>
      </w:r>
      <w:r>
        <w:rPr>
          <w:color w:val="auto"/>
          <w:highlight w:val="none"/>
        </w:rPr>
        <w:tab/>
      </w:r>
      <w:r>
        <w:rPr>
          <w:color w:val="auto"/>
          <w:highlight w:val="none"/>
        </w:rPr>
        <w:fldChar w:fldCharType="begin"/>
      </w:r>
      <w:r>
        <w:rPr>
          <w:color w:val="auto"/>
          <w:highlight w:val="none"/>
        </w:rPr>
        <w:instrText xml:space="preserve"> PAGEREF _Toc16763 \h </w:instrText>
      </w:r>
      <w:r>
        <w:rPr>
          <w:color w:val="auto"/>
          <w:highlight w:val="none"/>
        </w:rPr>
        <w:fldChar w:fldCharType="separate"/>
      </w:r>
      <w:r>
        <w:rPr>
          <w:color w:val="auto"/>
          <w:highlight w:val="none"/>
        </w:rPr>
        <w:t>21</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558E5AFF">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_Toc14012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9．纪律和监督</w:t>
      </w:r>
      <w:r>
        <w:rPr>
          <w:color w:val="auto"/>
          <w:highlight w:val="none"/>
        </w:rPr>
        <w:tab/>
      </w:r>
      <w:r>
        <w:rPr>
          <w:color w:val="auto"/>
          <w:highlight w:val="none"/>
        </w:rPr>
        <w:fldChar w:fldCharType="begin"/>
      </w:r>
      <w:r>
        <w:rPr>
          <w:color w:val="auto"/>
          <w:highlight w:val="none"/>
        </w:rPr>
        <w:instrText xml:space="preserve"> PAGEREF _Toc14012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0450661">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_Toc25291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9.1 对招标人的纪律要求</w:t>
      </w:r>
      <w:r>
        <w:rPr>
          <w:color w:val="auto"/>
          <w:highlight w:val="none"/>
        </w:rPr>
        <w:tab/>
      </w:r>
      <w:r>
        <w:rPr>
          <w:color w:val="auto"/>
          <w:highlight w:val="none"/>
        </w:rPr>
        <w:fldChar w:fldCharType="begin"/>
      </w:r>
      <w:r>
        <w:rPr>
          <w:color w:val="auto"/>
          <w:highlight w:val="none"/>
        </w:rPr>
        <w:instrText xml:space="preserve"> PAGEREF _Toc25291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0D6FEC6">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_Toc16212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9.2 对投标人的纪律要求</w:t>
      </w:r>
      <w:r>
        <w:rPr>
          <w:color w:val="auto"/>
          <w:highlight w:val="none"/>
        </w:rPr>
        <w:tab/>
      </w:r>
      <w:r>
        <w:rPr>
          <w:color w:val="auto"/>
          <w:highlight w:val="none"/>
        </w:rPr>
        <w:fldChar w:fldCharType="begin"/>
      </w:r>
      <w:r>
        <w:rPr>
          <w:color w:val="auto"/>
          <w:highlight w:val="none"/>
        </w:rPr>
        <w:instrText xml:space="preserve"> PAGEREF _Toc16212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7A551283">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_Toc15112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9.3 对评标委员会成员的纪律要求</w:t>
      </w:r>
      <w:r>
        <w:rPr>
          <w:color w:val="auto"/>
          <w:highlight w:val="none"/>
        </w:rPr>
        <w:tab/>
      </w:r>
      <w:r>
        <w:rPr>
          <w:color w:val="auto"/>
          <w:highlight w:val="none"/>
        </w:rPr>
        <w:fldChar w:fldCharType="begin"/>
      </w:r>
      <w:r>
        <w:rPr>
          <w:color w:val="auto"/>
          <w:highlight w:val="none"/>
        </w:rPr>
        <w:instrText xml:space="preserve"> PAGEREF _Toc15112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3357DAF2">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_Toc14772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9.4 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_Toc14772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74E5064A">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_Toc14153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1"/>
          <w:highlight w:val="none"/>
        </w:rPr>
        <w:t>9.5 投诉</w:t>
      </w:r>
      <w:r>
        <w:rPr>
          <w:color w:val="auto"/>
          <w:highlight w:val="none"/>
        </w:rPr>
        <w:tab/>
      </w:r>
      <w:r>
        <w:rPr>
          <w:color w:val="auto"/>
          <w:highlight w:val="none"/>
        </w:rPr>
        <w:fldChar w:fldCharType="begin"/>
      </w:r>
      <w:r>
        <w:rPr>
          <w:color w:val="auto"/>
          <w:highlight w:val="none"/>
        </w:rPr>
        <w:instrText xml:space="preserve"> PAGEREF _Toc14153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45547D03">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_Toc9449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10、需要补充的其他内容</w:t>
      </w:r>
      <w:r>
        <w:rPr>
          <w:color w:val="auto"/>
          <w:highlight w:val="none"/>
        </w:rPr>
        <w:tab/>
      </w:r>
      <w:r>
        <w:rPr>
          <w:color w:val="auto"/>
          <w:highlight w:val="none"/>
        </w:rPr>
        <w:fldChar w:fldCharType="begin"/>
      </w:r>
      <w:r>
        <w:rPr>
          <w:color w:val="auto"/>
          <w:highlight w:val="none"/>
        </w:rPr>
        <w:instrText xml:space="preserve"> PAGEREF _Toc9449 \h </w:instrText>
      </w:r>
      <w:r>
        <w:rPr>
          <w:color w:val="auto"/>
          <w:highlight w:val="none"/>
        </w:rPr>
        <w:fldChar w:fldCharType="separate"/>
      </w:r>
      <w:r>
        <w:rPr>
          <w:color w:val="auto"/>
          <w:highlight w:val="none"/>
        </w:rPr>
        <w:t>22</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A7C2CE3">
      <w:pPr>
        <w:pStyle w:val="24"/>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_Toc28509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32"/>
          <w:highlight w:val="none"/>
        </w:rPr>
        <w:t>第三章 评标办法（综合评标法）</w:t>
      </w:r>
      <w:r>
        <w:rPr>
          <w:color w:val="auto"/>
          <w:highlight w:val="none"/>
        </w:rPr>
        <w:tab/>
      </w:r>
      <w:r>
        <w:rPr>
          <w:color w:val="auto"/>
          <w:highlight w:val="none"/>
        </w:rPr>
        <w:fldChar w:fldCharType="begin"/>
      </w:r>
      <w:r>
        <w:rPr>
          <w:color w:val="auto"/>
          <w:highlight w:val="none"/>
        </w:rPr>
        <w:instrText xml:space="preserve"> PAGEREF _Toc28509 \h </w:instrText>
      </w:r>
      <w:r>
        <w:rPr>
          <w:color w:val="auto"/>
          <w:highlight w:val="none"/>
        </w:rPr>
        <w:fldChar w:fldCharType="separate"/>
      </w:r>
      <w:r>
        <w:rPr>
          <w:color w:val="auto"/>
          <w:highlight w:val="none"/>
        </w:rPr>
        <w:t>23</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578D9E4D">
      <w:pPr>
        <w:pStyle w:val="27"/>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_Toc17080 </w:instrText>
      </w:r>
      <w:r>
        <w:rPr>
          <w:rFonts w:hint="eastAsia" w:ascii="宋体" w:hAnsi="宋体" w:cs="宋体"/>
          <w:bCs/>
          <w:color w:val="auto"/>
          <w:spacing w:val="138"/>
          <w:kern w:val="0"/>
          <w:szCs w:val="32"/>
          <w:highlight w:val="none"/>
        </w:rPr>
        <w:fldChar w:fldCharType="separate"/>
      </w:r>
      <w:r>
        <w:rPr>
          <w:rFonts w:hint="eastAsia" w:ascii="宋体" w:hAnsi="宋体" w:eastAsia="宋体"/>
          <w:color w:val="auto"/>
          <w:szCs w:val="24"/>
          <w:highlight w:val="none"/>
        </w:rPr>
        <w:t>评标办法前附表</w:t>
      </w:r>
      <w:r>
        <w:rPr>
          <w:color w:val="auto"/>
          <w:highlight w:val="none"/>
        </w:rPr>
        <w:tab/>
      </w:r>
      <w:r>
        <w:rPr>
          <w:color w:val="auto"/>
          <w:highlight w:val="none"/>
        </w:rPr>
        <w:fldChar w:fldCharType="begin"/>
      </w:r>
      <w:r>
        <w:rPr>
          <w:color w:val="auto"/>
          <w:highlight w:val="none"/>
        </w:rPr>
        <w:instrText xml:space="preserve"> PAGEREF _Toc17080 \h </w:instrText>
      </w:r>
      <w:r>
        <w:rPr>
          <w:color w:val="auto"/>
          <w:highlight w:val="none"/>
        </w:rPr>
        <w:fldChar w:fldCharType="separate"/>
      </w:r>
      <w:r>
        <w:rPr>
          <w:color w:val="auto"/>
          <w:highlight w:val="none"/>
        </w:rPr>
        <w:t>23</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45BC6A7F">
      <w:pPr>
        <w:pStyle w:val="27"/>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_Toc10868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rPr>
        <w:t>1. 评标方法</w:t>
      </w:r>
      <w:r>
        <w:rPr>
          <w:color w:val="auto"/>
          <w:highlight w:val="none"/>
        </w:rPr>
        <w:tab/>
      </w:r>
      <w:r>
        <w:rPr>
          <w:color w:val="auto"/>
          <w:highlight w:val="none"/>
        </w:rPr>
        <w:fldChar w:fldCharType="begin"/>
      </w:r>
      <w:r>
        <w:rPr>
          <w:color w:val="auto"/>
          <w:highlight w:val="none"/>
        </w:rPr>
        <w:instrText xml:space="preserve"> PAGEREF _Toc10868 \h </w:instrText>
      </w:r>
      <w:r>
        <w:rPr>
          <w:color w:val="auto"/>
          <w:highlight w:val="none"/>
        </w:rPr>
        <w:fldChar w:fldCharType="separate"/>
      </w:r>
      <w:r>
        <w:rPr>
          <w:color w:val="auto"/>
          <w:highlight w:val="none"/>
        </w:rPr>
        <w:t>24</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2F14185C">
      <w:pPr>
        <w:pStyle w:val="27"/>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_Toc8196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rPr>
        <w:t>2. 评审标准</w:t>
      </w:r>
      <w:r>
        <w:rPr>
          <w:color w:val="auto"/>
          <w:highlight w:val="none"/>
        </w:rPr>
        <w:tab/>
      </w:r>
      <w:r>
        <w:rPr>
          <w:color w:val="auto"/>
          <w:highlight w:val="none"/>
        </w:rPr>
        <w:fldChar w:fldCharType="begin"/>
      </w:r>
      <w:r>
        <w:rPr>
          <w:color w:val="auto"/>
          <w:highlight w:val="none"/>
        </w:rPr>
        <w:instrText xml:space="preserve"> PAGEREF _Toc8196 \h </w:instrText>
      </w:r>
      <w:r>
        <w:rPr>
          <w:color w:val="auto"/>
          <w:highlight w:val="none"/>
        </w:rPr>
        <w:fldChar w:fldCharType="separate"/>
      </w:r>
      <w:r>
        <w:rPr>
          <w:color w:val="auto"/>
          <w:highlight w:val="none"/>
        </w:rPr>
        <w:t>29</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08ED954">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_Toc633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2.1 初步评审标准</w:t>
      </w:r>
      <w:r>
        <w:rPr>
          <w:color w:val="auto"/>
          <w:highlight w:val="none"/>
        </w:rPr>
        <w:tab/>
      </w:r>
      <w:r>
        <w:rPr>
          <w:color w:val="auto"/>
          <w:highlight w:val="none"/>
        </w:rPr>
        <w:fldChar w:fldCharType="begin"/>
      </w:r>
      <w:r>
        <w:rPr>
          <w:color w:val="auto"/>
          <w:highlight w:val="none"/>
        </w:rPr>
        <w:instrText xml:space="preserve"> PAGEREF _Toc633 \h </w:instrText>
      </w:r>
      <w:r>
        <w:rPr>
          <w:color w:val="auto"/>
          <w:highlight w:val="none"/>
        </w:rPr>
        <w:fldChar w:fldCharType="separate"/>
      </w:r>
      <w:r>
        <w:rPr>
          <w:color w:val="auto"/>
          <w:highlight w:val="none"/>
        </w:rPr>
        <w:t>29</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DB23D92">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_Toc30044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2.2 分值构成与评分标准</w:t>
      </w:r>
      <w:r>
        <w:rPr>
          <w:color w:val="auto"/>
          <w:highlight w:val="none"/>
        </w:rPr>
        <w:tab/>
      </w:r>
      <w:r>
        <w:rPr>
          <w:color w:val="auto"/>
          <w:highlight w:val="none"/>
        </w:rPr>
        <w:fldChar w:fldCharType="begin"/>
      </w:r>
      <w:r>
        <w:rPr>
          <w:color w:val="auto"/>
          <w:highlight w:val="none"/>
        </w:rPr>
        <w:instrText xml:space="preserve"> PAGEREF _Toc30044 \h </w:instrText>
      </w:r>
      <w:r>
        <w:rPr>
          <w:color w:val="auto"/>
          <w:highlight w:val="none"/>
        </w:rPr>
        <w:fldChar w:fldCharType="separate"/>
      </w:r>
      <w:r>
        <w:rPr>
          <w:color w:val="auto"/>
          <w:highlight w:val="none"/>
        </w:rPr>
        <w:t>29</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5332482">
      <w:pPr>
        <w:pStyle w:val="27"/>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_Toc25312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rPr>
        <w:t>3. 评标程序</w:t>
      </w:r>
      <w:r>
        <w:rPr>
          <w:color w:val="auto"/>
          <w:highlight w:val="none"/>
        </w:rPr>
        <w:tab/>
      </w:r>
      <w:r>
        <w:rPr>
          <w:color w:val="auto"/>
          <w:highlight w:val="none"/>
        </w:rPr>
        <w:fldChar w:fldCharType="begin"/>
      </w:r>
      <w:r>
        <w:rPr>
          <w:color w:val="auto"/>
          <w:highlight w:val="none"/>
        </w:rPr>
        <w:instrText xml:space="preserve"> PAGEREF _Toc25312 \h </w:instrText>
      </w:r>
      <w:r>
        <w:rPr>
          <w:color w:val="auto"/>
          <w:highlight w:val="none"/>
        </w:rPr>
        <w:fldChar w:fldCharType="separate"/>
      </w:r>
      <w:r>
        <w:rPr>
          <w:color w:val="auto"/>
          <w:highlight w:val="none"/>
        </w:rPr>
        <w:t>29</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0B85616">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_Toc18682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3.1 初步评审</w:t>
      </w:r>
      <w:r>
        <w:rPr>
          <w:color w:val="auto"/>
          <w:highlight w:val="none"/>
        </w:rPr>
        <w:tab/>
      </w:r>
      <w:r>
        <w:rPr>
          <w:color w:val="auto"/>
          <w:highlight w:val="none"/>
        </w:rPr>
        <w:fldChar w:fldCharType="begin"/>
      </w:r>
      <w:r>
        <w:rPr>
          <w:color w:val="auto"/>
          <w:highlight w:val="none"/>
        </w:rPr>
        <w:instrText xml:space="preserve"> PAGEREF _Toc18682 \h </w:instrText>
      </w:r>
      <w:r>
        <w:rPr>
          <w:color w:val="auto"/>
          <w:highlight w:val="none"/>
        </w:rPr>
        <w:fldChar w:fldCharType="separate"/>
      </w:r>
      <w:r>
        <w:rPr>
          <w:color w:val="auto"/>
          <w:highlight w:val="none"/>
        </w:rPr>
        <w:t>29</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49A4CAC0">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_Toc18221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3.2 详细评审</w:t>
      </w:r>
      <w:r>
        <w:rPr>
          <w:color w:val="auto"/>
          <w:highlight w:val="none"/>
        </w:rPr>
        <w:tab/>
      </w:r>
      <w:r>
        <w:rPr>
          <w:color w:val="auto"/>
          <w:highlight w:val="none"/>
        </w:rPr>
        <w:fldChar w:fldCharType="begin"/>
      </w:r>
      <w:r>
        <w:rPr>
          <w:color w:val="auto"/>
          <w:highlight w:val="none"/>
        </w:rPr>
        <w:instrText xml:space="preserve"> PAGEREF _Toc18221 \h </w:instrText>
      </w:r>
      <w:r>
        <w:rPr>
          <w:color w:val="auto"/>
          <w:highlight w:val="none"/>
        </w:rPr>
        <w:fldChar w:fldCharType="separate"/>
      </w:r>
      <w:r>
        <w:rPr>
          <w:color w:val="auto"/>
          <w:highlight w:val="none"/>
        </w:rPr>
        <w:t>30</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57E08B68">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_Toc17851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3.3 投标文件的澄清和补正</w:t>
      </w:r>
      <w:r>
        <w:rPr>
          <w:color w:val="auto"/>
          <w:highlight w:val="none"/>
        </w:rPr>
        <w:tab/>
      </w:r>
      <w:r>
        <w:rPr>
          <w:color w:val="auto"/>
          <w:highlight w:val="none"/>
        </w:rPr>
        <w:fldChar w:fldCharType="begin"/>
      </w:r>
      <w:r>
        <w:rPr>
          <w:color w:val="auto"/>
          <w:highlight w:val="none"/>
        </w:rPr>
        <w:instrText xml:space="preserve"> PAGEREF _Toc17851 \h </w:instrText>
      </w:r>
      <w:r>
        <w:rPr>
          <w:color w:val="auto"/>
          <w:highlight w:val="none"/>
        </w:rPr>
        <w:fldChar w:fldCharType="separate"/>
      </w:r>
      <w:r>
        <w:rPr>
          <w:color w:val="auto"/>
          <w:highlight w:val="none"/>
        </w:rPr>
        <w:t>30</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72B8EDD">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_Toc32397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21"/>
          <w:highlight w:val="none"/>
        </w:rPr>
        <w:t>3.4 评标结果</w:t>
      </w:r>
      <w:r>
        <w:rPr>
          <w:color w:val="auto"/>
          <w:highlight w:val="none"/>
        </w:rPr>
        <w:tab/>
      </w:r>
      <w:r>
        <w:rPr>
          <w:color w:val="auto"/>
          <w:highlight w:val="none"/>
        </w:rPr>
        <w:fldChar w:fldCharType="begin"/>
      </w:r>
      <w:r>
        <w:rPr>
          <w:color w:val="auto"/>
          <w:highlight w:val="none"/>
        </w:rPr>
        <w:instrText xml:space="preserve"> PAGEREF _Toc32397 \h </w:instrText>
      </w:r>
      <w:r>
        <w:rPr>
          <w:color w:val="auto"/>
          <w:highlight w:val="none"/>
        </w:rPr>
        <w:fldChar w:fldCharType="separate"/>
      </w:r>
      <w:r>
        <w:rPr>
          <w:color w:val="auto"/>
          <w:highlight w:val="none"/>
        </w:rPr>
        <w:t>31</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72F5C639">
      <w:pPr>
        <w:pStyle w:val="24"/>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_Toc5848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32"/>
          <w:highlight w:val="none"/>
        </w:rPr>
        <w:t>第四章 合同条款及格式</w:t>
      </w:r>
      <w:r>
        <w:rPr>
          <w:color w:val="auto"/>
          <w:highlight w:val="none"/>
        </w:rPr>
        <w:tab/>
      </w:r>
      <w:r>
        <w:rPr>
          <w:color w:val="auto"/>
          <w:highlight w:val="none"/>
        </w:rPr>
        <w:fldChar w:fldCharType="begin"/>
      </w:r>
      <w:r>
        <w:rPr>
          <w:color w:val="auto"/>
          <w:highlight w:val="none"/>
        </w:rPr>
        <w:instrText xml:space="preserve"> PAGEREF _Toc5848 \h </w:instrText>
      </w:r>
      <w:r>
        <w:rPr>
          <w:color w:val="auto"/>
          <w:highlight w:val="none"/>
        </w:rPr>
        <w:fldChar w:fldCharType="separate"/>
      </w:r>
      <w:r>
        <w:rPr>
          <w:color w:val="auto"/>
          <w:highlight w:val="none"/>
        </w:rPr>
        <w:t>32</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53CF80B">
      <w:pPr>
        <w:pStyle w:val="24"/>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_Toc9508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32"/>
          <w:highlight w:val="none"/>
        </w:rPr>
        <w:t xml:space="preserve">第五章  </w:t>
      </w:r>
      <w:r>
        <w:rPr>
          <w:rFonts w:hint="eastAsia" w:ascii="宋体" w:hAnsi="宋体" w:cs="宋体"/>
          <w:color w:val="auto"/>
          <w:szCs w:val="32"/>
          <w:highlight w:val="none"/>
          <w:lang w:val="en-US" w:eastAsia="zh-CN"/>
        </w:rPr>
        <w:t>服务内容及要求</w:t>
      </w:r>
      <w:r>
        <w:rPr>
          <w:color w:val="auto"/>
          <w:highlight w:val="none"/>
        </w:rPr>
        <w:tab/>
      </w:r>
      <w:r>
        <w:rPr>
          <w:color w:val="auto"/>
          <w:highlight w:val="none"/>
        </w:rPr>
        <w:fldChar w:fldCharType="begin"/>
      </w:r>
      <w:r>
        <w:rPr>
          <w:color w:val="auto"/>
          <w:highlight w:val="none"/>
        </w:rPr>
        <w:instrText xml:space="preserve"> PAGEREF _Toc9508 \h </w:instrText>
      </w:r>
      <w:r>
        <w:rPr>
          <w:color w:val="auto"/>
          <w:highlight w:val="none"/>
        </w:rPr>
        <w:fldChar w:fldCharType="separate"/>
      </w:r>
      <w:r>
        <w:rPr>
          <w:color w:val="auto"/>
          <w:highlight w:val="none"/>
        </w:rPr>
        <w:t>37</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52D4359">
      <w:pPr>
        <w:pStyle w:val="24"/>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_Toc22120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szCs w:val="32"/>
          <w:highlight w:val="none"/>
        </w:rPr>
        <w:t>第六章  投标文件格式</w:t>
      </w:r>
      <w:r>
        <w:rPr>
          <w:color w:val="auto"/>
          <w:highlight w:val="none"/>
        </w:rPr>
        <w:tab/>
      </w:r>
      <w:r>
        <w:rPr>
          <w:color w:val="auto"/>
          <w:highlight w:val="none"/>
        </w:rPr>
        <w:fldChar w:fldCharType="begin"/>
      </w:r>
      <w:r>
        <w:rPr>
          <w:color w:val="auto"/>
          <w:highlight w:val="none"/>
        </w:rPr>
        <w:instrText xml:space="preserve"> PAGEREF _Toc22120 \h </w:instrText>
      </w:r>
      <w:r>
        <w:rPr>
          <w:color w:val="auto"/>
          <w:highlight w:val="none"/>
        </w:rPr>
        <w:fldChar w:fldCharType="separate"/>
      </w:r>
      <w:r>
        <w:rPr>
          <w:color w:val="auto"/>
          <w:highlight w:val="none"/>
        </w:rPr>
        <w:t>43</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428DEFD7">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_Toc18702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rPr>
        <w:t>一、投标函及投标函附录</w:t>
      </w:r>
      <w:r>
        <w:rPr>
          <w:color w:val="auto"/>
          <w:highlight w:val="none"/>
        </w:rPr>
        <w:tab/>
      </w:r>
      <w:r>
        <w:rPr>
          <w:color w:val="auto"/>
          <w:highlight w:val="none"/>
        </w:rPr>
        <w:fldChar w:fldCharType="begin"/>
      </w:r>
      <w:r>
        <w:rPr>
          <w:color w:val="auto"/>
          <w:highlight w:val="none"/>
        </w:rPr>
        <w:instrText xml:space="preserve"> PAGEREF _Toc18702 \h </w:instrText>
      </w:r>
      <w:r>
        <w:rPr>
          <w:color w:val="auto"/>
          <w:highlight w:val="none"/>
        </w:rPr>
        <w:fldChar w:fldCharType="separate"/>
      </w:r>
      <w:r>
        <w:rPr>
          <w:color w:val="auto"/>
          <w:highlight w:val="none"/>
        </w:rPr>
        <w:t>45</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4855ECF3">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_Toc19702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2"/>
          <w:highlight w:val="none"/>
        </w:rPr>
        <w:t>（一）投标函</w:t>
      </w:r>
      <w:r>
        <w:rPr>
          <w:color w:val="auto"/>
          <w:highlight w:val="none"/>
        </w:rPr>
        <w:tab/>
      </w:r>
      <w:r>
        <w:rPr>
          <w:color w:val="auto"/>
          <w:highlight w:val="none"/>
        </w:rPr>
        <w:fldChar w:fldCharType="begin"/>
      </w:r>
      <w:r>
        <w:rPr>
          <w:color w:val="auto"/>
          <w:highlight w:val="none"/>
        </w:rPr>
        <w:instrText xml:space="preserve"> PAGEREF _Toc19702 \h </w:instrText>
      </w:r>
      <w:r>
        <w:rPr>
          <w:color w:val="auto"/>
          <w:highlight w:val="none"/>
        </w:rPr>
        <w:fldChar w:fldCharType="separate"/>
      </w:r>
      <w:r>
        <w:rPr>
          <w:color w:val="auto"/>
          <w:highlight w:val="none"/>
        </w:rPr>
        <w:t>45</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36C0C437">
      <w:pPr>
        <w:pStyle w:val="25"/>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_Toc8226 </w:instrText>
      </w:r>
      <w:r>
        <w:rPr>
          <w:rFonts w:hint="eastAsia" w:ascii="宋体" w:hAnsi="宋体" w:cs="宋体"/>
          <w:bCs/>
          <w:color w:val="auto"/>
          <w:spacing w:val="138"/>
          <w:kern w:val="0"/>
          <w:szCs w:val="32"/>
          <w:highlight w:val="none"/>
        </w:rPr>
        <w:fldChar w:fldCharType="separate"/>
      </w:r>
      <w:r>
        <w:rPr>
          <w:rFonts w:hint="eastAsia" w:ascii="宋体" w:hAnsi="宋体" w:eastAsia="宋体" w:cs="宋体"/>
          <w:color w:val="auto"/>
          <w:szCs w:val="24"/>
          <w:highlight w:val="none"/>
        </w:rPr>
        <w:t>（二）投标函附录</w:t>
      </w:r>
      <w:r>
        <w:rPr>
          <w:color w:val="auto"/>
          <w:highlight w:val="none"/>
        </w:rPr>
        <w:tab/>
      </w:r>
      <w:r>
        <w:rPr>
          <w:color w:val="auto"/>
          <w:highlight w:val="none"/>
        </w:rPr>
        <w:fldChar w:fldCharType="begin"/>
      </w:r>
      <w:r>
        <w:rPr>
          <w:color w:val="auto"/>
          <w:highlight w:val="none"/>
        </w:rPr>
        <w:instrText xml:space="preserve"> PAGEREF _Toc8226 \h </w:instrText>
      </w:r>
      <w:r>
        <w:rPr>
          <w:color w:val="auto"/>
          <w:highlight w:val="none"/>
        </w:rPr>
        <w:fldChar w:fldCharType="separate"/>
      </w:r>
      <w:r>
        <w:rPr>
          <w:color w:val="auto"/>
          <w:highlight w:val="none"/>
        </w:rPr>
        <w:t>46</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1997A12D">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_Toc29352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rPr>
        <w:t>二、法定代表人身份证明</w:t>
      </w:r>
      <w:r>
        <w:rPr>
          <w:color w:val="auto"/>
          <w:highlight w:val="none"/>
        </w:rPr>
        <w:tab/>
      </w:r>
      <w:r>
        <w:rPr>
          <w:color w:val="auto"/>
          <w:highlight w:val="none"/>
        </w:rPr>
        <w:fldChar w:fldCharType="begin"/>
      </w:r>
      <w:r>
        <w:rPr>
          <w:color w:val="auto"/>
          <w:highlight w:val="none"/>
        </w:rPr>
        <w:instrText xml:space="preserve"> PAGEREF _Toc29352 \h </w:instrText>
      </w:r>
      <w:r>
        <w:rPr>
          <w:color w:val="auto"/>
          <w:highlight w:val="none"/>
        </w:rPr>
        <w:fldChar w:fldCharType="separate"/>
      </w:r>
      <w:r>
        <w:rPr>
          <w:color w:val="auto"/>
          <w:highlight w:val="none"/>
        </w:rPr>
        <w:t>47</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84BFBF5">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_Toc7403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rPr>
        <w:t>三、授权委托书</w:t>
      </w:r>
      <w:r>
        <w:rPr>
          <w:color w:val="auto"/>
          <w:highlight w:val="none"/>
        </w:rPr>
        <w:tab/>
      </w:r>
      <w:r>
        <w:rPr>
          <w:color w:val="auto"/>
          <w:highlight w:val="none"/>
        </w:rPr>
        <w:fldChar w:fldCharType="begin"/>
      </w:r>
      <w:r>
        <w:rPr>
          <w:color w:val="auto"/>
          <w:highlight w:val="none"/>
        </w:rPr>
        <w:instrText xml:space="preserve"> PAGEREF _Toc7403 \h </w:instrText>
      </w:r>
      <w:r>
        <w:rPr>
          <w:color w:val="auto"/>
          <w:highlight w:val="none"/>
        </w:rPr>
        <w:fldChar w:fldCharType="separate"/>
      </w:r>
      <w:r>
        <w:rPr>
          <w:color w:val="auto"/>
          <w:highlight w:val="none"/>
        </w:rPr>
        <w:t>48</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4EAD1667">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_Toc26319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lang w:val="en-US" w:eastAsia="zh-CN"/>
        </w:rPr>
        <w:t>四、</w:t>
      </w:r>
      <w:r>
        <w:rPr>
          <w:rFonts w:hint="eastAsia" w:ascii="宋体" w:hAnsi="宋体" w:cs="宋体"/>
          <w:color w:val="auto"/>
          <w:highlight w:val="none"/>
        </w:rPr>
        <w:t>报价明细表</w:t>
      </w:r>
      <w:r>
        <w:rPr>
          <w:color w:val="auto"/>
          <w:highlight w:val="none"/>
        </w:rPr>
        <w:tab/>
      </w:r>
      <w:r>
        <w:rPr>
          <w:color w:val="auto"/>
          <w:highlight w:val="none"/>
        </w:rPr>
        <w:fldChar w:fldCharType="begin"/>
      </w:r>
      <w:r>
        <w:rPr>
          <w:color w:val="auto"/>
          <w:highlight w:val="none"/>
        </w:rPr>
        <w:instrText xml:space="preserve"> PAGEREF _Toc26319 \h </w:instrText>
      </w:r>
      <w:r>
        <w:rPr>
          <w:color w:val="auto"/>
          <w:highlight w:val="none"/>
        </w:rPr>
        <w:fldChar w:fldCharType="separate"/>
      </w:r>
      <w:r>
        <w:rPr>
          <w:color w:val="auto"/>
          <w:highlight w:val="none"/>
        </w:rPr>
        <w:t>49</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581797C1">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_Toc25737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lang w:val="en-US" w:eastAsia="zh-CN"/>
        </w:rPr>
        <w:t>五、</w:t>
      </w:r>
      <w:r>
        <w:rPr>
          <w:rFonts w:hint="eastAsia" w:ascii="宋体" w:hAnsi="宋体" w:cs="宋体"/>
          <w:color w:val="auto"/>
          <w:highlight w:val="none"/>
        </w:rPr>
        <w:t>投标</w:t>
      </w:r>
      <w:r>
        <w:rPr>
          <w:rFonts w:hint="eastAsia" w:ascii="宋体" w:hAnsi="宋体" w:cs="宋体"/>
          <w:color w:val="auto"/>
          <w:highlight w:val="none"/>
          <w:lang w:val="en-US" w:eastAsia="zh-CN"/>
        </w:rPr>
        <w:t>承诺函</w:t>
      </w:r>
      <w:r>
        <w:rPr>
          <w:color w:val="auto"/>
          <w:highlight w:val="none"/>
        </w:rPr>
        <w:tab/>
      </w:r>
      <w:r>
        <w:rPr>
          <w:color w:val="auto"/>
          <w:highlight w:val="none"/>
        </w:rPr>
        <w:fldChar w:fldCharType="begin"/>
      </w:r>
      <w:r>
        <w:rPr>
          <w:color w:val="auto"/>
          <w:highlight w:val="none"/>
        </w:rPr>
        <w:instrText xml:space="preserve"> PAGEREF _Toc25737 \h </w:instrText>
      </w:r>
      <w:r>
        <w:rPr>
          <w:color w:val="auto"/>
          <w:highlight w:val="none"/>
        </w:rPr>
        <w:fldChar w:fldCharType="separate"/>
      </w:r>
      <w:r>
        <w:rPr>
          <w:color w:val="auto"/>
          <w:highlight w:val="none"/>
        </w:rPr>
        <w:t>50</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56C0730A">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_Toc30942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lang w:val="en-US" w:eastAsia="zh-CN"/>
        </w:rPr>
        <w:t>六</w:t>
      </w:r>
      <w:r>
        <w:rPr>
          <w:rFonts w:hint="eastAsia" w:ascii="宋体" w:hAnsi="宋体" w:cs="宋体"/>
          <w:color w:val="auto"/>
          <w:highlight w:val="none"/>
          <w:lang w:eastAsia="zh-CN"/>
        </w:rPr>
        <w:t>、</w:t>
      </w:r>
      <w:r>
        <w:rPr>
          <w:rFonts w:hint="eastAsia" w:ascii="宋体" w:hAnsi="宋体" w:cs="宋体"/>
          <w:color w:val="auto"/>
          <w:highlight w:val="none"/>
        </w:rPr>
        <w:t>招标代理服务费承诺函</w:t>
      </w:r>
      <w:r>
        <w:rPr>
          <w:color w:val="auto"/>
          <w:highlight w:val="none"/>
        </w:rPr>
        <w:tab/>
      </w:r>
      <w:r>
        <w:rPr>
          <w:color w:val="auto"/>
          <w:highlight w:val="none"/>
        </w:rPr>
        <w:fldChar w:fldCharType="begin"/>
      </w:r>
      <w:r>
        <w:rPr>
          <w:color w:val="auto"/>
          <w:highlight w:val="none"/>
        </w:rPr>
        <w:instrText xml:space="preserve"> PAGEREF _Toc30942 \h </w:instrText>
      </w:r>
      <w:r>
        <w:rPr>
          <w:color w:val="auto"/>
          <w:highlight w:val="none"/>
        </w:rPr>
        <w:fldChar w:fldCharType="separate"/>
      </w:r>
      <w:r>
        <w:rPr>
          <w:color w:val="auto"/>
          <w:highlight w:val="none"/>
        </w:rPr>
        <w:t>52</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16A6334">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_Toc29765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lang w:val="en-US" w:eastAsia="zh-CN"/>
        </w:rPr>
        <w:t>七、</w:t>
      </w:r>
      <w:r>
        <w:rPr>
          <w:rFonts w:hint="eastAsia" w:ascii="宋体" w:hAnsi="宋体" w:cs="宋体"/>
          <w:color w:val="auto"/>
          <w:highlight w:val="none"/>
        </w:rPr>
        <w:t>资格审查资料</w:t>
      </w:r>
      <w:r>
        <w:rPr>
          <w:color w:val="auto"/>
          <w:highlight w:val="none"/>
        </w:rPr>
        <w:tab/>
      </w:r>
      <w:r>
        <w:rPr>
          <w:color w:val="auto"/>
          <w:highlight w:val="none"/>
        </w:rPr>
        <w:fldChar w:fldCharType="begin"/>
      </w:r>
      <w:r>
        <w:rPr>
          <w:color w:val="auto"/>
          <w:highlight w:val="none"/>
        </w:rPr>
        <w:instrText xml:space="preserve"> PAGEREF _Toc29765 \h </w:instrText>
      </w:r>
      <w:r>
        <w:rPr>
          <w:color w:val="auto"/>
          <w:highlight w:val="none"/>
        </w:rPr>
        <w:fldChar w:fldCharType="separate"/>
      </w:r>
      <w:r>
        <w:rPr>
          <w:color w:val="auto"/>
          <w:highlight w:val="none"/>
        </w:rPr>
        <w:t>53</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0FFCA61">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_Toc30223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lang w:val="en-US" w:eastAsia="zh-CN"/>
        </w:rPr>
        <w:t>八、</w:t>
      </w:r>
      <w:r>
        <w:rPr>
          <w:rFonts w:hint="eastAsia" w:ascii="宋体" w:hAnsi="宋体" w:cs="宋体"/>
          <w:color w:val="auto"/>
          <w:highlight w:val="none"/>
        </w:rPr>
        <w:t>商务响应/偏离表</w:t>
      </w:r>
      <w:r>
        <w:rPr>
          <w:color w:val="auto"/>
          <w:highlight w:val="none"/>
        </w:rPr>
        <w:tab/>
      </w:r>
      <w:r>
        <w:rPr>
          <w:color w:val="auto"/>
          <w:highlight w:val="none"/>
        </w:rPr>
        <w:fldChar w:fldCharType="begin"/>
      </w:r>
      <w:r>
        <w:rPr>
          <w:color w:val="auto"/>
          <w:highlight w:val="none"/>
        </w:rPr>
        <w:instrText xml:space="preserve"> PAGEREF _Toc30223 \h </w:instrText>
      </w:r>
      <w:r>
        <w:rPr>
          <w:color w:val="auto"/>
          <w:highlight w:val="none"/>
        </w:rPr>
        <w:fldChar w:fldCharType="separate"/>
      </w:r>
      <w:r>
        <w:rPr>
          <w:color w:val="auto"/>
          <w:highlight w:val="none"/>
        </w:rPr>
        <w:t>53</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60919399">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_Toc32033 </w:instrText>
      </w:r>
      <w:r>
        <w:rPr>
          <w:rFonts w:hint="eastAsia" w:ascii="宋体" w:hAnsi="宋体" w:cs="宋体"/>
          <w:bCs/>
          <w:color w:val="auto"/>
          <w:spacing w:val="138"/>
          <w:kern w:val="0"/>
          <w:szCs w:val="32"/>
          <w:highlight w:val="none"/>
        </w:rPr>
        <w:fldChar w:fldCharType="separate"/>
      </w:r>
      <w:r>
        <w:rPr>
          <w:rFonts w:hint="eastAsia"/>
          <w:color w:val="auto"/>
          <w:highlight w:val="none"/>
          <w:lang w:val="en-US" w:eastAsia="zh-CN"/>
        </w:rPr>
        <w:t>九、项目实施方案</w:t>
      </w:r>
      <w:r>
        <w:rPr>
          <w:color w:val="auto"/>
          <w:highlight w:val="none"/>
        </w:rPr>
        <w:tab/>
      </w:r>
      <w:r>
        <w:rPr>
          <w:color w:val="auto"/>
          <w:highlight w:val="none"/>
        </w:rPr>
        <w:fldChar w:fldCharType="begin"/>
      </w:r>
      <w:r>
        <w:rPr>
          <w:color w:val="auto"/>
          <w:highlight w:val="none"/>
        </w:rPr>
        <w:instrText xml:space="preserve"> PAGEREF _Toc32033 \h </w:instrText>
      </w:r>
      <w:r>
        <w:rPr>
          <w:color w:val="auto"/>
          <w:highlight w:val="none"/>
        </w:rPr>
        <w:fldChar w:fldCharType="separate"/>
      </w:r>
      <w:r>
        <w:rPr>
          <w:color w:val="auto"/>
          <w:highlight w:val="none"/>
        </w:rPr>
        <w:t>56</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11C52CDA">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_Toc27832 </w:instrText>
      </w:r>
      <w:r>
        <w:rPr>
          <w:rFonts w:hint="eastAsia" w:ascii="宋体" w:hAnsi="宋体" w:cs="宋体"/>
          <w:bCs/>
          <w:color w:val="auto"/>
          <w:spacing w:val="138"/>
          <w:kern w:val="0"/>
          <w:szCs w:val="32"/>
          <w:highlight w:val="none"/>
        </w:rPr>
        <w:fldChar w:fldCharType="separate"/>
      </w:r>
      <w:r>
        <w:rPr>
          <w:rFonts w:hint="eastAsia"/>
          <w:color w:val="auto"/>
          <w:highlight w:val="none"/>
          <w:lang w:val="en-US" w:eastAsia="zh-CN"/>
        </w:rPr>
        <w:t>十、供应商企业实力</w:t>
      </w:r>
      <w:r>
        <w:rPr>
          <w:color w:val="auto"/>
          <w:highlight w:val="none"/>
        </w:rPr>
        <w:tab/>
      </w:r>
      <w:r>
        <w:rPr>
          <w:color w:val="auto"/>
          <w:highlight w:val="none"/>
        </w:rPr>
        <w:fldChar w:fldCharType="begin"/>
      </w:r>
      <w:r>
        <w:rPr>
          <w:color w:val="auto"/>
          <w:highlight w:val="none"/>
        </w:rPr>
        <w:instrText xml:space="preserve"> PAGEREF _Toc27832 \h </w:instrText>
      </w:r>
      <w:r>
        <w:rPr>
          <w:color w:val="auto"/>
          <w:highlight w:val="none"/>
        </w:rPr>
        <w:fldChar w:fldCharType="separate"/>
      </w:r>
      <w:r>
        <w:rPr>
          <w:color w:val="auto"/>
          <w:highlight w:val="none"/>
        </w:rPr>
        <w:t>57</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1752AB17">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_Toc9966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lang w:val="en-US" w:eastAsia="zh-CN"/>
        </w:rPr>
        <w:t>十一、</w:t>
      </w:r>
      <w:r>
        <w:rPr>
          <w:rFonts w:hint="eastAsia" w:ascii="宋体" w:hAnsi="宋体" w:cs="宋体"/>
          <w:color w:val="auto"/>
          <w:highlight w:val="none"/>
        </w:rPr>
        <w:t>反商业贿赂承诺书</w:t>
      </w:r>
      <w:r>
        <w:rPr>
          <w:color w:val="auto"/>
          <w:highlight w:val="none"/>
        </w:rPr>
        <w:tab/>
      </w:r>
      <w:r>
        <w:rPr>
          <w:color w:val="auto"/>
          <w:highlight w:val="none"/>
        </w:rPr>
        <w:fldChar w:fldCharType="begin"/>
      </w:r>
      <w:r>
        <w:rPr>
          <w:color w:val="auto"/>
          <w:highlight w:val="none"/>
        </w:rPr>
        <w:instrText xml:space="preserve"> PAGEREF _Toc9966 \h </w:instrText>
      </w:r>
      <w:r>
        <w:rPr>
          <w:color w:val="auto"/>
          <w:highlight w:val="none"/>
        </w:rPr>
        <w:fldChar w:fldCharType="separate"/>
      </w:r>
      <w:r>
        <w:rPr>
          <w:color w:val="auto"/>
          <w:highlight w:val="none"/>
        </w:rPr>
        <w:t>58</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39B7B052">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_Toc5656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lang w:val="en-US" w:eastAsia="zh-CN"/>
        </w:rPr>
        <w:t>十二、中小企业声明函</w:t>
      </w:r>
      <w:r>
        <w:rPr>
          <w:color w:val="auto"/>
          <w:highlight w:val="none"/>
        </w:rPr>
        <w:tab/>
      </w:r>
      <w:r>
        <w:rPr>
          <w:color w:val="auto"/>
          <w:highlight w:val="none"/>
        </w:rPr>
        <w:fldChar w:fldCharType="begin"/>
      </w:r>
      <w:r>
        <w:rPr>
          <w:color w:val="auto"/>
          <w:highlight w:val="none"/>
        </w:rPr>
        <w:instrText xml:space="preserve"> PAGEREF _Toc5656 \h </w:instrText>
      </w:r>
      <w:r>
        <w:rPr>
          <w:color w:val="auto"/>
          <w:highlight w:val="none"/>
        </w:rPr>
        <w:fldChar w:fldCharType="separate"/>
      </w:r>
      <w:r>
        <w:rPr>
          <w:color w:val="auto"/>
          <w:highlight w:val="none"/>
        </w:rPr>
        <w:t>59</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1D10E440">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_Toc3302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lang w:val="en-US" w:eastAsia="zh-CN"/>
        </w:rPr>
        <w:t>十三、残疾人福利性单位声明函</w:t>
      </w:r>
      <w:r>
        <w:rPr>
          <w:color w:val="auto"/>
          <w:highlight w:val="none"/>
        </w:rPr>
        <w:tab/>
      </w:r>
      <w:r>
        <w:rPr>
          <w:color w:val="auto"/>
          <w:highlight w:val="none"/>
        </w:rPr>
        <w:fldChar w:fldCharType="begin"/>
      </w:r>
      <w:r>
        <w:rPr>
          <w:color w:val="auto"/>
          <w:highlight w:val="none"/>
        </w:rPr>
        <w:instrText xml:space="preserve"> PAGEREF _Toc3302 \h </w:instrText>
      </w:r>
      <w:r>
        <w:rPr>
          <w:color w:val="auto"/>
          <w:highlight w:val="none"/>
        </w:rPr>
        <w:fldChar w:fldCharType="separate"/>
      </w:r>
      <w:r>
        <w:rPr>
          <w:color w:val="auto"/>
          <w:highlight w:val="none"/>
        </w:rPr>
        <w:t>60</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08A6EAC7">
      <w:pPr>
        <w:pStyle w:val="16"/>
        <w:tabs>
          <w:tab w:val="right" w:leader="dot" w:pos="9070"/>
        </w:tabs>
        <w:rPr>
          <w:color w:val="auto"/>
          <w:highlight w:val="none"/>
        </w:rPr>
      </w:pPr>
      <w:r>
        <w:rPr>
          <w:rFonts w:hint="eastAsia" w:ascii="宋体" w:hAnsi="宋体" w:cs="宋体"/>
          <w:bCs/>
          <w:color w:val="auto"/>
          <w:spacing w:val="138"/>
          <w:kern w:val="0"/>
          <w:szCs w:val="32"/>
          <w:highlight w:val="none"/>
        </w:rPr>
        <w:fldChar w:fldCharType="begin"/>
      </w:r>
      <w:r>
        <w:rPr>
          <w:rFonts w:hint="eastAsia" w:ascii="宋体" w:hAnsi="宋体" w:cs="宋体"/>
          <w:bCs/>
          <w:color w:val="auto"/>
          <w:spacing w:val="138"/>
          <w:kern w:val="0"/>
          <w:szCs w:val="32"/>
          <w:highlight w:val="none"/>
        </w:rPr>
        <w:instrText xml:space="preserve"> HYPERLINK \l _Toc17030 </w:instrText>
      </w:r>
      <w:r>
        <w:rPr>
          <w:rFonts w:hint="eastAsia" w:ascii="宋体" w:hAnsi="宋体" w:cs="宋体"/>
          <w:bCs/>
          <w:color w:val="auto"/>
          <w:spacing w:val="138"/>
          <w:kern w:val="0"/>
          <w:szCs w:val="32"/>
          <w:highlight w:val="none"/>
        </w:rPr>
        <w:fldChar w:fldCharType="separate"/>
      </w:r>
      <w:r>
        <w:rPr>
          <w:rFonts w:hint="eastAsia" w:ascii="宋体" w:hAnsi="宋体" w:cs="宋体"/>
          <w:color w:val="auto"/>
          <w:highlight w:val="none"/>
          <w:lang w:val="en-US" w:eastAsia="zh-CN"/>
        </w:rPr>
        <w:t>十四、其他材料</w:t>
      </w:r>
      <w:r>
        <w:rPr>
          <w:color w:val="auto"/>
          <w:highlight w:val="none"/>
        </w:rPr>
        <w:tab/>
      </w:r>
      <w:r>
        <w:rPr>
          <w:color w:val="auto"/>
          <w:highlight w:val="none"/>
        </w:rPr>
        <w:fldChar w:fldCharType="begin"/>
      </w:r>
      <w:r>
        <w:rPr>
          <w:color w:val="auto"/>
          <w:highlight w:val="none"/>
        </w:rPr>
        <w:instrText xml:space="preserve"> PAGEREF _Toc17030 \h </w:instrText>
      </w:r>
      <w:r>
        <w:rPr>
          <w:color w:val="auto"/>
          <w:highlight w:val="none"/>
        </w:rPr>
        <w:fldChar w:fldCharType="separate"/>
      </w:r>
      <w:r>
        <w:rPr>
          <w:color w:val="auto"/>
          <w:highlight w:val="none"/>
        </w:rPr>
        <w:t>61</w:t>
      </w:r>
      <w:r>
        <w:rPr>
          <w:color w:val="auto"/>
          <w:highlight w:val="none"/>
        </w:rPr>
        <w:fldChar w:fldCharType="end"/>
      </w:r>
      <w:r>
        <w:rPr>
          <w:rFonts w:hint="eastAsia" w:ascii="宋体" w:hAnsi="宋体" w:cs="宋体"/>
          <w:bCs/>
          <w:color w:val="auto"/>
          <w:spacing w:val="138"/>
          <w:kern w:val="0"/>
          <w:szCs w:val="32"/>
          <w:highlight w:val="none"/>
        </w:rPr>
        <w:fldChar w:fldCharType="end"/>
      </w:r>
    </w:p>
    <w:p w14:paraId="745F84BC">
      <w:pPr>
        <w:pStyle w:val="16"/>
        <w:tabs>
          <w:tab w:val="right" w:leader="dot" w:pos="9070"/>
        </w:tabs>
        <w:spacing w:line="360" w:lineRule="auto"/>
        <w:ind w:left="0" w:leftChars="0"/>
        <w:jc w:val="center"/>
        <w:rPr>
          <w:rFonts w:ascii="宋体" w:hAnsi="宋体" w:cs="宋体"/>
          <w:bCs/>
          <w:color w:val="auto"/>
          <w:spacing w:val="138"/>
          <w:kern w:val="0"/>
          <w:szCs w:val="32"/>
          <w:highlight w:val="none"/>
        </w:rPr>
      </w:pPr>
      <w:r>
        <w:rPr>
          <w:rFonts w:hint="eastAsia" w:ascii="宋体" w:hAnsi="宋体" w:cs="宋体"/>
          <w:bCs/>
          <w:color w:val="auto"/>
          <w:spacing w:val="138"/>
          <w:kern w:val="0"/>
          <w:szCs w:val="32"/>
          <w:highlight w:val="none"/>
        </w:rPr>
        <w:fldChar w:fldCharType="end"/>
      </w:r>
      <w:bookmarkEnd w:id="0"/>
    </w:p>
    <w:p w14:paraId="4DEC6576">
      <w:pPr>
        <w:pStyle w:val="4"/>
        <w:spacing w:line="360" w:lineRule="auto"/>
        <w:jc w:val="center"/>
        <w:rPr>
          <w:rFonts w:hint="eastAsia" w:ascii="宋体" w:hAnsi="宋体" w:cs="宋体"/>
          <w:color w:val="auto"/>
          <w:spacing w:val="138"/>
          <w:kern w:val="0"/>
          <w:szCs w:val="32"/>
          <w:highlight w:val="none"/>
        </w:rPr>
      </w:pPr>
      <w:r>
        <w:rPr>
          <w:rFonts w:hint="eastAsia" w:ascii="宋体" w:hAnsi="宋体" w:cs="宋体"/>
          <w:color w:val="auto"/>
          <w:spacing w:val="138"/>
          <w:kern w:val="0"/>
          <w:szCs w:val="32"/>
          <w:highlight w:val="none"/>
        </w:rPr>
        <w:br w:type="page"/>
      </w:r>
    </w:p>
    <w:p w14:paraId="69755DD8">
      <w:pPr>
        <w:pStyle w:val="4"/>
        <w:spacing w:line="360" w:lineRule="auto"/>
        <w:jc w:val="center"/>
        <w:rPr>
          <w:rFonts w:hint="eastAsia" w:asciiTheme="majorEastAsia" w:hAnsiTheme="majorEastAsia" w:eastAsiaTheme="majorEastAsia" w:cstheme="majorEastAsia"/>
          <w:color w:val="auto"/>
          <w:kern w:val="0"/>
          <w:sz w:val="32"/>
          <w:szCs w:val="32"/>
          <w:highlight w:val="none"/>
        </w:rPr>
      </w:pPr>
      <w:bookmarkStart w:id="1" w:name="_Toc30697"/>
      <w:r>
        <w:rPr>
          <w:rFonts w:hint="eastAsia" w:asciiTheme="majorEastAsia" w:hAnsiTheme="majorEastAsia" w:eastAsiaTheme="majorEastAsia" w:cstheme="majorEastAsia"/>
          <w:color w:val="auto"/>
          <w:kern w:val="0"/>
          <w:sz w:val="32"/>
          <w:szCs w:val="32"/>
          <w:highlight w:val="none"/>
        </w:rPr>
        <w:t>第一章  招标公告</w:t>
      </w:r>
      <w:bookmarkEnd w:id="1"/>
    </w:p>
    <w:p w14:paraId="0CC1A491">
      <w:pPr>
        <w:pStyle w:val="32"/>
        <w:keepNext w:val="0"/>
        <w:keepLines w:val="0"/>
        <w:pageBreakBefore w:val="0"/>
        <w:widowControl w:val="0"/>
        <w:kinsoku/>
        <w:wordWrap/>
        <w:overflowPunct/>
        <w:topLinePunct w:val="0"/>
        <w:autoSpaceDE/>
        <w:autoSpaceDN/>
        <w:bidi w:val="0"/>
        <w:adjustRightInd/>
        <w:snapToGrid/>
        <w:spacing w:after="0" w:line="360" w:lineRule="auto"/>
        <w:ind w:firstLine="482" w:firstLineChars="20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荥阳市自然资源和规划局荥阳市地籍成果入库汇交工作项目</w:t>
      </w:r>
      <w:r>
        <w:rPr>
          <w:rFonts w:hint="eastAsia" w:ascii="宋体" w:hAnsi="宋体" w:eastAsia="宋体" w:cs="宋体"/>
          <w:b/>
          <w:bCs/>
          <w:color w:val="auto"/>
          <w:sz w:val="24"/>
          <w:szCs w:val="24"/>
          <w:highlight w:val="none"/>
          <w:lang w:val="en-US" w:eastAsia="zh-CN"/>
        </w:rPr>
        <w:t>公开招标公告</w:t>
      </w:r>
    </w:p>
    <w:p w14:paraId="0A3CF6E5">
      <w:pPr>
        <w:pStyle w:val="32"/>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项目概况：</w:t>
      </w:r>
    </w:p>
    <w:p w14:paraId="226E46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u w:val="none"/>
          <w:lang w:val="en-US" w:eastAsia="zh-CN"/>
        </w:rPr>
        <w:t>荥阳市自然资源和规划局荥阳市地籍成果入库汇交工作项目</w:t>
      </w:r>
      <w:r>
        <w:rPr>
          <w:rFonts w:hint="eastAsia" w:ascii="宋体" w:hAnsi="宋体" w:eastAsia="宋体" w:cs="宋体"/>
          <w:color w:val="auto"/>
          <w:sz w:val="21"/>
          <w:szCs w:val="21"/>
          <w:highlight w:val="none"/>
          <w:lang w:val="en-US" w:eastAsia="zh-CN"/>
        </w:rPr>
        <w:t>的潜在投标人应在</w:t>
      </w:r>
      <w:r>
        <w:rPr>
          <w:rFonts w:hint="eastAsia" w:ascii="宋体" w:hAnsi="宋体" w:cs="宋体"/>
          <w:color w:val="auto"/>
          <w:sz w:val="21"/>
          <w:szCs w:val="21"/>
          <w:highlight w:val="none"/>
          <w:u w:val="none"/>
          <w:lang w:val="en-US" w:eastAsia="zh-CN"/>
        </w:rPr>
        <w:t>郑州市公共资源交易中心荥阳分中心</w:t>
      </w:r>
      <w:r>
        <w:rPr>
          <w:rFonts w:hint="eastAsia" w:ascii="宋体" w:hAnsi="宋体" w:eastAsia="宋体" w:cs="宋体"/>
          <w:color w:val="auto"/>
          <w:sz w:val="21"/>
          <w:szCs w:val="21"/>
          <w:highlight w:val="none"/>
          <w:u w:val="none"/>
          <w:lang w:val="en-US" w:eastAsia="zh-CN"/>
        </w:rPr>
        <w:t>网站</w:t>
      </w:r>
      <w:r>
        <w:rPr>
          <w:rFonts w:hint="eastAsia" w:ascii="宋体" w:hAnsi="宋体" w:eastAsia="宋体" w:cs="宋体"/>
          <w:color w:val="auto"/>
          <w:sz w:val="21"/>
          <w:szCs w:val="21"/>
          <w:highlight w:val="none"/>
          <w:u w:val="none"/>
          <w:lang w:val="en-US" w:eastAsia="zh-CN"/>
        </w:rPr>
        <w:fldChar w:fldCharType="begin"/>
      </w:r>
      <w:r>
        <w:rPr>
          <w:rFonts w:hint="eastAsia" w:ascii="宋体" w:hAnsi="宋体" w:eastAsia="宋体" w:cs="宋体"/>
          <w:color w:val="auto"/>
          <w:sz w:val="21"/>
          <w:szCs w:val="21"/>
          <w:highlight w:val="none"/>
          <w:u w:val="none"/>
          <w:lang w:val="en-US" w:eastAsia="zh-CN"/>
        </w:rPr>
        <w:instrText xml:space="preserve"> HYPERLINK "http://www.xyggzyjy.gov.cn获取招标文件，并于2021年" </w:instrText>
      </w:r>
      <w:r>
        <w:rPr>
          <w:rFonts w:hint="eastAsia" w:ascii="宋体" w:hAnsi="宋体" w:eastAsia="宋体" w:cs="宋体"/>
          <w:color w:val="auto"/>
          <w:sz w:val="21"/>
          <w:szCs w:val="21"/>
          <w:highlight w:val="none"/>
          <w:u w:val="none"/>
          <w:lang w:val="en-US" w:eastAsia="zh-CN"/>
        </w:rPr>
        <w:fldChar w:fldCharType="separate"/>
      </w:r>
      <w:r>
        <w:rPr>
          <w:rStyle w:val="44"/>
          <w:rFonts w:hint="eastAsia" w:ascii="宋体" w:hAnsi="宋体" w:eastAsia="宋体" w:cs="宋体"/>
          <w:color w:val="auto"/>
          <w:sz w:val="21"/>
          <w:szCs w:val="21"/>
          <w:highlight w:val="none"/>
          <w:u w:val="none"/>
          <w:lang w:val="en-US" w:eastAsia="zh-CN"/>
        </w:rPr>
        <w:t>获取招标文件，并于</w:t>
      </w:r>
      <w:r>
        <w:rPr>
          <w:rStyle w:val="44"/>
          <w:rFonts w:hint="eastAsia" w:ascii="宋体" w:hAnsi="宋体" w:cs="宋体"/>
          <w:color w:val="auto"/>
          <w:sz w:val="21"/>
          <w:szCs w:val="21"/>
          <w:highlight w:val="none"/>
          <w:u w:val="none"/>
          <w:lang w:val="en-US" w:eastAsia="zh-CN"/>
        </w:rPr>
        <w:t>2026年</w:t>
      </w:r>
      <w:r>
        <w:rPr>
          <w:rFonts w:hint="eastAsia" w:ascii="宋体" w:hAnsi="宋体" w:eastAsia="宋体" w:cs="宋体"/>
          <w:color w:val="auto"/>
          <w:sz w:val="21"/>
          <w:szCs w:val="21"/>
          <w:highlight w:val="none"/>
          <w:u w:val="none"/>
          <w:lang w:val="en-US" w:eastAsia="zh-CN"/>
        </w:rPr>
        <w:fldChar w:fldCharType="end"/>
      </w:r>
      <w:r>
        <w:rPr>
          <w:rFonts w:hint="eastAsia" w:ascii="宋体" w:hAnsi="宋体" w:cs="宋体"/>
          <w:color w:val="auto"/>
          <w:sz w:val="21"/>
          <w:szCs w:val="21"/>
          <w:highlight w:val="none"/>
          <w:u w:val="none"/>
          <w:lang w:val="en-US" w:eastAsia="zh-CN"/>
        </w:rPr>
        <w:t>11</w:t>
      </w:r>
      <w:r>
        <w:rPr>
          <w:rFonts w:hint="eastAsia" w:ascii="宋体" w:hAnsi="宋体" w:eastAsia="宋体" w:cs="宋体"/>
          <w:color w:val="auto"/>
          <w:sz w:val="21"/>
          <w:szCs w:val="21"/>
          <w:highlight w:val="none"/>
          <w:u w:val="none"/>
          <w:lang w:val="en-US" w:eastAsia="zh-CN"/>
        </w:rPr>
        <w:t>月</w:t>
      </w:r>
      <w:r>
        <w:rPr>
          <w:rFonts w:hint="eastAsia" w:ascii="宋体" w:hAnsi="宋体" w:cs="宋体"/>
          <w:color w:val="auto"/>
          <w:sz w:val="21"/>
          <w:szCs w:val="21"/>
          <w:highlight w:val="none"/>
          <w:u w:val="none"/>
          <w:lang w:val="en-US" w:eastAsia="zh-CN"/>
        </w:rPr>
        <w:t>05</w:t>
      </w:r>
      <w:r>
        <w:rPr>
          <w:rFonts w:hint="eastAsia" w:ascii="宋体" w:hAnsi="宋体" w:eastAsia="宋体" w:cs="宋体"/>
          <w:color w:val="auto"/>
          <w:sz w:val="21"/>
          <w:szCs w:val="21"/>
          <w:highlight w:val="none"/>
          <w:u w:val="none"/>
          <w:lang w:val="en-US" w:eastAsia="zh-CN"/>
        </w:rPr>
        <w:t>日09时00分</w:t>
      </w:r>
      <w:r>
        <w:rPr>
          <w:rFonts w:hint="eastAsia" w:ascii="宋体" w:hAnsi="宋体" w:eastAsia="宋体" w:cs="宋体"/>
          <w:color w:val="auto"/>
          <w:sz w:val="21"/>
          <w:szCs w:val="21"/>
          <w:highlight w:val="none"/>
          <w:lang w:val="en-US" w:eastAsia="zh-CN"/>
        </w:rPr>
        <w:t>（北京时间）前递交投标文件。</w:t>
      </w:r>
    </w:p>
    <w:p w14:paraId="0AB7C102">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项目基本情况</w:t>
      </w:r>
    </w:p>
    <w:p w14:paraId="79362D63">
      <w:pPr>
        <w:pStyle w:val="3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cs="宋体"/>
          <w:b w:val="0"/>
          <w:bCs w:val="0"/>
          <w:color w:val="auto"/>
          <w:kern w:val="2"/>
          <w:sz w:val="21"/>
          <w:szCs w:val="21"/>
          <w:highlight w:val="none"/>
          <w:lang w:val="en-US" w:eastAsia="zh-CN" w:bidi="ar-SA"/>
        </w:rPr>
        <w:t>采购</w:t>
      </w:r>
      <w:r>
        <w:rPr>
          <w:rFonts w:hint="eastAsia" w:ascii="宋体" w:hAnsi="宋体" w:eastAsia="宋体" w:cs="宋体"/>
          <w:b w:val="0"/>
          <w:bCs w:val="0"/>
          <w:color w:val="auto"/>
          <w:kern w:val="2"/>
          <w:sz w:val="21"/>
          <w:szCs w:val="21"/>
          <w:highlight w:val="none"/>
          <w:lang w:val="en-US" w:eastAsia="zh-CN" w:bidi="ar-SA"/>
        </w:rPr>
        <w:t>项目编号：</w:t>
      </w:r>
      <w:r>
        <w:rPr>
          <w:rFonts w:hint="eastAsia" w:ascii="宋体" w:hAnsi="宋体" w:cs="宋体"/>
          <w:b w:val="0"/>
          <w:bCs w:val="0"/>
          <w:color w:val="auto"/>
          <w:kern w:val="2"/>
          <w:sz w:val="21"/>
          <w:szCs w:val="21"/>
          <w:highlight w:val="none"/>
          <w:lang w:val="en-US" w:eastAsia="zh-CN" w:bidi="ar-SA"/>
        </w:rPr>
        <w:t xml:space="preserve">荥财公开-2026-17 </w:t>
      </w:r>
      <w:r>
        <w:rPr>
          <w:rFonts w:hint="eastAsia" w:ascii="宋体" w:hAnsi="宋体" w:eastAsia="宋体" w:cs="宋体"/>
          <w:b w:val="0"/>
          <w:bCs w:val="0"/>
          <w:color w:val="auto"/>
          <w:kern w:val="2"/>
          <w:sz w:val="21"/>
          <w:szCs w:val="21"/>
          <w:highlight w:val="none"/>
          <w:lang w:val="en-US" w:eastAsia="zh-CN" w:bidi="ar-SA"/>
        </w:rPr>
        <w:t>；</w:t>
      </w:r>
    </w:p>
    <w:p w14:paraId="53EF12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2、采购项目名称：</w:t>
      </w:r>
      <w:r>
        <w:rPr>
          <w:rFonts w:hint="eastAsia" w:ascii="宋体" w:hAnsi="宋体" w:cs="宋体"/>
          <w:b w:val="0"/>
          <w:bCs w:val="0"/>
          <w:color w:val="auto"/>
          <w:kern w:val="2"/>
          <w:sz w:val="21"/>
          <w:szCs w:val="21"/>
          <w:highlight w:val="none"/>
          <w:lang w:val="en-US" w:eastAsia="zh-CN" w:bidi="ar-SA"/>
        </w:rPr>
        <w:t xml:space="preserve">荥阳市自然资源和规划局荥阳市地籍成果入库汇交工作项目 </w:t>
      </w:r>
      <w:r>
        <w:rPr>
          <w:rFonts w:hint="eastAsia" w:ascii="宋体" w:hAnsi="宋体" w:eastAsia="宋体" w:cs="宋体"/>
          <w:b w:val="0"/>
          <w:bCs w:val="0"/>
          <w:color w:val="auto"/>
          <w:kern w:val="2"/>
          <w:sz w:val="21"/>
          <w:szCs w:val="21"/>
          <w:highlight w:val="none"/>
          <w:lang w:val="en-US" w:eastAsia="zh-CN" w:bidi="ar-SA"/>
        </w:rPr>
        <w:t>；</w:t>
      </w:r>
    </w:p>
    <w:p w14:paraId="3B12894F">
      <w:pPr>
        <w:pStyle w:val="3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3、采购方式：公开招标；</w:t>
      </w:r>
    </w:p>
    <w:p w14:paraId="552AEBF6">
      <w:pPr>
        <w:spacing w:line="360" w:lineRule="auto"/>
        <w:ind w:firstLine="420"/>
        <w:rPr>
          <w:rFonts w:hint="eastAsia" w:ascii="宋体" w:hAnsi="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3.1标段划分：本项目划分为一个标段；</w:t>
      </w:r>
    </w:p>
    <w:p w14:paraId="51C801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4、预算金额：</w:t>
      </w:r>
      <w:r>
        <w:rPr>
          <w:rFonts w:hint="eastAsia" w:ascii="宋体" w:hAnsi="宋体" w:cs="宋体"/>
          <w:b w:val="0"/>
          <w:bCs w:val="0"/>
          <w:color w:val="auto"/>
          <w:kern w:val="2"/>
          <w:sz w:val="21"/>
          <w:szCs w:val="21"/>
          <w:highlight w:val="none"/>
          <w:lang w:val="en-US" w:eastAsia="zh-CN" w:bidi="ar-SA"/>
        </w:rPr>
        <w:t>3687100</w:t>
      </w:r>
      <w:r>
        <w:rPr>
          <w:rFonts w:hint="eastAsia" w:ascii="宋体" w:hAnsi="宋体" w:eastAsia="宋体" w:cs="宋体"/>
          <w:b w:val="0"/>
          <w:bCs w:val="0"/>
          <w:color w:val="auto"/>
          <w:kern w:val="2"/>
          <w:sz w:val="21"/>
          <w:szCs w:val="21"/>
          <w:highlight w:val="none"/>
          <w:lang w:val="en-US" w:eastAsia="zh-CN" w:bidi="ar-SA"/>
        </w:rPr>
        <w:t>元；</w:t>
      </w:r>
      <w:r>
        <w:rPr>
          <w:rFonts w:hint="eastAsia" w:ascii="宋体" w:hAnsi="宋体" w:cs="宋体"/>
          <w:b w:val="0"/>
          <w:bCs w:val="0"/>
          <w:color w:val="auto"/>
          <w:kern w:val="2"/>
          <w:sz w:val="21"/>
          <w:szCs w:val="21"/>
          <w:highlight w:val="none"/>
          <w:lang w:val="en-US" w:eastAsia="zh-CN" w:bidi="ar-SA"/>
        </w:rPr>
        <w:t>最高限价：3687100</w:t>
      </w:r>
      <w:r>
        <w:rPr>
          <w:rFonts w:hint="eastAsia" w:ascii="宋体" w:hAnsi="宋体" w:eastAsia="宋体" w:cs="宋体"/>
          <w:b w:val="0"/>
          <w:bCs w:val="0"/>
          <w:color w:val="auto"/>
          <w:kern w:val="2"/>
          <w:sz w:val="21"/>
          <w:szCs w:val="21"/>
          <w:highlight w:val="none"/>
          <w:lang w:val="en-US" w:eastAsia="zh-CN" w:bidi="ar-SA"/>
        </w:rPr>
        <w:t>元</w:t>
      </w:r>
    </w:p>
    <w:tbl>
      <w:tblPr>
        <w:tblStyle w:val="33"/>
        <w:tblW w:w="8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56"/>
        <w:gridCol w:w="1890"/>
        <w:gridCol w:w="3345"/>
        <w:gridCol w:w="1264"/>
        <w:gridCol w:w="1230"/>
      </w:tblGrid>
      <w:tr w14:paraId="182D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jc w:val="center"/>
        </w:trPr>
        <w:tc>
          <w:tcPr>
            <w:tcW w:w="656" w:type="dxa"/>
            <w:shd w:val="clear" w:color="auto" w:fill="auto"/>
            <w:vAlign w:val="center"/>
          </w:tcPr>
          <w:p w14:paraId="0367BA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snapToGrid w:val="0"/>
                <w:color w:val="auto"/>
                <w:kern w:val="0"/>
                <w:sz w:val="21"/>
                <w:szCs w:val="21"/>
                <w:highlight w:val="none"/>
                <w:u w:val="none"/>
                <w:lang w:val="en-US" w:eastAsia="zh-CN" w:bidi="ar"/>
              </w:rPr>
              <w:t>序号</w:t>
            </w:r>
          </w:p>
        </w:tc>
        <w:tc>
          <w:tcPr>
            <w:tcW w:w="1890" w:type="dxa"/>
            <w:shd w:val="clear" w:color="auto" w:fill="auto"/>
            <w:vAlign w:val="center"/>
          </w:tcPr>
          <w:p w14:paraId="205A21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snapToGrid w:val="0"/>
                <w:color w:val="auto"/>
                <w:kern w:val="0"/>
                <w:sz w:val="21"/>
                <w:szCs w:val="21"/>
                <w:highlight w:val="none"/>
                <w:u w:val="none"/>
                <w:lang w:val="en-US" w:eastAsia="zh-CN" w:bidi="ar"/>
              </w:rPr>
              <w:t>包号</w:t>
            </w:r>
          </w:p>
        </w:tc>
        <w:tc>
          <w:tcPr>
            <w:tcW w:w="3345" w:type="dxa"/>
            <w:shd w:val="clear" w:color="auto" w:fill="auto"/>
            <w:vAlign w:val="center"/>
          </w:tcPr>
          <w:p w14:paraId="40743D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snapToGrid w:val="0"/>
                <w:color w:val="auto"/>
                <w:kern w:val="0"/>
                <w:sz w:val="21"/>
                <w:szCs w:val="21"/>
                <w:highlight w:val="none"/>
                <w:u w:val="none"/>
                <w:lang w:val="en-US" w:eastAsia="zh-CN" w:bidi="ar"/>
              </w:rPr>
              <w:t>包名称</w:t>
            </w:r>
          </w:p>
        </w:tc>
        <w:tc>
          <w:tcPr>
            <w:tcW w:w="1264" w:type="dxa"/>
            <w:shd w:val="clear" w:color="auto" w:fill="auto"/>
            <w:vAlign w:val="center"/>
          </w:tcPr>
          <w:p w14:paraId="7CA02FDF">
            <w:pPr>
              <w:jc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包预算（元）</w:t>
            </w:r>
          </w:p>
        </w:tc>
        <w:tc>
          <w:tcPr>
            <w:tcW w:w="1230" w:type="dxa"/>
            <w:shd w:val="clear" w:color="auto" w:fill="auto"/>
            <w:vAlign w:val="center"/>
          </w:tcPr>
          <w:p w14:paraId="514A00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cs="宋体"/>
                <w:i w:val="0"/>
                <w:iCs w:val="0"/>
                <w:color w:val="auto"/>
                <w:sz w:val="21"/>
                <w:szCs w:val="21"/>
                <w:highlight w:val="none"/>
                <w:u w:val="none"/>
                <w:lang w:eastAsia="zh-CN"/>
              </w:rPr>
              <w:t>最高限价（元）</w:t>
            </w:r>
          </w:p>
        </w:tc>
      </w:tr>
      <w:tr w14:paraId="350A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00" w:hRule="atLeast"/>
          <w:jc w:val="center"/>
        </w:trPr>
        <w:tc>
          <w:tcPr>
            <w:tcW w:w="656" w:type="dxa"/>
            <w:shd w:val="clear" w:color="auto" w:fill="auto"/>
            <w:vAlign w:val="center"/>
          </w:tcPr>
          <w:p w14:paraId="291093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snapToGrid w:val="0"/>
                <w:color w:val="auto"/>
                <w:kern w:val="0"/>
                <w:sz w:val="21"/>
                <w:szCs w:val="21"/>
                <w:highlight w:val="none"/>
                <w:u w:val="none"/>
                <w:lang w:val="en-US" w:eastAsia="zh-CN" w:bidi="ar"/>
              </w:rPr>
              <w:t>1</w:t>
            </w:r>
          </w:p>
        </w:tc>
        <w:tc>
          <w:tcPr>
            <w:tcW w:w="1890" w:type="dxa"/>
            <w:shd w:val="clear" w:color="auto" w:fill="auto"/>
            <w:vAlign w:val="center"/>
          </w:tcPr>
          <w:p w14:paraId="1533634F">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 xml:space="preserve">荥财公开-2026-17-1 </w:t>
            </w:r>
          </w:p>
        </w:tc>
        <w:tc>
          <w:tcPr>
            <w:tcW w:w="3345" w:type="dxa"/>
            <w:shd w:val="clear" w:color="auto" w:fill="auto"/>
            <w:vAlign w:val="center"/>
          </w:tcPr>
          <w:p w14:paraId="5AD3A7E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cs="宋体"/>
                <w:i w:val="0"/>
                <w:iCs w:val="0"/>
                <w:snapToGrid w:val="0"/>
                <w:color w:val="auto"/>
                <w:kern w:val="0"/>
                <w:sz w:val="21"/>
                <w:szCs w:val="21"/>
                <w:highlight w:val="none"/>
                <w:u w:val="none"/>
                <w:lang w:val="en-US" w:eastAsia="zh-CN" w:bidi="ar"/>
              </w:rPr>
              <w:t>荥阳市自然资源和规划局荥阳市地籍成果入库汇交工作项目</w:t>
            </w:r>
          </w:p>
        </w:tc>
        <w:tc>
          <w:tcPr>
            <w:tcW w:w="1264" w:type="dxa"/>
            <w:shd w:val="clear" w:color="auto" w:fill="auto"/>
            <w:vAlign w:val="center"/>
          </w:tcPr>
          <w:p w14:paraId="10C76123">
            <w:pPr>
              <w:jc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b w:val="0"/>
                <w:bCs w:val="0"/>
                <w:color w:val="auto"/>
                <w:kern w:val="2"/>
                <w:sz w:val="21"/>
                <w:szCs w:val="21"/>
                <w:highlight w:val="none"/>
                <w:lang w:val="en-US" w:eastAsia="zh-CN" w:bidi="ar-SA"/>
              </w:rPr>
              <w:t>3687100</w:t>
            </w:r>
          </w:p>
        </w:tc>
        <w:tc>
          <w:tcPr>
            <w:tcW w:w="1230" w:type="dxa"/>
            <w:shd w:val="clear" w:color="auto" w:fill="auto"/>
            <w:vAlign w:val="center"/>
          </w:tcPr>
          <w:p w14:paraId="7F19B3C5">
            <w:pPr>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cs="宋体"/>
                <w:b w:val="0"/>
                <w:bCs w:val="0"/>
                <w:color w:val="auto"/>
                <w:kern w:val="2"/>
                <w:sz w:val="21"/>
                <w:szCs w:val="21"/>
                <w:highlight w:val="none"/>
                <w:lang w:val="en-US" w:eastAsia="zh-CN" w:bidi="ar-SA"/>
              </w:rPr>
              <w:t>3687100</w:t>
            </w:r>
          </w:p>
        </w:tc>
      </w:tr>
    </w:tbl>
    <w:p w14:paraId="6380D1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eastAsia="zh-CN"/>
        </w:rPr>
        <w:t>采购需求（包括</w:t>
      </w:r>
      <w:r>
        <w:rPr>
          <w:rFonts w:hint="eastAsia" w:ascii="宋体" w:hAnsi="宋体" w:eastAsia="宋体" w:cs="宋体"/>
          <w:b w:val="0"/>
          <w:bCs w:val="0"/>
          <w:color w:val="auto"/>
          <w:sz w:val="21"/>
          <w:szCs w:val="21"/>
          <w:highlight w:val="none"/>
          <w:lang w:val="en-US" w:eastAsia="zh-CN"/>
        </w:rPr>
        <w:t>但不限于标的名称</w:t>
      </w:r>
      <w:r>
        <w:rPr>
          <w:rFonts w:hint="eastAsia" w:ascii="宋体" w:hAnsi="宋体" w:eastAsia="宋体" w:cs="宋体"/>
          <w:b w:val="0"/>
          <w:bCs w:val="0"/>
          <w:color w:val="auto"/>
          <w:sz w:val="21"/>
          <w:szCs w:val="21"/>
          <w:highlight w:val="none"/>
          <w:lang w:eastAsia="zh-CN"/>
        </w:rPr>
        <w:t>、数量、</w:t>
      </w:r>
      <w:r>
        <w:rPr>
          <w:rFonts w:hint="eastAsia" w:ascii="宋体" w:hAnsi="宋体" w:eastAsia="宋体" w:cs="宋体"/>
          <w:b w:val="0"/>
          <w:bCs w:val="0"/>
          <w:color w:val="auto"/>
          <w:sz w:val="21"/>
          <w:szCs w:val="21"/>
          <w:highlight w:val="none"/>
          <w:lang w:val="en-US" w:eastAsia="zh-CN"/>
        </w:rPr>
        <w:t>简要技术需求或服务要求</w:t>
      </w:r>
      <w:r>
        <w:rPr>
          <w:rFonts w:hint="eastAsia" w:ascii="宋体" w:hAnsi="宋体" w:eastAsia="宋体" w:cs="宋体"/>
          <w:b w:val="0"/>
          <w:bCs w:val="0"/>
          <w:color w:val="auto"/>
          <w:sz w:val="21"/>
          <w:szCs w:val="21"/>
          <w:highlight w:val="none"/>
          <w:lang w:eastAsia="zh-CN"/>
        </w:rPr>
        <w:t>等）</w:t>
      </w:r>
    </w:p>
    <w:p w14:paraId="61091A09">
      <w:pPr>
        <w:keepNext w:val="0"/>
        <w:keepLines w:val="0"/>
        <w:pageBreakBefore w:val="0"/>
        <w:widowControl w:val="0"/>
        <w:kinsoku/>
        <w:wordWrap/>
        <w:topLinePunct w:val="0"/>
        <w:autoSpaceDE/>
        <w:autoSpaceDN/>
        <w:bidi w:val="0"/>
        <w:adjustRightInd w:val="0"/>
        <w:snapToGrid w:val="0"/>
        <w:spacing w:line="520" w:lineRule="exact"/>
        <w:ind w:firstLine="420" w:firstLineChars="200"/>
        <w:jc w:val="both"/>
        <w:textAlignment w:val="auto"/>
        <w:rPr>
          <w:rFonts w:hint="default"/>
          <w:color w:val="auto"/>
          <w:sz w:val="21"/>
          <w:szCs w:val="21"/>
          <w:highlight w:val="none"/>
          <w:lang w:val="en-US" w:eastAsia="zh-CN"/>
        </w:rPr>
      </w:pPr>
      <w:r>
        <w:rPr>
          <w:rFonts w:hint="eastAsia" w:ascii="宋体" w:hAnsi="宋体" w:cs="宋体"/>
          <w:b w:val="0"/>
          <w:bCs w:val="0"/>
          <w:color w:val="auto"/>
          <w:kern w:val="2"/>
          <w:sz w:val="21"/>
          <w:szCs w:val="21"/>
          <w:highlight w:val="none"/>
          <w:lang w:val="en-US" w:eastAsia="zh-CN" w:bidi="ar-SA"/>
        </w:rPr>
        <w:t>5</w:t>
      </w: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采购内容</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需完成</w:t>
      </w:r>
      <w:r>
        <w:rPr>
          <w:rFonts w:hint="eastAsia" w:asciiTheme="minorEastAsia" w:hAnsiTheme="minorEastAsia" w:eastAsiaTheme="minorEastAsia" w:cstheme="minorEastAsia"/>
          <w:color w:val="auto"/>
          <w:kern w:val="0"/>
          <w:sz w:val="21"/>
          <w:szCs w:val="21"/>
          <w:highlight w:val="none"/>
          <w:lang w:val="en-US" w:eastAsia="zh-CN" w:bidi="ar-SA"/>
        </w:rPr>
        <w:t>2026年汇交宅基地、集体建设用地、国有建设用地和自然资源地籍数据。2027年汇交林权、土地承包经营权等地籍数据。</w:t>
      </w:r>
      <w:r>
        <w:rPr>
          <w:rFonts w:hint="eastAsia" w:ascii="宋体" w:hAnsi="宋体" w:eastAsia="宋体" w:cs="宋体"/>
          <w:b w:val="0"/>
          <w:bCs w:val="0"/>
          <w:color w:val="auto"/>
          <w:kern w:val="2"/>
          <w:sz w:val="21"/>
          <w:szCs w:val="21"/>
          <w:highlight w:val="none"/>
          <w:lang w:val="en-US" w:eastAsia="zh-CN" w:bidi="ar-SA"/>
        </w:rPr>
        <w:t>（详见采购文件）</w:t>
      </w:r>
      <w:r>
        <w:rPr>
          <w:rFonts w:hint="eastAsia" w:ascii="宋体" w:hAnsi="宋体" w:cs="宋体"/>
          <w:b w:val="0"/>
          <w:bCs w:val="0"/>
          <w:color w:val="auto"/>
          <w:kern w:val="2"/>
          <w:sz w:val="21"/>
          <w:szCs w:val="21"/>
          <w:highlight w:val="none"/>
          <w:lang w:val="en-US" w:eastAsia="zh-CN" w:bidi="ar-SA"/>
        </w:rPr>
        <w:t>。</w:t>
      </w:r>
    </w:p>
    <w:p w14:paraId="67D154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5.2.</w:t>
      </w:r>
      <w:r>
        <w:rPr>
          <w:rFonts w:hint="eastAsia" w:ascii="宋体" w:hAnsi="宋体" w:cs="宋体"/>
          <w:color w:val="auto"/>
          <w:sz w:val="21"/>
          <w:szCs w:val="21"/>
          <w:highlight w:val="none"/>
          <w:lang w:eastAsia="zh-CN"/>
        </w:rPr>
        <w:t>服务地点</w:t>
      </w:r>
      <w:r>
        <w:rPr>
          <w:rFonts w:hint="eastAsia" w:ascii="宋体" w:hAnsi="宋体" w:eastAsia="宋体" w:cs="宋体"/>
          <w:color w:val="auto"/>
          <w:sz w:val="21"/>
          <w:szCs w:val="21"/>
          <w:highlight w:val="none"/>
        </w:rPr>
        <w:t>：</w:t>
      </w:r>
      <w:r>
        <w:rPr>
          <w:rFonts w:hint="eastAsia" w:ascii="宋体" w:hAnsi="宋体" w:cs="宋体"/>
          <w:color w:val="auto"/>
          <w:spacing w:val="2"/>
          <w:sz w:val="21"/>
          <w:szCs w:val="21"/>
          <w:highlight w:val="none"/>
          <w:lang w:eastAsia="zh-CN"/>
        </w:rPr>
        <w:t>荥阳市境内</w:t>
      </w:r>
      <w:r>
        <w:rPr>
          <w:rFonts w:hint="eastAsia" w:ascii="宋体" w:hAnsi="宋体" w:eastAsia="宋体" w:cs="宋体"/>
          <w:color w:val="auto"/>
          <w:sz w:val="21"/>
          <w:szCs w:val="21"/>
          <w:highlight w:val="none"/>
        </w:rPr>
        <w:t>；</w:t>
      </w:r>
    </w:p>
    <w:p w14:paraId="6350CD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5.3.服务周期</w:t>
      </w:r>
      <w:r>
        <w:rPr>
          <w:rFonts w:hint="eastAsia" w:ascii="宋体" w:hAnsi="宋体" w:eastAsia="宋体" w:cs="宋体"/>
          <w:color w:val="auto"/>
          <w:highlight w:val="none"/>
        </w:rPr>
        <w:t>：合同签订后</w:t>
      </w:r>
      <w:r>
        <w:rPr>
          <w:rFonts w:hint="eastAsia" w:ascii="宋体" w:hAnsi="宋体" w:cs="宋体"/>
          <w:color w:val="auto"/>
          <w:highlight w:val="none"/>
          <w:lang w:val="en-US" w:eastAsia="zh-CN"/>
        </w:rPr>
        <w:t>至2027年12月31日</w:t>
      </w:r>
      <w:r>
        <w:rPr>
          <w:rFonts w:hint="eastAsia" w:ascii="宋体" w:hAnsi="宋体" w:eastAsia="宋体" w:cs="宋体"/>
          <w:color w:val="auto"/>
          <w:highlight w:val="none"/>
        </w:rPr>
        <w:t>；</w:t>
      </w:r>
    </w:p>
    <w:p w14:paraId="13E779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5.4.</w:t>
      </w:r>
      <w:r>
        <w:rPr>
          <w:rFonts w:hint="eastAsia" w:ascii="宋体" w:hAnsi="宋体" w:eastAsia="宋体" w:cs="宋体"/>
          <w:color w:val="auto"/>
          <w:highlight w:val="none"/>
        </w:rPr>
        <w:t>质量</w:t>
      </w:r>
      <w:r>
        <w:rPr>
          <w:rFonts w:hint="eastAsia" w:ascii="宋体" w:hAnsi="宋体" w:cs="宋体"/>
          <w:color w:val="auto"/>
          <w:highlight w:val="none"/>
          <w:lang w:val="en-US" w:eastAsia="zh-CN"/>
        </w:rPr>
        <w:t>标准</w:t>
      </w:r>
      <w:r>
        <w:rPr>
          <w:rFonts w:hint="eastAsia" w:ascii="宋体" w:hAnsi="宋体" w:eastAsia="宋体" w:cs="宋体"/>
          <w:color w:val="auto"/>
          <w:highlight w:val="none"/>
        </w:rPr>
        <w:t>：</w:t>
      </w:r>
      <w:r>
        <w:rPr>
          <w:rFonts w:hint="eastAsia" w:ascii="宋体" w:hAnsi="宋体" w:eastAsia="宋体" w:cs="宋体"/>
          <w:bCs/>
          <w:color w:val="auto"/>
          <w:szCs w:val="21"/>
          <w:highlight w:val="none"/>
        </w:rPr>
        <w:t>符合国家或行业规定的合格标准，满足采购人提出的技术标准及要求</w:t>
      </w:r>
      <w:r>
        <w:rPr>
          <w:rFonts w:hint="eastAsia" w:ascii="宋体" w:hAnsi="宋体" w:eastAsia="宋体" w:cs="宋体"/>
          <w:color w:val="auto"/>
          <w:highlight w:val="none"/>
        </w:rPr>
        <w:t>；</w:t>
      </w:r>
    </w:p>
    <w:p w14:paraId="734030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5.5.</w:t>
      </w:r>
      <w:r>
        <w:rPr>
          <w:rFonts w:hint="eastAsia" w:ascii="宋体" w:hAnsi="宋体" w:eastAsia="宋体" w:cs="宋体"/>
          <w:color w:val="auto"/>
          <w:highlight w:val="none"/>
          <w:lang w:val="en-US" w:eastAsia="zh-CN"/>
        </w:rPr>
        <w:t>验收标准：满足采购人的验收标准及要求。</w:t>
      </w:r>
    </w:p>
    <w:p w14:paraId="75A10F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default"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6.合同履行期限：同服务周期；</w:t>
      </w:r>
    </w:p>
    <w:p w14:paraId="1B889E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7.</w:t>
      </w:r>
      <w:r>
        <w:rPr>
          <w:rFonts w:hint="eastAsia" w:ascii="宋体" w:hAnsi="宋体" w:eastAsia="宋体" w:cs="宋体"/>
          <w:b w:val="0"/>
          <w:bCs w:val="0"/>
          <w:color w:val="auto"/>
          <w:sz w:val="21"/>
          <w:szCs w:val="21"/>
          <w:highlight w:val="none"/>
          <w:lang w:val="en-US" w:eastAsia="zh-CN"/>
        </w:rPr>
        <w:t xml:space="preserve">本项目是否接受联合体投标：否  </w:t>
      </w:r>
    </w:p>
    <w:p w14:paraId="3A6EF0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8.</w:t>
      </w:r>
      <w:r>
        <w:rPr>
          <w:rFonts w:hint="eastAsia" w:ascii="宋体" w:hAnsi="宋体" w:eastAsia="宋体" w:cs="宋体"/>
          <w:b w:val="0"/>
          <w:bCs w:val="0"/>
          <w:color w:val="auto"/>
          <w:sz w:val="21"/>
          <w:szCs w:val="21"/>
          <w:highlight w:val="none"/>
          <w:lang w:val="en-US" w:eastAsia="zh-CN"/>
        </w:rPr>
        <w:t>是否专门面向中小企业：</w:t>
      </w:r>
      <w:r>
        <w:rPr>
          <w:rFonts w:hint="eastAsia" w:ascii="宋体" w:hAnsi="宋体" w:cs="宋体"/>
          <w:b w:val="0"/>
          <w:bCs w:val="0"/>
          <w:color w:val="auto"/>
          <w:sz w:val="21"/>
          <w:szCs w:val="21"/>
          <w:highlight w:val="none"/>
          <w:lang w:val="en-US" w:eastAsia="zh-CN"/>
        </w:rPr>
        <w:t>是</w:t>
      </w:r>
      <w:r>
        <w:rPr>
          <w:rFonts w:hint="eastAsia" w:ascii="宋体" w:hAnsi="宋体" w:eastAsia="宋体" w:cs="宋体"/>
          <w:b w:val="0"/>
          <w:bCs w:val="0"/>
          <w:color w:val="auto"/>
          <w:sz w:val="21"/>
          <w:szCs w:val="21"/>
          <w:highlight w:val="none"/>
          <w:lang w:val="en-US" w:eastAsia="zh-CN"/>
        </w:rPr>
        <w:t xml:space="preserve">  </w:t>
      </w:r>
    </w:p>
    <w:p w14:paraId="49B17C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二、申请人资格要求：</w:t>
      </w:r>
    </w:p>
    <w:p w14:paraId="75003807">
      <w:pPr>
        <w:spacing w:line="360" w:lineRule="auto"/>
        <w:ind w:firstLine="422" w:firstLineChars="200"/>
        <w:rPr>
          <w:rFonts w:hint="eastAsia"/>
          <w:b/>
          <w:bCs/>
          <w:color w:val="auto"/>
          <w:szCs w:val="21"/>
          <w:highlight w:val="none"/>
        </w:rPr>
      </w:pPr>
      <w:r>
        <w:rPr>
          <w:rFonts w:hint="eastAsia"/>
          <w:b/>
          <w:bCs/>
          <w:color w:val="auto"/>
          <w:szCs w:val="21"/>
          <w:highlight w:val="none"/>
        </w:rPr>
        <w:t>1.满足《中华人民共和国政府采购法》第二十二条规定；</w:t>
      </w:r>
    </w:p>
    <w:p w14:paraId="39C347AE">
      <w:pPr>
        <w:spacing w:line="360" w:lineRule="auto"/>
        <w:ind w:firstLine="420" w:firstLineChars="200"/>
        <w:rPr>
          <w:rFonts w:hint="eastAsia"/>
          <w:color w:val="auto"/>
          <w:szCs w:val="21"/>
          <w:highlight w:val="none"/>
        </w:rPr>
      </w:pPr>
      <w:r>
        <w:rPr>
          <w:rFonts w:hint="eastAsia"/>
          <w:color w:val="auto"/>
          <w:szCs w:val="21"/>
          <w:highlight w:val="none"/>
        </w:rPr>
        <w:t>1.1、具有独立承担民事责任的能力,具有有效的营业执照；</w:t>
      </w:r>
    </w:p>
    <w:p w14:paraId="02F08074">
      <w:pPr>
        <w:spacing w:line="360" w:lineRule="auto"/>
        <w:ind w:firstLine="420" w:firstLineChars="200"/>
        <w:rPr>
          <w:rFonts w:hint="eastAsia"/>
          <w:color w:val="auto"/>
          <w:szCs w:val="21"/>
          <w:highlight w:val="none"/>
        </w:rPr>
      </w:pPr>
      <w:r>
        <w:rPr>
          <w:rFonts w:hint="eastAsia"/>
          <w:color w:val="auto"/>
          <w:szCs w:val="21"/>
          <w:highlight w:val="none"/>
        </w:rPr>
        <w:t>1.2、具有良好的商业信誉和健全的财务会计制度，</w:t>
      </w:r>
      <w:r>
        <w:rPr>
          <w:rFonts w:hint="eastAsia" w:ascii="宋体" w:hAnsi="宋体" w:eastAsia="宋体" w:cs="宋体"/>
          <w:color w:val="auto"/>
          <w:highlight w:val="none"/>
        </w:rPr>
        <w:t>（</w:t>
      </w:r>
      <w:r>
        <w:rPr>
          <w:rFonts w:hint="eastAsia" w:ascii="宋体" w:hAnsi="宋体" w:cs="宋体"/>
          <w:color w:val="auto"/>
          <w:highlight w:val="none"/>
          <w:lang w:eastAsia="zh-CN"/>
        </w:rPr>
        <w:t>供应商自行承诺</w:t>
      </w:r>
      <w:r>
        <w:rPr>
          <w:rFonts w:hint="eastAsia" w:ascii="宋体" w:hAnsi="宋体" w:eastAsia="宋体" w:cs="宋体"/>
          <w:color w:val="auto"/>
          <w:highlight w:val="none"/>
        </w:rPr>
        <w:t>，格式自拟）</w:t>
      </w:r>
      <w:r>
        <w:rPr>
          <w:rFonts w:hint="eastAsia"/>
          <w:color w:val="auto"/>
          <w:szCs w:val="21"/>
          <w:highlight w:val="none"/>
        </w:rPr>
        <w:t>；</w:t>
      </w:r>
    </w:p>
    <w:p w14:paraId="3E5DC4A1">
      <w:pPr>
        <w:spacing w:line="360" w:lineRule="auto"/>
        <w:ind w:firstLine="420" w:firstLineChars="200"/>
        <w:rPr>
          <w:rFonts w:hint="eastAsia"/>
          <w:color w:val="auto"/>
          <w:szCs w:val="21"/>
          <w:highlight w:val="none"/>
        </w:rPr>
      </w:pPr>
      <w:r>
        <w:rPr>
          <w:rFonts w:hint="eastAsia"/>
          <w:color w:val="auto"/>
          <w:szCs w:val="21"/>
          <w:highlight w:val="none"/>
        </w:rPr>
        <w:t>1.3、具有履行合同所必需的设备和专业技术能力，须提供供应商具有履行合同所必需的设备和专业技术能力承诺声明文件</w:t>
      </w:r>
      <w:r>
        <w:rPr>
          <w:rFonts w:hint="eastAsia"/>
          <w:color w:val="auto"/>
          <w:szCs w:val="21"/>
          <w:highlight w:val="none"/>
          <w:lang w:eastAsia="zh-CN"/>
        </w:rPr>
        <w:t>，</w:t>
      </w:r>
      <w:r>
        <w:rPr>
          <w:rFonts w:hint="eastAsia" w:ascii="宋体" w:hAnsi="宋体" w:eastAsia="宋体" w:cs="宋体"/>
          <w:color w:val="auto"/>
          <w:highlight w:val="none"/>
        </w:rPr>
        <w:t>（</w:t>
      </w:r>
      <w:r>
        <w:rPr>
          <w:rFonts w:hint="eastAsia" w:ascii="宋体" w:hAnsi="宋体" w:cs="宋体"/>
          <w:color w:val="auto"/>
          <w:highlight w:val="none"/>
          <w:lang w:eastAsia="zh-CN"/>
        </w:rPr>
        <w:t>供应商自行承诺</w:t>
      </w:r>
      <w:r>
        <w:rPr>
          <w:rFonts w:hint="eastAsia" w:ascii="宋体" w:hAnsi="宋体" w:eastAsia="宋体" w:cs="宋体"/>
          <w:color w:val="auto"/>
          <w:highlight w:val="none"/>
        </w:rPr>
        <w:t>，格式自拟）</w:t>
      </w:r>
      <w:r>
        <w:rPr>
          <w:rFonts w:hint="eastAsia"/>
          <w:color w:val="auto"/>
          <w:szCs w:val="21"/>
          <w:highlight w:val="none"/>
        </w:rPr>
        <w:t>；</w:t>
      </w:r>
    </w:p>
    <w:p w14:paraId="48253B91">
      <w:pPr>
        <w:spacing w:line="360" w:lineRule="auto"/>
        <w:ind w:firstLine="420" w:firstLineChars="200"/>
        <w:rPr>
          <w:rFonts w:hint="eastAsia"/>
          <w:color w:val="auto"/>
          <w:szCs w:val="21"/>
          <w:highlight w:val="none"/>
        </w:rPr>
      </w:pPr>
      <w:r>
        <w:rPr>
          <w:rFonts w:hint="eastAsia"/>
          <w:color w:val="auto"/>
          <w:szCs w:val="21"/>
          <w:highlight w:val="none"/>
        </w:rPr>
        <w:t>1.4、具有依法缴纳税收和社会保障资金的良好记录，</w:t>
      </w:r>
      <w:r>
        <w:rPr>
          <w:rFonts w:hint="eastAsia" w:ascii="宋体" w:hAnsi="宋体" w:eastAsia="宋体" w:cs="宋体"/>
          <w:color w:val="auto"/>
          <w:highlight w:val="none"/>
        </w:rPr>
        <w:t>（</w:t>
      </w:r>
      <w:r>
        <w:rPr>
          <w:rFonts w:hint="eastAsia" w:ascii="宋体" w:hAnsi="宋体" w:cs="宋体"/>
          <w:color w:val="auto"/>
          <w:highlight w:val="none"/>
          <w:lang w:eastAsia="zh-CN"/>
        </w:rPr>
        <w:t>供应商自行承诺</w:t>
      </w:r>
      <w:r>
        <w:rPr>
          <w:rFonts w:hint="eastAsia" w:ascii="宋体" w:hAnsi="宋体" w:eastAsia="宋体" w:cs="宋体"/>
          <w:color w:val="auto"/>
          <w:highlight w:val="none"/>
        </w:rPr>
        <w:t>，格式自拟）</w:t>
      </w:r>
      <w:r>
        <w:rPr>
          <w:rFonts w:hint="eastAsia"/>
          <w:color w:val="auto"/>
          <w:szCs w:val="21"/>
          <w:highlight w:val="none"/>
        </w:rPr>
        <w:t>；</w:t>
      </w:r>
    </w:p>
    <w:p w14:paraId="65889613">
      <w:pPr>
        <w:spacing w:line="360" w:lineRule="auto"/>
        <w:ind w:firstLine="420" w:firstLineChars="200"/>
        <w:rPr>
          <w:rFonts w:hint="eastAsia"/>
          <w:color w:val="auto"/>
          <w:szCs w:val="21"/>
          <w:highlight w:val="none"/>
        </w:rPr>
      </w:pPr>
      <w:r>
        <w:rPr>
          <w:rFonts w:hint="eastAsia"/>
          <w:color w:val="auto"/>
          <w:szCs w:val="21"/>
          <w:highlight w:val="none"/>
        </w:rPr>
        <w:t>1.5、参加政府采购活动前三年内，在经营活动中没有重大违法记录，须提供参加政府采购活动前三年内，在经营活动中没有重大违法记录的书面声明</w:t>
      </w:r>
      <w:r>
        <w:rPr>
          <w:rFonts w:hint="eastAsia"/>
          <w:color w:val="auto"/>
          <w:szCs w:val="21"/>
          <w:highlight w:val="none"/>
          <w:lang w:eastAsia="zh-CN"/>
        </w:rPr>
        <w:t>，</w:t>
      </w:r>
      <w:r>
        <w:rPr>
          <w:rFonts w:hint="eastAsia" w:ascii="宋体" w:hAnsi="宋体" w:eastAsia="宋体" w:cs="宋体"/>
          <w:color w:val="auto"/>
          <w:highlight w:val="none"/>
        </w:rPr>
        <w:t>（</w:t>
      </w:r>
      <w:r>
        <w:rPr>
          <w:rFonts w:hint="eastAsia" w:ascii="宋体" w:hAnsi="宋体" w:cs="宋体"/>
          <w:color w:val="auto"/>
          <w:highlight w:val="none"/>
          <w:lang w:eastAsia="zh-CN"/>
        </w:rPr>
        <w:t>供应商自行承诺</w:t>
      </w:r>
      <w:r>
        <w:rPr>
          <w:rFonts w:hint="eastAsia" w:ascii="宋体" w:hAnsi="宋体" w:eastAsia="宋体" w:cs="宋体"/>
          <w:color w:val="auto"/>
          <w:highlight w:val="none"/>
        </w:rPr>
        <w:t>，格式自拟）</w:t>
      </w:r>
      <w:r>
        <w:rPr>
          <w:rFonts w:hint="eastAsia"/>
          <w:color w:val="auto"/>
          <w:szCs w:val="21"/>
          <w:highlight w:val="none"/>
        </w:rPr>
        <w:t>；</w:t>
      </w:r>
    </w:p>
    <w:p w14:paraId="70F37A8D">
      <w:pPr>
        <w:spacing w:line="360" w:lineRule="auto"/>
        <w:ind w:firstLine="422" w:firstLineChars="200"/>
        <w:rPr>
          <w:rFonts w:hint="eastAsia"/>
          <w:color w:val="auto"/>
          <w:szCs w:val="21"/>
          <w:highlight w:val="none"/>
        </w:rPr>
      </w:pPr>
      <w:r>
        <w:rPr>
          <w:rFonts w:hint="eastAsia"/>
          <w:b/>
          <w:bCs/>
          <w:color w:val="auto"/>
          <w:szCs w:val="21"/>
          <w:highlight w:val="none"/>
        </w:rPr>
        <w:t>2.需落实政府采购的政策要求：</w:t>
      </w:r>
      <w:r>
        <w:rPr>
          <w:rFonts w:hint="eastAsia"/>
          <w:color w:val="auto"/>
          <w:szCs w:val="21"/>
          <w:highlight w:val="none"/>
        </w:rPr>
        <w:t>本项目执行促进中小型企业发展政策（监狱企业、残疾人福利性企业视同小微企业）。</w:t>
      </w:r>
    </w:p>
    <w:p w14:paraId="77EEA908">
      <w:pPr>
        <w:spacing w:line="360" w:lineRule="auto"/>
        <w:ind w:firstLine="422" w:firstLineChars="200"/>
        <w:rPr>
          <w:rFonts w:hint="eastAsia"/>
          <w:b/>
          <w:bCs/>
          <w:color w:val="auto"/>
          <w:szCs w:val="21"/>
          <w:highlight w:val="none"/>
          <w:lang w:eastAsia="zh-CN"/>
        </w:rPr>
      </w:pPr>
      <w:r>
        <w:rPr>
          <w:rFonts w:hint="eastAsia"/>
          <w:b/>
          <w:bCs/>
          <w:color w:val="auto"/>
          <w:szCs w:val="21"/>
          <w:highlight w:val="none"/>
        </w:rPr>
        <w:t>3.本项目的特定资格要求：</w:t>
      </w:r>
    </w:p>
    <w:p w14:paraId="549598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资质要求：须</w:t>
      </w:r>
      <w:r>
        <w:rPr>
          <w:rFonts w:hint="eastAsia" w:ascii="宋体" w:hAnsi="宋体" w:eastAsia="宋体" w:cs="宋体"/>
          <w:color w:val="auto"/>
          <w:szCs w:val="21"/>
          <w:highlight w:val="none"/>
        </w:rPr>
        <w:t>具备有效期范围内的营业执照或事业单位法人证书；投标人须具备测绘乙级及以上资质；</w:t>
      </w:r>
    </w:p>
    <w:p w14:paraId="44067C90">
      <w:pPr>
        <w:pStyle w:val="15"/>
        <w:spacing w:line="360" w:lineRule="auto"/>
        <w:ind w:firstLine="420" w:firstLineChars="200"/>
        <w:rPr>
          <w:rFonts w:hint="default"/>
          <w:color w:val="auto"/>
          <w:highlight w:val="none"/>
          <w:lang w:val="en-US" w:eastAsia="zh-CN"/>
        </w:rPr>
      </w:pPr>
      <w:r>
        <w:rPr>
          <w:rFonts w:hint="eastAsia" w:ascii="宋体" w:hAnsi="宋体" w:eastAsia="宋体" w:cs="宋体"/>
          <w:color w:val="auto"/>
          <w:highlight w:val="none"/>
          <w:lang w:val="en-US" w:eastAsia="zh-CN"/>
        </w:rPr>
        <w:t>3.</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拟派项目负责人：项目负责人须具有测绘及相关专业中级及以上技术职称（需提供单位为其缴纳的近三个月的社保证明及签订的劳动合同）</w:t>
      </w:r>
    </w:p>
    <w:p w14:paraId="0DF9996A">
      <w:pPr>
        <w:spacing w:line="360" w:lineRule="auto"/>
        <w:ind w:firstLine="420" w:firstLineChars="200"/>
        <w:rPr>
          <w:rFonts w:hint="eastAsia" w:ascii="宋体" w:hAnsi="宋体" w:cs="宋体"/>
          <w:b w:val="0"/>
          <w:bCs w:val="0"/>
          <w:color w:val="auto"/>
          <w:kern w:val="0"/>
          <w:sz w:val="21"/>
          <w:szCs w:val="21"/>
          <w:highlight w:val="none"/>
          <w:lang w:val="en-US" w:eastAsia="zh-CN" w:bidi="ar"/>
        </w:rPr>
      </w:pPr>
      <w:r>
        <w:rPr>
          <w:rFonts w:hint="eastAsia" w:ascii="宋体" w:hAnsi="宋体" w:cs="宋体"/>
          <w:b w:val="0"/>
          <w:bCs w:val="0"/>
          <w:color w:val="auto"/>
          <w:szCs w:val="21"/>
          <w:highlight w:val="none"/>
          <w:lang w:val="en-US" w:eastAsia="zh-CN"/>
        </w:rPr>
        <w:t>3.3、</w:t>
      </w:r>
      <w:r>
        <w:rPr>
          <w:rFonts w:hint="eastAsia" w:ascii="宋体" w:hAnsi="宋体" w:eastAsia="宋体" w:cs="宋体"/>
          <w:b w:val="0"/>
          <w:bCs w:val="0"/>
          <w:color w:val="auto"/>
          <w:kern w:val="0"/>
          <w:sz w:val="21"/>
          <w:szCs w:val="21"/>
          <w:highlight w:val="none"/>
          <w:lang w:val="en-US" w:eastAsia="zh-CN" w:bidi="ar"/>
        </w:rPr>
        <w:t>根据《财政</w:t>
      </w:r>
      <w:r>
        <w:rPr>
          <w:rFonts w:hint="eastAsia" w:ascii="宋体" w:hAnsi="宋体" w:eastAsia="宋体" w:cs="宋体"/>
          <w:color w:val="auto"/>
          <w:kern w:val="0"/>
          <w:sz w:val="21"/>
          <w:szCs w:val="21"/>
          <w:highlight w:val="none"/>
          <w:lang w:val="en-US" w:eastAsia="zh-CN" w:bidi="ar"/>
        </w:rPr>
        <w:t>部关于在政府采购活动中查询及使用信用记录有关问题的通知》(财库[2016]125号)和豫财购【2016】15号的规定，对列入失信被执行人、</w:t>
      </w:r>
      <w:r>
        <w:rPr>
          <w:rFonts w:hint="eastAsia" w:ascii="宋体" w:hAnsi="宋体" w:cs="宋体"/>
          <w:color w:val="auto"/>
          <w:kern w:val="0"/>
          <w:sz w:val="21"/>
          <w:szCs w:val="21"/>
          <w:highlight w:val="none"/>
          <w:lang w:val="en-US" w:eastAsia="zh-CN" w:bidi="ar"/>
        </w:rPr>
        <w:t>重大税收违法失信主体</w:t>
      </w:r>
      <w:r>
        <w:rPr>
          <w:rFonts w:hint="eastAsia" w:ascii="宋体" w:hAnsi="宋体" w:eastAsia="宋体" w:cs="宋体"/>
          <w:color w:val="auto"/>
          <w:kern w:val="0"/>
          <w:sz w:val="21"/>
          <w:szCs w:val="21"/>
          <w:highlight w:val="none"/>
          <w:lang w:val="en-US" w:eastAsia="zh-CN" w:bidi="ar"/>
        </w:rPr>
        <w:t>、政府采购严重违法失信行为记录名单的供应商，拒绝参与本项目政府采购活动</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通过</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中国执行信息公开网</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（zxgk.court.gov.cn）查询被列入失信被执行人</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“信用中国</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网站（www.creditchina.gov.cn）查询</w:t>
      </w:r>
      <w:r>
        <w:rPr>
          <w:rFonts w:hint="eastAsia" w:ascii="宋体" w:hAnsi="宋体" w:cs="宋体"/>
          <w:color w:val="auto"/>
          <w:kern w:val="0"/>
          <w:sz w:val="21"/>
          <w:szCs w:val="21"/>
          <w:highlight w:val="none"/>
          <w:lang w:val="en-US" w:eastAsia="zh-CN" w:bidi="ar"/>
        </w:rPr>
        <w:t>重大税收违法失信主体</w:t>
      </w: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中国政府采购网</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（www.ccgp.gov.cn）查询政府采购严重违法失信行为记录名单），</w:t>
      </w:r>
      <w:r>
        <w:rPr>
          <w:rFonts w:hint="eastAsia" w:ascii="宋体" w:hAnsi="宋体" w:cs="宋体"/>
          <w:color w:val="auto"/>
          <w:kern w:val="0"/>
          <w:sz w:val="21"/>
          <w:szCs w:val="21"/>
          <w:highlight w:val="none"/>
          <w:lang w:val="en-US" w:eastAsia="zh-CN" w:bidi="ar"/>
        </w:rPr>
        <w:t>提供加盖</w:t>
      </w:r>
      <w:r>
        <w:rPr>
          <w:rFonts w:hint="eastAsia" w:ascii="宋体" w:hAnsi="宋体" w:eastAsia="宋体" w:cs="宋体"/>
          <w:color w:val="auto"/>
          <w:kern w:val="0"/>
          <w:sz w:val="21"/>
          <w:szCs w:val="21"/>
          <w:highlight w:val="none"/>
          <w:lang w:val="en-US" w:eastAsia="zh-CN" w:bidi="ar"/>
        </w:rPr>
        <w:t>单位公章的查询网页截图</w:t>
      </w:r>
      <w:r>
        <w:rPr>
          <w:rFonts w:hint="eastAsia" w:ascii="宋体" w:hAnsi="宋体" w:eastAsia="宋体" w:cs="宋体"/>
          <w:b w:val="0"/>
          <w:bCs w:val="0"/>
          <w:color w:val="auto"/>
          <w:kern w:val="0"/>
          <w:sz w:val="21"/>
          <w:szCs w:val="21"/>
          <w:highlight w:val="none"/>
          <w:lang w:val="en-US" w:eastAsia="zh-CN" w:bidi="ar"/>
        </w:rPr>
        <w:t>（截图内容要完整清晰</w:t>
      </w:r>
      <w:r>
        <w:rPr>
          <w:rFonts w:hint="eastAsia" w:ascii="宋体" w:hAnsi="宋体" w:cs="宋体"/>
          <w:b w:val="0"/>
          <w:bCs w:val="0"/>
          <w:color w:val="auto"/>
          <w:kern w:val="0"/>
          <w:sz w:val="21"/>
          <w:szCs w:val="21"/>
          <w:highlight w:val="none"/>
          <w:lang w:val="en-US" w:eastAsia="zh-CN" w:bidi="ar"/>
        </w:rPr>
        <w:t>）。</w:t>
      </w:r>
      <w:r>
        <w:rPr>
          <w:rFonts w:hint="eastAsia" w:ascii="宋体" w:hAnsi="宋体" w:cs="宋体"/>
          <w:b/>
          <w:bCs/>
          <w:color w:val="auto"/>
          <w:kern w:val="0"/>
          <w:sz w:val="21"/>
          <w:szCs w:val="21"/>
          <w:highlight w:val="none"/>
          <w:lang w:val="en-US" w:eastAsia="zh-CN" w:bidi="ar"/>
        </w:rPr>
        <w:t>注：</w:t>
      </w:r>
      <w:r>
        <w:rPr>
          <w:rFonts w:hint="eastAsia" w:ascii="宋体" w:hAnsi="宋体" w:cs="宋体"/>
          <w:b w:val="0"/>
          <w:bCs w:val="0"/>
          <w:color w:val="auto"/>
          <w:kern w:val="0"/>
          <w:sz w:val="21"/>
          <w:szCs w:val="21"/>
          <w:highlight w:val="none"/>
          <w:lang w:val="en-US" w:eastAsia="zh-CN" w:bidi="ar"/>
        </w:rPr>
        <w:t>采购代理机构在开标当天根据需要对所参与本项目投标的供应商的信用情况（失信被执行人、重大税收违法失信主体、政府采购严重违法失信行为记录名单）进行查询。若在开标当天查询到供应商有相关负面信息的，则该供应商为无效供应商。</w:t>
      </w:r>
    </w:p>
    <w:p w14:paraId="6BF111F1">
      <w:pPr>
        <w:pStyle w:val="21"/>
        <w:spacing w:line="360" w:lineRule="auto"/>
        <w:ind w:firstLine="210" w:firstLineChars="100"/>
        <w:rPr>
          <w:rFonts w:hint="eastAsia" w:ascii="宋体" w:hAnsi="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3.4、单位负责人为同一人或者存在直接控股、管理关系的不同供应商，不得参加同一合同项下的政府采购活动。【提供在“国家企业信用信息公示系统”中查询打印的相关材料并加盖公章（需显示公司基本信息、主要人员信息、股东信息），查询日期在本公告发布日期之后至投标截止日期之前】；</w:t>
      </w:r>
    </w:p>
    <w:p w14:paraId="7E9F64E4">
      <w:pPr>
        <w:pStyle w:val="30"/>
        <w:numPr>
          <w:ilvl w:val="0"/>
          <w:numId w:val="0"/>
        </w:numPr>
        <w:spacing w:before="0" w:beforeAutospacing="0" w:after="0" w:afterAutospacing="0" w:line="384" w:lineRule="auto"/>
        <w:ind w:firstLine="210" w:firstLineChars="100"/>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3.5、</w:t>
      </w:r>
      <w:r>
        <w:rPr>
          <w:rFonts w:hint="eastAsia" w:asciiTheme="minorEastAsia" w:hAnsiTheme="minorEastAsia" w:eastAsiaTheme="minorEastAsia" w:cstheme="minorEastAsia"/>
          <w:bCs/>
          <w:color w:val="auto"/>
          <w:sz w:val="21"/>
          <w:szCs w:val="21"/>
          <w:highlight w:val="none"/>
          <w:lang w:val="en-US" w:eastAsia="zh-CN"/>
        </w:rPr>
        <w:t>为采购项目提供整体设计、规范编制或者项目管理、监理、检测等服务的供应商，不得再参加本采购项目的其他采购活动（书面承诺,格式自拟）。</w:t>
      </w:r>
    </w:p>
    <w:p w14:paraId="4ABDB1FB">
      <w:pPr>
        <w:pStyle w:val="3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84" w:lineRule="auto"/>
        <w:ind w:firstLine="210" w:firstLineChars="100"/>
        <w:textAlignment w:val="auto"/>
        <w:rPr>
          <w:rFonts w:hint="default"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3.6、</w:t>
      </w:r>
      <w:r>
        <w:rPr>
          <w:rFonts w:hint="eastAsia" w:ascii="宋体" w:hAnsi="宋体" w:eastAsia="宋体" w:cs="宋体"/>
          <w:color w:val="auto"/>
          <w:sz w:val="21"/>
          <w:szCs w:val="21"/>
          <w:highlight w:val="none"/>
          <w:lang w:val="en-US" w:eastAsia="zh-CN"/>
        </w:rPr>
        <w:t>供应商须提供《中小企业声明函》，格式详见本项目采购文件。</w:t>
      </w:r>
    </w:p>
    <w:p w14:paraId="598EB0C6">
      <w:pPr>
        <w:pStyle w:val="3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84" w:lineRule="auto"/>
        <w:ind w:firstLine="210" w:firstLineChars="100"/>
        <w:textAlignment w:val="auto"/>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3.7、</w:t>
      </w:r>
      <w:r>
        <w:rPr>
          <w:rFonts w:hint="eastAsia" w:asciiTheme="minorEastAsia" w:hAnsiTheme="minorEastAsia" w:eastAsiaTheme="minorEastAsia" w:cstheme="minorEastAsia"/>
          <w:bCs/>
          <w:color w:val="auto"/>
          <w:sz w:val="21"/>
          <w:szCs w:val="21"/>
          <w:highlight w:val="none"/>
          <w:lang w:val="en-US" w:eastAsia="zh-CN"/>
        </w:rPr>
        <w:t>不允许转包和违法分包。</w:t>
      </w:r>
    </w:p>
    <w:p w14:paraId="45CEACF0">
      <w:pPr>
        <w:pStyle w:val="3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84" w:lineRule="auto"/>
        <w:ind w:firstLine="211" w:firstLineChars="100"/>
        <w:textAlignment w:val="auto"/>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
          <w:bCs w:val="0"/>
          <w:color w:val="auto"/>
          <w:sz w:val="21"/>
          <w:szCs w:val="21"/>
          <w:highlight w:val="none"/>
          <w:lang w:val="en-US" w:eastAsia="zh-CN"/>
        </w:rPr>
        <w:t>4.</w:t>
      </w:r>
      <w:r>
        <w:rPr>
          <w:rFonts w:hint="eastAsia" w:asciiTheme="minorEastAsia" w:hAnsiTheme="minorEastAsia" w:eastAsiaTheme="minorEastAsia" w:cstheme="minorEastAsia"/>
          <w:bCs/>
          <w:color w:val="auto"/>
          <w:sz w:val="21"/>
          <w:szCs w:val="21"/>
          <w:highlight w:val="none"/>
          <w:lang w:val="en-US" w:eastAsia="zh-CN"/>
        </w:rPr>
        <w:t>本项目采用资格后审。</w:t>
      </w:r>
    </w:p>
    <w:p w14:paraId="5C0D75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三、获取招标文件</w:t>
      </w:r>
    </w:p>
    <w:p w14:paraId="059C677B">
      <w:pPr>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1、时间：</w:t>
      </w:r>
      <w:r>
        <w:rPr>
          <w:rFonts w:hint="eastAsia" w:ascii="宋体" w:hAnsi="宋体" w:cs="宋体"/>
          <w:color w:val="auto"/>
          <w:sz w:val="21"/>
          <w:szCs w:val="21"/>
          <w:highlight w:val="none"/>
          <w:lang w:val="en-US" w:eastAsia="zh-CN"/>
        </w:rPr>
        <w:t>2026年10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日至</w:t>
      </w:r>
      <w:r>
        <w:rPr>
          <w:rFonts w:hint="eastAsia" w:ascii="宋体" w:hAnsi="宋体" w:cs="宋体"/>
          <w:color w:val="auto"/>
          <w:sz w:val="21"/>
          <w:szCs w:val="21"/>
          <w:highlight w:val="none"/>
          <w:lang w:val="en-US" w:eastAsia="zh-CN"/>
        </w:rPr>
        <w:t>2026年10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21</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eastAsia="zh-CN"/>
        </w:rPr>
        <w:t>招标</w:t>
      </w:r>
      <w:r>
        <w:rPr>
          <w:rFonts w:hint="eastAsia" w:ascii="宋体" w:hAnsi="宋体" w:eastAsia="宋体" w:cs="宋体"/>
          <w:color w:val="auto"/>
          <w:sz w:val="21"/>
          <w:szCs w:val="21"/>
          <w:highlight w:val="none"/>
        </w:rPr>
        <w:t>文件的发售期限自开始之日起不得少于5个工作日），每天上午00:00至</w:t>
      </w:r>
      <w:r>
        <w:rPr>
          <w:rFonts w:hint="eastAsia" w:ascii="宋体" w:hAnsi="宋体" w:cs="宋体"/>
          <w:color w:val="auto"/>
          <w:sz w:val="21"/>
          <w:szCs w:val="21"/>
          <w:highlight w:val="none"/>
          <w:lang w:val="en-US" w:eastAsia="zh-CN"/>
        </w:rPr>
        <w:t>11:59</w:t>
      </w:r>
      <w:r>
        <w:rPr>
          <w:rFonts w:hint="eastAsia" w:ascii="宋体" w:hAnsi="宋体" w:eastAsia="宋体" w:cs="宋体"/>
          <w:color w:val="auto"/>
          <w:sz w:val="21"/>
          <w:szCs w:val="21"/>
          <w:highlight w:val="none"/>
        </w:rPr>
        <w:t>，下午12:00至23:59（北京时间，法定节假日除外）</w:t>
      </w:r>
    </w:p>
    <w:p w14:paraId="16454009">
      <w:pPr>
        <w:spacing w:line="360" w:lineRule="auto"/>
        <w:ind w:firstLine="4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2、地点：</w:t>
      </w:r>
      <w:r>
        <w:rPr>
          <w:rFonts w:hint="eastAsia" w:ascii="宋体" w:hAnsi="宋体" w:cs="宋体"/>
          <w:color w:val="auto"/>
          <w:sz w:val="21"/>
          <w:szCs w:val="21"/>
          <w:highlight w:val="none"/>
          <w:lang w:eastAsia="zh-CN"/>
        </w:rPr>
        <w:t>郑州市公共资源交易中心荥阳分中心网站</w:t>
      </w:r>
    </w:p>
    <w:p w14:paraId="02C5074A">
      <w:pPr>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3、方式：</w:t>
      </w:r>
      <w:r>
        <w:rPr>
          <w:rFonts w:hint="eastAsia" w:ascii="宋体" w:hAnsi="宋体" w:cs="宋体"/>
          <w:color w:val="auto"/>
          <w:sz w:val="21"/>
          <w:szCs w:val="21"/>
          <w:highlight w:val="none"/>
          <w:lang w:eastAsia="zh-CN"/>
        </w:rPr>
        <w:t>各潜在供应商请在规定时间内凭CA密钥登录郑州市公共资源交易中心荥阳分中心网站，点击“交易主体登陆”进入电子招投标交易平台下载采购文件及资料。供应商未按规定在网上下载采购文件的，其响应文件将被拒绝。尚未办理企业CA锁的，请登录“郑州市公共资源交易中心网站”进入“办事指南－政府采购”栏目，下载相关资料并与CA公司联系，了解CA办理事宜。CA锁办理咨询电话：0371-96596；</w:t>
      </w:r>
    </w:p>
    <w:p w14:paraId="1485E29C">
      <w:pPr>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4、售价：0元。  </w:t>
      </w:r>
    </w:p>
    <w:p w14:paraId="1C0613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w:t>
      </w:r>
      <w:r>
        <w:rPr>
          <w:rFonts w:hint="eastAsia" w:ascii="宋体" w:hAnsi="宋体" w:cs="宋体"/>
          <w:b/>
          <w:bCs/>
          <w:color w:val="auto"/>
          <w:szCs w:val="21"/>
          <w:highlight w:val="none"/>
          <w:lang w:eastAsia="zh-CN"/>
        </w:rPr>
        <w:t>投标</w:t>
      </w:r>
      <w:r>
        <w:rPr>
          <w:rFonts w:hint="eastAsia" w:ascii="宋体" w:hAnsi="宋体" w:eastAsia="宋体" w:cs="宋体"/>
          <w:b/>
          <w:bCs/>
          <w:color w:val="auto"/>
          <w:szCs w:val="21"/>
          <w:highlight w:val="none"/>
        </w:rPr>
        <w:t>文件提交</w:t>
      </w:r>
    </w:p>
    <w:p w14:paraId="58933990">
      <w:pPr>
        <w:spacing w:line="360" w:lineRule="auto"/>
        <w:ind w:firstLine="422" w:firstLineChars="200"/>
        <w:rPr>
          <w:rFonts w:hint="eastAsia" w:ascii="宋体" w:hAnsi="宋体" w:eastAsia="宋体" w:cs="宋体"/>
          <w:color w:val="auto"/>
          <w:sz w:val="21"/>
          <w:szCs w:val="21"/>
          <w:highlight w:val="none"/>
        </w:rPr>
      </w:pPr>
      <w:r>
        <w:rPr>
          <w:rFonts w:hint="eastAsia" w:ascii="宋体" w:hAnsi="宋体" w:cs="宋体"/>
          <w:b/>
          <w:bCs/>
          <w:color w:val="auto"/>
          <w:sz w:val="21"/>
          <w:szCs w:val="21"/>
          <w:highlight w:val="none"/>
          <w:lang w:val="en-US" w:eastAsia="zh-CN"/>
        </w:rPr>
        <w:t>1、截止时间：</w:t>
      </w:r>
      <w:r>
        <w:rPr>
          <w:rFonts w:hint="eastAsia" w:ascii="宋体" w:hAnsi="宋体" w:cs="宋体"/>
          <w:color w:val="auto"/>
          <w:sz w:val="21"/>
          <w:szCs w:val="21"/>
          <w:highlight w:val="none"/>
          <w:lang w:val="en-US" w:eastAsia="zh-CN"/>
        </w:rPr>
        <w:t>2026年11月05日</w:t>
      </w:r>
      <w:r>
        <w:rPr>
          <w:rFonts w:hint="eastAsia" w:ascii="宋体" w:hAnsi="宋体" w:eastAsia="宋体" w:cs="宋体"/>
          <w:color w:val="auto"/>
          <w:sz w:val="21"/>
          <w:szCs w:val="21"/>
          <w:highlight w:val="none"/>
        </w:rPr>
        <w:t>09点</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分（北京时间）</w:t>
      </w:r>
    </w:p>
    <w:p w14:paraId="7C9F1A9F">
      <w:pPr>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2、地点：</w:t>
      </w:r>
      <w:r>
        <w:rPr>
          <w:rFonts w:hint="eastAsia" w:ascii="宋体" w:hAnsi="宋体" w:cs="宋体"/>
          <w:color w:val="auto"/>
          <w:sz w:val="21"/>
          <w:szCs w:val="21"/>
          <w:highlight w:val="none"/>
          <w:lang w:eastAsia="zh-CN"/>
        </w:rPr>
        <w:t>郑州市公共资源交易中心荥阳分中心网站</w:t>
      </w:r>
    </w:p>
    <w:p w14:paraId="328425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rPr>
        <w:t>、</w:t>
      </w:r>
      <w:r>
        <w:rPr>
          <w:rFonts w:hint="eastAsia" w:ascii="宋体" w:hAnsi="宋体" w:cs="宋体"/>
          <w:b/>
          <w:bCs/>
          <w:color w:val="auto"/>
          <w:szCs w:val="21"/>
          <w:highlight w:val="none"/>
          <w:lang w:eastAsia="zh-CN"/>
        </w:rPr>
        <w:t>投标</w:t>
      </w:r>
      <w:r>
        <w:rPr>
          <w:rFonts w:hint="eastAsia" w:ascii="宋体" w:hAnsi="宋体" w:eastAsia="宋体" w:cs="宋体"/>
          <w:b/>
          <w:bCs/>
          <w:color w:val="auto"/>
          <w:szCs w:val="21"/>
          <w:highlight w:val="none"/>
          <w:lang w:eastAsia="zh-CN"/>
        </w:rPr>
        <w:t>文件</w:t>
      </w:r>
      <w:r>
        <w:rPr>
          <w:rFonts w:hint="eastAsia" w:ascii="宋体" w:hAnsi="宋体" w:eastAsia="宋体" w:cs="宋体"/>
          <w:b/>
          <w:bCs/>
          <w:color w:val="auto"/>
          <w:szCs w:val="21"/>
          <w:highlight w:val="none"/>
        </w:rPr>
        <w:t>开启</w:t>
      </w:r>
    </w:p>
    <w:p w14:paraId="726B4375">
      <w:pPr>
        <w:spacing w:line="360" w:lineRule="auto"/>
        <w:ind w:firstLine="422" w:firstLineChars="200"/>
        <w:rPr>
          <w:rFonts w:hint="eastAsia" w:ascii="宋体" w:hAnsi="宋体" w:eastAsia="宋体" w:cs="宋体"/>
          <w:b w:val="0"/>
          <w:bCs w:val="0"/>
          <w:color w:val="auto"/>
          <w:szCs w:val="21"/>
          <w:highlight w:val="none"/>
        </w:rPr>
      </w:pPr>
      <w:r>
        <w:rPr>
          <w:rFonts w:hint="eastAsia" w:ascii="宋体" w:hAnsi="宋体" w:eastAsia="宋体" w:cs="宋体"/>
          <w:b/>
          <w:bCs/>
          <w:color w:val="auto"/>
          <w:szCs w:val="21"/>
          <w:highlight w:val="none"/>
          <w:lang w:val="en-US" w:eastAsia="zh-CN"/>
        </w:rPr>
        <w:t>1、</w:t>
      </w:r>
      <w:r>
        <w:rPr>
          <w:rFonts w:hint="eastAsia" w:ascii="宋体" w:hAnsi="宋体" w:eastAsia="宋体" w:cs="宋体"/>
          <w:b/>
          <w:bCs/>
          <w:color w:val="auto"/>
          <w:szCs w:val="21"/>
          <w:highlight w:val="none"/>
        </w:rPr>
        <w:t>时间：</w:t>
      </w:r>
      <w:r>
        <w:rPr>
          <w:rFonts w:hint="eastAsia" w:ascii="宋体" w:hAnsi="宋体" w:eastAsia="宋体" w:cs="宋体"/>
          <w:b w:val="0"/>
          <w:bCs w:val="0"/>
          <w:color w:val="auto"/>
          <w:szCs w:val="21"/>
          <w:highlight w:val="none"/>
          <w:lang w:val="en-US" w:eastAsia="zh-CN"/>
        </w:rPr>
        <w:t>2026年</w:t>
      </w:r>
      <w:r>
        <w:rPr>
          <w:rFonts w:hint="eastAsia" w:ascii="宋体" w:hAnsi="宋体" w:cs="宋体"/>
          <w:b w:val="0"/>
          <w:bCs w:val="0"/>
          <w:color w:val="auto"/>
          <w:szCs w:val="21"/>
          <w:highlight w:val="none"/>
          <w:lang w:val="en-US" w:eastAsia="zh-CN"/>
        </w:rPr>
        <w:t>11</w:t>
      </w:r>
      <w:r>
        <w:rPr>
          <w:rFonts w:hint="eastAsia" w:ascii="宋体" w:hAnsi="宋体" w:eastAsia="宋体" w:cs="宋体"/>
          <w:b w:val="0"/>
          <w:bCs w:val="0"/>
          <w:color w:val="auto"/>
          <w:szCs w:val="21"/>
          <w:highlight w:val="none"/>
          <w:lang w:val="en-US" w:eastAsia="zh-CN"/>
        </w:rPr>
        <w:t>月</w:t>
      </w:r>
      <w:r>
        <w:rPr>
          <w:rFonts w:hint="eastAsia" w:ascii="宋体" w:hAnsi="宋体" w:cs="宋体"/>
          <w:b w:val="0"/>
          <w:bCs w:val="0"/>
          <w:color w:val="auto"/>
          <w:szCs w:val="21"/>
          <w:highlight w:val="none"/>
          <w:lang w:val="en-US" w:eastAsia="zh-CN"/>
        </w:rPr>
        <w:t>05</w:t>
      </w:r>
      <w:r>
        <w:rPr>
          <w:rFonts w:hint="eastAsia" w:ascii="宋体" w:hAnsi="宋体" w:eastAsia="宋体" w:cs="宋体"/>
          <w:b w:val="0"/>
          <w:bCs w:val="0"/>
          <w:color w:val="auto"/>
          <w:szCs w:val="21"/>
          <w:highlight w:val="none"/>
          <w:lang w:val="en-US" w:eastAsia="zh-CN"/>
        </w:rPr>
        <w:t>日</w:t>
      </w:r>
      <w:r>
        <w:rPr>
          <w:rFonts w:hint="eastAsia" w:ascii="宋体" w:hAnsi="宋体" w:eastAsia="宋体" w:cs="宋体"/>
          <w:b w:val="0"/>
          <w:bCs w:val="0"/>
          <w:color w:val="auto"/>
          <w:szCs w:val="21"/>
          <w:highlight w:val="none"/>
        </w:rPr>
        <w:t>09点</w:t>
      </w:r>
      <w:r>
        <w:rPr>
          <w:rFonts w:hint="eastAsia" w:ascii="宋体" w:hAnsi="宋体" w:cs="宋体"/>
          <w:b w:val="0"/>
          <w:bCs w:val="0"/>
          <w:color w:val="auto"/>
          <w:szCs w:val="21"/>
          <w:highlight w:val="none"/>
          <w:lang w:val="en-US" w:eastAsia="zh-CN"/>
        </w:rPr>
        <w:t>00</w:t>
      </w:r>
      <w:r>
        <w:rPr>
          <w:rFonts w:hint="eastAsia" w:ascii="宋体" w:hAnsi="宋体" w:eastAsia="宋体" w:cs="宋体"/>
          <w:b w:val="0"/>
          <w:bCs w:val="0"/>
          <w:color w:val="auto"/>
          <w:szCs w:val="21"/>
          <w:highlight w:val="none"/>
        </w:rPr>
        <w:t>分（北京时间）</w:t>
      </w:r>
    </w:p>
    <w:p w14:paraId="05BE56A8">
      <w:pPr>
        <w:spacing w:line="360" w:lineRule="auto"/>
        <w:rPr>
          <w:rFonts w:hint="eastAsia" w:ascii="宋体" w:hAnsi="宋体" w:cs="宋体"/>
          <w:b w:val="0"/>
          <w:bCs w:val="0"/>
          <w:color w:val="auto"/>
          <w:szCs w:val="21"/>
          <w:highlight w:val="none"/>
          <w:lang w:eastAsia="zh-CN"/>
        </w:rPr>
      </w:pP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地点</w:t>
      </w:r>
      <w:r>
        <w:rPr>
          <w:rFonts w:hint="eastAsia" w:ascii="宋体" w:hAnsi="宋体" w:eastAsia="宋体" w:cs="宋体"/>
          <w:b w:val="0"/>
          <w:bCs w:val="0"/>
          <w:color w:val="auto"/>
          <w:szCs w:val="21"/>
          <w:highlight w:val="none"/>
        </w:rPr>
        <w:t>：</w:t>
      </w:r>
      <w:r>
        <w:rPr>
          <w:rFonts w:hint="eastAsia" w:ascii="宋体" w:hAnsi="宋体" w:cs="宋体"/>
          <w:b w:val="0"/>
          <w:bCs w:val="0"/>
          <w:color w:val="auto"/>
          <w:szCs w:val="21"/>
          <w:highlight w:val="none"/>
          <w:lang w:eastAsia="zh-CN"/>
        </w:rPr>
        <w:t>郑州市公共资源交易中心荥阳分中心（荥阳市中原路与飞龙路西北角政务服务中心七楼）第二开标室</w:t>
      </w:r>
    </w:p>
    <w:p w14:paraId="78F6D199">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六、发布公告的媒介及招标公告期限</w:t>
      </w:r>
    </w:p>
    <w:p w14:paraId="7B6988CB">
      <w:pPr>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本次招标公告在《河南省政府采购网》、《荥阳市政府采购网》、《</w:t>
      </w:r>
      <w:r>
        <w:rPr>
          <w:rFonts w:hint="eastAsia" w:ascii="宋体" w:hAnsi="宋体" w:cs="宋体"/>
          <w:b w:val="0"/>
          <w:bCs w:val="0"/>
          <w:color w:val="auto"/>
          <w:szCs w:val="21"/>
          <w:highlight w:val="none"/>
          <w:lang w:eastAsia="zh-CN"/>
        </w:rPr>
        <w:t>郑州市公共资源交易中心荥阳分中心网站</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eastAsia="zh-CN"/>
        </w:rPr>
        <w:t>中国招标投标公共服务平台</w:t>
      </w:r>
      <w:r>
        <w:rPr>
          <w:rFonts w:hint="eastAsia" w:ascii="宋体" w:hAnsi="宋体" w:eastAsia="宋体" w:cs="宋体"/>
          <w:b w:val="0"/>
          <w:bCs w:val="0"/>
          <w:color w:val="auto"/>
          <w:szCs w:val="21"/>
          <w:highlight w:val="none"/>
        </w:rPr>
        <w:t>》上发布， 招标公告期限为</w:t>
      </w:r>
      <w:r>
        <w:rPr>
          <w:rFonts w:hint="eastAsia" w:ascii="宋体" w:hAnsi="宋体" w:cs="宋体"/>
          <w:b w:val="0"/>
          <w:bCs w:val="0"/>
          <w:color w:val="auto"/>
          <w:szCs w:val="21"/>
          <w:highlight w:val="none"/>
          <w:lang w:eastAsia="zh-CN"/>
        </w:rPr>
        <w:t>五</w:t>
      </w:r>
      <w:r>
        <w:rPr>
          <w:rFonts w:hint="eastAsia" w:ascii="宋体" w:hAnsi="宋体" w:eastAsia="宋体" w:cs="宋体"/>
          <w:b w:val="0"/>
          <w:bCs w:val="0"/>
          <w:color w:val="auto"/>
          <w:szCs w:val="21"/>
          <w:highlight w:val="none"/>
        </w:rPr>
        <w:t xml:space="preserve">个工作日。 </w:t>
      </w:r>
    </w:p>
    <w:p w14:paraId="3320D696">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七、其他补充事宜</w:t>
      </w:r>
    </w:p>
    <w:p w14:paraId="76A55E5C">
      <w:pPr>
        <w:pStyle w:val="30"/>
        <w:spacing w:beforeAutospacing="0" w:afterAutospacing="0" w:line="360" w:lineRule="auto"/>
        <w:ind w:firstLine="420" w:firstLineChars="200"/>
        <w:jc w:val="both"/>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1.本项目实行全流程电子化交易，供应商应使用本单位CA数字证书进入电子招投标交易系统，进行网上下载电子采购文件、上传电子响应文件、参加开标等操作。具体事宜请查阅郑州市公共资源交易中心网站“办事指南”专区相关操作手册。</w:t>
      </w:r>
    </w:p>
    <w:p w14:paraId="532942C7">
      <w:pPr>
        <w:pStyle w:val="30"/>
        <w:spacing w:beforeAutospacing="0" w:afterAutospacing="0" w:line="360" w:lineRule="auto"/>
        <w:ind w:firstLine="420" w:firstLineChars="200"/>
        <w:jc w:val="both"/>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2.投标人需在郑州市公共资源交易中心网站首页“办事指南”栏目中下载最新版本的“新点投标文件制作软件（河南省版）”及“郑州市公共资源交易中心操作手册-投标文件制作手册”，安装工具软件后，使用“文件查看工具”打开招标文件认真阅读。制作电子响应文件时必须使用“投标文件制作软件（河南省版）”。</w:t>
      </w:r>
    </w:p>
    <w:p w14:paraId="5AEA1CEF">
      <w:pPr>
        <w:pStyle w:val="30"/>
        <w:spacing w:beforeAutospacing="0" w:afterAutospacing="0" w:line="360" w:lineRule="auto"/>
        <w:ind w:firstLine="420" w:firstLineChars="200"/>
        <w:jc w:val="both"/>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3.本项目采用不见面开标方式开标，投标人无需到交易中心现场参加开标会议。各投标人在投标文件递交截止时间前登陆郑州市公共资源交易中心荥阳分中心门户网站远程开标大厅。所有投标人应提前30分钟登录“郑州市公共资源交易中心荥阳分中心门户网站远程开标大厅”，先进行签到，其后应一直保持在线状态，保证能准时参加开标大会、响应文件的解密、现场答疑澄清等活动。如遇问题，请拨打技术服务单位（国泰新点）电话：0512-58188538。</w:t>
      </w:r>
    </w:p>
    <w:p w14:paraId="5313C45C">
      <w:pPr>
        <w:pStyle w:val="30"/>
        <w:spacing w:beforeAutospacing="0" w:afterAutospacing="0" w:line="360" w:lineRule="auto"/>
        <w:ind w:firstLine="420" w:firstLineChars="200"/>
        <w:jc w:val="both"/>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4.代理费收取方式及标准:参考《河南省招标代理服务收费指导意见》豫招协（2023）002号文件规定的标准计取，由成交人在领取成交通知书前向采购代理机构支付采购代理服务费。</w:t>
      </w:r>
    </w:p>
    <w:p w14:paraId="282A9396">
      <w:pPr>
        <w:pStyle w:val="30"/>
        <w:spacing w:beforeAutospacing="0" w:afterAutospacing="0" w:line="360" w:lineRule="auto"/>
        <w:ind w:firstLine="420" w:firstLineChars="200"/>
        <w:jc w:val="both"/>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5.本项目采购监督部门为：荥阳市财政局。</w:t>
      </w:r>
    </w:p>
    <w:p w14:paraId="6753B6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2"/>
          <w:sz w:val="21"/>
          <w:szCs w:val="21"/>
          <w:highlight w:val="none"/>
          <w:lang w:val="en-US" w:eastAsia="zh-CN" w:bidi="ar-SA"/>
        </w:rPr>
        <w:t>八、凡对本次招标提出询</w:t>
      </w:r>
      <w:r>
        <w:rPr>
          <w:rFonts w:hint="eastAsia" w:ascii="宋体" w:hAnsi="宋体" w:eastAsia="宋体" w:cs="宋体"/>
          <w:b/>
          <w:bCs/>
          <w:color w:val="auto"/>
          <w:sz w:val="21"/>
          <w:szCs w:val="21"/>
          <w:highlight w:val="none"/>
        </w:rPr>
        <w:t xml:space="preserve">问，请按以下方式联系  </w:t>
      </w:r>
    </w:p>
    <w:p w14:paraId="1A5C618A">
      <w:pPr>
        <w:spacing w:line="360" w:lineRule="auto"/>
        <w:ind w:firstLine="420" w:firstLineChars="200"/>
        <w:rPr>
          <w:rFonts w:hint="eastAsia" w:eastAsia="宋体"/>
          <w:color w:val="auto"/>
          <w:szCs w:val="21"/>
          <w:highlight w:val="none"/>
          <w:lang w:eastAsia="zh-CN"/>
        </w:rPr>
      </w:pPr>
      <w:r>
        <w:rPr>
          <w:rFonts w:hint="eastAsia"/>
          <w:color w:val="auto"/>
          <w:szCs w:val="21"/>
          <w:highlight w:val="none"/>
        </w:rPr>
        <w:t>1、采购人名称：</w:t>
      </w:r>
      <w:r>
        <w:rPr>
          <w:rFonts w:hint="eastAsia"/>
          <w:color w:val="auto"/>
          <w:szCs w:val="21"/>
          <w:highlight w:val="none"/>
          <w:lang w:eastAsia="zh-CN"/>
        </w:rPr>
        <w:t xml:space="preserve">荥阳市自然资源和规划局  </w:t>
      </w:r>
    </w:p>
    <w:p w14:paraId="3B86A43E">
      <w:pP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地    址：荥阳市荥泽大道与繁荣街交叉口往北300米路西</w:t>
      </w:r>
    </w:p>
    <w:p w14:paraId="4DB7CFC7">
      <w:pP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联 系 人：</w:t>
      </w:r>
      <w:r>
        <w:rPr>
          <w:rFonts w:hint="eastAsia" w:ascii="宋体" w:hAnsi="宋体" w:cs="宋体"/>
          <w:color w:val="auto"/>
          <w:sz w:val="21"/>
          <w:szCs w:val="21"/>
          <w:highlight w:val="none"/>
          <w:lang w:val="en-US" w:eastAsia="zh-CN"/>
        </w:rPr>
        <w:t>禹杰</w:t>
      </w:r>
    </w:p>
    <w:p w14:paraId="46B7B096">
      <w:pPr>
        <w:spacing w:line="360" w:lineRule="auto"/>
        <w:ind w:firstLine="420" w:firstLineChars="200"/>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电    话：0371-</w:t>
      </w:r>
      <w:r>
        <w:rPr>
          <w:rFonts w:hint="eastAsia" w:ascii="宋体" w:hAnsi="宋体" w:cs="宋体"/>
          <w:color w:val="auto"/>
          <w:sz w:val="21"/>
          <w:szCs w:val="21"/>
          <w:highlight w:val="none"/>
          <w:lang w:val="en-US" w:eastAsia="zh-CN"/>
        </w:rPr>
        <w:t>64652093</w:t>
      </w:r>
    </w:p>
    <w:p w14:paraId="62725E79">
      <w:pPr>
        <w:spacing w:line="360" w:lineRule="auto"/>
        <w:ind w:firstLine="420" w:firstLineChars="200"/>
        <w:rPr>
          <w:rFonts w:hint="eastAsia" w:eastAsia="宋体"/>
          <w:color w:val="auto"/>
          <w:szCs w:val="21"/>
          <w:highlight w:val="none"/>
          <w:lang w:eastAsia="zh-CN"/>
        </w:rPr>
      </w:pPr>
      <w:r>
        <w:rPr>
          <w:rFonts w:hint="eastAsia"/>
          <w:color w:val="auto"/>
          <w:szCs w:val="21"/>
          <w:highlight w:val="none"/>
        </w:rPr>
        <w:t>2、采购代理机构名称：</w:t>
      </w:r>
      <w:r>
        <w:rPr>
          <w:rFonts w:hint="eastAsia"/>
          <w:color w:val="auto"/>
          <w:szCs w:val="21"/>
          <w:highlight w:val="none"/>
          <w:lang w:eastAsia="zh-CN"/>
        </w:rPr>
        <w:t xml:space="preserve">河南德旭项目管理有限公司  </w:t>
      </w:r>
    </w:p>
    <w:p w14:paraId="25991CBA">
      <w:pPr>
        <w:pStyle w:val="8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地　址：</w:t>
      </w:r>
      <w:r>
        <w:rPr>
          <w:rFonts w:hint="eastAsia" w:ascii="Times New Roman" w:eastAsia="宋体" w:cs="Times New Roman"/>
          <w:color w:val="auto"/>
          <w:kern w:val="2"/>
          <w:sz w:val="21"/>
          <w:szCs w:val="21"/>
          <w:highlight w:val="none"/>
          <w:lang w:val="en-US" w:eastAsia="zh-CN" w:bidi="ar-SA"/>
        </w:rPr>
        <w:t>荥阳市荥运路与京城路交叉口西南角润旭德工业园区3号楼6楼</w:t>
      </w:r>
    </w:p>
    <w:p w14:paraId="524406BF">
      <w:pPr>
        <w:pStyle w:val="8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联系人：</w:t>
      </w:r>
      <w:r>
        <w:rPr>
          <w:rFonts w:hint="eastAsia" w:ascii="Times New Roman" w:eastAsia="宋体" w:cs="Times New Roman"/>
          <w:color w:val="auto"/>
          <w:kern w:val="2"/>
          <w:sz w:val="21"/>
          <w:szCs w:val="21"/>
          <w:highlight w:val="none"/>
          <w:lang w:val="en-US" w:eastAsia="zh-CN" w:bidi="ar-SA"/>
        </w:rPr>
        <w:t>喻心美</w:t>
      </w:r>
    </w:p>
    <w:p w14:paraId="6580387E">
      <w:pPr>
        <w:pStyle w:val="8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联系方式：</w:t>
      </w:r>
      <w:r>
        <w:rPr>
          <w:rFonts w:hint="eastAsia" w:ascii="Times New Roman" w:eastAsia="宋体" w:cs="Times New Roman"/>
          <w:color w:val="auto"/>
          <w:kern w:val="2"/>
          <w:sz w:val="21"/>
          <w:szCs w:val="21"/>
          <w:highlight w:val="none"/>
          <w:lang w:val="en-US" w:eastAsia="zh-CN" w:bidi="ar-SA"/>
        </w:rPr>
        <w:t>15515832988</w:t>
      </w:r>
      <w:r>
        <w:rPr>
          <w:rFonts w:hint="eastAsia" w:ascii="Times New Roman" w:hAnsi="Times New Roman" w:eastAsia="宋体" w:cs="Times New Roman"/>
          <w:color w:val="auto"/>
          <w:kern w:val="2"/>
          <w:sz w:val="21"/>
          <w:szCs w:val="21"/>
          <w:highlight w:val="none"/>
          <w:lang w:val="en-US" w:eastAsia="zh-CN" w:bidi="ar-SA"/>
        </w:rPr>
        <w:t>　　　　</w:t>
      </w:r>
    </w:p>
    <w:p w14:paraId="34E60663">
      <w:pPr>
        <w:pStyle w:val="8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3.项目联系方式</w:t>
      </w:r>
    </w:p>
    <w:p w14:paraId="3DC14B25">
      <w:pPr>
        <w:pStyle w:val="8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项目联系人：</w:t>
      </w:r>
      <w:r>
        <w:rPr>
          <w:rFonts w:hint="eastAsia" w:ascii="Times New Roman" w:eastAsia="宋体" w:cs="Times New Roman"/>
          <w:color w:val="auto"/>
          <w:kern w:val="2"/>
          <w:sz w:val="21"/>
          <w:szCs w:val="21"/>
          <w:highlight w:val="none"/>
          <w:lang w:val="en-US" w:eastAsia="zh-CN" w:bidi="ar-SA"/>
        </w:rPr>
        <w:t>喻心美</w:t>
      </w:r>
      <w:r>
        <w:rPr>
          <w:rFonts w:hint="eastAsia" w:ascii="Times New Roman" w:hAnsi="Times New Roman" w:eastAsia="宋体" w:cs="Times New Roman"/>
          <w:color w:val="auto"/>
          <w:kern w:val="2"/>
          <w:sz w:val="21"/>
          <w:szCs w:val="21"/>
          <w:highlight w:val="none"/>
          <w:lang w:val="en-US" w:eastAsia="zh-CN" w:bidi="ar-SA"/>
        </w:rPr>
        <w:t xml:space="preserve">     </w:t>
      </w:r>
    </w:p>
    <w:p w14:paraId="23E938C6">
      <w:pPr>
        <w:pStyle w:val="80"/>
        <w:ind w:firstLine="420"/>
        <w:rPr>
          <w:rFonts w:hint="eastAsia" w:asci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电　话：</w:t>
      </w:r>
      <w:r>
        <w:rPr>
          <w:rFonts w:hint="eastAsia" w:ascii="Times New Roman" w:eastAsia="宋体" w:cs="Times New Roman"/>
          <w:color w:val="auto"/>
          <w:kern w:val="2"/>
          <w:sz w:val="21"/>
          <w:szCs w:val="21"/>
          <w:highlight w:val="none"/>
          <w:lang w:val="en-US" w:eastAsia="zh-CN" w:bidi="ar-SA"/>
        </w:rPr>
        <w:t>15515832988</w:t>
      </w:r>
    </w:p>
    <w:p w14:paraId="0E46F761">
      <w:pPr>
        <w:pStyle w:val="80"/>
        <w:rPr>
          <w:rFonts w:hint="eastAsia" w:ascii="Times New Roman" w:hAnsi="Times New Roman" w:eastAsia="宋体" w:cs="Times New Roman"/>
          <w:color w:val="auto"/>
          <w:kern w:val="2"/>
          <w:sz w:val="21"/>
          <w:szCs w:val="21"/>
          <w:highlight w:val="none"/>
          <w:lang w:val="en-US" w:eastAsia="zh-CN" w:bidi="ar-SA"/>
        </w:rPr>
      </w:pPr>
    </w:p>
    <w:p w14:paraId="4F3E566A">
      <w:pPr>
        <w:pStyle w:val="80"/>
        <w:rPr>
          <w:rFonts w:hint="eastAsia" w:ascii="Times New Roman" w:hAnsi="Times New Roman" w:eastAsia="宋体" w:cs="Times New Roman"/>
          <w:color w:val="auto"/>
          <w:kern w:val="2"/>
          <w:sz w:val="21"/>
          <w:szCs w:val="21"/>
          <w:highlight w:val="none"/>
          <w:lang w:val="en-US" w:eastAsia="zh-CN" w:bidi="ar-SA"/>
        </w:rPr>
      </w:pPr>
    </w:p>
    <w:p w14:paraId="4C3FF793">
      <w:pPr>
        <w:pStyle w:val="80"/>
        <w:rPr>
          <w:rFonts w:hint="eastAsia" w:ascii="Times New Roman" w:hAnsi="Times New Roman" w:eastAsia="宋体" w:cs="Times New Roman"/>
          <w:color w:val="auto"/>
          <w:kern w:val="2"/>
          <w:sz w:val="21"/>
          <w:szCs w:val="21"/>
          <w:highlight w:val="none"/>
          <w:lang w:val="en-US" w:eastAsia="zh-CN" w:bidi="ar-SA"/>
        </w:rPr>
      </w:pPr>
    </w:p>
    <w:p w14:paraId="2AFA5B46">
      <w:pPr>
        <w:pStyle w:val="80"/>
        <w:rPr>
          <w:rFonts w:hint="eastAsia" w:ascii="Times New Roman" w:hAnsi="Times New Roman" w:eastAsia="宋体" w:cs="Times New Roman"/>
          <w:color w:val="auto"/>
          <w:kern w:val="2"/>
          <w:sz w:val="21"/>
          <w:szCs w:val="21"/>
          <w:highlight w:val="none"/>
          <w:lang w:val="en-US" w:eastAsia="zh-CN" w:bidi="ar-SA"/>
        </w:rPr>
      </w:pPr>
    </w:p>
    <w:p w14:paraId="4B893CD6">
      <w:pPr>
        <w:pStyle w:val="80"/>
        <w:rPr>
          <w:rFonts w:hint="eastAsia" w:ascii="Times New Roman" w:hAnsi="Times New Roman" w:eastAsia="宋体" w:cs="Times New Roman"/>
          <w:color w:val="auto"/>
          <w:kern w:val="2"/>
          <w:sz w:val="21"/>
          <w:szCs w:val="21"/>
          <w:highlight w:val="none"/>
          <w:lang w:val="en-US" w:eastAsia="zh-CN" w:bidi="ar-SA"/>
        </w:rPr>
      </w:pPr>
    </w:p>
    <w:p w14:paraId="5BD436F0">
      <w:pPr>
        <w:pStyle w:val="80"/>
        <w:rPr>
          <w:rFonts w:hint="eastAsia" w:ascii="Times New Roman" w:hAnsi="Times New Roman" w:eastAsia="宋体" w:cs="Times New Roman"/>
          <w:color w:val="auto"/>
          <w:kern w:val="2"/>
          <w:sz w:val="21"/>
          <w:szCs w:val="21"/>
          <w:highlight w:val="none"/>
          <w:lang w:val="en-US" w:eastAsia="zh-CN" w:bidi="ar-SA"/>
        </w:rPr>
      </w:pPr>
    </w:p>
    <w:p w14:paraId="0D45D6D2">
      <w:pPr>
        <w:pStyle w:val="80"/>
        <w:rPr>
          <w:rFonts w:hint="eastAsia" w:ascii="Times New Roman" w:hAnsi="Times New Roman" w:eastAsia="宋体" w:cs="Times New Roman"/>
          <w:color w:val="auto"/>
          <w:kern w:val="2"/>
          <w:sz w:val="21"/>
          <w:szCs w:val="21"/>
          <w:highlight w:val="none"/>
          <w:lang w:val="en-US" w:eastAsia="zh-CN" w:bidi="ar-SA"/>
        </w:rPr>
      </w:pPr>
    </w:p>
    <w:p w14:paraId="65FB789F">
      <w:pPr>
        <w:pStyle w:val="80"/>
        <w:rPr>
          <w:rFonts w:hint="eastAsia" w:ascii="Times New Roman" w:hAnsi="Times New Roman" w:eastAsia="宋体" w:cs="Times New Roman"/>
          <w:color w:val="auto"/>
          <w:kern w:val="2"/>
          <w:sz w:val="21"/>
          <w:szCs w:val="21"/>
          <w:highlight w:val="none"/>
          <w:lang w:val="en-US" w:eastAsia="zh-CN" w:bidi="ar-SA"/>
        </w:rPr>
      </w:pPr>
    </w:p>
    <w:p w14:paraId="12570D05">
      <w:pPr>
        <w:pStyle w:val="80"/>
        <w:rPr>
          <w:rFonts w:hint="eastAsia" w:ascii="Times New Roman" w:hAnsi="Times New Roman" w:eastAsia="宋体" w:cs="Times New Roman"/>
          <w:color w:val="auto"/>
          <w:kern w:val="2"/>
          <w:sz w:val="21"/>
          <w:szCs w:val="21"/>
          <w:highlight w:val="none"/>
          <w:lang w:val="en-US" w:eastAsia="zh-CN" w:bidi="ar-SA"/>
        </w:rPr>
      </w:pPr>
    </w:p>
    <w:p w14:paraId="4019DCB6">
      <w:pPr>
        <w:pStyle w:val="80"/>
        <w:rPr>
          <w:rFonts w:hint="eastAsia" w:ascii="Times New Roman" w:hAnsi="Times New Roman" w:eastAsia="宋体" w:cs="Times New Roman"/>
          <w:color w:val="auto"/>
          <w:kern w:val="2"/>
          <w:sz w:val="21"/>
          <w:szCs w:val="21"/>
          <w:highlight w:val="none"/>
          <w:lang w:val="en-US" w:eastAsia="zh-CN" w:bidi="ar-SA"/>
        </w:rPr>
      </w:pPr>
    </w:p>
    <w:p w14:paraId="07AED178">
      <w:pPr>
        <w:pStyle w:val="4"/>
        <w:keepNext w:val="0"/>
        <w:keepLines w:val="0"/>
        <w:pageBreakBefore w:val="0"/>
        <w:widowControl w:val="0"/>
        <w:numPr>
          <w:ilvl w:val="0"/>
          <w:numId w:val="2"/>
        </w:numPr>
        <w:kinsoku/>
        <w:wordWrap/>
        <w:overflowPunct/>
        <w:topLinePunct w:val="0"/>
        <w:autoSpaceDE/>
        <w:autoSpaceDN/>
        <w:bidi w:val="0"/>
        <w:adjustRightInd/>
        <w:snapToGrid/>
        <w:spacing w:line="360" w:lineRule="auto"/>
        <w:jc w:val="center"/>
        <w:textAlignment w:val="auto"/>
        <w:rPr>
          <w:rFonts w:hint="eastAsia" w:ascii="宋体" w:hAnsi="宋体" w:cs="宋体"/>
          <w:color w:val="auto"/>
          <w:sz w:val="32"/>
          <w:szCs w:val="32"/>
          <w:highlight w:val="none"/>
        </w:rPr>
      </w:pPr>
      <w:bookmarkStart w:id="2" w:name="_Toc6835"/>
      <w:r>
        <w:rPr>
          <w:rFonts w:hint="eastAsia" w:ascii="宋体" w:hAnsi="宋体" w:cs="宋体"/>
          <w:color w:val="auto"/>
          <w:sz w:val="32"/>
          <w:szCs w:val="32"/>
          <w:highlight w:val="none"/>
        </w:rPr>
        <w:t xml:space="preserve"> 投标人须知</w:t>
      </w:r>
      <w:bookmarkEnd w:id="2"/>
    </w:p>
    <w:p w14:paraId="243B99CC">
      <w:pPr>
        <w:spacing w:line="360" w:lineRule="auto"/>
        <w:jc w:val="center"/>
        <w:rPr>
          <w:color w:val="auto"/>
          <w:highlight w:val="none"/>
        </w:rPr>
      </w:pPr>
      <w:r>
        <w:rPr>
          <w:rFonts w:hint="eastAsia" w:ascii="宋体" w:hAnsi="宋体" w:cs="宋体"/>
          <w:b/>
          <w:color w:val="auto"/>
          <w:sz w:val="24"/>
          <w:highlight w:val="none"/>
        </w:rPr>
        <w:t>投标人须知前附表</w:t>
      </w:r>
    </w:p>
    <w:tbl>
      <w:tblPr>
        <w:tblStyle w:val="33"/>
        <w:tblpPr w:leftFromText="180" w:rightFromText="180" w:vertAnchor="text" w:horzAnchor="page" w:tblpX="942" w:tblpY="414"/>
        <w:tblOverlap w:val="never"/>
        <w:tblW w:w="101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252"/>
        <w:gridCol w:w="6892"/>
      </w:tblGrid>
      <w:tr w14:paraId="3242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59" w:type="dxa"/>
            <w:vAlign w:val="center"/>
          </w:tcPr>
          <w:p w14:paraId="19448E52">
            <w:pPr>
              <w:spacing w:line="360" w:lineRule="auto"/>
              <w:jc w:val="center"/>
              <w:rPr>
                <w:rFonts w:ascii="宋体" w:hAnsi="宋体" w:cs="宋体"/>
                <w:b/>
                <w:color w:val="auto"/>
                <w:szCs w:val="21"/>
                <w:highlight w:val="none"/>
              </w:rPr>
            </w:pPr>
            <w:bookmarkStart w:id="3" w:name="_Toc184635070"/>
            <w:r>
              <w:rPr>
                <w:rFonts w:hint="eastAsia" w:ascii="宋体" w:hAnsi="宋体" w:cs="宋体"/>
                <w:b/>
                <w:color w:val="auto"/>
                <w:szCs w:val="21"/>
                <w:highlight w:val="none"/>
              </w:rPr>
              <w:t>条款号</w:t>
            </w:r>
          </w:p>
        </w:tc>
        <w:tc>
          <w:tcPr>
            <w:tcW w:w="2252" w:type="dxa"/>
            <w:vAlign w:val="center"/>
          </w:tcPr>
          <w:p w14:paraId="753D5DDF">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 款 名 称</w:t>
            </w:r>
          </w:p>
        </w:tc>
        <w:tc>
          <w:tcPr>
            <w:tcW w:w="6892" w:type="dxa"/>
            <w:vAlign w:val="center"/>
          </w:tcPr>
          <w:p w14:paraId="202F17B7">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编 列 内 容</w:t>
            </w:r>
          </w:p>
        </w:tc>
      </w:tr>
      <w:tr w14:paraId="2299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Align w:val="center"/>
          </w:tcPr>
          <w:p w14:paraId="43F914AD">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1.1.2</w:t>
            </w:r>
          </w:p>
        </w:tc>
        <w:tc>
          <w:tcPr>
            <w:tcW w:w="2252" w:type="dxa"/>
            <w:vAlign w:val="center"/>
          </w:tcPr>
          <w:p w14:paraId="70186D8C">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招标人</w:t>
            </w:r>
          </w:p>
        </w:tc>
        <w:tc>
          <w:tcPr>
            <w:tcW w:w="6892" w:type="dxa"/>
            <w:vAlign w:val="center"/>
          </w:tcPr>
          <w:p w14:paraId="4EED2E84">
            <w:pPr>
              <w:spacing w:line="360" w:lineRule="auto"/>
              <w:rPr>
                <w:rFonts w:hint="eastAsia" w:ascii="宋体" w:hAnsi="宋体" w:eastAsia="宋体"/>
                <w:color w:val="auto"/>
                <w:szCs w:val="21"/>
                <w:highlight w:val="none"/>
                <w:lang w:eastAsia="zh-CN"/>
              </w:rPr>
            </w:pPr>
            <w:r>
              <w:rPr>
                <w:rFonts w:hint="eastAsia" w:ascii="宋体" w:hAnsi="宋体" w:eastAsia="宋体"/>
                <w:color w:val="auto"/>
                <w:szCs w:val="21"/>
                <w:highlight w:val="none"/>
                <w:lang w:eastAsia="zh-CN"/>
              </w:rPr>
              <w:t xml:space="preserve">招 标 人：荥阳市自然资源和规划局  </w:t>
            </w:r>
          </w:p>
          <w:p w14:paraId="1506699C">
            <w:pPr>
              <w:spacing w:line="360" w:lineRule="auto"/>
              <w:rPr>
                <w:rFonts w:hint="eastAsia" w:ascii="宋体" w:hAnsi="宋体" w:eastAsia="宋体"/>
                <w:color w:val="auto"/>
                <w:szCs w:val="21"/>
                <w:highlight w:val="none"/>
                <w:lang w:eastAsia="zh-CN"/>
              </w:rPr>
            </w:pPr>
            <w:r>
              <w:rPr>
                <w:rFonts w:hint="eastAsia" w:ascii="宋体" w:hAnsi="宋体" w:eastAsia="宋体"/>
                <w:color w:val="auto"/>
                <w:szCs w:val="21"/>
                <w:highlight w:val="none"/>
                <w:lang w:eastAsia="zh-CN"/>
              </w:rPr>
              <w:t>地    址：</w:t>
            </w:r>
            <w:r>
              <w:rPr>
                <w:rFonts w:hint="eastAsia" w:ascii="宋体" w:hAnsi="宋体" w:cs="宋体"/>
                <w:color w:val="auto"/>
                <w:kern w:val="0"/>
                <w:sz w:val="21"/>
                <w:szCs w:val="21"/>
                <w:highlight w:val="none"/>
                <w:lang w:bidi="ar"/>
              </w:rPr>
              <w:t>荥阳市荥泽大道与繁荣街交叉口往北300米路西</w:t>
            </w:r>
          </w:p>
          <w:p w14:paraId="0B784847">
            <w:pPr>
              <w:spacing w:line="360" w:lineRule="auto"/>
              <w:rPr>
                <w:rFonts w:hint="eastAsia" w:ascii="宋体" w:hAnsi="宋体" w:eastAsia="宋体"/>
                <w:color w:val="auto"/>
                <w:szCs w:val="21"/>
                <w:highlight w:val="none"/>
                <w:lang w:eastAsia="zh-CN"/>
              </w:rPr>
            </w:pPr>
            <w:r>
              <w:rPr>
                <w:rFonts w:hint="eastAsia" w:ascii="宋体" w:hAnsi="宋体" w:eastAsia="宋体"/>
                <w:color w:val="auto"/>
                <w:szCs w:val="21"/>
                <w:highlight w:val="none"/>
                <w:lang w:eastAsia="zh-CN"/>
              </w:rPr>
              <w:t>联 系 人：</w:t>
            </w:r>
            <w:r>
              <w:rPr>
                <w:rFonts w:hint="eastAsia" w:ascii="宋体" w:hAnsi="宋体"/>
                <w:color w:val="auto"/>
                <w:szCs w:val="21"/>
                <w:highlight w:val="none"/>
                <w:lang w:eastAsia="zh-CN"/>
              </w:rPr>
              <w:t>禹杰</w:t>
            </w:r>
          </w:p>
          <w:p w14:paraId="248674CD">
            <w:pPr>
              <w:spacing w:line="360" w:lineRule="auto"/>
              <w:rPr>
                <w:rFonts w:hint="eastAsia" w:ascii="宋体" w:hAnsi="宋体" w:eastAsia="宋体" w:cs="宋体"/>
                <w:color w:val="auto"/>
                <w:szCs w:val="21"/>
                <w:highlight w:val="none"/>
                <w:lang w:eastAsia="zh-CN"/>
              </w:rPr>
            </w:pPr>
            <w:r>
              <w:rPr>
                <w:rFonts w:hint="eastAsia" w:ascii="宋体" w:hAnsi="宋体" w:eastAsia="宋体"/>
                <w:color w:val="auto"/>
                <w:szCs w:val="21"/>
                <w:highlight w:val="none"/>
                <w:lang w:eastAsia="zh-CN"/>
              </w:rPr>
              <w:t>电    话：0371-</w:t>
            </w:r>
            <w:r>
              <w:rPr>
                <w:rFonts w:hint="eastAsia" w:ascii="宋体" w:hAnsi="宋体"/>
                <w:color w:val="auto"/>
                <w:szCs w:val="21"/>
                <w:highlight w:val="none"/>
                <w:lang w:eastAsia="zh-CN"/>
              </w:rPr>
              <w:t>64652093</w:t>
            </w:r>
            <w:r>
              <w:rPr>
                <w:rFonts w:hint="eastAsia"/>
                <w:color w:val="auto"/>
                <w:szCs w:val="21"/>
                <w:highlight w:val="none"/>
              </w:rPr>
              <w:t xml:space="preserve"> </w:t>
            </w:r>
          </w:p>
        </w:tc>
      </w:tr>
      <w:tr w14:paraId="41AE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trPr>
        <w:tc>
          <w:tcPr>
            <w:tcW w:w="959" w:type="dxa"/>
            <w:vAlign w:val="center"/>
          </w:tcPr>
          <w:p w14:paraId="5AC8A1F0">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1.1.3</w:t>
            </w:r>
          </w:p>
        </w:tc>
        <w:tc>
          <w:tcPr>
            <w:tcW w:w="2252" w:type="dxa"/>
            <w:vAlign w:val="center"/>
          </w:tcPr>
          <w:p w14:paraId="12385B65">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招标代理机构</w:t>
            </w:r>
          </w:p>
        </w:tc>
        <w:tc>
          <w:tcPr>
            <w:tcW w:w="6892" w:type="dxa"/>
            <w:vAlign w:val="center"/>
          </w:tcPr>
          <w:p w14:paraId="36CBAA8F">
            <w:pPr>
              <w:spacing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招标代理机构：</w:t>
            </w:r>
            <w:r>
              <w:rPr>
                <w:rFonts w:hint="eastAsia" w:ascii="宋体" w:hAnsi="宋体" w:cs="宋体"/>
                <w:color w:val="auto"/>
                <w:szCs w:val="21"/>
                <w:highlight w:val="none"/>
                <w:lang w:eastAsia="zh-CN"/>
              </w:rPr>
              <w:t xml:space="preserve">河南德旭项目管理有限公司 </w:t>
            </w:r>
            <w:r>
              <w:rPr>
                <w:rFonts w:hint="eastAsia" w:ascii="宋体" w:hAnsi="宋体" w:cs="宋体"/>
                <w:color w:val="auto"/>
                <w:szCs w:val="21"/>
                <w:highlight w:val="none"/>
              </w:rPr>
              <w:t>　</w:t>
            </w:r>
          </w:p>
          <w:p w14:paraId="320D0761">
            <w:pPr>
              <w:spacing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地　址：荥阳市荥运路与京城路交叉口西南角润旭德工业园区3号楼6楼</w:t>
            </w:r>
          </w:p>
          <w:p w14:paraId="0DEDCA35">
            <w:pPr>
              <w:spacing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联系人：喻心美</w:t>
            </w:r>
          </w:p>
          <w:p w14:paraId="12351E90">
            <w:pPr>
              <w:spacing w:line="360" w:lineRule="auto"/>
              <w:jc w:val="both"/>
              <w:rPr>
                <w:rFonts w:ascii="宋体" w:hAnsi="宋体" w:cs="宋体"/>
                <w:color w:val="auto"/>
                <w:szCs w:val="21"/>
                <w:highlight w:val="none"/>
              </w:rPr>
            </w:pPr>
            <w:r>
              <w:rPr>
                <w:rFonts w:hint="eastAsia" w:ascii="宋体" w:hAnsi="宋体" w:cs="宋体"/>
                <w:color w:val="auto"/>
                <w:szCs w:val="21"/>
                <w:highlight w:val="none"/>
              </w:rPr>
              <w:t>联系方式：15515832988</w:t>
            </w:r>
          </w:p>
        </w:tc>
      </w:tr>
      <w:tr w14:paraId="6F02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Align w:val="center"/>
          </w:tcPr>
          <w:p w14:paraId="1619EB8F">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1.1.4</w:t>
            </w:r>
          </w:p>
        </w:tc>
        <w:tc>
          <w:tcPr>
            <w:tcW w:w="2252" w:type="dxa"/>
            <w:vAlign w:val="center"/>
          </w:tcPr>
          <w:p w14:paraId="7C86651A">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项目名称</w:t>
            </w:r>
          </w:p>
        </w:tc>
        <w:tc>
          <w:tcPr>
            <w:tcW w:w="6892" w:type="dxa"/>
            <w:vAlign w:val="center"/>
          </w:tcPr>
          <w:p w14:paraId="1E498D63">
            <w:pPr>
              <w:spacing w:line="40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 xml:space="preserve">荥阳市自然资源和规划局荥阳市地籍成果入库汇交工作项目 </w:t>
            </w:r>
          </w:p>
        </w:tc>
      </w:tr>
      <w:tr w14:paraId="2019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Align w:val="center"/>
          </w:tcPr>
          <w:p w14:paraId="4CA45733">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1.1.5</w:t>
            </w:r>
          </w:p>
        </w:tc>
        <w:tc>
          <w:tcPr>
            <w:tcW w:w="2252" w:type="dxa"/>
            <w:vAlign w:val="center"/>
          </w:tcPr>
          <w:p w14:paraId="417884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项目地点</w:t>
            </w:r>
          </w:p>
        </w:tc>
        <w:tc>
          <w:tcPr>
            <w:tcW w:w="6892" w:type="dxa"/>
            <w:vAlign w:val="center"/>
          </w:tcPr>
          <w:p w14:paraId="3CE78990">
            <w:pPr>
              <w:spacing w:line="40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荥阳市</w:t>
            </w:r>
          </w:p>
        </w:tc>
      </w:tr>
      <w:tr w14:paraId="0B33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Align w:val="center"/>
          </w:tcPr>
          <w:p w14:paraId="22B474AA">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1.2.1</w:t>
            </w:r>
          </w:p>
        </w:tc>
        <w:tc>
          <w:tcPr>
            <w:tcW w:w="2252" w:type="dxa"/>
            <w:vAlign w:val="center"/>
          </w:tcPr>
          <w:p w14:paraId="2CAA4D8B">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资金来源</w:t>
            </w:r>
          </w:p>
        </w:tc>
        <w:tc>
          <w:tcPr>
            <w:tcW w:w="6892" w:type="dxa"/>
            <w:vAlign w:val="center"/>
          </w:tcPr>
          <w:p w14:paraId="11C45D67">
            <w:pPr>
              <w:spacing w:line="40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财政资金</w:t>
            </w:r>
          </w:p>
        </w:tc>
      </w:tr>
      <w:tr w14:paraId="0FFF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Align w:val="center"/>
          </w:tcPr>
          <w:p w14:paraId="28B2BBB5">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1.2.2</w:t>
            </w:r>
          </w:p>
        </w:tc>
        <w:tc>
          <w:tcPr>
            <w:tcW w:w="2252" w:type="dxa"/>
            <w:vAlign w:val="center"/>
          </w:tcPr>
          <w:p w14:paraId="030D8603">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出资比例</w:t>
            </w:r>
          </w:p>
        </w:tc>
        <w:tc>
          <w:tcPr>
            <w:tcW w:w="6892" w:type="dxa"/>
            <w:vAlign w:val="center"/>
          </w:tcPr>
          <w:p w14:paraId="104AD4A5">
            <w:pPr>
              <w:spacing w:line="400" w:lineRule="exact"/>
              <w:rPr>
                <w:rFonts w:ascii="宋体" w:hAnsi="宋体" w:cs="宋体"/>
                <w:color w:val="auto"/>
                <w:szCs w:val="21"/>
                <w:highlight w:val="none"/>
              </w:rPr>
            </w:pPr>
            <w:r>
              <w:rPr>
                <w:rFonts w:hint="eastAsia" w:ascii="宋体" w:hAnsi="宋体" w:cs="宋体"/>
                <w:color w:val="auto"/>
                <w:szCs w:val="21"/>
                <w:highlight w:val="none"/>
              </w:rPr>
              <w:t>100%</w:t>
            </w:r>
          </w:p>
        </w:tc>
      </w:tr>
      <w:tr w14:paraId="165BD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959" w:type="dxa"/>
            <w:vAlign w:val="center"/>
          </w:tcPr>
          <w:p w14:paraId="28B106CD">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1.2.3</w:t>
            </w:r>
          </w:p>
        </w:tc>
        <w:tc>
          <w:tcPr>
            <w:tcW w:w="2252" w:type="dxa"/>
            <w:vAlign w:val="center"/>
          </w:tcPr>
          <w:p w14:paraId="0D1C3E6F">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资金落实情况</w:t>
            </w:r>
          </w:p>
        </w:tc>
        <w:tc>
          <w:tcPr>
            <w:tcW w:w="6892" w:type="dxa"/>
            <w:vAlign w:val="center"/>
          </w:tcPr>
          <w:p w14:paraId="78EC1C32">
            <w:pPr>
              <w:spacing w:line="400" w:lineRule="exact"/>
              <w:rPr>
                <w:rFonts w:ascii="宋体" w:hAnsi="宋体" w:cs="宋体"/>
                <w:color w:val="auto"/>
                <w:szCs w:val="21"/>
                <w:highlight w:val="none"/>
              </w:rPr>
            </w:pPr>
            <w:r>
              <w:rPr>
                <w:rFonts w:hint="eastAsia" w:ascii="宋体" w:hAnsi="宋体" w:cs="宋体"/>
                <w:color w:val="auto"/>
                <w:szCs w:val="21"/>
                <w:highlight w:val="none"/>
              </w:rPr>
              <w:t>已落实</w:t>
            </w:r>
          </w:p>
        </w:tc>
      </w:tr>
      <w:tr w14:paraId="7126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959" w:type="dxa"/>
            <w:vAlign w:val="center"/>
          </w:tcPr>
          <w:p w14:paraId="1F444A97">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1.3.1</w:t>
            </w:r>
          </w:p>
        </w:tc>
        <w:tc>
          <w:tcPr>
            <w:tcW w:w="2252" w:type="dxa"/>
            <w:vAlign w:val="center"/>
          </w:tcPr>
          <w:p w14:paraId="60615EB1">
            <w:pPr>
              <w:spacing w:line="240" w:lineRule="auto"/>
              <w:jc w:val="center"/>
              <w:rPr>
                <w:rFonts w:ascii="宋体" w:hAnsi="宋体" w:cs="宋体"/>
                <w:color w:val="auto"/>
                <w:szCs w:val="21"/>
                <w:highlight w:val="none"/>
              </w:rPr>
            </w:pPr>
            <w:r>
              <w:rPr>
                <w:rFonts w:hint="eastAsia" w:ascii="宋体" w:hAnsi="宋体" w:cs="宋体"/>
                <w:color w:val="auto"/>
                <w:szCs w:val="21"/>
                <w:highlight w:val="none"/>
              </w:rPr>
              <w:t>招标范围</w:t>
            </w:r>
          </w:p>
        </w:tc>
        <w:tc>
          <w:tcPr>
            <w:tcW w:w="6892" w:type="dxa"/>
            <w:vAlign w:val="center"/>
          </w:tcPr>
          <w:p w14:paraId="722C61DB">
            <w:pPr>
              <w:rPr>
                <w:rFonts w:hint="eastAsia" w:ascii="宋体" w:hAnsi="宋体" w:eastAsia="宋体" w:cs="宋体"/>
                <w:color w:val="auto"/>
                <w:kern w:val="2"/>
                <w:sz w:val="21"/>
                <w:szCs w:val="21"/>
                <w:highlight w:val="none"/>
                <w:lang w:val="en-US" w:eastAsia="zh-CN" w:bidi="ar-SA"/>
              </w:rPr>
            </w:pPr>
            <w:r>
              <w:rPr>
                <w:rFonts w:hint="eastAsia"/>
                <w:color w:val="auto"/>
                <w:highlight w:val="none"/>
                <w:lang w:val="en-US" w:eastAsia="zh-CN"/>
              </w:rPr>
              <w:t>招标文件范围内所有内容。</w:t>
            </w:r>
          </w:p>
        </w:tc>
      </w:tr>
      <w:tr w14:paraId="73C7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59" w:type="dxa"/>
            <w:vAlign w:val="center"/>
          </w:tcPr>
          <w:p w14:paraId="327A225D">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1.3.2</w:t>
            </w:r>
          </w:p>
        </w:tc>
        <w:tc>
          <w:tcPr>
            <w:tcW w:w="2252" w:type="dxa"/>
            <w:vAlign w:val="center"/>
          </w:tcPr>
          <w:p w14:paraId="2451407F">
            <w:pPr>
              <w:pStyle w:val="74"/>
              <w:autoSpaceDN w:val="0"/>
              <w:spacing w:line="360" w:lineRule="auto"/>
              <w:jc w:val="center"/>
              <w:rPr>
                <w:rFonts w:hint="eastAsia" w:ascii="宋体" w:hAnsi="宋体" w:eastAsia="宋体" w:cs="宋体"/>
                <w:color w:val="auto"/>
                <w:kern w:val="2"/>
                <w:sz w:val="21"/>
                <w:szCs w:val="21"/>
                <w:highlight w:val="none"/>
                <w:lang w:val="en-US" w:eastAsia="zh-CN" w:bidi="ar-SA"/>
              </w:rPr>
            </w:pPr>
            <w:r>
              <w:rPr>
                <w:rFonts w:hint="eastAsia" w:cs="宋体"/>
                <w:color w:val="auto"/>
                <w:kern w:val="2"/>
                <w:sz w:val="21"/>
                <w:szCs w:val="21"/>
                <w:highlight w:val="none"/>
                <w:lang w:val="en-US" w:eastAsia="zh-CN" w:bidi="ar-SA"/>
              </w:rPr>
              <w:t>服务周期</w:t>
            </w:r>
          </w:p>
        </w:tc>
        <w:tc>
          <w:tcPr>
            <w:tcW w:w="6892" w:type="dxa"/>
            <w:vAlign w:val="center"/>
          </w:tcPr>
          <w:p w14:paraId="2DC7EE2C">
            <w:pPr>
              <w:pStyle w:val="74"/>
              <w:autoSpaceDN w:val="0"/>
              <w:spacing w:line="360" w:lineRule="auto"/>
              <w:rPr>
                <w:rFonts w:hint="default" w:eastAsia="宋体"/>
                <w:color w:val="auto"/>
                <w:sz w:val="21"/>
                <w:szCs w:val="21"/>
                <w:highlight w:val="none"/>
                <w:lang w:val="en-US" w:eastAsia="zh-CN"/>
              </w:rPr>
            </w:pPr>
            <w:r>
              <w:rPr>
                <w:rFonts w:hint="eastAsia" w:ascii="宋体" w:hAnsi="宋体" w:eastAsia="宋体" w:cs="宋体"/>
                <w:color w:val="auto"/>
                <w:sz w:val="21"/>
                <w:szCs w:val="21"/>
                <w:highlight w:val="none"/>
              </w:rPr>
              <w:t>合同签订后</w:t>
            </w:r>
            <w:r>
              <w:rPr>
                <w:rFonts w:hint="eastAsia" w:ascii="宋体" w:hAnsi="宋体" w:cs="宋体"/>
                <w:color w:val="auto"/>
                <w:sz w:val="21"/>
                <w:szCs w:val="21"/>
                <w:highlight w:val="none"/>
                <w:lang w:val="en-US" w:eastAsia="zh-CN"/>
              </w:rPr>
              <w:t>至2027年12月</w:t>
            </w:r>
            <w:r>
              <w:rPr>
                <w:rFonts w:hint="eastAsia" w:cs="宋体"/>
                <w:color w:val="auto"/>
                <w:sz w:val="21"/>
                <w:szCs w:val="21"/>
                <w:highlight w:val="none"/>
                <w:lang w:val="en-US" w:eastAsia="zh-CN"/>
              </w:rPr>
              <w:t>31日</w:t>
            </w:r>
          </w:p>
        </w:tc>
      </w:tr>
      <w:tr w14:paraId="0D52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59" w:type="dxa"/>
            <w:vAlign w:val="center"/>
          </w:tcPr>
          <w:p w14:paraId="555A4A63">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1.3.3</w:t>
            </w:r>
          </w:p>
        </w:tc>
        <w:tc>
          <w:tcPr>
            <w:tcW w:w="2252" w:type="dxa"/>
            <w:vAlign w:val="center"/>
          </w:tcPr>
          <w:p w14:paraId="54CD23E6">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质量要求</w:t>
            </w:r>
          </w:p>
        </w:tc>
        <w:tc>
          <w:tcPr>
            <w:tcW w:w="6892" w:type="dxa"/>
            <w:vAlign w:val="center"/>
          </w:tcPr>
          <w:p w14:paraId="60050EFC">
            <w:pPr>
              <w:spacing w:line="400" w:lineRule="exact"/>
              <w:rPr>
                <w:rFonts w:ascii="宋体" w:hAnsi="宋体" w:cs="宋体"/>
                <w:color w:val="auto"/>
                <w:szCs w:val="21"/>
                <w:highlight w:val="none"/>
              </w:rPr>
            </w:pPr>
            <w:r>
              <w:rPr>
                <w:rFonts w:hint="eastAsia" w:ascii="宋体" w:hAnsi="宋体" w:eastAsia="宋体" w:cs="宋体"/>
                <w:bCs/>
                <w:color w:val="auto"/>
                <w:szCs w:val="21"/>
                <w:highlight w:val="none"/>
              </w:rPr>
              <w:t>符合国家或行业规定的合格标准，满足采购人提出的技术标准及要求</w:t>
            </w:r>
            <w:r>
              <w:rPr>
                <w:rFonts w:hint="eastAsia" w:ascii="宋体" w:hAnsi="宋体" w:eastAsia="宋体" w:cs="宋体"/>
                <w:color w:val="auto"/>
                <w:highlight w:val="none"/>
              </w:rPr>
              <w:t>；</w:t>
            </w:r>
          </w:p>
        </w:tc>
      </w:tr>
      <w:tr w14:paraId="371B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Align w:val="center"/>
          </w:tcPr>
          <w:p w14:paraId="6538DFB3">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1.4.1</w:t>
            </w:r>
          </w:p>
        </w:tc>
        <w:tc>
          <w:tcPr>
            <w:tcW w:w="2252" w:type="dxa"/>
            <w:vAlign w:val="center"/>
          </w:tcPr>
          <w:p w14:paraId="0FE7D078">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投标人资质条件、能力和信誉</w:t>
            </w:r>
          </w:p>
        </w:tc>
        <w:tc>
          <w:tcPr>
            <w:tcW w:w="6892" w:type="dxa"/>
            <w:vAlign w:val="center"/>
          </w:tcPr>
          <w:p w14:paraId="6A5F971E">
            <w:pPr>
              <w:spacing w:line="360" w:lineRule="auto"/>
              <w:ind w:firstLine="422" w:firstLineChars="200"/>
              <w:rPr>
                <w:rFonts w:hint="eastAsia"/>
                <w:b/>
                <w:bCs/>
                <w:color w:val="auto"/>
                <w:szCs w:val="21"/>
                <w:highlight w:val="none"/>
              </w:rPr>
            </w:pPr>
            <w:r>
              <w:rPr>
                <w:rFonts w:hint="eastAsia"/>
                <w:b/>
                <w:bCs/>
                <w:color w:val="auto"/>
                <w:szCs w:val="21"/>
                <w:highlight w:val="none"/>
              </w:rPr>
              <w:t>1.满足《中华人民共和国政府采购法》第二十二条规定；</w:t>
            </w:r>
          </w:p>
          <w:p w14:paraId="2D423A66">
            <w:pPr>
              <w:spacing w:line="360" w:lineRule="auto"/>
              <w:ind w:firstLine="420" w:firstLineChars="200"/>
              <w:rPr>
                <w:rFonts w:hint="eastAsia"/>
                <w:color w:val="auto"/>
                <w:szCs w:val="21"/>
                <w:highlight w:val="none"/>
              </w:rPr>
            </w:pPr>
            <w:r>
              <w:rPr>
                <w:rFonts w:hint="eastAsia"/>
                <w:color w:val="auto"/>
                <w:szCs w:val="21"/>
                <w:highlight w:val="none"/>
              </w:rPr>
              <w:t>1.1、具有独立承担民事责任的能力,具有有效的营业执照；</w:t>
            </w:r>
          </w:p>
          <w:p w14:paraId="4E6902F1">
            <w:pPr>
              <w:spacing w:line="360" w:lineRule="auto"/>
              <w:ind w:firstLine="420" w:firstLineChars="200"/>
              <w:rPr>
                <w:rFonts w:hint="eastAsia"/>
                <w:color w:val="auto"/>
                <w:szCs w:val="21"/>
                <w:highlight w:val="none"/>
              </w:rPr>
            </w:pPr>
            <w:r>
              <w:rPr>
                <w:rFonts w:hint="eastAsia"/>
                <w:color w:val="auto"/>
                <w:szCs w:val="21"/>
                <w:highlight w:val="none"/>
              </w:rPr>
              <w:t>1.2、具有良好的商业信誉和健全的财务会计制度，</w:t>
            </w:r>
            <w:r>
              <w:rPr>
                <w:rFonts w:hint="eastAsia" w:ascii="宋体" w:hAnsi="宋体" w:eastAsia="宋体" w:cs="宋体"/>
                <w:color w:val="auto"/>
                <w:highlight w:val="none"/>
              </w:rPr>
              <w:t>（</w:t>
            </w:r>
            <w:r>
              <w:rPr>
                <w:rFonts w:hint="eastAsia" w:ascii="宋体" w:hAnsi="宋体" w:cs="宋体"/>
                <w:color w:val="auto"/>
                <w:highlight w:val="none"/>
                <w:lang w:eastAsia="zh-CN"/>
              </w:rPr>
              <w:t>供应商自行承诺</w:t>
            </w:r>
            <w:r>
              <w:rPr>
                <w:rFonts w:hint="eastAsia" w:ascii="宋体" w:hAnsi="宋体" w:eastAsia="宋体" w:cs="宋体"/>
                <w:color w:val="auto"/>
                <w:highlight w:val="none"/>
              </w:rPr>
              <w:t>，格式自拟）</w:t>
            </w:r>
            <w:r>
              <w:rPr>
                <w:rFonts w:hint="eastAsia"/>
                <w:color w:val="auto"/>
                <w:szCs w:val="21"/>
                <w:highlight w:val="none"/>
              </w:rPr>
              <w:t>；</w:t>
            </w:r>
          </w:p>
          <w:p w14:paraId="0F25DC7E">
            <w:pPr>
              <w:spacing w:line="360" w:lineRule="auto"/>
              <w:ind w:firstLine="420" w:firstLineChars="200"/>
              <w:rPr>
                <w:rFonts w:hint="eastAsia"/>
                <w:color w:val="auto"/>
                <w:szCs w:val="21"/>
                <w:highlight w:val="none"/>
              </w:rPr>
            </w:pPr>
            <w:r>
              <w:rPr>
                <w:rFonts w:hint="eastAsia"/>
                <w:color w:val="auto"/>
                <w:szCs w:val="21"/>
                <w:highlight w:val="none"/>
              </w:rPr>
              <w:t>1.3、具有履行合同所必需的设备和专业技术能力，须提供供应商具有履行合同所必需的设备和专业技术能力承诺声明文件</w:t>
            </w:r>
            <w:r>
              <w:rPr>
                <w:rFonts w:hint="eastAsia"/>
                <w:color w:val="auto"/>
                <w:szCs w:val="21"/>
                <w:highlight w:val="none"/>
                <w:lang w:eastAsia="zh-CN"/>
              </w:rPr>
              <w:t>，</w:t>
            </w:r>
            <w:r>
              <w:rPr>
                <w:rFonts w:hint="eastAsia" w:ascii="宋体" w:hAnsi="宋体" w:eastAsia="宋体" w:cs="宋体"/>
                <w:color w:val="auto"/>
                <w:highlight w:val="none"/>
              </w:rPr>
              <w:t>（</w:t>
            </w:r>
            <w:r>
              <w:rPr>
                <w:rFonts w:hint="eastAsia" w:ascii="宋体" w:hAnsi="宋体" w:cs="宋体"/>
                <w:color w:val="auto"/>
                <w:highlight w:val="none"/>
                <w:lang w:eastAsia="zh-CN"/>
              </w:rPr>
              <w:t>供应商自行承诺</w:t>
            </w:r>
            <w:r>
              <w:rPr>
                <w:rFonts w:hint="eastAsia" w:ascii="宋体" w:hAnsi="宋体" w:eastAsia="宋体" w:cs="宋体"/>
                <w:color w:val="auto"/>
                <w:highlight w:val="none"/>
              </w:rPr>
              <w:t>，格式自拟）</w:t>
            </w:r>
            <w:r>
              <w:rPr>
                <w:rFonts w:hint="eastAsia"/>
                <w:color w:val="auto"/>
                <w:szCs w:val="21"/>
                <w:highlight w:val="none"/>
              </w:rPr>
              <w:t>；</w:t>
            </w:r>
          </w:p>
          <w:p w14:paraId="1558A778">
            <w:pPr>
              <w:spacing w:line="360" w:lineRule="auto"/>
              <w:ind w:firstLine="420" w:firstLineChars="200"/>
              <w:rPr>
                <w:rFonts w:hint="eastAsia"/>
                <w:color w:val="auto"/>
                <w:szCs w:val="21"/>
                <w:highlight w:val="none"/>
              </w:rPr>
            </w:pPr>
            <w:r>
              <w:rPr>
                <w:rFonts w:hint="eastAsia"/>
                <w:color w:val="auto"/>
                <w:szCs w:val="21"/>
                <w:highlight w:val="none"/>
              </w:rPr>
              <w:t>1.4、具有依法缴纳税收和社会保障资金的良好记录，</w:t>
            </w:r>
            <w:r>
              <w:rPr>
                <w:rFonts w:hint="eastAsia" w:ascii="宋体" w:hAnsi="宋体" w:eastAsia="宋体" w:cs="宋体"/>
                <w:color w:val="auto"/>
                <w:highlight w:val="none"/>
              </w:rPr>
              <w:t>（</w:t>
            </w:r>
            <w:r>
              <w:rPr>
                <w:rFonts w:hint="eastAsia" w:ascii="宋体" w:hAnsi="宋体" w:cs="宋体"/>
                <w:color w:val="auto"/>
                <w:highlight w:val="none"/>
                <w:lang w:eastAsia="zh-CN"/>
              </w:rPr>
              <w:t>供应商自行承诺</w:t>
            </w:r>
            <w:r>
              <w:rPr>
                <w:rFonts w:hint="eastAsia" w:ascii="宋体" w:hAnsi="宋体" w:eastAsia="宋体" w:cs="宋体"/>
                <w:color w:val="auto"/>
                <w:highlight w:val="none"/>
              </w:rPr>
              <w:t>，格式自拟）</w:t>
            </w:r>
            <w:r>
              <w:rPr>
                <w:rFonts w:hint="eastAsia"/>
                <w:color w:val="auto"/>
                <w:szCs w:val="21"/>
                <w:highlight w:val="none"/>
              </w:rPr>
              <w:t>；</w:t>
            </w:r>
          </w:p>
          <w:p w14:paraId="45B37306">
            <w:pPr>
              <w:spacing w:line="360" w:lineRule="auto"/>
              <w:ind w:firstLine="420" w:firstLineChars="200"/>
              <w:rPr>
                <w:rFonts w:hint="eastAsia"/>
                <w:color w:val="auto"/>
                <w:szCs w:val="21"/>
                <w:highlight w:val="none"/>
              </w:rPr>
            </w:pPr>
            <w:r>
              <w:rPr>
                <w:rFonts w:hint="eastAsia"/>
                <w:color w:val="auto"/>
                <w:szCs w:val="21"/>
                <w:highlight w:val="none"/>
              </w:rPr>
              <w:t>1.5、参加政府采购活动前三年内，在经营活动中没有重大违法记录，须提供参加政府采购活动前三年内，在经营活动中没有重大违法记录的书面声明</w:t>
            </w:r>
            <w:r>
              <w:rPr>
                <w:rFonts w:hint="eastAsia"/>
                <w:color w:val="auto"/>
                <w:szCs w:val="21"/>
                <w:highlight w:val="none"/>
                <w:lang w:eastAsia="zh-CN"/>
              </w:rPr>
              <w:t>，</w:t>
            </w:r>
            <w:r>
              <w:rPr>
                <w:rFonts w:hint="eastAsia" w:ascii="宋体" w:hAnsi="宋体" w:eastAsia="宋体" w:cs="宋体"/>
                <w:color w:val="auto"/>
                <w:highlight w:val="none"/>
              </w:rPr>
              <w:t>（</w:t>
            </w:r>
            <w:r>
              <w:rPr>
                <w:rFonts w:hint="eastAsia" w:ascii="宋体" w:hAnsi="宋体" w:cs="宋体"/>
                <w:color w:val="auto"/>
                <w:highlight w:val="none"/>
                <w:lang w:eastAsia="zh-CN"/>
              </w:rPr>
              <w:t>供应商自行承诺</w:t>
            </w:r>
            <w:r>
              <w:rPr>
                <w:rFonts w:hint="eastAsia" w:ascii="宋体" w:hAnsi="宋体" w:eastAsia="宋体" w:cs="宋体"/>
                <w:color w:val="auto"/>
                <w:highlight w:val="none"/>
              </w:rPr>
              <w:t>，格式自拟）</w:t>
            </w:r>
            <w:r>
              <w:rPr>
                <w:rFonts w:hint="eastAsia"/>
                <w:color w:val="auto"/>
                <w:szCs w:val="21"/>
                <w:highlight w:val="none"/>
              </w:rPr>
              <w:t>；</w:t>
            </w:r>
          </w:p>
          <w:p w14:paraId="59DA9B58">
            <w:pPr>
              <w:spacing w:line="360" w:lineRule="auto"/>
              <w:ind w:firstLine="422" w:firstLineChars="200"/>
              <w:rPr>
                <w:rFonts w:hint="eastAsia"/>
                <w:color w:val="auto"/>
                <w:szCs w:val="21"/>
                <w:highlight w:val="none"/>
              </w:rPr>
            </w:pPr>
            <w:r>
              <w:rPr>
                <w:rFonts w:hint="eastAsia"/>
                <w:b/>
                <w:bCs/>
                <w:color w:val="auto"/>
                <w:szCs w:val="21"/>
                <w:highlight w:val="none"/>
              </w:rPr>
              <w:t>2.需落实政府采购的政策要求：</w:t>
            </w:r>
            <w:r>
              <w:rPr>
                <w:rFonts w:hint="eastAsia"/>
                <w:color w:val="auto"/>
                <w:szCs w:val="21"/>
                <w:highlight w:val="none"/>
              </w:rPr>
              <w:t>本项目执行促进中小型企业发展政策（监狱企业、残疾人福利性企业视同小微企业）。</w:t>
            </w:r>
          </w:p>
          <w:p w14:paraId="6E7D637D">
            <w:pPr>
              <w:spacing w:line="360" w:lineRule="auto"/>
              <w:ind w:firstLine="422" w:firstLineChars="200"/>
              <w:rPr>
                <w:rFonts w:hint="eastAsia"/>
                <w:b/>
                <w:bCs/>
                <w:color w:val="auto"/>
                <w:szCs w:val="21"/>
                <w:highlight w:val="none"/>
                <w:lang w:eastAsia="zh-CN"/>
              </w:rPr>
            </w:pPr>
            <w:r>
              <w:rPr>
                <w:rFonts w:hint="eastAsia"/>
                <w:b/>
                <w:bCs/>
                <w:color w:val="auto"/>
                <w:szCs w:val="21"/>
                <w:highlight w:val="none"/>
              </w:rPr>
              <w:t>3.本项目的特定资格要求：</w:t>
            </w:r>
          </w:p>
          <w:p w14:paraId="152839F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资质要求：须</w:t>
            </w:r>
            <w:r>
              <w:rPr>
                <w:rFonts w:hint="eastAsia" w:ascii="宋体" w:hAnsi="宋体" w:eastAsia="宋体" w:cs="宋体"/>
                <w:color w:val="auto"/>
                <w:szCs w:val="21"/>
                <w:highlight w:val="none"/>
              </w:rPr>
              <w:t>具备有效期范围内的营业执照或事业单位法人证书；投标人须具备测绘乙级及以上资质；</w:t>
            </w:r>
          </w:p>
          <w:p w14:paraId="1C385B55">
            <w:pPr>
              <w:pStyle w:val="15"/>
              <w:spacing w:line="360" w:lineRule="auto"/>
              <w:ind w:firstLine="420" w:firstLineChars="200"/>
              <w:rPr>
                <w:rFonts w:hint="default"/>
                <w:color w:val="auto"/>
                <w:highlight w:val="none"/>
                <w:lang w:val="en-US" w:eastAsia="zh-CN"/>
              </w:rPr>
            </w:pPr>
            <w:r>
              <w:rPr>
                <w:rFonts w:hint="eastAsia" w:ascii="宋体" w:hAnsi="宋体" w:eastAsia="宋体" w:cs="宋体"/>
                <w:color w:val="auto"/>
                <w:highlight w:val="none"/>
                <w:lang w:val="en-US" w:eastAsia="zh-CN"/>
              </w:rPr>
              <w:t>3.</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拟派项目负责人：项目负责人须具有测绘及相关专业中级及以上技术职称（需提供单位为其缴纳的近三个月的社保证明及签订的劳动合同）</w:t>
            </w:r>
          </w:p>
          <w:p w14:paraId="3D804C10">
            <w:pPr>
              <w:spacing w:line="360" w:lineRule="auto"/>
              <w:ind w:firstLine="420" w:firstLineChars="200"/>
              <w:rPr>
                <w:rFonts w:hint="eastAsia" w:ascii="宋体" w:hAnsi="宋体" w:cs="宋体"/>
                <w:b w:val="0"/>
                <w:bCs w:val="0"/>
                <w:color w:val="auto"/>
                <w:kern w:val="0"/>
                <w:sz w:val="21"/>
                <w:szCs w:val="21"/>
                <w:highlight w:val="none"/>
                <w:lang w:val="en-US" w:eastAsia="zh-CN" w:bidi="ar"/>
              </w:rPr>
            </w:pPr>
            <w:r>
              <w:rPr>
                <w:rFonts w:hint="eastAsia" w:ascii="宋体" w:hAnsi="宋体" w:cs="宋体"/>
                <w:b w:val="0"/>
                <w:bCs w:val="0"/>
                <w:color w:val="auto"/>
                <w:szCs w:val="21"/>
                <w:highlight w:val="none"/>
                <w:lang w:val="en-US" w:eastAsia="zh-CN"/>
              </w:rPr>
              <w:t>3.3、</w:t>
            </w:r>
            <w:r>
              <w:rPr>
                <w:rFonts w:hint="eastAsia" w:ascii="宋体" w:hAnsi="宋体" w:eastAsia="宋体" w:cs="宋体"/>
                <w:b w:val="0"/>
                <w:bCs w:val="0"/>
                <w:color w:val="auto"/>
                <w:kern w:val="0"/>
                <w:sz w:val="21"/>
                <w:szCs w:val="21"/>
                <w:highlight w:val="none"/>
                <w:lang w:val="en-US" w:eastAsia="zh-CN" w:bidi="ar"/>
              </w:rPr>
              <w:t>根据《财政</w:t>
            </w:r>
            <w:r>
              <w:rPr>
                <w:rFonts w:hint="eastAsia" w:ascii="宋体" w:hAnsi="宋体" w:eastAsia="宋体" w:cs="宋体"/>
                <w:color w:val="auto"/>
                <w:kern w:val="0"/>
                <w:sz w:val="21"/>
                <w:szCs w:val="21"/>
                <w:highlight w:val="none"/>
                <w:lang w:val="en-US" w:eastAsia="zh-CN" w:bidi="ar"/>
              </w:rPr>
              <w:t>部关于在政府采购活动中查询及使用信用记录有关问题的通知》(财库[2016]125号)和豫财购【2016】15号的规定，对列入失信被执行人、</w:t>
            </w:r>
            <w:r>
              <w:rPr>
                <w:rFonts w:hint="eastAsia" w:ascii="宋体" w:hAnsi="宋体" w:cs="宋体"/>
                <w:color w:val="auto"/>
                <w:kern w:val="0"/>
                <w:sz w:val="21"/>
                <w:szCs w:val="21"/>
                <w:highlight w:val="none"/>
                <w:lang w:val="en-US" w:eastAsia="zh-CN" w:bidi="ar"/>
              </w:rPr>
              <w:t>重大税收违法失信主体</w:t>
            </w:r>
            <w:r>
              <w:rPr>
                <w:rFonts w:hint="eastAsia" w:ascii="宋体" w:hAnsi="宋体" w:eastAsia="宋体" w:cs="宋体"/>
                <w:color w:val="auto"/>
                <w:kern w:val="0"/>
                <w:sz w:val="21"/>
                <w:szCs w:val="21"/>
                <w:highlight w:val="none"/>
                <w:lang w:val="en-US" w:eastAsia="zh-CN" w:bidi="ar"/>
              </w:rPr>
              <w:t>、政府采购严重违法失信行为记录名单的供应商，拒绝参与本项目政府采购活动</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通过</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中国执行信息公开网</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（zxgk.court.gov.cn）查询被列入失信被执行人</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“信用中国</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网站（www.creditchina.gov.cn）查询</w:t>
            </w:r>
            <w:r>
              <w:rPr>
                <w:rFonts w:hint="eastAsia" w:ascii="宋体" w:hAnsi="宋体" w:cs="宋体"/>
                <w:color w:val="auto"/>
                <w:kern w:val="0"/>
                <w:sz w:val="21"/>
                <w:szCs w:val="21"/>
                <w:highlight w:val="none"/>
                <w:lang w:val="en-US" w:eastAsia="zh-CN" w:bidi="ar"/>
              </w:rPr>
              <w:t>重大税收违法失信主体</w:t>
            </w: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中国政府采购网</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（www.ccgp.gov.cn）查询政府采购严重违法失信行为记录名单），</w:t>
            </w:r>
            <w:r>
              <w:rPr>
                <w:rFonts w:hint="eastAsia" w:ascii="宋体" w:hAnsi="宋体" w:cs="宋体"/>
                <w:color w:val="auto"/>
                <w:kern w:val="0"/>
                <w:sz w:val="21"/>
                <w:szCs w:val="21"/>
                <w:highlight w:val="none"/>
                <w:lang w:val="en-US" w:eastAsia="zh-CN" w:bidi="ar"/>
              </w:rPr>
              <w:t>提供加盖</w:t>
            </w:r>
            <w:r>
              <w:rPr>
                <w:rFonts w:hint="eastAsia" w:ascii="宋体" w:hAnsi="宋体" w:eastAsia="宋体" w:cs="宋体"/>
                <w:color w:val="auto"/>
                <w:kern w:val="0"/>
                <w:sz w:val="21"/>
                <w:szCs w:val="21"/>
                <w:highlight w:val="none"/>
                <w:lang w:val="en-US" w:eastAsia="zh-CN" w:bidi="ar"/>
              </w:rPr>
              <w:t>单位公章的查询网页截图</w:t>
            </w:r>
            <w:r>
              <w:rPr>
                <w:rFonts w:hint="eastAsia" w:ascii="宋体" w:hAnsi="宋体" w:eastAsia="宋体" w:cs="宋体"/>
                <w:b w:val="0"/>
                <w:bCs w:val="0"/>
                <w:color w:val="auto"/>
                <w:kern w:val="0"/>
                <w:sz w:val="21"/>
                <w:szCs w:val="21"/>
                <w:highlight w:val="none"/>
                <w:lang w:val="en-US" w:eastAsia="zh-CN" w:bidi="ar"/>
              </w:rPr>
              <w:t>（截图内容要完整清晰</w:t>
            </w:r>
            <w:r>
              <w:rPr>
                <w:rFonts w:hint="eastAsia" w:ascii="宋体" w:hAnsi="宋体" w:cs="宋体"/>
                <w:b w:val="0"/>
                <w:bCs w:val="0"/>
                <w:color w:val="auto"/>
                <w:kern w:val="0"/>
                <w:sz w:val="21"/>
                <w:szCs w:val="21"/>
                <w:highlight w:val="none"/>
                <w:lang w:val="en-US" w:eastAsia="zh-CN" w:bidi="ar"/>
              </w:rPr>
              <w:t>）。</w:t>
            </w:r>
            <w:r>
              <w:rPr>
                <w:rFonts w:hint="eastAsia" w:ascii="宋体" w:hAnsi="宋体" w:cs="宋体"/>
                <w:b/>
                <w:bCs/>
                <w:color w:val="auto"/>
                <w:kern w:val="0"/>
                <w:sz w:val="21"/>
                <w:szCs w:val="21"/>
                <w:highlight w:val="none"/>
                <w:lang w:val="en-US" w:eastAsia="zh-CN" w:bidi="ar"/>
              </w:rPr>
              <w:t>注：</w:t>
            </w:r>
            <w:r>
              <w:rPr>
                <w:rFonts w:hint="eastAsia" w:ascii="宋体" w:hAnsi="宋体" w:cs="宋体"/>
                <w:b w:val="0"/>
                <w:bCs w:val="0"/>
                <w:color w:val="auto"/>
                <w:kern w:val="0"/>
                <w:sz w:val="21"/>
                <w:szCs w:val="21"/>
                <w:highlight w:val="none"/>
                <w:lang w:val="en-US" w:eastAsia="zh-CN" w:bidi="ar"/>
              </w:rPr>
              <w:t>采购代理机构在开标当天根据需要对所参与本项目投标的供应商的信用情况（失信被执行人、重大税收违法失信主体、政府采购严重违法失信行为记录名单）进行查询。若在开标当天查询到供应商有相关负面信息的，则该供应商为无效供应商。</w:t>
            </w:r>
          </w:p>
          <w:p w14:paraId="2968EA5B">
            <w:pPr>
              <w:pStyle w:val="21"/>
              <w:spacing w:line="360" w:lineRule="auto"/>
              <w:ind w:firstLine="210" w:firstLineChars="100"/>
              <w:rPr>
                <w:rFonts w:hint="eastAsia" w:ascii="宋体" w:hAnsi="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3.4、单位负责人为同一人或者存在直接控股、管理关系的不同供应商，不得参加同一合同项下的政府采购活动。【提供在“国家企业信用信息公示系统”中查询打印的相关材料并加盖公章（需显示公司基本信息、主要人员信息、股东信息），查询日期在本公告发布日期之后至投标截止日期之前】；</w:t>
            </w:r>
          </w:p>
          <w:p w14:paraId="38D6C6EC">
            <w:pPr>
              <w:pStyle w:val="30"/>
              <w:numPr>
                <w:ilvl w:val="0"/>
                <w:numId w:val="0"/>
              </w:numPr>
              <w:spacing w:before="0" w:beforeAutospacing="0" w:after="0" w:afterAutospacing="0" w:line="384" w:lineRule="auto"/>
              <w:ind w:firstLine="210" w:firstLineChars="100"/>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3.5、</w:t>
            </w:r>
            <w:r>
              <w:rPr>
                <w:rFonts w:hint="eastAsia" w:asciiTheme="minorEastAsia" w:hAnsiTheme="minorEastAsia" w:eastAsiaTheme="minorEastAsia" w:cstheme="minorEastAsia"/>
                <w:bCs/>
                <w:color w:val="auto"/>
                <w:sz w:val="21"/>
                <w:szCs w:val="21"/>
                <w:highlight w:val="none"/>
                <w:lang w:val="en-US" w:eastAsia="zh-CN"/>
              </w:rPr>
              <w:t>为采购项目提供整体设计、规范编制或者项目管理、监理、检测等服务的供应商，不得再参加本采购项目的其他采购活动（书面承诺,格式自拟）。</w:t>
            </w:r>
          </w:p>
          <w:p w14:paraId="47914076">
            <w:pPr>
              <w:pStyle w:val="3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84" w:lineRule="auto"/>
              <w:ind w:firstLine="420" w:firstLineChars="200"/>
              <w:textAlignment w:val="auto"/>
              <w:rPr>
                <w:rFonts w:hint="default"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3.6、</w:t>
            </w:r>
            <w:r>
              <w:rPr>
                <w:rFonts w:hint="eastAsia" w:ascii="宋体" w:hAnsi="宋体" w:eastAsia="宋体" w:cs="宋体"/>
                <w:color w:val="auto"/>
                <w:sz w:val="21"/>
                <w:szCs w:val="21"/>
                <w:highlight w:val="none"/>
                <w:lang w:val="en-US" w:eastAsia="zh-CN"/>
              </w:rPr>
              <w:t>供应商须提供《中小企业声明函》，格式详见本项目采购文件。</w:t>
            </w:r>
          </w:p>
          <w:p w14:paraId="09323579">
            <w:pPr>
              <w:pStyle w:val="3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84" w:lineRule="auto"/>
              <w:ind w:firstLine="420" w:firstLineChars="200"/>
              <w:textAlignment w:val="auto"/>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3.7、</w:t>
            </w:r>
            <w:r>
              <w:rPr>
                <w:rFonts w:hint="eastAsia" w:asciiTheme="minorEastAsia" w:hAnsiTheme="minorEastAsia" w:eastAsiaTheme="minorEastAsia" w:cstheme="minorEastAsia"/>
                <w:bCs/>
                <w:color w:val="auto"/>
                <w:sz w:val="21"/>
                <w:szCs w:val="21"/>
                <w:highlight w:val="none"/>
                <w:lang w:val="en-US" w:eastAsia="zh-CN"/>
              </w:rPr>
              <w:t>不允许转包和违法分包。</w:t>
            </w:r>
          </w:p>
          <w:p w14:paraId="1E1982F7">
            <w:pPr>
              <w:pStyle w:val="3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84" w:lineRule="auto"/>
              <w:ind w:firstLine="422" w:firstLineChars="200"/>
              <w:textAlignment w:val="auto"/>
              <w:rPr>
                <w:rFonts w:hint="eastAsia" w:eastAsia="宋体"/>
                <w:color w:val="auto"/>
                <w:sz w:val="21"/>
                <w:szCs w:val="21"/>
                <w:highlight w:val="none"/>
                <w:lang w:eastAsia="zh-CN"/>
              </w:rPr>
            </w:pPr>
            <w:r>
              <w:rPr>
                <w:rFonts w:hint="eastAsia" w:asciiTheme="minorEastAsia" w:hAnsiTheme="minorEastAsia" w:eastAsiaTheme="minorEastAsia" w:cstheme="minorEastAsia"/>
                <w:b/>
                <w:bCs w:val="0"/>
                <w:color w:val="auto"/>
                <w:sz w:val="21"/>
                <w:szCs w:val="21"/>
                <w:highlight w:val="none"/>
                <w:lang w:val="en-US" w:eastAsia="zh-CN"/>
              </w:rPr>
              <w:t>4</w:t>
            </w:r>
            <w:r>
              <w:rPr>
                <w:rFonts w:hint="eastAsia" w:asciiTheme="minorEastAsia" w:hAnsiTheme="minorEastAsia" w:eastAsiaTheme="minorEastAsia" w:cstheme="minorEastAsia"/>
                <w:bCs/>
                <w:color w:val="auto"/>
                <w:sz w:val="21"/>
                <w:szCs w:val="21"/>
                <w:highlight w:val="none"/>
                <w:lang w:val="en-US" w:eastAsia="zh-CN"/>
              </w:rPr>
              <w:t>.本项目采用资格后审。</w:t>
            </w:r>
          </w:p>
        </w:tc>
      </w:tr>
      <w:tr w14:paraId="41B4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959" w:type="dxa"/>
            <w:vAlign w:val="center"/>
          </w:tcPr>
          <w:p w14:paraId="33E06DA2">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1.4.2</w:t>
            </w:r>
          </w:p>
        </w:tc>
        <w:tc>
          <w:tcPr>
            <w:tcW w:w="2252" w:type="dxa"/>
            <w:vAlign w:val="center"/>
          </w:tcPr>
          <w:p w14:paraId="1083A598">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是否接受联合体投标</w:t>
            </w:r>
          </w:p>
        </w:tc>
        <w:tc>
          <w:tcPr>
            <w:tcW w:w="6892" w:type="dxa"/>
            <w:vAlign w:val="center"/>
          </w:tcPr>
          <w:p w14:paraId="50BBC50E">
            <w:pPr>
              <w:spacing w:line="400" w:lineRule="exact"/>
              <w:rPr>
                <w:rFonts w:ascii="宋体" w:hAnsi="宋体" w:cs="宋体"/>
                <w:color w:val="auto"/>
                <w:szCs w:val="21"/>
                <w:highlight w:val="none"/>
              </w:rPr>
            </w:pPr>
            <w:r>
              <w:rPr>
                <w:rFonts w:hint="eastAsia" w:ascii="宋体" w:hAnsi="宋体" w:cs="宋体"/>
                <w:color w:val="auto"/>
                <w:szCs w:val="21"/>
                <w:highlight w:val="none"/>
              </w:rPr>
              <w:t>■不接受</w:t>
            </w:r>
          </w:p>
        </w:tc>
      </w:tr>
      <w:tr w14:paraId="6742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959" w:type="dxa"/>
            <w:vAlign w:val="center"/>
          </w:tcPr>
          <w:p w14:paraId="33E4C108">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1.9.1</w:t>
            </w:r>
          </w:p>
        </w:tc>
        <w:tc>
          <w:tcPr>
            <w:tcW w:w="2252" w:type="dxa"/>
            <w:vAlign w:val="center"/>
          </w:tcPr>
          <w:p w14:paraId="73AA3749">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踏勘现场及答疑</w:t>
            </w:r>
          </w:p>
        </w:tc>
        <w:tc>
          <w:tcPr>
            <w:tcW w:w="6892" w:type="dxa"/>
            <w:vAlign w:val="center"/>
          </w:tcPr>
          <w:p w14:paraId="42B7B795">
            <w:pPr>
              <w:spacing w:line="400" w:lineRule="exact"/>
              <w:rPr>
                <w:rFonts w:ascii="宋体" w:hAnsi="宋体" w:cs="宋体"/>
                <w:color w:val="auto"/>
                <w:szCs w:val="21"/>
                <w:highlight w:val="none"/>
              </w:rPr>
            </w:pPr>
            <w:r>
              <w:rPr>
                <w:rFonts w:hint="eastAsia" w:ascii="宋体" w:hAnsi="宋体" w:cs="宋体"/>
                <w:color w:val="auto"/>
                <w:szCs w:val="21"/>
                <w:highlight w:val="none"/>
              </w:rPr>
              <w:t xml:space="preserve">■不组织 </w:t>
            </w:r>
          </w:p>
        </w:tc>
      </w:tr>
      <w:tr w14:paraId="70CF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59" w:type="dxa"/>
            <w:vAlign w:val="center"/>
          </w:tcPr>
          <w:p w14:paraId="6AF8AD3A">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1.10.1</w:t>
            </w:r>
          </w:p>
        </w:tc>
        <w:tc>
          <w:tcPr>
            <w:tcW w:w="2252" w:type="dxa"/>
            <w:vAlign w:val="center"/>
          </w:tcPr>
          <w:p w14:paraId="289DAD22">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投标预备会</w:t>
            </w:r>
          </w:p>
        </w:tc>
        <w:tc>
          <w:tcPr>
            <w:tcW w:w="6892" w:type="dxa"/>
            <w:vAlign w:val="center"/>
          </w:tcPr>
          <w:p w14:paraId="224D6D98">
            <w:pPr>
              <w:spacing w:line="400" w:lineRule="exact"/>
              <w:rPr>
                <w:rFonts w:ascii="宋体" w:hAnsi="宋体" w:cs="宋体"/>
                <w:color w:val="auto"/>
                <w:szCs w:val="21"/>
                <w:highlight w:val="none"/>
              </w:rPr>
            </w:pPr>
            <w:r>
              <w:rPr>
                <w:rFonts w:hint="eastAsia" w:ascii="宋体" w:hAnsi="宋体" w:cs="宋体"/>
                <w:color w:val="auto"/>
                <w:szCs w:val="21"/>
                <w:highlight w:val="none"/>
              </w:rPr>
              <w:t>■不召开</w:t>
            </w:r>
          </w:p>
        </w:tc>
      </w:tr>
      <w:tr w14:paraId="0B02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Align w:val="center"/>
          </w:tcPr>
          <w:p w14:paraId="778682C3">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1.10.2</w:t>
            </w:r>
          </w:p>
        </w:tc>
        <w:tc>
          <w:tcPr>
            <w:tcW w:w="2252" w:type="dxa"/>
            <w:vAlign w:val="center"/>
          </w:tcPr>
          <w:p w14:paraId="6D1D1B39">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投标人提出问题的</w:t>
            </w:r>
          </w:p>
          <w:p w14:paraId="49DE711D">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截止时间</w:t>
            </w:r>
          </w:p>
        </w:tc>
        <w:tc>
          <w:tcPr>
            <w:tcW w:w="6892" w:type="dxa"/>
            <w:vAlign w:val="center"/>
          </w:tcPr>
          <w:p w14:paraId="3358A8AD">
            <w:pPr>
              <w:adjustRightInd w:val="0"/>
              <w:snapToGrid w:val="0"/>
              <w:spacing w:line="360" w:lineRule="auto"/>
              <w:jc w:val="left"/>
              <w:rPr>
                <w:rFonts w:ascii="宋体" w:hAnsi="宋体" w:cs="宋体"/>
                <w:color w:val="auto"/>
                <w:szCs w:val="21"/>
                <w:highlight w:val="none"/>
              </w:rPr>
            </w:pPr>
            <w:r>
              <w:rPr>
                <w:rFonts w:hint="eastAsia"/>
                <w:color w:val="auto"/>
                <w:highlight w:val="none"/>
              </w:rPr>
              <w:t>递交投标文件的截止之日</w:t>
            </w:r>
            <w:r>
              <w:rPr>
                <w:rFonts w:hint="eastAsia"/>
                <w:color w:val="auto"/>
                <w:highlight w:val="none"/>
                <w:lang w:val="en-US" w:eastAsia="zh-CN"/>
              </w:rPr>
              <w:t>10</w:t>
            </w:r>
            <w:r>
              <w:rPr>
                <w:rFonts w:hint="eastAsia"/>
                <w:color w:val="auto"/>
                <w:highlight w:val="none"/>
              </w:rPr>
              <w:t>日前</w:t>
            </w:r>
          </w:p>
        </w:tc>
      </w:tr>
      <w:tr w14:paraId="70C3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59" w:type="dxa"/>
            <w:vAlign w:val="center"/>
          </w:tcPr>
          <w:p w14:paraId="3A684953">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1.10.3</w:t>
            </w:r>
          </w:p>
        </w:tc>
        <w:tc>
          <w:tcPr>
            <w:tcW w:w="2252" w:type="dxa"/>
            <w:vAlign w:val="center"/>
          </w:tcPr>
          <w:p w14:paraId="354CD7D9">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招标人书面澄清的时间</w:t>
            </w:r>
          </w:p>
        </w:tc>
        <w:tc>
          <w:tcPr>
            <w:tcW w:w="6892" w:type="dxa"/>
            <w:vAlign w:val="center"/>
          </w:tcPr>
          <w:p w14:paraId="7156A1D9">
            <w:pPr>
              <w:spacing w:line="400" w:lineRule="exact"/>
              <w:rPr>
                <w:rFonts w:ascii="宋体" w:hAnsi="宋体" w:cs="宋体"/>
                <w:color w:val="auto"/>
                <w:szCs w:val="21"/>
                <w:highlight w:val="none"/>
              </w:rPr>
            </w:pPr>
            <w:r>
              <w:rPr>
                <w:rFonts w:hint="eastAsia" w:ascii="宋体" w:hAnsi="宋体" w:cs="宋体"/>
                <w:color w:val="auto"/>
                <w:szCs w:val="21"/>
                <w:highlight w:val="none"/>
              </w:rPr>
              <w:t>按招标文件规定的投标文件截止前15日前</w:t>
            </w:r>
          </w:p>
        </w:tc>
      </w:tr>
      <w:tr w14:paraId="7FFB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959" w:type="dxa"/>
            <w:vAlign w:val="center"/>
          </w:tcPr>
          <w:p w14:paraId="3EF7712C">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1.11</w:t>
            </w:r>
          </w:p>
        </w:tc>
        <w:tc>
          <w:tcPr>
            <w:tcW w:w="2252" w:type="dxa"/>
            <w:vAlign w:val="center"/>
          </w:tcPr>
          <w:p w14:paraId="76D25E57">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分包</w:t>
            </w:r>
          </w:p>
        </w:tc>
        <w:tc>
          <w:tcPr>
            <w:tcW w:w="6892" w:type="dxa"/>
            <w:vAlign w:val="center"/>
          </w:tcPr>
          <w:p w14:paraId="37E98457">
            <w:pPr>
              <w:spacing w:line="400" w:lineRule="exact"/>
              <w:rPr>
                <w:rFonts w:ascii="宋体" w:hAnsi="宋体" w:cs="宋体"/>
                <w:color w:val="auto"/>
                <w:szCs w:val="21"/>
                <w:highlight w:val="none"/>
              </w:rPr>
            </w:pPr>
            <w:r>
              <w:rPr>
                <w:rFonts w:hint="eastAsia" w:ascii="宋体" w:hAnsi="宋体" w:cs="宋体"/>
                <w:color w:val="auto"/>
                <w:szCs w:val="21"/>
                <w:highlight w:val="none"/>
              </w:rPr>
              <w:t>■ 不允许</w:t>
            </w:r>
          </w:p>
        </w:tc>
      </w:tr>
      <w:tr w14:paraId="73EFE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59" w:type="dxa"/>
            <w:vAlign w:val="center"/>
          </w:tcPr>
          <w:p w14:paraId="1AD3F459">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1.12</w:t>
            </w:r>
          </w:p>
        </w:tc>
        <w:tc>
          <w:tcPr>
            <w:tcW w:w="2252" w:type="dxa"/>
            <w:vAlign w:val="center"/>
          </w:tcPr>
          <w:p w14:paraId="17F74909">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偏离</w:t>
            </w:r>
          </w:p>
        </w:tc>
        <w:tc>
          <w:tcPr>
            <w:tcW w:w="6892" w:type="dxa"/>
            <w:vAlign w:val="center"/>
          </w:tcPr>
          <w:p w14:paraId="4381C8E7">
            <w:pPr>
              <w:spacing w:line="400" w:lineRule="exact"/>
              <w:rPr>
                <w:rFonts w:ascii="宋体" w:hAnsi="宋体" w:cs="宋体"/>
                <w:color w:val="auto"/>
                <w:szCs w:val="21"/>
                <w:highlight w:val="none"/>
              </w:rPr>
            </w:pPr>
            <w:r>
              <w:rPr>
                <w:rFonts w:hint="eastAsia" w:ascii="宋体" w:hAnsi="宋体" w:cs="宋体"/>
                <w:color w:val="auto"/>
                <w:szCs w:val="21"/>
                <w:highlight w:val="none"/>
              </w:rPr>
              <w:t>■ 允许</w:t>
            </w:r>
          </w:p>
        </w:tc>
      </w:tr>
      <w:tr w14:paraId="41E5D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959" w:type="dxa"/>
            <w:vAlign w:val="center"/>
          </w:tcPr>
          <w:p w14:paraId="16F0D535">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2.1</w:t>
            </w:r>
          </w:p>
        </w:tc>
        <w:tc>
          <w:tcPr>
            <w:tcW w:w="2252" w:type="dxa"/>
            <w:vAlign w:val="center"/>
          </w:tcPr>
          <w:p w14:paraId="28B04EE1">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构成招标文件的其他材料</w:t>
            </w:r>
          </w:p>
        </w:tc>
        <w:tc>
          <w:tcPr>
            <w:tcW w:w="6892" w:type="dxa"/>
            <w:vAlign w:val="center"/>
          </w:tcPr>
          <w:p w14:paraId="4D2BF340">
            <w:pPr>
              <w:spacing w:line="400" w:lineRule="exact"/>
              <w:rPr>
                <w:rFonts w:ascii="宋体" w:hAnsi="宋体" w:cs="宋体"/>
                <w:color w:val="auto"/>
                <w:szCs w:val="21"/>
                <w:highlight w:val="none"/>
              </w:rPr>
            </w:pPr>
            <w:r>
              <w:rPr>
                <w:rFonts w:hint="eastAsia" w:ascii="宋体" w:hAnsi="宋体" w:cs="宋体"/>
                <w:color w:val="auto"/>
                <w:szCs w:val="21"/>
                <w:highlight w:val="none"/>
              </w:rPr>
              <w:t>招标文件的补充文件（如有）、招标答疑纪要（如有）、最高投标限价（如有）</w:t>
            </w:r>
          </w:p>
        </w:tc>
      </w:tr>
      <w:tr w14:paraId="56BC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959" w:type="dxa"/>
            <w:vAlign w:val="center"/>
          </w:tcPr>
          <w:p w14:paraId="0DF77471">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2.2.1</w:t>
            </w:r>
          </w:p>
        </w:tc>
        <w:tc>
          <w:tcPr>
            <w:tcW w:w="2252" w:type="dxa"/>
            <w:vAlign w:val="center"/>
          </w:tcPr>
          <w:p w14:paraId="1B767D46">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投标人要求澄清招标文件的截止时间</w:t>
            </w:r>
          </w:p>
        </w:tc>
        <w:tc>
          <w:tcPr>
            <w:tcW w:w="6892" w:type="dxa"/>
            <w:vAlign w:val="center"/>
          </w:tcPr>
          <w:p w14:paraId="279ABF1E">
            <w:pPr>
              <w:adjustRightInd w:val="0"/>
              <w:snapToGrid w:val="0"/>
              <w:spacing w:line="360" w:lineRule="auto"/>
              <w:rPr>
                <w:rFonts w:ascii="宋体" w:hAnsi="宋体" w:cs="宋体"/>
                <w:color w:val="auto"/>
                <w:szCs w:val="21"/>
                <w:highlight w:val="none"/>
              </w:rPr>
            </w:pPr>
            <w:r>
              <w:rPr>
                <w:rFonts w:hint="eastAsia"/>
                <w:color w:val="auto"/>
                <w:highlight w:val="none"/>
              </w:rPr>
              <w:t>递</w:t>
            </w:r>
            <w:r>
              <w:rPr>
                <w:rFonts w:hint="eastAsia" w:ascii="宋体" w:hAnsi="宋体" w:cs="宋体"/>
                <w:color w:val="auto"/>
                <w:szCs w:val="21"/>
                <w:highlight w:val="none"/>
              </w:rPr>
              <w:t>交投标文件的截止之日15日前</w:t>
            </w:r>
          </w:p>
          <w:p w14:paraId="3DF04DD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投标人应</w:t>
            </w:r>
            <w:r>
              <w:rPr>
                <w:rFonts w:hint="eastAsia" w:ascii="宋体" w:hAnsi="宋体" w:cs="宋体"/>
                <w:color w:val="auto"/>
                <w:szCs w:val="21"/>
                <w:highlight w:val="none"/>
                <w:lang w:eastAsia="zh-CN"/>
              </w:rPr>
              <w:t>以电子平台形式</w:t>
            </w:r>
            <w:r>
              <w:rPr>
                <w:rFonts w:hint="eastAsia" w:ascii="宋体" w:hAnsi="宋体" w:cs="宋体"/>
                <w:color w:val="auto"/>
                <w:szCs w:val="21"/>
                <w:highlight w:val="none"/>
              </w:rPr>
              <w:t>提出</w:t>
            </w:r>
          </w:p>
        </w:tc>
      </w:tr>
      <w:tr w14:paraId="2FF1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959" w:type="dxa"/>
            <w:vAlign w:val="center"/>
          </w:tcPr>
          <w:p w14:paraId="08A0EB6A">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2.2.2</w:t>
            </w:r>
          </w:p>
        </w:tc>
        <w:tc>
          <w:tcPr>
            <w:tcW w:w="2252" w:type="dxa"/>
            <w:vAlign w:val="center"/>
          </w:tcPr>
          <w:p w14:paraId="233C5AC6">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投标截止时间</w:t>
            </w:r>
          </w:p>
        </w:tc>
        <w:tc>
          <w:tcPr>
            <w:tcW w:w="6892" w:type="dxa"/>
            <w:vAlign w:val="center"/>
          </w:tcPr>
          <w:p w14:paraId="5548C0BC">
            <w:pPr>
              <w:spacing w:line="400" w:lineRule="exact"/>
              <w:jc w:val="left"/>
              <w:rPr>
                <w:rFonts w:ascii="宋体" w:hAnsi="宋体" w:cs="宋体"/>
                <w:b/>
                <w:color w:val="auto"/>
                <w:szCs w:val="21"/>
                <w:highlight w:val="none"/>
              </w:rPr>
            </w:pPr>
            <w:r>
              <w:rPr>
                <w:rFonts w:hint="eastAsia" w:ascii="宋体" w:hAnsi="宋体" w:cs="宋体"/>
                <w:b/>
                <w:color w:val="auto"/>
                <w:szCs w:val="21"/>
                <w:highlight w:val="none"/>
                <w:lang w:val="en-US" w:eastAsia="zh-CN"/>
              </w:rPr>
              <w:t>2026年11</w:t>
            </w:r>
            <w:r>
              <w:rPr>
                <w:rFonts w:hint="eastAsia" w:ascii="宋体" w:hAnsi="宋体" w:cs="宋体"/>
                <w:b/>
                <w:color w:val="auto"/>
                <w:szCs w:val="21"/>
                <w:highlight w:val="none"/>
              </w:rPr>
              <w:t>月</w:t>
            </w:r>
            <w:r>
              <w:rPr>
                <w:rFonts w:hint="eastAsia" w:ascii="宋体" w:hAnsi="宋体" w:cs="宋体"/>
                <w:b/>
                <w:color w:val="auto"/>
                <w:szCs w:val="21"/>
                <w:highlight w:val="none"/>
                <w:lang w:val="en-US" w:eastAsia="zh-CN"/>
              </w:rPr>
              <w:t>05</w:t>
            </w:r>
            <w:r>
              <w:rPr>
                <w:rFonts w:hint="eastAsia" w:ascii="宋体" w:hAnsi="宋体" w:cs="宋体"/>
                <w:b/>
                <w:color w:val="auto"/>
                <w:szCs w:val="21"/>
                <w:highlight w:val="none"/>
              </w:rPr>
              <w:t>日</w:t>
            </w:r>
            <w:r>
              <w:rPr>
                <w:rFonts w:hint="eastAsia" w:ascii="宋体" w:hAnsi="宋体" w:cs="宋体"/>
                <w:b/>
                <w:color w:val="auto"/>
                <w:szCs w:val="21"/>
                <w:highlight w:val="none"/>
                <w:lang w:val="en-US" w:eastAsia="zh-CN"/>
              </w:rPr>
              <w:t>9</w:t>
            </w:r>
            <w:r>
              <w:rPr>
                <w:rFonts w:hint="eastAsia" w:ascii="宋体" w:hAnsi="宋体" w:cs="宋体"/>
                <w:b/>
                <w:color w:val="auto"/>
                <w:szCs w:val="21"/>
                <w:highlight w:val="none"/>
              </w:rPr>
              <w:t>时</w:t>
            </w:r>
            <w:r>
              <w:rPr>
                <w:rFonts w:hint="eastAsia" w:ascii="宋体" w:hAnsi="宋体" w:cs="宋体"/>
                <w:b/>
                <w:color w:val="auto"/>
                <w:szCs w:val="21"/>
                <w:highlight w:val="none"/>
                <w:lang w:val="en-US" w:eastAsia="zh-CN"/>
              </w:rPr>
              <w:t>00</w:t>
            </w:r>
            <w:r>
              <w:rPr>
                <w:rFonts w:hint="eastAsia" w:ascii="宋体" w:hAnsi="宋体" w:cs="宋体"/>
                <w:b/>
                <w:color w:val="auto"/>
                <w:szCs w:val="21"/>
                <w:highlight w:val="none"/>
              </w:rPr>
              <w:t>分（北京时间）</w:t>
            </w:r>
          </w:p>
        </w:tc>
      </w:tr>
      <w:tr w14:paraId="7287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959" w:type="dxa"/>
            <w:vAlign w:val="center"/>
          </w:tcPr>
          <w:p w14:paraId="0E1635BD">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2.2.3</w:t>
            </w:r>
          </w:p>
        </w:tc>
        <w:tc>
          <w:tcPr>
            <w:tcW w:w="2252" w:type="dxa"/>
            <w:vAlign w:val="center"/>
          </w:tcPr>
          <w:p w14:paraId="7EA22BF7">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投标人确认收到招标文件澄清的时间</w:t>
            </w:r>
          </w:p>
        </w:tc>
        <w:tc>
          <w:tcPr>
            <w:tcW w:w="6892" w:type="dxa"/>
            <w:vAlign w:val="center"/>
          </w:tcPr>
          <w:p w14:paraId="78B3BE79">
            <w:pPr>
              <w:rPr>
                <w:color w:val="auto"/>
                <w:szCs w:val="21"/>
                <w:highlight w:val="none"/>
              </w:rPr>
            </w:pPr>
            <w:r>
              <w:rPr>
                <w:rFonts w:hint="eastAsia"/>
                <w:color w:val="auto"/>
                <w:szCs w:val="21"/>
                <w:highlight w:val="none"/>
              </w:rPr>
              <w:t>招标文件澄清发出后24小时以内</w:t>
            </w:r>
          </w:p>
          <w:p w14:paraId="3DDB20CB">
            <w:pPr>
              <w:pStyle w:val="19"/>
              <w:spacing w:line="240" w:lineRule="auto"/>
              <w:ind w:left="0" w:leftChars="0"/>
              <w:rPr>
                <w:rFonts w:hint="eastAsia" w:eastAsia="宋体"/>
                <w:color w:val="auto"/>
                <w:highlight w:val="none"/>
                <w:lang w:eastAsia="zh-CN"/>
              </w:rPr>
            </w:pPr>
            <w:r>
              <w:rPr>
                <w:rFonts w:hint="eastAsia" w:ascii="宋体" w:hAnsi="宋体" w:cs="宋体"/>
                <w:color w:val="auto"/>
                <w:szCs w:val="21"/>
                <w:highlight w:val="none"/>
              </w:rPr>
              <w:t>形式：招标文件澄清</w:t>
            </w:r>
            <w:r>
              <w:rPr>
                <w:rFonts w:hint="eastAsia" w:ascii="宋体" w:hAnsi="宋体" w:cs="宋体"/>
                <w:color w:val="auto"/>
                <w:szCs w:val="21"/>
                <w:highlight w:val="none"/>
                <w:lang w:eastAsia="zh-CN"/>
              </w:rPr>
              <w:t>公告</w:t>
            </w:r>
            <w:r>
              <w:rPr>
                <w:rFonts w:hint="eastAsia" w:ascii="宋体" w:hAnsi="宋体" w:cs="宋体"/>
                <w:color w:val="auto"/>
                <w:szCs w:val="21"/>
                <w:highlight w:val="none"/>
              </w:rPr>
              <w:t>在交易中心网站一经发出即视为投标人已确认收到，请保持关注</w:t>
            </w:r>
            <w:r>
              <w:rPr>
                <w:rFonts w:hint="eastAsia" w:ascii="宋体" w:hAnsi="宋体" w:cs="宋体"/>
                <w:color w:val="auto"/>
                <w:szCs w:val="21"/>
                <w:highlight w:val="none"/>
                <w:lang w:eastAsia="zh-CN"/>
              </w:rPr>
              <w:t>。</w:t>
            </w:r>
          </w:p>
        </w:tc>
      </w:tr>
      <w:tr w14:paraId="11C2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959" w:type="dxa"/>
            <w:vAlign w:val="center"/>
          </w:tcPr>
          <w:p w14:paraId="5A82E5B1">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2.3.2</w:t>
            </w:r>
          </w:p>
        </w:tc>
        <w:tc>
          <w:tcPr>
            <w:tcW w:w="2252" w:type="dxa"/>
            <w:vAlign w:val="center"/>
          </w:tcPr>
          <w:p w14:paraId="5A9BAF03">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投标人确认收到招标文件修改的间</w:t>
            </w:r>
          </w:p>
        </w:tc>
        <w:tc>
          <w:tcPr>
            <w:tcW w:w="6892" w:type="dxa"/>
            <w:vAlign w:val="center"/>
          </w:tcPr>
          <w:p w14:paraId="4FF1ADD9">
            <w:pPr>
              <w:rPr>
                <w:rFonts w:ascii="宋体" w:hAnsi="宋体" w:cs="宋体"/>
                <w:color w:val="auto"/>
                <w:szCs w:val="21"/>
                <w:highlight w:val="none"/>
              </w:rPr>
            </w:pPr>
            <w:r>
              <w:rPr>
                <w:rFonts w:hint="eastAsia" w:ascii="宋体" w:hAnsi="宋体" w:cs="宋体"/>
                <w:color w:val="auto"/>
                <w:szCs w:val="21"/>
                <w:highlight w:val="none"/>
              </w:rPr>
              <w:t>招标文件修改发出后24小时以内</w:t>
            </w:r>
          </w:p>
          <w:p w14:paraId="4E00195C">
            <w:pPr>
              <w:pStyle w:val="19"/>
              <w:spacing w:line="240" w:lineRule="auto"/>
              <w:ind w:left="0" w:leftChars="0"/>
              <w:rPr>
                <w:rFonts w:hint="eastAsia" w:eastAsia="宋体"/>
                <w:color w:val="auto"/>
                <w:highlight w:val="none"/>
                <w:lang w:eastAsia="zh-CN"/>
              </w:rPr>
            </w:pPr>
            <w:r>
              <w:rPr>
                <w:rFonts w:hint="eastAsia" w:ascii="宋体" w:hAnsi="宋体" w:cs="宋体"/>
                <w:color w:val="auto"/>
                <w:szCs w:val="21"/>
                <w:highlight w:val="none"/>
              </w:rPr>
              <w:t>形式：招标文件修改</w:t>
            </w:r>
            <w:r>
              <w:rPr>
                <w:rFonts w:hint="eastAsia" w:ascii="宋体" w:hAnsi="宋体" w:cs="宋体"/>
                <w:color w:val="auto"/>
                <w:szCs w:val="21"/>
                <w:highlight w:val="none"/>
                <w:lang w:eastAsia="zh-CN"/>
              </w:rPr>
              <w:t>公告</w:t>
            </w:r>
            <w:r>
              <w:rPr>
                <w:rFonts w:hint="eastAsia" w:ascii="宋体" w:hAnsi="宋体" w:cs="宋体"/>
                <w:color w:val="auto"/>
                <w:szCs w:val="21"/>
                <w:highlight w:val="none"/>
              </w:rPr>
              <w:t>在交易中心网站一经发出即视为投标人已确认收到，请保持关注</w:t>
            </w:r>
            <w:r>
              <w:rPr>
                <w:rFonts w:hint="eastAsia" w:ascii="宋体" w:hAnsi="宋体" w:cs="宋体"/>
                <w:color w:val="auto"/>
                <w:szCs w:val="21"/>
                <w:highlight w:val="none"/>
                <w:lang w:eastAsia="zh-CN"/>
              </w:rPr>
              <w:t>。</w:t>
            </w:r>
          </w:p>
        </w:tc>
      </w:tr>
      <w:tr w14:paraId="668E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959" w:type="dxa"/>
            <w:vAlign w:val="center"/>
          </w:tcPr>
          <w:p w14:paraId="5BCB0DD8">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3.1.1</w:t>
            </w:r>
          </w:p>
        </w:tc>
        <w:tc>
          <w:tcPr>
            <w:tcW w:w="2252" w:type="dxa"/>
            <w:vAlign w:val="center"/>
          </w:tcPr>
          <w:p w14:paraId="4995E2FA">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构成投标文件的其他材料</w:t>
            </w:r>
          </w:p>
        </w:tc>
        <w:tc>
          <w:tcPr>
            <w:tcW w:w="6892" w:type="dxa"/>
            <w:vAlign w:val="center"/>
          </w:tcPr>
          <w:p w14:paraId="3E759CD0">
            <w:pPr>
              <w:spacing w:line="40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无</w:t>
            </w:r>
          </w:p>
        </w:tc>
      </w:tr>
      <w:tr w14:paraId="47E1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Align w:val="center"/>
          </w:tcPr>
          <w:p w14:paraId="457BFA8D">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3.3.1</w:t>
            </w:r>
          </w:p>
        </w:tc>
        <w:tc>
          <w:tcPr>
            <w:tcW w:w="2252" w:type="dxa"/>
            <w:vAlign w:val="center"/>
          </w:tcPr>
          <w:p w14:paraId="4853C17B">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投标有效期</w:t>
            </w:r>
          </w:p>
        </w:tc>
        <w:tc>
          <w:tcPr>
            <w:tcW w:w="6892" w:type="dxa"/>
            <w:vAlign w:val="center"/>
          </w:tcPr>
          <w:p w14:paraId="6E5EBEC1">
            <w:pPr>
              <w:spacing w:line="400" w:lineRule="exact"/>
              <w:rPr>
                <w:rFonts w:ascii="宋体" w:hAnsi="宋体" w:cs="宋体"/>
                <w:color w:val="auto"/>
                <w:szCs w:val="21"/>
                <w:highlight w:val="none"/>
              </w:rPr>
            </w:pPr>
            <w:r>
              <w:rPr>
                <w:rFonts w:hint="eastAsia" w:ascii="宋体" w:hAnsi="宋体" w:cs="宋体"/>
                <w:color w:val="auto"/>
                <w:szCs w:val="21"/>
                <w:highlight w:val="none"/>
              </w:rPr>
              <w:t>60日历天(自投标截止之日算起)</w:t>
            </w:r>
          </w:p>
        </w:tc>
      </w:tr>
      <w:tr w14:paraId="6665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959" w:type="dxa"/>
            <w:vAlign w:val="center"/>
          </w:tcPr>
          <w:p w14:paraId="569BE31A">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3.5.3</w:t>
            </w:r>
          </w:p>
        </w:tc>
        <w:tc>
          <w:tcPr>
            <w:tcW w:w="2252" w:type="dxa"/>
            <w:vAlign w:val="center"/>
          </w:tcPr>
          <w:p w14:paraId="4E068DB8">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近年完成的类似项目的年份要求</w:t>
            </w:r>
          </w:p>
        </w:tc>
        <w:tc>
          <w:tcPr>
            <w:tcW w:w="6892" w:type="dxa"/>
            <w:vAlign w:val="center"/>
          </w:tcPr>
          <w:p w14:paraId="1F973ED4">
            <w:pPr>
              <w:spacing w:line="400" w:lineRule="exact"/>
              <w:rPr>
                <w:rFonts w:ascii="宋体" w:hAnsi="宋体" w:cs="宋体"/>
                <w:color w:val="auto"/>
                <w:szCs w:val="21"/>
                <w:highlight w:val="none"/>
              </w:rPr>
            </w:pPr>
            <w:r>
              <w:rPr>
                <w:rFonts w:hint="eastAsia" w:ascii="宋体" w:hAnsi="宋体" w:cs="宋体"/>
                <w:color w:val="auto"/>
                <w:szCs w:val="21"/>
                <w:highlight w:val="none"/>
              </w:rPr>
              <w:t>指</w:t>
            </w: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月1日起至今</w:t>
            </w:r>
          </w:p>
        </w:tc>
      </w:tr>
      <w:tr w14:paraId="2CA6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959" w:type="dxa"/>
            <w:vAlign w:val="center"/>
          </w:tcPr>
          <w:p w14:paraId="5D24EAE5">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3.5.5</w:t>
            </w:r>
          </w:p>
        </w:tc>
        <w:tc>
          <w:tcPr>
            <w:tcW w:w="2252" w:type="dxa"/>
            <w:vAlign w:val="center"/>
          </w:tcPr>
          <w:p w14:paraId="75DD1A17">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近年发生的诉讼及仲裁情况的年份要求</w:t>
            </w:r>
          </w:p>
        </w:tc>
        <w:tc>
          <w:tcPr>
            <w:tcW w:w="6892" w:type="dxa"/>
            <w:vAlign w:val="center"/>
          </w:tcPr>
          <w:p w14:paraId="2B401279">
            <w:pPr>
              <w:spacing w:line="400" w:lineRule="exact"/>
              <w:rPr>
                <w:rFonts w:ascii="宋体" w:hAnsi="宋体" w:cs="宋体"/>
                <w:color w:val="auto"/>
                <w:szCs w:val="21"/>
                <w:highlight w:val="none"/>
              </w:rPr>
            </w:pPr>
            <w:r>
              <w:rPr>
                <w:rFonts w:hint="eastAsia" w:ascii="宋体" w:hAnsi="宋体" w:cs="宋体"/>
                <w:color w:val="auto"/>
                <w:szCs w:val="21"/>
                <w:highlight w:val="none"/>
              </w:rPr>
              <w:t>指</w:t>
            </w: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月1日起至今</w:t>
            </w:r>
          </w:p>
        </w:tc>
      </w:tr>
      <w:tr w14:paraId="357CF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959" w:type="dxa"/>
            <w:vAlign w:val="center"/>
          </w:tcPr>
          <w:p w14:paraId="754165D6">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3.6.1</w:t>
            </w:r>
          </w:p>
        </w:tc>
        <w:tc>
          <w:tcPr>
            <w:tcW w:w="2252" w:type="dxa"/>
            <w:vAlign w:val="center"/>
          </w:tcPr>
          <w:p w14:paraId="12DD3C4F">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是否允许递交备选投标方案</w:t>
            </w:r>
          </w:p>
        </w:tc>
        <w:tc>
          <w:tcPr>
            <w:tcW w:w="6892" w:type="dxa"/>
            <w:vAlign w:val="center"/>
          </w:tcPr>
          <w:p w14:paraId="4E9FCAD2">
            <w:pPr>
              <w:spacing w:line="400" w:lineRule="exact"/>
              <w:rPr>
                <w:rFonts w:ascii="宋体" w:hAnsi="宋体" w:cs="宋体"/>
                <w:color w:val="auto"/>
                <w:szCs w:val="21"/>
                <w:highlight w:val="none"/>
              </w:rPr>
            </w:pPr>
            <w:r>
              <w:rPr>
                <w:rFonts w:hint="eastAsia" w:ascii="宋体" w:hAnsi="宋体" w:cs="宋体"/>
                <w:color w:val="auto"/>
                <w:szCs w:val="21"/>
                <w:highlight w:val="none"/>
              </w:rPr>
              <w:t>■不允许</w:t>
            </w:r>
          </w:p>
        </w:tc>
      </w:tr>
      <w:tr w14:paraId="30C0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Align w:val="center"/>
          </w:tcPr>
          <w:p w14:paraId="77A8AB4C">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3.7.3</w:t>
            </w:r>
          </w:p>
        </w:tc>
        <w:tc>
          <w:tcPr>
            <w:tcW w:w="2252" w:type="dxa"/>
            <w:vAlign w:val="center"/>
          </w:tcPr>
          <w:p w14:paraId="4CFA8240">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outlineLvl w:val="9"/>
              <w:rPr>
                <w:rFonts w:ascii="宋体" w:hAnsi="宋体" w:cs="宋体"/>
                <w:color w:val="auto"/>
                <w:szCs w:val="21"/>
                <w:highlight w:val="none"/>
              </w:rPr>
            </w:pPr>
            <w:r>
              <w:rPr>
                <w:rFonts w:hint="eastAsia" w:ascii="宋体" w:hAnsi="宋体"/>
                <w:color w:val="auto"/>
                <w:szCs w:val="21"/>
                <w:highlight w:val="none"/>
                <w:lang w:eastAsia="zh-CN"/>
              </w:rPr>
              <w:t>签字或盖章或电子签章</w:t>
            </w:r>
            <w:r>
              <w:rPr>
                <w:rFonts w:hint="eastAsia" w:ascii="宋体" w:hAnsi="宋体"/>
                <w:color w:val="auto"/>
                <w:szCs w:val="21"/>
                <w:highlight w:val="none"/>
              </w:rPr>
              <w:t>要求</w:t>
            </w:r>
          </w:p>
        </w:tc>
        <w:tc>
          <w:tcPr>
            <w:tcW w:w="6892" w:type="dxa"/>
            <w:vAlign w:val="center"/>
          </w:tcPr>
          <w:p w14:paraId="6C608C92">
            <w:pPr>
              <w:keepNext w:val="0"/>
              <w:keepLines w:val="0"/>
              <w:pageBreakBefore w:val="0"/>
              <w:widowControl w:val="0"/>
              <w:kinsoku/>
              <w:wordWrap/>
              <w:overflowPunct/>
              <w:topLinePunct w:val="0"/>
              <w:autoSpaceDE/>
              <w:autoSpaceDN/>
              <w:bidi w:val="0"/>
              <w:adjustRightInd/>
              <w:snapToGrid/>
              <w:spacing w:line="400" w:lineRule="exact"/>
              <w:ind w:right="0" w:rightChars="0"/>
              <w:textAlignment w:val="auto"/>
              <w:outlineLvl w:val="9"/>
              <w:rPr>
                <w:rFonts w:ascii="宋体" w:hAnsi="宋体" w:cs="宋体"/>
                <w:color w:val="auto"/>
                <w:szCs w:val="21"/>
                <w:highlight w:val="none"/>
              </w:rPr>
            </w:pPr>
            <w:r>
              <w:rPr>
                <w:rFonts w:hint="eastAsia" w:ascii="宋体" w:hAnsi="宋体"/>
                <w:color w:val="auto"/>
                <w:szCs w:val="21"/>
                <w:highlight w:val="none"/>
                <w:lang w:eastAsia="zh-CN"/>
              </w:rPr>
              <w:t>投标人在制作投标文件时，应按投标文件格式要求签字盖章，公章包含电子公章或企业公章，签字包含电子签章或手写签名。</w:t>
            </w:r>
          </w:p>
        </w:tc>
      </w:tr>
      <w:tr w14:paraId="56BD2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59" w:type="dxa"/>
            <w:vAlign w:val="center"/>
          </w:tcPr>
          <w:p w14:paraId="0426418E">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4.2.3</w:t>
            </w:r>
          </w:p>
        </w:tc>
        <w:tc>
          <w:tcPr>
            <w:tcW w:w="2252" w:type="dxa"/>
            <w:vAlign w:val="center"/>
          </w:tcPr>
          <w:p w14:paraId="17AAF332">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是否退还投标文件</w:t>
            </w:r>
          </w:p>
        </w:tc>
        <w:tc>
          <w:tcPr>
            <w:tcW w:w="6892" w:type="dxa"/>
            <w:vAlign w:val="center"/>
          </w:tcPr>
          <w:p w14:paraId="3BAD7D4A">
            <w:pPr>
              <w:spacing w:line="400" w:lineRule="exact"/>
              <w:rPr>
                <w:rFonts w:ascii="宋体" w:hAnsi="宋体" w:cs="宋体"/>
                <w:color w:val="auto"/>
                <w:szCs w:val="21"/>
                <w:highlight w:val="none"/>
              </w:rPr>
            </w:pPr>
            <w:r>
              <w:rPr>
                <w:rFonts w:hint="eastAsia" w:ascii="宋体" w:hAnsi="宋体" w:cs="宋体"/>
                <w:color w:val="auto"/>
                <w:szCs w:val="21"/>
                <w:highlight w:val="none"/>
              </w:rPr>
              <w:t>■否</w:t>
            </w:r>
          </w:p>
        </w:tc>
      </w:tr>
      <w:tr w14:paraId="37F8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Align w:val="center"/>
          </w:tcPr>
          <w:p w14:paraId="7F6526A5">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5.1</w:t>
            </w:r>
          </w:p>
        </w:tc>
        <w:tc>
          <w:tcPr>
            <w:tcW w:w="2252" w:type="dxa"/>
            <w:vAlign w:val="center"/>
          </w:tcPr>
          <w:p w14:paraId="7D081143">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开标时间和地点</w:t>
            </w:r>
          </w:p>
        </w:tc>
        <w:tc>
          <w:tcPr>
            <w:tcW w:w="6892" w:type="dxa"/>
            <w:vAlign w:val="center"/>
          </w:tcPr>
          <w:p w14:paraId="0A4698F7">
            <w:pPr>
              <w:adjustRightInd w:val="0"/>
              <w:snapToGrid w:val="0"/>
              <w:spacing w:line="40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开标时间：</w:t>
            </w:r>
            <w:r>
              <w:rPr>
                <w:rFonts w:hint="eastAsia" w:ascii="宋体" w:hAnsi="宋体" w:cs="宋体"/>
                <w:color w:val="auto"/>
                <w:szCs w:val="21"/>
                <w:highlight w:val="none"/>
                <w:lang w:val="en-US" w:eastAsia="zh-CN"/>
              </w:rPr>
              <w:t>2026年11</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05日</w:t>
            </w:r>
            <w:r>
              <w:rPr>
                <w:rFonts w:hint="eastAsia" w:ascii="宋体" w:hAnsi="宋体" w:cs="宋体"/>
                <w:color w:val="auto"/>
                <w:szCs w:val="21"/>
                <w:highlight w:val="none"/>
              </w:rPr>
              <w:t>上午9时</w:t>
            </w:r>
            <w:r>
              <w:rPr>
                <w:rFonts w:hint="eastAsia" w:ascii="宋体" w:hAnsi="宋体" w:cs="宋体"/>
                <w:color w:val="auto"/>
                <w:szCs w:val="21"/>
                <w:highlight w:val="none"/>
                <w:lang w:val="en-US" w:eastAsia="zh-CN"/>
              </w:rPr>
              <w:t>00</w:t>
            </w:r>
            <w:r>
              <w:rPr>
                <w:rFonts w:hint="eastAsia" w:ascii="宋体" w:hAnsi="宋体" w:cs="宋体"/>
                <w:color w:val="auto"/>
                <w:szCs w:val="21"/>
                <w:highlight w:val="none"/>
              </w:rPr>
              <w:t>分</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北京时间</w:t>
            </w:r>
            <w:r>
              <w:rPr>
                <w:rFonts w:hint="eastAsia" w:ascii="宋体" w:hAnsi="宋体" w:cs="宋体"/>
                <w:color w:val="auto"/>
                <w:szCs w:val="21"/>
                <w:highlight w:val="none"/>
                <w:lang w:eastAsia="zh-CN"/>
              </w:rPr>
              <w:t>）</w:t>
            </w:r>
          </w:p>
          <w:p w14:paraId="4EC7FE8A">
            <w:pPr>
              <w:adjustRightInd w:val="0"/>
              <w:snapToGrid w:val="0"/>
              <w:spacing w:line="400" w:lineRule="exact"/>
              <w:rPr>
                <w:rFonts w:ascii="宋体" w:hAnsi="宋体" w:cs="宋体"/>
                <w:color w:val="auto"/>
                <w:szCs w:val="21"/>
                <w:highlight w:val="none"/>
              </w:rPr>
            </w:pPr>
            <w:r>
              <w:rPr>
                <w:rFonts w:hint="eastAsia" w:ascii="宋体" w:hAnsi="宋体" w:cs="宋体"/>
                <w:color w:val="auto"/>
                <w:szCs w:val="21"/>
                <w:highlight w:val="none"/>
              </w:rPr>
              <w:t>开标地点：</w:t>
            </w:r>
            <w:r>
              <w:rPr>
                <w:rFonts w:hint="eastAsia" w:ascii="宋体" w:hAnsi="宋体" w:cs="宋体"/>
                <w:color w:val="auto"/>
                <w:szCs w:val="21"/>
                <w:highlight w:val="none"/>
                <w:lang w:eastAsia="zh-CN"/>
              </w:rPr>
              <w:t>郑州市公共资源交易中心荥阳分中心</w:t>
            </w: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二</w:t>
            </w:r>
            <w:r>
              <w:rPr>
                <w:rFonts w:hint="eastAsia" w:ascii="宋体" w:hAnsi="宋体" w:cs="宋体"/>
                <w:color w:val="auto"/>
                <w:szCs w:val="21"/>
                <w:highlight w:val="none"/>
              </w:rPr>
              <w:t>开标室</w:t>
            </w:r>
          </w:p>
        </w:tc>
      </w:tr>
      <w:tr w14:paraId="30F2D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959" w:type="dxa"/>
            <w:vAlign w:val="center"/>
          </w:tcPr>
          <w:p w14:paraId="07B32D91">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5.2</w:t>
            </w:r>
          </w:p>
        </w:tc>
        <w:tc>
          <w:tcPr>
            <w:tcW w:w="2252" w:type="dxa"/>
            <w:vAlign w:val="center"/>
          </w:tcPr>
          <w:p w14:paraId="63440E6C">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outlineLvl w:val="9"/>
              <w:rPr>
                <w:rFonts w:ascii="宋体" w:hAnsi="宋体" w:cs="宋体"/>
                <w:color w:val="auto"/>
                <w:szCs w:val="21"/>
                <w:highlight w:val="none"/>
              </w:rPr>
            </w:pPr>
            <w:r>
              <w:rPr>
                <w:rFonts w:hint="eastAsia" w:ascii="宋体" w:hAnsi="宋体"/>
                <w:color w:val="auto"/>
                <w:szCs w:val="21"/>
                <w:highlight w:val="none"/>
              </w:rPr>
              <w:t>开标程序</w:t>
            </w:r>
          </w:p>
        </w:tc>
        <w:tc>
          <w:tcPr>
            <w:tcW w:w="6892" w:type="dxa"/>
            <w:vAlign w:val="center"/>
          </w:tcPr>
          <w:p w14:paraId="4DC8F5E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宋体" w:hAnsi="宋体" w:eastAsia="宋体" w:cs="宋体"/>
                <w:color w:val="auto"/>
                <w:szCs w:val="21"/>
                <w:highlight w:val="none"/>
                <w:u w:val="single"/>
                <w:lang w:eastAsia="zh-CN"/>
              </w:rPr>
            </w:pPr>
            <w:r>
              <w:rPr>
                <w:rFonts w:hint="eastAsia" w:ascii="宋体" w:hAnsi="宋体" w:eastAsia="宋体"/>
                <w:color w:val="auto"/>
                <w:szCs w:val="21"/>
                <w:highlight w:val="none"/>
                <w:u w:val="none"/>
                <w:lang w:eastAsia="zh-CN"/>
              </w:rPr>
              <w:t>本项目采用“远程不见面”开标方式。投标人无需到</w:t>
            </w:r>
            <w:r>
              <w:rPr>
                <w:rFonts w:hint="eastAsia" w:ascii="宋体" w:hAnsi="宋体"/>
                <w:color w:val="auto"/>
                <w:szCs w:val="21"/>
                <w:highlight w:val="none"/>
                <w:u w:val="none"/>
                <w:lang w:eastAsia="zh-CN"/>
              </w:rPr>
              <w:t>郑州市公共资源交易中心荥阳分中心</w:t>
            </w:r>
            <w:r>
              <w:rPr>
                <w:rFonts w:hint="eastAsia" w:ascii="宋体" w:hAnsi="宋体" w:eastAsia="宋体"/>
                <w:color w:val="auto"/>
                <w:szCs w:val="21"/>
                <w:highlight w:val="none"/>
                <w:u w:val="none"/>
                <w:lang w:eastAsia="zh-CN"/>
              </w:rPr>
              <w:t>现场参加开标会议，不再要求投标人到达现场提交任何资料。投标人应当在招标文件确定的投标截止时间前，登录“</w:t>
            </w:r>
            <w:r>
              <w:rPr>
                <w:rFonts w:hint="eastAsia" w:ascii="宋体" w:hAnsi="宋体"/>
                <w:color w:val="auto"/>
                <w:szCs w:val="21"/>
                <w:highlight w:val="none"/>
                <w:u w:val="none"/>
                <w:lang w:eastAsia="zh-CN"/>
              </w:rPr>
              <w:t>郑州市公共资源交易中心荥阳分中心</w:t>
            </w:r>
            <w:r>
              <w:rPr>
                <w:rFonts w:hint="eastAsia" w:ascii="宋体" w:hAnsi="宋体" w:eastAsia="宋体"/>
                <w:color w:val="auto"/>
                <w:szCs w:val="21"/>
                <w:highlight w:val="none"/>
                <w:u w:val="none"/>
                <w:lang w:eastAsia="zh-CN"/>
              </w:rPr>
              <w:t>不见面开标大厅”，在线准时参加开标活动并进行文件解密、答疑澄清等。</w:t>
            </w:r>
          </w:p>
        </w:tc>
      </w:tr>
      <w:tr w14:paraId="6716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Align w:val="center"/>
          </w:tcPr>
          <w:p w14:paraId="5501373D">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6.1.1</w:t>
            </w:r>
          </w:p>
        </w:tc>
        <w:tc>
          <w:tcPr>
            <w:tcW w:w="2252" w:type="dxa"/>
            <w:vAlign w:val="center"/>
          </w:tcPr>
          <w:p w14:paraId="310CA12A">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评标委员会的组建</w:t>
            </w:r>
          </w:p>
        </w:tc>
        <w:tc>
          <w:tcPr>
            <w:tcW w:w="6892" w:type="dxa"/>
            <w:vAlign w:val="center"/>
          </w:tcPr>
          <w:p w14:paraId="308F7EC2">
            <w:pPr>
              <w:spacing w:line="40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评标委员会构成：评标委员会由采购人代表和评审专家组成，由采购人代表</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人，技术、经济等方面专家</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人共</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人组成</w:t>
            </w:r>
            <w:r>
              <w:rPr>
                <w:rFonts w:hint="eastAsia" w:ascii="宋体" w:hAnsi="宋体" w:cs="宋体"/>
                <w:color w:val="auto"/>
                <w:szCs w:val="21"/>
                <w:highlight w:val="none"/>
                <w:lang w:eastAsia="zh-CN"/>
              </w:rPr>
              <w:t>。</w:t>
            </w:r>
          </w:p>
          <w:p w14:paraId="06876EAA">
            <w:pPr>
              <w:spacing w:line="400" w:lineRule="exact"/>
              <w:rPr>
                <w:rFonts w:ascii="宋体" w:hAnsi="宋体" w:cs="宋体"/>
                <w:color w:val="auto"/>
                <w:szCs w:val="21"/>
                <w:highlight w:val="none"/>
              </w:rPr>
            </w:pPr>
            <w:r>
              <w:rPr>
                <w:rFonts w:hint="eastAsia" w:ascii="宋体" w:hAnsi="宋体" w:cs="宋体"/>
                <w:color w:val="auto"/>
                <w:szCs w:val="21"/>
                <w:highlight w:val="none"/>
              </w:rPr>
              <w:t>评</w:t>
            </w:r>
            <w:r>
              <w:rPr>
                <w:rFonts w:hint="eastAsia" w:ascii="宋体" w:hAnsi="宋体" w:cs="宋体"/>
                <w:color w:val="auto"/>
                <w:szCs w:val="21"/>
                <w:highlight w:val="none"/>
                <w:lang w:eastAsia="zh-CN"/>
              </w:rPr>
              <w:t>审</w:t>
            </w:r>
            <w:r>
              <w:rPr>
                <w:rFonts w:hint="eastAsia" w:ascii="宋体" w:hAnsi="宋体" w:cs="宋体"/>
                <w:color w:val="auto"/>
                <w:szCs w:val="21"/>
                <w:highlight w:val="none"/>
              </w:rPr>
              <w:t>专家确定方式：</w:t>
            </w:r>
            <w:r>
              <w:rPr>
                <w:rFonts w:hint="eastAsia" w:ascii="宋体" w:hAnsi="宋体" w:cs="宋体"/>
                <w:color w:val="auto"/>
                <w:sz w:val="21"/>
                <w:szCs w:val="21"/>
                <w:highlight w:val="none"/>
                <w:lang w:eastAsia="zh-CN"/>
              </w:rPr>
              <w:t>开标</w:t>
            </w:r>
            <w:r>
              <w:rPr>
                <w:rFonts w:hint="eastAsia" w:ascii="宋体" w:hAnsi="宋体" w:eastAsia="宋体" w:cs="宋体"/>
                <w:color w:val="auto"/>
                <w:sz w:val="21"/>
                <w:szCs w:val="21"/>
                <w:highlight w:val="none"/>
              </w:rPr>
              <w:t>前24小时内从河南省政府采购评标专家库中随机抽取。</w:t>
            </w:r>
          </w:p>
        </w:tc>
      </w:tr>
      <w:tr w14:paraId="6668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959" w:type="dxa"/>
            <w:vAlign w:val="center"/>
          </w:tcPr>
          <w:p w14:paraId="633F9AE6">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7.1</w:t>
            </w:r>
          </w:p>
        </w:tc>
        <w:tc>
          <w:tcPr>
            <w:tcW w:w="2252" w:type="dxa"/>
            <w:vAlign w:val="center"/>
          </w:tcPr>
          <w:p w14:paraId="1E3BC9B7">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是否授权评标委员会确定中标人</w:t>
            </w:r>
          </w:p>
        </w:tc>
        <w:tc>
          <w:tcPr>
            <w:tcW w:w="6892" w:type="dxa"/>
            <w:vAlign w:val="center"/>
          </w:tcPr>
          <w:p w14:paraId="21F554EA">
            <w:pPr>
              <w:spacing w:line="40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否 推荐的中标候选人数为3名</w:t>
            </w:r>
            <w:r>
              <w:rPr>
                <w:rFonts w:hint="eastAsia" w:ascii="宋体" w:hAnsi="宋体" w:cs="宋体"/>
                <w:color w:val="auto"/>
                <w:szCs w:val="21"/>
                <w:highlight w:val="none"/>
                <w:lang w:eastAsia="zh-CN"/>
              </w:rPr>
              <w:t>。</w:t>
            </w:r>
          </w:p>
        </w:tc>
      </w:tr>
      <w:tr w14:paraId="0AE8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959" w:type="dxa"/>
            <w:vAlign w:val="center"/>
          </w:tcPr>
          <w:p w14:paraId="23FB75EC">
            <w:pPr>
              <w:spacing w:line="400" w:lineRule="exact"/>
              <w:jc w:val="center"/>
              <w:rPr>
                <w:color w:val="auto"/>
                <w:highlight w:val="none"/>
              </w:rPr>
            </w:pPr>
            <w:r>
              <w:rPr>
                <w:rFonts w:hint="eastAsia"/>
                <w:color w:val="auto"/>
                <w:highlight w:val="none"/>
              </w:rPr>
              <w:t>7.3.1</w:t>
            </w:r>
          </w:p>
        </w:tc>
        <w:tc>
          <w:tcPr>
            <w:tcW w:w="2252" w:type="dxa"/>
            <w:vAlign w:val="center"/>
          </w:tcPr>
          <w:p w14:paraId="1C92BB51">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履约担保</w:t>
            </w:r>
          </w:p>
        </w:tc>
        <w:tc>
          <w:tcPr>
            <w:tcW w:w="6892" w:type="dxa"/>
            <w:vAlign w:val="center"/>
          </w:tcPr>
          <w:p w14:paraId="0463ABC4">
            <w:pPr>
              <w:pStyle w:val="19"/>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olor w:val="auto"/>
                <w:highlight w:val="none"/>
                <w:lang w:eastAsia="zh-CN"/>
              </w:rPr>
            </w:pPr>
            <w:r>
              <w:rPr>
                <w:rFonts w:hint="eastAsia" w:ascii="宋体" w:hAnsi="宋体" w:cs="宋体"/>
                <w:color w:val="auto"/>
                <w:szCs w:val="21"/>
                <w:highlight w:val="none"/>
                <w:lang w:eastAsia="zh-CN"/>
              </w:rPr>
              <w:t>不要求</w:t>
            </w:r>
          </w:p>
        </w:tc>
      </w:tr>
      <w:tr w14:paraId="0E78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959" w:type="dxa"/>
            <w:vAlign w:val="center"/>
          </w:tcPr>
          <w:p w14:paraId="73D60115">
            <w:pPr>
              <w:spacing w:line="400" w:lineRule="exact"/>
              <w:jc w:val="center"/>
              <w:rPr>
                <w:rFonts w:hint="default" w:eastAsia="宋体"/>
                <w:color w:val="auto"/>
                <w:highlight w:val="none"/>
                <w:lang w:val="en-US" w:eastAsia="zh-CN"/>
              </w:rPr>
            </w:pPr>
            <w:r>
              <w:rPr>
                <w:rFonts w:hint="eastAsia"/>
                <w:color w:val="auto"/>
                <w:highlight w:val="none"/>
                <w:lang w:val="en-US" w:eastAsia="zh-CN"/>
              </w:rPr>
              <w:t>10</w:t>
            </w:r>
          </w:p>
        </w:tc>
        <w:tc>
          <w:tcPr>
            <w:tcW w:w="9144" w:type="dxa"/>
            <w:gridSpan w:val="2"/>
            <w:vAlign w:val="center"/>
          </w:tcPr>
          <w:p w14:paraId="7E8D8A3B">
            <w:pPr>
              <w:pStyle w:val="19"/>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其他</w:t>
            </w:r>
          </w:p>
        </w:tc>
      </w:tr>
      <w:tr w14:paraId="380F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trPr>
        <w:tc>
          <w:tcPr>
            <w:tcW w:w="959" w:type="dxa"/>
            <w:vAlign w:val="center"/>
          </w:tcPr>
          <w:p w14:paraId="6190C1F3">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10.1</w:t>
            </w:r>
          </w:p>
        </w:tc>
        <w:tc>
          <w:tcPr>
            <w:tcW w:w="2252" w:type="dxa"/>
            <w:vAlign w:val="center"/>
          </w:tcPr>
          <w:p w14:paraId="35066666">
            <w:pPr>
              <w:spacing w:line="400" w:lineRule="exact"/>
              <w:jc w:val="center"/>
              <w:rPr>
                <w:rFonts w:ascii="宋体" w:hAnsi="宋体" w:cs="宋体"/>
                <w:bCs/>
                <w:color w:val="auto"/>
                <w:szCs w:val="21"/>
                <w:highlight w:val="none"/>
              </w:rPr>
            </w:pPr>
            <w:r>
              <w:rPr>
                <w:rFonts w:hint="eastAsia" w:ascii="宋体" w:hAnsi="宋体" w:cs="宋体"/>
                <w:bCs/>
                <w:color w:val="auto"/>
                <w:highlight w:val="none"/>
              </w:rPr>
              <w:t>最高投标限价</w:t>
            </w:r>
          </w:p>
        </w:tc>
        <w:tc>
          <w:tcPr>
            <w:tcW w:w="6892" w:type="dxa"/>
            <w:vAlign w:val="center"/>
          </w:tcPr>
          <w:p w14:paraId="483650AA">
            <w:pPr>
              <w:pStyle w:val="17"/>
              <w:spacing w:line="400" w:lineRule="exact"/>
              <w:rPr>
                <w:rFonts w:hint="eastAsia"/>
                <w:color w:val="auto"/>
                <w:highlight w:val="none"/>
              </w:rPr>
            </w:pPr>
            <w:r>
              <w:rPr>
                <w:rFonts w:hint="eastAsia"/>
                <w:color w:val="auto"/>
                <w:highlight w:val="none"/>
              </w:rPr>
              <w:t>本项目设最高投标限价，投标人的投标报价不得高于该最高投标限价，否则投标人的投标文件按废标处理。</w:t>
            </w:r>
          </w:p>
          <w:p w14:paraId="74DE37A9">
            <w:pPr>
              <w:pStyle w:val="17"/>
              <w:spacing w:line="400" w:lineRule="exact"/>
              <w:rPr>
                <w:rFonts w:hint="eastAsia"/>
                <w:color w:val="auto"/>
                <w:highlight w:val="none"/>
                <w:lang w:eastAsia="zh-CN"/>
              </w:rPr>
            </w:pPr>
            <w:r>
              <w:rPr>
                <w:rFonts w:hint="eastAsia"/>
                <w:color w:val="auto"/>
                <w:highlight w:val="none"/>
              </w:rPr>
              <w:t>最高投标限价为</w:t>
            </w:r>
            <w:r>
              <w:rPr>
                <w:rFonts w:hint="eastAsia"/>
                <w:color w:val="auto"/>
                <w:highlight w:val="none"/>
                <w:lang w:eastAsia="zh-CN"/>
              </w:rPr>
              <w:t>：</w:t>
            </w:r>
          </w:p>
          <w:p w14:paraId="40C1669C">
            <w:pPr>
              <w:pStyle w:val="17"/>
              <w:spacing w:line="400" w:lineRule="exact"/>
              <w:rPr>
                <w:rFonts w:hint="eastAsia"/>
                <w:color w:val="auto"/>
                <w:highlight w:val="none"/>
                <w:lang w:eastAsia="zh-CN"/>
              </w:rPr>
            </w:pPr>
            <w:r>
              <w:rPr>
                <w:rFonts w:hint="eastAsia"/>
                <w:color w:val="auto"/>
                <w:highlight w:val="none"/>
                <w:lang w:eastAsia="zh-CN"/>
              </w:rPr>
              <w:t>小写：￥</w:t>
            </w:r>
            <w:r>
              <w:rPr>
                <w:rFonts w:hint="eastAsia"/>
                <w:color w:val="auto"/>
                <w:highlight w:val="none"/>
                <w:lang w:val="en-US" w:eastAsia="zh-CN"/>
              </w:rPr>
              <w:t>3867100.00元；大写：叁佰陆拾捌万柒仟壹佰元整</w:t>
            </w:r>
          </w:p>
        </w:tc>
      </w:tr>
      <w:tr w14:paraId="11AF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959" w:type="dxa"/>
            <w:vAlign w:val="center"/>
          </w:tcPr>
          <w:p w14:paraId="0F988CF2">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10.2</w:t>
            </w:r>
          </w:p>
        </w:tc>
        <w:tc>
          <w:tcPr>
            <w:tcW w:w="2252" w:type="dxa"/>
            <w:vAlign w:val="center"/>
          </w:tcPr>
          <w:p w14:paraId="7BF456DF">
            <w:pPr>
              <w:spacing w:line="400" w:lineRule="exact"/>
              <w:jc w:val="center"/>
              <w:rPr>
                <w:rFonts w:ascii="宋体" w:hAnsi="宋体" w:cs="宋体"/>
                <w:color w:val="auto"/>
                <w:szCs w:val="21"/>
                <w:highlight w:val="none"/>
              </w:rPr>
            </w:pPr>
            <w:r>
              <w:rPr>
                <w:rFonts w:hint="eastAsia" w:ascii="宋体" w:hAnsi="宋体" w:cs="宋体"/>
                <w:bCs/>
                <w:color w:val="auto"/>
                <w:highlight w:val="none"/>
              </w:rPr>
              <w:t>招标代理服务费</w:t>
            </w:r>
          </w:p>
        </w:tc>
        <w:tc>
          <w:tcPr>
            <w:tcW w:w="6892" w:type="dxa"/>
            <w:vAlign w:val="center"/>
          </w:tcPr>
          <w:p w14:paraId="1DE17DB7">
            <w:pPr>
              <w:spacing w:line="400" w:lineRule="exact"/>
              <w:rPr>
                <w:rFonts w:ascii="宋体" w:hAnsi="宋体" w:cs="宋体"/>
                <w:color w:val="auto"/>
                <w:highlight w:val="none"/>
              </w:rPr>
            </w:pPr>
            <w:r>
              <w:rPr>
                <w:rFonts w:hint="eastAsia" w:ascii="宋体" w:hAnsi="宋体" w:cs="宋体"/>
                <w:bCs/>
                <w:color w:val="auto"/>
                <w:highlight w:val="none"/>
              </w:rPr>
              <w:t>本次招标的中标人须向招标代理人支付招标代理服务费。参考河南省招标投标协会（豫招协[2023]002号）文规定的计费方式</w:t>
            </w:r>
            <w:r>
              <w:rPr>
                <w:rFonts w:hint="eastAsia" w:ascii="宋体" w:hAnsi="宋体" w:cs="宋体"/>
                <w:bCs/>
                <w:color w:val="auto"/>
                <w:highlight w:val="none"/>
                <w:lang w:eastAsia="zh-CN"/>
              </w:rPr>
              <w:t>，</w:t>
            </w:r>
            <w:r>
              <w:rPr>
                <w:rFonts w:hint="eastAsia" w:ascii="宋体" w:hAnsi="宋体" w:cs="宋体"/>
                <w:bCs/>
                <w:color w:val="auto"/>
                <w:highlight w:val="none"/>
              </w:rPr>
              <w:t>向中标人收取代理服务费。</w:t>
            </w:r>
          </w:p>
        </w:tc>
      </w:tr>
      <w:tr w14:paraId="0D02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959" w:type="dxa"/>
            <w:vAlign w:val="center"/>
          </w:tcPr>
          <w:p w14:paraId="4405C1FA">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10.3</w:t>
            </w:r>
          </w:p>
        </w:tc>
        <w:tc>
          <w:tcPr>
            <w:tcW w:w="2252" w:type="dxa"/>
            <w:vAlign w:val="center"/>
          </w:tcPr>
          <w:p w14:paraId="29B12376">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中小型企业产品价格扣除</w:t>
            </w:r>
          </w:p>
        </w:tc>
        <w:tc>
          <w:tcPr>
            <w:tcW w:w="6892" w:type="dxa"/>
            <w:vAlign w:val="center"/>
          </w:tcPr>
          <w:p w14:paraId="1839A28C">
            <w:pPr>
              <w:spacing w:line="400" w:lineRule="exact"/>
              <w:rPr>
                <w:rFonts w:hint="eastAsia" w:eastAsia="宋体"/>
                <w:color w:val="auto"/>
                <w:highlight w:val="none"/>
                <w:lang w:eastAsia="zh-CN"/>
              </w:rPr>
            </w:pPr>
            <w:r>
              <w:rPr>
                <w:rFonts w:hint="eastAsia" w:ascii="宋体" w:hAnsi="宋体" w:cs="宋体"/>
                <w:color w:val="auto"/>
                <w:szCs w:val="21"/>
                <w:highlight w:val="none"/>
                <w:lang w:eastAsia="zh-CN"/>
              </w:rPr>
              <w:t>本项目专门面向中小企业采购，小微企业不再享受价格扣除的优惠政策。</w:t>
            </w:r>
          </w:p>
        </w:tc>
      </w:tr>
      <w:tr w14:paraId="2255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3" w:hRule="atLeast"/>
        </w:trPr>
        <w:tc>
          <w:tcPr>
            <w:tcW w:w="959" w:type="dxa"/>
            <w:vAlign w:val="center"/>
          </w:tcPr>
          <w:p w14:paraId="452D89DD">
            <w:pPr>
              <w:adjustRightInd w:val="0"/>
              <w:snapToGrid w:val="0"/>
              <w:spacing w:line="400" w:lineRule="exac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10.4</w:t>
            </w:r>
          </w:p>
        </w:tc>
        <w:tc>
          <w:tcPr>
            <w:tcW w:w="2252" w:type="dxa"/>
            <w:vAlign w:val="center"/>
          </w:tcPr>
          <w:p w14:paraId="3C7A0A11">
            <w:pPr>
              <w:adjustRightInd w:val="0"/>
              <w:snapToGrid w:val="0"/>
              <w:spacing w:line="400" w:lineRule="exact"/>
              <w:jc w:val="center"/>
              <w:rPr>
                <w:rFonts w:hint="eastAsia" w:ascii="宋体" w:hAnsi="宋体" w:eastAsia="宋体" w:cs="宋体"/>
                <w:color w:val="auto"/>
                <w:szCs w:val="21"/>
                <w:highlight w:val="none"/>
                <w:lang w:val="en-US" w:eastAsia="zh-CN"/>
              </w:rPr>
            </w:pPr>
            <w:r>
              <w:rPr>
                <w:rFonts w:hint="eastAsia"/>
                <w:b w:val="0"/>
                <w:bCs w:val="0"/>
                <w:color w:val="auto"/>
                <w:highlight w:val="none"/>
              </w:rPr>
              <w:t>采购标的</w:t>
            </w:r>
            <w:r>
              <w:rPr>
                <w:rFonts w:hint="eastAsia"/>
                <w:b w:val="0"/>
                <w:bCs w:val="0"/>
                <w:color w:val="auto"/>
                <w:highlight w:val="none"/>
                <w:lang w:eastAsia="zh-CN"/>
              </w:rPr>
              <w:t>所属行业</w:t>
            </w:r>
          </w:p>
        </w:tc>
        <w:tc>
          <w:tcPr>
            <w:tcW w:w="6892" w:type="dxa"/>
            <w:vAlign w:val="center"/>
          </w:tcPr>
          <w:p w14:paraId="3E279737">
            <w:pPr>
              <w:keepNext w:val="0"/>
              <w:keepLines w:val="0"/>
              <w:pageBreakBefore w:val="0"/>
              <w:widowControl/>
              <w:kinsoku/>
              <w:wordWrap/>
              <w:overflowPunct/>
              <w:topLinePunct w:val="0"/>
              <w:autoSpaceDE w:val="0"/>
              <w:autoSpaceDN w:val="0"/>
              <w:bidi w:val="0"/>
              <w:adjustRightInd/>
              <w:snapToGrid/>
              <w:spacing w:line="440" w:lineRule="exact"/>
              <w:ind w:left="0" w:leftChars="0" w:right="0" w:rightChars="0" w:firstLine="422" w:firstLineChars="200"/>
              <w:jc w:val="left"/>
              <w:textAlignment w:val="auto"/>
              <w:rPr>
                <w:rFonts w:hint="eastAsia"/>
                <w:b/>
                <w:bCs/>
                <w:color w:val="auto"/>
                <w:highlight w:val="none"/>
              </w:rPr>
            </w:pPr>
            <w:r>
              <w:rPr>
                <w:rFonts w:hint="eastAsia"/>
                <w:b/>
                <w:bCs/>
                <w:color w:val="auto"/>
                <w:highlight w:val="none"/>
              </w:rPr>
              <w:t>本项目采购标的属于</w:t>
            </w:r>
            <w:r>
              <w:rPr>
                <w:rFonts w:hint="eastAsia"/>
                <w:b/>
                <w:bCs/>
                <w:color w:val="auto"/>
                <w:highlight w:val="none"/>
                <w:lang w:eastAsia="zh-CN"/>
              </w:rPr>
              <w:t>“</w:t>
            </w:r>
            <w:r>
              <w:rPr>
                <w:rFonts w:hint="eastAsia"/>
                <w:b/>
                <w:bCs/>
                <w:color w:val="auto"/>
                <w:highlight w:val="none"/>
              </w:rPr>
              <w:t>其他未列明行业</w:t>
            </w:r>
            <w:r>
              <w:rPr>
                <w:rFonts w:hint="eastAsia"/>
                <w:b/>
                <w:bCs/>
                <w:color w:val="auto"/>
                <w:highlight w:val="none"/>
                <w:lang w:eastAsia="zh-CN"/>
              </w:rPr>
              <w:t>”</w:t>
            </w:r>
            <w:bookmarkStart w:id="254" w:name="_GoBack"/>
            <w:bookmarkEnd w:id="254"/>
            <w:r>
              <w:rPr>
                <w:rFonts w:hint="eastAsia"/>
                <w:b/>
                <w:bCs/>
                <w:color w:val="auto"/>
                <w:highlight w:val="none"/>
              </w:rPr>
              <w:t>。</w:t>
            </w:r>
          </w:p>
          <w:p w14:paraId="0F542411">
            <w:pPr>
              <w:keepNext w:val="0"/>
              <w:keepLines w:val="0"/>
              <w:pageBreakBefore w:val="0"/>
              <w:widowControl/>
              <w:kinsoku/>
              <w:wordWrap/>
              <w:overflowPunct/>
              <w:topLinePunct w:val="0"/>
              <w:autoSpaceDE w:val="0"/>
              <w:autoSpaceDN w:val="0"/>
              <w:bidi w:val="0"/>
              <w:adjustRightInd/>
              <w:snapToGrid/>
              <w:spacing w:line="440" w:lineRule="exact"/>
              <w:ind w:left="0" w:leftChars="0" w:right="0" w:rightChars="0"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kern w:val="0"/>
                <w:sz w:val="21"/>
                <w:szCs w:val="21"/>
                <w:highlight w:val="none"/>
                <w:lang w:val="en-US" w:eastAsia="zh-CN" w:bidi="ar"/>
              </w:rPr>
              <w:t>划定标准为：中小微企业划分按照《国家统计局关于印发&lt;统计上大中小微企业划分办法（2017）&gt;的通知》国统字{2017}213 号文件及《工业和信息化部、国家统计局、国家发展和改革委员会、财政部关于印发&lt;中小企业划型标准规定&gt;的通知》（工信部联企业【2011】300号）规定的划分标准为依据。</w:t>
            </w:r>
            <w:r>
              <w:rPr>
                <w:rFonts w:hint="eastAsia" w:ascii="宋体" w:hAnsi="宋体" w:cs="宋体"/>
                <w:b/>
                <w:bCs/>
                <w:color w:val="auto"/>
                <w:kern w:val="0"/>
                <w:sz w:val="21"/>
                <w:szCs w:val="21"/>
                <w:highlight w:val="none"/>
                <w:lang w:val="en-US" w:eastAsia="zh-CN" w:bidi="ar"/>
              </w:rPr>
              <w:t>（附件1）</w:t>
            </w:r>
          </w:p>
        </w:tc>
      </w:tr>
      <w:tr w14:paraId="588C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959" w:type="dxa"/>
            <w:vAlign w:val="center"/>
          </w:tcPr>
          <w:p w14:paraId="6B3E2B37">
            <w:pPr>
              <w:adjustRightInd w:val="0"/>
              <w:snapToGrid w:val="0"/>
              <w:spacing w:line="400" w:lineRule="exac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10.5</w:t>
            </w:r>
          </w:p>
        </w:tc>
        <w:tc>
          <w:tcPr>
            <w:tcW w:w="2252" w:type="dxa"/>
            <w:vAlign w:val="center"/>
          </w:tcPr>
          <w:p w14:paraId="2E7265A2">
            <w:pPr>
              <w:adjustRightInd w:val="0"/>
              <w:snapToGrid w:val="0"/>
              <w:spacing w:line="400" w:lineRule="exact"/>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质疑</w:t>
            </w:r>
          </w:p>
        </w:tc>
        <w:tc>
          <w:tcPr>
            <w:tcW w:w="6892" w:type="dxa"/>
            <w:vAlign w:val="center"/>
          </w:tcPr>
          <w:p w14:paraId="58B1AA75">
            <w:pPr>
              <w:pStyle w:val="30"/>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一、</w:t>
            </w:r>
            <w:r>
              <w:rPr>
                <w:rFonts w:hint="eastAsia" w:cs="宋体"/>
                <w:b/>
                <w:bCs/>
                <w:color w:val="auto"/>
                <w:sz w:val="21"/>
                <w:szCs w:val="21"/>
                <w:highlight w:val="none"/>
                <w:lang w:eastAsia="zh-CN"/>
              </w:rPr>
              <w:t>供应商</w:t>
            </w:r>
            <w:r>
              <w:rPr>
                <w:rFonts w:hint="eastAsia" w:ascii="宋体" w:hAnsi="宋体" w:eastAsia="宋体" w:cs="宋体"/>
                <w:b/>
                <w:bCs/>
                <w:color w:val="auto"/>
                <w:sz w:val="21"/>
                <w:szCs w:val="21"/>
                <w:highlight w:val="none"/>
              </w:rPr>
              <w:t>认为</w:t>
            </w:r>
            <w:r>
              <w:rPr>
                <w:rFonts w:hint="eastAsia" w:ascii="宋体" w:hAnsi="宋体" w:eastAsia="宋体" w:cs="宋体"/>
                <w:b/>
                <w:bCs/>
                <w:color w:val="auto"/>
                <w:sz w:val="21"/>
                <w:szCs w:val="21"/>
                <w:highlight w:val="none"/>
                <w:lang w:val="en-US" w:eastAsia="zh-CN"/>
              </w:rPr>
              <w:t>招标</w:t>
            </w:r>
            <w:r>
              <w:rPr>
                <w:rFonts w:hint="eastAsia" w:ascii="宋体" w:hAnsi="宋体" w:eastAsia="宋体" w:cs="宋体"/>
                <w:b/>
                <w:bCs/>
                <w:color w:val="auto"/>
                <w:sz w:val="21"/>
                <w:szCs w:val="21"/>
                <w:highlight w:val="none"/>
              </w:rPr>
              <w:t>文件、采购过程和</w:t>
            </w:r>
            <w:r>
              <w:rPr>
                <w:rFonts w:hint="eastAsia" w:cs="宋体"/>
                <w:b/>
                <w:bCs/>
                <w:color w:val="auto"/>
                <w:sz w:val="21"/>
                <w:szCs w:val="21"/>
                <w:highlight w:val="none"/>
                <w:lang w:val="en-US" w:eastAsia="zh-CN"/>
              </w:rPr>
              <w:t>中标</w:t>
            </w:r>
            <w:r>
              <w:rPr>
                <w:rFonts w:hint="eastAsia" w:ascii="宋体" w:hAnsi="宋体" w:eastAsia="宋体" w:cs="宋体"/>
                <w:b/>
                <w:bCs/>
                <w:color w:val="auto"/>
                <w:sz w:val="21"/>
                <w:szCs w:val="21"/>
                <w:highlight w:val="none"/>
              </w:rPr>
              <w:t>结果使自己的权益受到损害的，可以在知道或者应知其权益受到损害之日起七个工作日内</w:t>
            </w:r>
            <w:r>
              <w:rPr>
                <w:rFonts w:hint="eastAsia" w:ascii="宋体" w:hAnsi="宋体" w:eastAsia="宋体" w:cs="宋体"/>
                <w:color w:val="auto"/>
                <w:sz w:val="21"/>
                <w:szCs w:val="21"/>
                <w:highlight w:val="none"/>
              </w:rPr>
              <w:t>，按照《政府采购质疑和投诉办法》（财政部令第 94 号）</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规定以书面形式向采购人或采购代理机构提出质疑，逾期不再接收。</w:t>
            </w:r>
          </w:p>
          <w:p w14:paraId="65F2E7D4">
            <w:pPr>
              <w:pStyle w:val="30"/>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1、接收质疑函的方式：接收加盖单位公章的书面纸质质疑函</w:t>
            </w:r>
          </w:p>
          <w:p w14:paraId="362F711A">
            <w:pPr>
              <w:pStyle w:val="30"/>
              <w:spacing w:beforeAutospacing="0" w:afterAutospacing="0" w:line="440" w:lineRule="exact"/>
              <w:ind w:leftChars="200"/>
              <w:jc w:val="both"/>
              <w:rPr>
                <w:rFonts w:ascii="宋体" w:hAnsi="宋体" w:cs="宋体"/>
                <w:color w:val="auto"/>
                <w:kern w:val="2"/>
                <w:sz w:val="21"/>
                <w:szCs w:val="21"/>
                <w:highlight w:val="none"/>
              </w:rPr>
            </w:pPr>
            <w:r>
              <w:rPr>
                <w:rFonts w:hint="eastAsia" w:ascii="宋体" w:hAnsi="宋体" w:cs="宋体"/>
                <w:color w:val="auto"/>
                <w:kern w:val="2"/>
                <w:sz w:val="21"/>
                <w:szCs w:val="21"/>
                <w:highlight w:val="none"/>
              </w:rPr>
              <w:t xml:space="preserve">代理机构：河南德旭项目管理有限公司  </w:t>
            </w:r>
          </w:p>
          <w:p w14:paraId="1D919484">
            <w:pPr>
              <w:pStyle w:val="30"/>
              <w:spacing w:beforeAutospacing="0" w:afterAutospacing="0" w:line="440" w:lineRule="exact"/>
              <w:ind w:leftChars="200"/>
              <w:jc w:val="both"/>
              <w:rPr>
                <w:rFonts w:ascii="宋体" w:hAnsi="宋体" w:cs="宋体"/>
                <w:color w:val="auto"/>
                <w:kern w:val="2"/>
                <w:sz w:val="21"/>
                <w:szCs w:val="21"/>
                <w:highlight w:val="none"/>
              </w:rPr>
            </w:pPr>
            <w:r>
              <w:rPr>
                <w:rFonts w:hint="eastAsia" w:ascii="宋体" w:hAnsi="宋体" w:cs="宋体"/>
                <w:color w:val="auto"/>
                <w:kern w:val="2"/>
                <w:sz w:val="21"/>
                <w:szCs w:val="21"/>
                <w:highlight w:val="none"/>
              </w:rPr>
              <w:t>地　址：</w:t>
            </w:r>
            <w:r>
              <w:rPr>
                <w:rFonts w:ascii="宋体" w:hAnsi="宋体" w:cs="宋体"/>
                <w:color w:val="auto"/>
                <w:kern w:val="2"/>
                <w:sz w:val="21"/>
                <w:szCs w:val="21"/>
                <w:highlight w:val="none"/>
              </w:rPr>
              <w:t>荥阳市京城路与荥运路交叉口润旭德工业园3号楼6楼</w:t>
            </w:r>
            <w:r>
              <w:rPr>
                <w:rFonts w:hint="eastAsia" w:ascii="宋体" w:hAnsi="宋体" w:cs="宋体"/>
                <w:color w:val="auto"/>
                <w:kern w:val="2"/>
                <w:sz w:val="21"/>
                <w:szCs w:val="21"/>
                <w:highlight w:val="none"/>
              </w:rPr>
              <w:t>　</w:t>
            </w:r>
          </w:p>
          <w:p w14:paraId="1BAB6089">
            <w:pPr>
              <w:pStyle w:val="30"/>
              <w:spacing w:beforeAutospacing="0" w:afterAutospacing="0" w:line="440" w:lineRule="exact"/>
              <w:ind w:leftChars="200"/>
              <w:jc w:val="both"/>
              <w:rPr>
                <w:rFonts w:ascii="宋体" w:hAnsi="宋体" w:cs="宋体"/>
                <w:color w:val="auto"/>
                <w:kern w:val="2"/>
                <w:sz w:val="21"/>
                <w:szCs w:val="21"/>
                <w:highlight w:val="none"/>
              </w:rPr>
            </w:pPr>
            <w:r>
              <w:rPr>
                <w:rFonts w:hint="eastAsia" w:ascii="宋体" w:hAnsi="宋体" w:cs="宋体"/>
                <w:color w:val="auto"/>
                <w:kern w:val="2"/>
                <w:sz w:val="21"/>
                <w:szCs w:val="21"/>
                <w:highlight w:val="none"/>
              </w:rPr>
              <w:t>联系人：</w:t>
            </w:r>
            <w:r>
              <w:rPr>
                <w:rFonts w:ascii="宋体" w:hAnsi="宋体" w:cs="宋体"/>
                <w:color w:val="auto"/>
                <w:kern w:val="2"/>
                <w:sz w:val="21"/>
                <w:szCs w:val="21"/>
                <w:highlight w:val="none"/>
              </w:rPr>
              <w:t>喻心美</w:t>
            </w:r>
          </w:p>
          <w:p w14:paraId="6C22F3D1">
            <w:pPr>
              <w:pStyle w:val="30"/>
              <w:spacing w:beforeAutospacing="0" w:afterAutospacing="0" w:line="440" w:lineRule="exact"/>
              <w:ind w:leftChars="200"/>
              <w:jc w:val="both"/>
              <w:rPr>
                <w:rFonts w:ascii="宋体" w:hAnsi="宋体" w:cs="宋体"/>
                <w:color w:val="auto"/>
                <w:kern w:val="2"/>
                <w:sz w:val="21"/>
                <w:szCs w:val="21"/>
                <w:highlight w:val="none"/>
              </w:rPr>
            </w:pPr>
            <w:r>
              <w:rPr>
                <w:rFonts w:hint="eastAsia" w:ascii="宋体" w:hAnsi="宋体" w:cs="宋体"/>
                <w:color w:val="auto"/>
                <w:kern w:val="2"/>
                <w:sz w:val="21"/>
                <w:szCs w:val="21"/>
                <w:highlight w:val="none"/>
              </w:rPr>
              <w:t>联系方式：</w:t>
            </w:r>
            <w:r>
              <w:rPr>
                <w:rFonts w:hint="eastAsia" w:ascii="宋体" w:hAnsi="宋体" w:cs="宋体"/>
                <w:color w:val="auto"/>
                <w:kern w:val="2"/>
                <w:sz w:val="21"/>
                <w:szCs w:val="21"/>
                <w:highlight w:val="none"/>
                <w:lang w:eastAsia="zh-CN"/>
              </w:rPr>
              <w:t>15515832988</w:t>
            </w:r>
            <w:r>
              <w:rPr>
                <w:rFonts w:hint="eastAsia" w:ascii="宋体" w:hAnsi="宋体" w:cs="宋体"/>
                <w:color w:val="auto"/>
                <w:kern w:val="2"/>
                <w:sz w:val="21"/>
                <w:szCs w:val="21"/>
                <w:highlight w:val="none"/>
              </w:rPr>
              <w:t xml:space="preserve">  </w:t>
            </w:r>
          </w:p>
          <w:p w14:paraId="6AAD18B0">
            <w:pPr>
              <w:pStyle w:val="30"/>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rPr>
              <w:t>质疑函的内容、格式：应符合《政府采购质疑和投诉办法》相关规定和财政部门制定的《政府采购质疑函范本》格式。</w:t>
            </w:r>
          </w:p>
          <w:p w14:paraId="7761AE5E">
            <w:pPr>
              <w:pStyle w:val="30"/>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rPr>
              <w:t xml:space="preserve"> </w:t>
            </w:r>
            <w:r>
              <w:rPr>
                <w:rFonts w:hint="eastAsia" w:cs="宋体"/>
                <w:color w:val="auto"/>
                <w:kern w:val="2"/>
                <w:sz w:val="21"/>
                <w:szCs w:val="21"/>
                <w:highlight w:val="none"/>
                <w:lang w:eastAsia="zh-CN"/>
              </w:rPr>
              <w:t>交易中心平台接收方式：</w:t>
            </w:r>
            <w:r>
              <w:rPr>
                <w:rFonts w:hint="eastAsia" w:ascii="宋体" w:hAnsi="宋体" w:eastAsia="宋体" w:cs="宋体"/>
                <w:color w:val="auto"/>
                <w:kern w:val="2"/>
                <w:sz w:val="21"/>
                <w:szCs w:val="21"/>
                <w:highlight w:val="none"/>
              </w:rPr>
              <w:t>接收加盖单位公章的质疑函</w:t>
            </w:r>
            <w:r>
              <w:rPr>
                <w:rFonts w:hint="eastAsia" w:cs="宋体"/>
                <w:color w:val="auto"/>
                <w:kern w:val="2"/>
                <w:sz w:val="21"/>
                <w:szCs w:val="21"/>
                <w:highlight w:val="none"/>
                <w:lang w:eastAsia="zh-CN"/>
              </w:rPr>
              <w:t>扫描件，同时电话通知采购人或代理机构。</w:t>
            </w:r>
          </w:p>
          <w:p w14:paraId="5A2B9C4F">
            <w:pPr>
              <w:pStyle w:val="30"/>
              <w:spacing w:beforeAutospacing="0" w:afterAutospacing="0" w:line="440" w:lineRule="exact"/>
              <w:jc w:val="both"/>
              <w:rPr>
                <w:rFonts w:hint="eastAsia"/>
                <w:b/>
                <w:bCs/>
                <w:color w:val="auto"/>
                <w:highlight w:val="none"/>
              </w:rPr>
            </w:pPr>
            <w:r>
              <w:rPr>
                <w:rFonts w:hint="eastAsia" w:ascii="宋体" w:hAnsi="宋体" w:eastAsia="宋体" w:cs="宋体"/>
                <w:color w:val="auto"/>
                <w:kern w:val="2"/>
                <w:sz w:val="21"/>
                <w:szCs w:val="21"/>
                <w:highlight w:val="none"/>
              </w:rPr>
              <w:t>二、</w:t>
            </w:r>
            <w:r>
              <w:rPr>
                <w:rFonts w:hint="eastAsia" w:ascii="宋体" w:hAnsi="宋体" w:eastAsia="宋体" w:cs="宋体"/>
                <w:b/>
                <w:bCs/>
                <w:color w:val="auto"/>
                <w:kern w:val="2"/>
                <w:sz w:val="21"/>
                <w:szCs w:val="21"/>
                <w:highlight w:val="none"/>
                <w:lang w:eastAsia="zh-CN"/>
              </w:rPr>
              <w:t>供应商</w:t>
            </w:r>
            <w:r>
              <w:rPr>
                <w:rFonts w:hint="eastAsia" w:ascii="宋体" w:hAnsi="宋体" w:eastAsia="宋体" w:cs="宋体"/>
                <w:b/>
                <w:bCs/>
                <w:color w:val="auto"/>
                <w:kern w:val="2"/>
                <w:sz w:val="21"/>
                <w:szCs w:val="21"/>
                <w:highlight w:val="none"/>
              </w:rPr>
              <w:t>应在法定质疑期内一次性针对同一采购程序环节提出质疑，否则针对再次提出质疑将不予接收</w:t>
            </w:r>
            <w:r>
              <w:rPr>
                <w:rFonts w:hint="eastAsia" w:ascii="宋体" w:hAnsi="宋体" w:eastAsia="宋体" w:cs="宋体"/>
                <w:color w:val="auto"/>
                <w:kern w:val="2"/>
                <w:sz w:val="21"/>
                <w:szCs w:val="21"/>
                <w:highlight w:val="none"/>
              </w:rPr>
              <w:t>。（采购程序环节分为：</w:t>
            </w:r>
            <w:r>
              <w:rPr>
                <w:rFonts w:hint="eastAsia" w:ascii="宋体" w:hAnsi="宋体" w:eastAsia="宋体" w:cs="宋体"/>
                <w:color w:val="auto"/>
                <w:kern w:val="2"/>
                <w:sz w:val="21"/>
                <w:szCs w:val="21"/>
                <w:highlight w:val="none"/>
                <w:lang w:val="en-US" w:eastAsia="zh-CN"/>
              </w:rPr>
              <w:t>采购公告、</w:t>
            </w:r>
            <w:r>
              <w:rPr>
                <w:rFonts w:hint="eastAsia" w:ascii="宋体" w:hAnsi="宋体" w:eastAsia="宋体" w:cs="宋体"/>
                <w:color w:val="auto"/>
                <w:kern w:val="2"/>
                <w:sz w:val="21"/>
                <w:szCs w:val="21"/>
                <w:highlight w:val="none"/>
              </w:rPr>
              <w:t>采购文件、采购过程、</w:t>
            </w:r>
            <w:r>
              <w:rPr>
                <w:rFonts w:hint="eastAsia" w:ascii="宋体" w:hAnsi="宋体" w:eastAsia="宋体" w:cs="宋体"/>
                <w:color w:val="auto"/>
                <w:kern w:val="2"/>
                <w:sz w:val="21"/>
                <w:szCs w:val="21"/>
                <w:highlight w:val="none"/>
                <w:lang w:val="en-US" w:eastAsia="zh-CN"/>
              </w:rPr>
              <w:t>中标</w:t>
            </w:r>
            <w:r>
              <w:rPr>
                <w:rFonts w:hint="eastAsia" w:ascii="宋体" w:hAnsi="宋体" w:eastAsia="宋体" w:cs="宋体"/>
                <w:color w:val="auto"/>
                <w:kern w:val="2"/>
                <w:sz w:val="21"/>
                <w:szCs w:val="21"/>
                <w:highlight w:val="none"/>
              </w:rPr>
              <w:t>结果）</w:t>
            </w:r>
          </w:p>
        </w:tc>
      </w:tr>
      <w:tr w14:paraId="111B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959" w:type="dxa"/>
            <w:vAlign w:val="center"/>
          </w:tcPr>
          <w:p w14:paraId="40EA8BF1">
            <w:pPr>
              <w:adjustRightInd w:val="0"/>
              <w:snapToGrid w:val="0"/>
              <w:spacing w:line="40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10.6</w:t>
            </w:r>
          </w:p>
        </w:tc>
        <w:tc>
          <w:tcPr>
            <w:tcW w:w="2252" w:type="dxa"/>
            <w:vAlign w:val="center"/>
          </w:tcPr>
          <w:p w14:paraId="7D9EF1D9">
            <w:pPr>
              <w:adjustRightInd w:val="0"/>
              <w:snapToGrid w:val="0"/>
              <w:spacing w:line="360" w:lineRule="auto"/>
              <w:ind w:firstLine="420" w:firstLineChars="200"/>
              <w:jc w:val="left"/>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采购合同</w:t>
            </w:r>
          </w:p>
          <w:p w14:paraId="4C16874E">
            <w:pPr>
              <w:adjustRightInd w:val="0"/>
              <w:snapToGrid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b w:val="0"/>
                <w:bCs w:val="0"/>
                <w:color w:val="auto"/>
                <w:szCs w:val="21"/>
                <w:highlight w:val="none"/>
              </w:rPr>
              <w:t>融资政策</w:t>
            </w:r>
          </w:p>
        </w:tc>
        <w:tc>
          <w:tcPr>
            <w:tcW w:w="6892" w:type="dxa"/>
            <w:vAlign w:val="center"/>
          </w:tcPr>
          <w:p w14:paraId="33B16CEB">
            <w:pPr>
              <w:adjustRightInd w:val="0"/>
              <w:snapToGrid w:val="0"/>
              <w:spacing w:line="360" w:lineRule="auto"/>
              <w:jc w:val="center"/>
              <w:rPr>
                <w:rFonts w:hint="eastAsia" w:ascii="宋体" w:hAnsi="宋体" w:cs="宋体"/>
                <w:color w:val="auto"/>
                <w:szCs w:val="21"/>
                <w:highlight w:val="none"/>
              </w:rPr>
            </w:pPr>
            <w:r>
              <w:rPr>
                <w:rFonts w:hint="eastAsia" w:ascii="宋体" w:hAnsi="宋体" w:cs="宋体"/>
                <w:b/>
                <w:bCs/>
                <w:color w:val="auto"/>
                <w:szCs w:val="21"/>
                <w:highlight w:val="none"/>
              </w:rPr>
              <w:t>荥阳市政府采购合同融资政策告知函</w:t>
            </w:r>
          </w:p>
          <w:p w14:paraId="7CBB324D">
            <w:pPr>
              <w:adjustRightInd w:val="0"/>
              <w:snapToGrid w:val="0"/>
              <w:spacing w:line="360" w:lineRule="auto"/>
              <w:jc w:val="left"/>
              <w:rPr>
                <w:rFonts w:hint="eastAsia" w:ascii="宋体" w:hAnsi="宋体" w:cs="宋体"/>
                <w:color w:val="auto"/>
                <w:szCs w:val="21"/>
                <w:highlight w:val="none"/>
              </w:rPr>
            </w:pPr>
          </w:p>
          <w:p w14:paraId="27BA249E">
            <w:pPr>
              <w:adjustRightInd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各供应商： </w:t>
            </w:r>
          </w:p>
          <w:p w14:paraId="1ADEDF70">
            <w:pPr>
              <w:adjustRightInd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欢迎贵公司参与荥阳市政府采购活动！ </w:t>
            </w:r>
          </w:p>
          <w:p w14:paraId="3014D661">
            <w:pPr>
              <w:adjustRightInd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政府采购合同融资是河南省财政厅、郑州市财政局及荥阳市财政局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 号）和《郑州市财政局关于加强和推进政府采购合同融资工作的通知》（郑财购 〔2018〕4 号），按照双方自愿的原则提供便捷、优惠的贷款服务。</w:t>
            </w:r>
          </w:p>
          <w:p w14:paraId="19D93E4A">
            <w:pPr>
              <w:adjustRightInd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贷款渠道和提供贷款的金融机构，可在荥阳市政府采购网 “荥阳市政府采购合同融资入口”或工作动态栏查询联系。</w:t>
            </w:r>
          </w:p>
        </w:tc>
      </w:tr>
      <w:tr w14:paraId="58E5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959" w:type="dxa"/>
            <w:vAlign w:val="center"/>
          </w:tcPr>
          <w:p w14:paraId="30B6011E">
            <w:pPr>
              <w:adjustRightInd w:val="0"/>
              <w:snapToGrid w:val="0"/>
              <w:spacing w:line="40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10.</w:t>
            </w:r>
            <w:r>
              <w:rPr>
                <w:rFonts w:hint="eastAsia" w:ascii="宋体" w:hAnsi="宋体" w:cs="宋体"/>
                <w:color w:val="auto"/>
                <w:szCs w:val="21"/>
                <w:highlight w:val="none"/>
                <w:lang w:val="en-US" w:eastAsia="zh-CN"/>
              </w:rPr>
              <w:t>7</w:t>
            </w:r>
          </w:p>
        </w:tc>
        <w:tc>
          <w:tcPr>
            <w:tcW w:w="2252" w:type="dxa"/>
            <w:vAlign w:val="center"/>
          </w:tcPr>
          <w:p w14:paraId="0E4191FF">
            <w:pPr>
              <w:adjustRightInd w:val="0"/>
              <w:snapToGrid w:val="0"/>
              <w:spacing w:line="40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付款方式</w:t>
            </w:r>
          </w:p>
        </w:tc>
        <w:tc>
          <w:tcPr>
            <w:tcW w:w="6892" w:type="dxa"/>
            <w:vAlign w:val="center"/>
          </w:tcPr>
          <w:p w14:paraId="5FA74106">
            <w:pPr>
              <w:adjustRightInd w:val="0"/>
              <w:snapToGrid w:val="0"/>
              <w:spacing w:line="400" w:lineRule="exact"/>
              <w:ind w:firstLine="210" w:firstLineChars="100"/>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经验收合格签字后，按照合同以转账方式支付</w:t>
            </w:r>
            <w:r>
              <w:rPr>
                <w:rFonts w:hint="eastAsia" w:ascii="宋体" w:hAnsi="宋体" w:cs="宋体"/>
                <w:color w:val="auto"/>
                <w:szCs w:val="21"/>
                <w:highlight w:val="none"/>
                <w:lang w:val="en-US" w:eastAsia="zh-CN"/>
              </w:rPr>
              <w:t>项目金额</w:t>
            </w:r>
            <w:r>
              <w:rPr>
                <w:rFonts w:hint="eastAsia" w:ascii="宋体" w:hAnsi="宋体" w:eastAsia="宋体" w:cs="宋体"/>
                <w:color w:val="auto"/>
                <w:szCs w:val="21"/>
                <w:highlight w:val="none"/>
                <w:lang w:val="en-US" w:eastAsia="zh-CN"/>
              </w:rPr>
              <w:t>。</w:t>
            </w:r>
          </w:p>
        </w:tc>
      </w:tr>
      <w:bookmarkEnd w:id="3"/>
    </w:tbl>
    <w:p w14:paraId="234B4A08">
      <w:pPr>
        <w:widowControl/>
        <w:spacing w:line="330" w:lineRule="atLeast"/>
        <w:jc w:val="center"/>
        <w:rPr>
          <w:rFonts w:hint="eastAsia" w:ascii="宋体" w:hAnsi="宋体" w:eastAsia="宋体" w:cs="宋体"/>
          <w:b/>
          <w:bCs/>
          <w:color w:val="auto"/>
          <w:kern w:val="0"/>
          <w:sz w:val="36"/>
          <w:szCs w:val="32"/>
          <w:highlight w:val="none"/>
        </w:rPr>
      </w:pPr>
      <w:bookmarkStart w:id="4" w:name="_Toc28691"/>
      <w:bookmarkStart w:id="5" w:name="_Toc184635071"/>
      <w:bookmarkStart w:id="6" w:name="_Toc30578"/>
      <w:r>
        <w:rPr>
          <w:rFonts w:hint="eastAsia" w:ascii="宋体" w:hAnsi="宋体" w:eastAsia="宋体" w:cs="宋体"/>
          <w:b/>
          <w:bCs/>
          <w:color w:val="auto"/>
          <w:kern w:val="0"/>
          <w:sz w:val="36"/>
          <w:szCs w:val="32"/>
          <w:highlight w:val="none"/>
          <w:lang w:eastAsia="zh-CN"/>
        </w:rPr>
        <w:t>附件</w:t>
      </w:r>
      <w:r>
        <w:rPr>
          <w:rFonts w:hint="eastAsia" w:ascii="宋体" w:hAnsi="宋体" w:eastAsia="宋体" w:cs="宋体"/>
          <w:b/>
          <w:bCs/>
          <w:color w:val="auto"/>
          <w:kern w:val="0"/>
          <w:sz w:val="36"/>
          <w:szCs w:val="32"/>
          <w:highlight w:val="none"/>
          <w:lang w:val="en-US" w:eastAsia="zh-CN"/>
        </w:rPr>
        <w:t>1.</w:t>
      </w:r>
      <w:r>
        <w:rPr>
          <w:rFonts w:hint="eastAsia" w:ascii="宋体" w:hAnsi="宋体" w:eastAsia="宋体" w:cs="宋体"/>
          <w:b/>
          <w:bCs/>
          <w:color w:val="auto"/>
          <w:kern w:val="0"/>
          <w:sz w:val="36"/>
          <w:szCs w:val="32"/>
          <w:highlight w:val="none"/>
        </w:rPr>
        <w:t>统计上大中小微型企业划分标准</w:t>
      </w:r>
    </w:p>
    <w:tbl>
      <w:tblPr>
        <w:tblStyle w:val="33"/>
        <w:tblW w:w="10143" w:type="dxa"/>
        <w:jc w:val="center"/>
        <w:tblLayout w:type="fixed"/>
        <w:tblCellMar>
          <w:top w:w="0" w:type="dxa"/>
          <w:left w:w="108" w:type="dxa"/>
          <w:bottom w:w="0" w:type="dxa"/>
          <w:right w:w="108" w:type="dxa"/>
        </w:tblCellMar>
      </w:tblPr>
      <w:tblGrid>
        <w:gridCol w:w="1930"/>
        <w:gridCol w:w="1750"/>
        <w:gridCol w:w="684"/>
        <w:gridCol w:w="1300"/>
        <w:gridCol w:w="1786"/>
        <w:gridCol w:w="1647"/>
        <w:gridCol w:w="1046"/>
      </w:tblGrid>
      <w:tr w14:paraId="083368FE">
        <w:tblPrEx>
          <w:tblCellMar>
            <w:top w:w="0" w:type="dxa"/>
            <w:left w:w="108" w:type="dxa"/>
            <w:bottom w:w="0" w:type="dxa"/>
            <w:right w:w="108" w:type="dxa"/>
          </w:tblCellMar>
        </w:tblPrEx>
        <w:trPr>
          <w:trHeight w:val="622" w:hRule="exact"/>
          <w:jc w:val="center"/>
        </w:trPr>
        <w:tc>
          <w:tcPr>
            <w:tcW w:w="1930" w:type="dxa"/>
            <w:tcBorders>
              <w:top w:val="single" w:color="auto" w:sz="4" w:space="0"/>
              <w:left w:val="nil"/>
              <w:bottom w:val="single" w:color="auto" w:sz="4" w:space="0"/>
              <w:right w:val="single" w:color="auto" w:sz="4" w:space="0"/>
            </w:tcBorders>
            <w:noWrap w:val="0"/>
            <w:vAlign w:val="center"/>
          </w:tcPr>
          <w:p w14:paraId="03D65F02">
            <w:pPr>
              <w:widowControl/>
              <w:spacing w:line="24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行业名称</w:t>
            </w:r>
          </w:p>
        </w:tc>
        <w:tc>
          <w:tcPr>
            <w:tcW w:w="1750" w:type="dxa"/>
            <w:tcBorders>
              <w:top w:val="single" w:color="auto" w:sz="4" w:space="0"/>
              <w:left w:val="nil"/>
              <w:bottom w:val="single" w:color="auto" w:sz="4" w:space="0"/>
              <w:right w:val="single" w:color="auto" w:sz="4" w:space="0"/>
            </w:tcBorders>
            <w:noWrap w:val="0"/>
            <w:vAlign w:val="center"/>
          </w:tcPr>
          <w:p w14:paraId="7F5A452A">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指标名称</w:t>
            </w:r>
          </w:p>
        </w:tc>
        <w:tc>
          <w:tcPr>
            <w:tcW w:w="684" w:type="dxa"/>
            <w:tcBorders>
              <w:top w:val="single" w:color="auto" w:sz="4" w:space="0"/>
              <w:left w:val="nil"/>
              <w:bottom w:val="single" w:color="auto" w:sz="4" w:space="0"/>
              <w:right w:val="single" w:color="auto" w:sz="4" w:space="0"/>
            </w:tcBorders>
            <w:noWrap w:val="0"/>
            <w:vAlign w:val="center"/>
          </w:tcPr>
          <w:p w14:paraId="64D46AA7">
            <w:pPr>
              <w:widowControl/>
              <w:jc w:val="center"/>
              <w:rPr>
                <w:rFonts w:hint="eastAsia" w:ascii="宋体" w:hAnsi="宋体" w:eastAsia="宋体" w:cs="宋体"/>
                <w:b/>
                <w:bCs/>
                <w:color w:val="auto"/>
                <w:kern w:val="0"/>
                <w:sz w:val="21"/>
                <w:szCs w:val="21"/>
                <w:highlight w:val="none"/>
                <w:lang w:eastAsia="zh-CN"/>
              </w:rPr>
            </w:pPr>
            <w:r>
              <w:rPr>
                <w:rFonts w:hint="eastAsia" w:ascii="宋体" w:hAnsi="宋体" w:eastAsia="宋体" w:cs="宋体"/>
                <w:b/>
                <w:bCs/>
                <w:color w:val="auto"/>
                <w:kern w:val="0"/>
                <w:sz w:val="21"/>
                <w:szCs w:val="21"/>
                <w:highlight w:val="none"/>
              </w:rPr>
              <w:t>计量</w:t>
            </w:r>
          </w:p>
          <w:p w14:paraId="3B53795B">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单位</w:t>
            </w:r>
          </w:p>
        </w:tc>
        <w:tc>
          <w:tcPr>
            <w:tcW w:w="1300" w:type="dxa"/>
            <w:tcBorders>
              <w:top w:val="single" w:color="auto" w:sz="4" w:space="0"/>
              <w:left w:val="nil"/>
              <w:bottom w:val="single" w:color="auto" w:sz="4" w:space="0"/>
              <w:right w:val="single" w:color="auto" w:sz="4" w:space="0"/>
            </w:tcBorders>
            <w:noWrap w:val="0"/>
            <w:vAlign w:val="center"/>
          </w:tcPr>
          <w:p w14:paraId="562BF794">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大型</w:t>
            </w:r>
          </w:p>
        </w:tc>
        <w:tc>
          <w:tcPr>
            <w:tcW w:w="1786" w:type="dxa"/>
            <w:tcBorders>
              <w:top w:val="single" w:color="auto" w:sz="4" w:space="0"/>
              <w:left w:val="nil"/>
              <w:bottom w:val="single" w:color="auto" w:sz="4" w:space="0"/>
              <w:right w:val="single" w:color="auto" w:sz="4" w:space="0"/>
            </w:tcBorders>
            <w:noWrap w:val="0"/>
            <w:vAlign w:val="center"/>
          </w:tcPr>
          <w:p w14:paraId="63A2585C">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中型</w:t>
            </w:r>
          </w:p>
        </w:tc>
        <w:tc>
          <w:tcPr>
            <w:tcW w:w="1647" w:type="dxa"/>
            <w:tcBorders>
              <w:top w:val="single" w:color="auto" w:sz="4" w:space="0"/>
              <w:left w:val="nil"/>
              <w:bottom w:val="single" w:color="auto" w:sz="4" w:space="0"/>
              <w:right w:val="single" w:color="auto" w:sz="4" w:space="0"/>
            </w:tcBorders>
            <w:noWrap w:val="0"/>
            <w:vAlign w:val="center"/>
          </w:tcPr>
          <w:p w14:paraId="32385545">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小型</w:t>
            </w:r>
          </w:p>
        </w:tc>
        <w:tc>
          <w:tcPr>
            <w:tcW w:w="1046" w:type="dxa"/>
            <w:tcBorders>
              <w:top w:val="single" w:color="auto" w:sz="4" w:space="0"/>
              <w:left w:val="nil"/>
              <w:bottom w:val="single" w:color="auto" w:sz="4" w:space="0"/>
              <w:right w:val="nil"/>
            </w:tcBorders>
            <w:noWrap w:val="0"/>
            <w:vAlign w:val="center"/>
          </w:tcPr>
          <w:p w14:paraId="57C67871">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微型</w:t>
            </w:r>
          </w:p>
        </w:tc>
      </w:tr>
      <w:tr w14:paraId="308578CC">
        <w:tblPrEx>
          <w:tblCellMar>
            <w:top w:w="0" w:type="dxa"/>
            <w:left w:w="108" w:type="dxa"/>
            <w:bottom w:w="0" w:type="dxa"/>
            <w:right w:w="108" w:type="dxa"/>
          </w:tblCellMar>
        </w:tblPrEx>
        <w:trPr>
          <w:trHeight w:val="394" w:hRule="exact"/>
          <w:jc w:val="center"/>
        </w:trPr>
        <w:tc>
          <w:tcPr>
            <w:tcW w:w="1930" w:type="dxa"/>
            <w:tcBorders>
              <w:top w:val="nil"/>
              <w:left w:val="nil"/>
              <w:bottom w:val="single" w:color="auto" w:sz="4" w:space="0"/>
              <w:right w:val="single" w:color="auto" w:sz="4" w:space="0"/>
            </w:tcBorders>
            <w:noWrap w:val="0"/>
            <w:vAlign w:val="center"/>
          </w:tcPr>
          <w:p w14:paraId="38E7542A">
            <w:pPr>
              <w:widowControl/>
              <w:spacing w:line="24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农、林、牧、渔业</w:t>
            </w:r>
          </w:p>
        </w:tc>
        <w:tc>
          <w:tcPr>
            <w:tcW w:w="1750" w:type="dxa"/>
            <w:tcBorders>
              <w:top w:val="nil"/>
              <w:left w:val="nil"/>
              <w:bottom w:val="single" w:color="auto" w:sz="4" w:space="0"/>
              <w:right w:val="single" w:color="auto" w:sz="4" w:space="0"/>
            </w:tcBorders>
            <w:noWrap w:val="0"/>
            <w:vAlign w:val="center"/>
          </w:tcPr>
          <w:p w14:paraId="2D838DE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single" w:color="auto" w:sz="4" w:space="0"/>
              <w:right w:val="single" w:color="auto" w:sz="4" w:space="0"/>
            </w:tcBorders>
            <w:noWrap w:val="0"/>
            <w:vAlign w:val="center"/>
          </w:tcPr>
          <w:p w14:paraId="2379357D">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3BD29E9D">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w:t>
            </w:r>
          </w:p>
        </w:tc>
        <w:tc>
          <w:tcPr>
            <w:tcW w:w="1786" w:type="dxa"/>
            <w:tcBorders>
              <w:top w:val="nil"/>
              <w:left w:val="nil"/>
              <w:bottom w:val="single" w:color="auto" w:sz="4" w:space="0"/>
              <w:right w:val="single" w:color="auto" w:sz="4" w:space="0"/>
            </w:tcBorders>
            <w:noWrap w:val="0"/>
            <w:vAlign w:val="center"/>
          </w:tcPr>
          <w:p w14:paraId="57B5686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500≤Y＜20000</w:t>
            </w:r>
          </w:p>
        </w:tc>
        <w:tc>
          <w:tcPr>
            <w:tcW w:w="1647" w:type="dxa"/>
            <w:tcBorders>
              <w:top w:val="nil"/>
              <w:left w:val="nil"/>
              <w:bottom w:val="single" w:color="auto" w:sz="4" w:space="0"/>
              <w:right w:val="single" w:color="auto" w:sz="4" w:space="0"/>
            </w:tcBorders>
            <w:noWrap w:val="0"/>
            <w:vAlign w:val="center"/>
          </w:tcPr>
          <w:p w14:paraId="590C7C0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50≤Y＜500</w:t>
            </w:r>
          </w:p>
        </w:tc>
        <w:tc>
          <w:tcPr>
            <w:tcW w:w="1046" w:type="dxa"/>
            <w:tcBorders>
              <w:top w:val="nil"/>
              <w:left w:val="nil"/>
              <w:bottom w:val="single" w:color="auto" w:sz="4" w:space="0"/>
              <w:right w:val="nil"/>
            </w:tcBorders>
            <w:noWrap w:val="0"/>
            <w:vAlign w:val="center"/>
          </w:tcPr>
          <w:p w14:paraId="390783C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w:t>
            </w:r>
          </w:p>
        </w:tc>
      </w:tr>
      <w:tr w14:paraId="4811E926">
        <w:tblPrEx>
          <w:tblCellMar>
            <w:top w:w="0" w:type="dxa"/>
            <w:left w:w="108" w:type="dxa"/>
            <w:bottom w:w="0" w:type="dxa"/>
            <w:right w:w="108" w:type="dxa"/>
          </w:tblCellMar>
        </w:tblPrEx>
        <w:trPr>
          <w:trHeight w:val="532" w:hRule="exact"/>
          <w:jc w:val="center"/>
        </w:trPr>
        <w:tc>
          <w:tcPr>
            <w:tcW w:w="1930" w:type="dxa"/>
            <w:vMerge w:val="restart"/>
            <w:tcBorders>
              <w:top w:val="nil"/>
              <w:left w:val="nil"/>
              <w:bottom w:val="single" w:color="auto" w:sz="4" w:space="0"/>
              <w:right w:val="single" w:color="auto" w:sz="4" w:space="0"/>
            </w:tcBorders>
            <w:noWrap w:val="0"/>
            <w:vAlign w:val="center"/>
          </w:tcPr>
          <w:p w14:paraId="7C1FC749">
            <w:pPr>
              <w:widowControl/>
              <w:spacing w:line="240" w:lineRule="exact"/>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 xml:space="preserve">工业 </w:t>
            </w:r>
          </w:p>
        </w:tc>
        <w:tc>
          <w:tcPr>
            <w:tcW w:w="1750" w:type="dxa"/>
            <w:tcBorders>
              <w:top w:val="nil"/>
              <w:left w:val="nil"/>
              <w:bottom w:val="nil"/>
              <w:right w:val="single" w:color="auto" w:sz="4" w:space="0"/>
            </w:tcBorders>
            <w:noWrap w:val="0"/>
            <w:vAlign w:val="center"/>
          </w:tcPr>
          <w:p w14:paraId="3DF5308E">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nil"/>
              <w:right w:val="single" w:color="auto" w:sz="4" w:space="0"/>
            </w:tcBorders>
            <w:noWrap w:val="0"/>
            <w:vAlign w:val="center"/>
          </w:tcPr>
          <w:p w14:paraId="25436603">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nil"/>
              <w:right w:val="single" w:color="auto" w:sz="4" w:space="0"/>
            </w:tcBorders>
            <w:noWrap w:val="0"/>
            <w:vAlign w:val="center"/>
          </w:tcPr>
          <w:p w14:paraId="10D2B945">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86" w:type="dxa"/>
            <w:tcBorders>
              <w:top w:val="nil"/>
              <w:left w:val="nil"/>
              <w:bottom w:val="nil"/>
              <w:right w:val="single" w:color="auto" w:sz="4" w:space="0"/>
            </w:tcBorders>
            <w:noWrap w:val="0"/>
            <w:vAlign w:val="center"/>
          </w:tcPr>
          <w:p w14:paraId="0CD8BDC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647" w:type="dxa"/>
            <w:tcBorders>
              <w:top w:val="nil"/>
              <w:left w:val="nil"/>
              <w:bottom w:val="nil"/>
              <w:right w:val="single" w:color="auto" w:sz="4" w:space="0"/>
            </w:tcBorders>
            <w:noWrap w:val="0"/>
            <w:vAlign w:val="center"/>
          </w:tcPr>
          <w:p w14:paraId="54F1F5C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20≤X＜300</w:t>
            </w:r>
          </w:p>
        </w:tc>
        <w:tc>
          <w:tcPr>
            <w:tcW w:w="1046" w:type="dxa"/>
            <w:tcBorders>
              <w:top w:val="nil"/>
              <w:left w:val="nil"/>
              <w:bottom w:val="nil"/>
              <w:right w:val="nil"/>
            </w:tcBorders>
            <w:noWrap w:val="0"/>
            <w:vAlign w:val="center"/>
          </w:tcPr>
          <w:p w14:paraId="26104514">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71D24882">
        <w:tblPrEx>
          <w:tblCellMar>
            <w:top w:w="0" w:type="dxa"/>
            <w:left w:w="108" w:type="dxa"/>
            <w:bottom w:w="0" w:type="dxa"/>
            <w:right w:w="108" w:type="dxa"/>
          </w:tblCellMar>
        </w:tblPrEx>
        <w:trPr>
          <w:trHeight w:val="750" w:hRule="exact"/>
          <w:jc w:val="center"/>
        </w:trPr>
        <w:tc>
          <w:tcPr>
            <w:tcW w:w="1930" w:type="dxa"/>
            <w:vMerge w:val="continue"/>
            <w:tcBorders>
              <w:top w:val="nil"/>
              <w:left w:val="nil"/>
              <w:bottom w:val="single" w:color="auto" w:sz="4" w:space="0"/>
              <w:right w:val="single" w:color="auto" w:sz="4" w:space="0"/>
            </w:tcBorders>
            <w:noWrap w:val="0"/>
            <w:vAlign w:val="center"/>
          </w:tcPr>
          <w:p w14:paraId="56098B97">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78DDB0B9">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single" w:color="auto" w:sz="4" w:space="0"/>
              <w:right w:val="single" w:color="auto" w:sz="4" w:space="0"/>
            </w:tcBorders>
            <w:noWrap w:val="0"/>
            <w:vAlign w:val="center"/>
          </w:tcPr>
          <w:p w14:paraId="765B531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258131E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Y≥40000</w:t>
            </w:r>
          </w:p>
        </w:tc>
        <w:tc>
          <w:tcPr>
            <w:tcW w:w="1786" w:type="dxa"/>
            <w:tcBorders>
              <w:top w:val="nil"/>
              <w:left w:val="nil"/>
              <w:bottom w:val="single" w:color="auto" w:sz="4" w:space="0"/>
              <w:right w:val="single" w:color="auto" w:sz="4" w:space="0"/>
            </w:tcBorders>
            <w:noWrap w:val="0"/>
            <w:vAlign w:val="center"/>
          </w:tcPr>
          <w:p w14:paraId="2B0605C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2000≤Y＜40000</w:t>
            </w:r>
          </w:p>
        </w:tc>
        <w:tc>
          <w:tcPr>
            <w:tcW w:w="1647" w:type="dxa"/>
            <w:tcBorders>
              <w:top w:val="nil"/>
              <w:left w:val="nil"/>
              <w:bottom w:val="single" w:color="auto" w:sz="4" w:space="0"/>
              <w:right w:val="single" w:color="auto" w:sz="4" w:space="0"/>
            </w:tcBorders>
            <w:noWrap w:val="0"/>
            <w:vAlign w:val="center"/>
          </w:tcPr>
          <w:p w14:paraId="5892BAF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300≤Y＜2000</w:t>
            </w:r>
          </w:p>
        </w:tc>
        <w:tc>
          <w:tcPr>
            <w:tcW w:w="1046" w:type="dxa"/>
            <w:tcBorders>
              <w:top w:val="nil"/>
              <w:left w:val="nil"/>
              <w:bottom w:val="single" w:color="auto" w:sz="4" w:space="0"/>
              <w:right w:val="nil"/>
            </w:tcBorders>
            <w:noWrap w:val="0"/>
            <w:vAlign w:val="center"/>
          </w:tcPr>
          <w:p w14:paraId="72EDB137">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w:t>
            </w:r>
          </w:p>
        </w:tc>
      </w:tr>
      <w:tr w14:paraId="716616E5">
        <w:tblPrEx>
          <w:tblCellMar>
            <w:top w:w="0" w:type="dxa"/>
            <w:left w:w="108" w:type="dxa"/>
            <w:bottom w:w="0" w:type="dxa"/>
            <w:right w:w="108" w:type="dxa"/>
          </w:tblCellMar>
        </w:tblPrEx>
        <w:trPr>
          <w:trHeight w:val="397" w:hRule="exact"/>
          <w:jc w:val="center"/>
        </w:trPr>
        <w:tc>
          <w:tcPr>
            <w:tcW w:w="1930" w:type="dxa"/>
            <w:vMerge w:val="restart"/>
            <w:tcBorders>
              <w:top w:val="nil"/>
              <w:left w:val="nil"/>
              <w:bottom w:val="single" w:color="auto" w:sz="4" w:space="0"/>
              <w:right w:val="single" w:color="auto" w:sz="4" w:space="0"/>
            </w:tcBorders>
            <w:noWrap w:val="0"/>
            <w:vAlign w:val="center"/>
          </w:tcPr>
          <w:p w14:paraId="63D1CE38">
            <w:pPr>
              <w:widowControl/>
              <w:spacing w:line="24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建筑业</w:t>
            </w:r>
          </w:p>
        </w:tc>
        <w:tc>
          <w:tcPr>
            <w:tcW w:w="1750" w:type="dxa"/>
            <w:tcBorders>
              <w:top w:val="nil"/>
              <w:left w:val="nil"/>
              <w:bottom w:val="nil"/>
              <w:right w:val="single" w:color="auto" w:sz="4" w:space="0"/>
            </w:tcBorders>
            <w:noWrap w:val="0"/>
            <w:vAlign w:val="center"/>
          </w:tcPr>
          <w:p w14:paraId="0A7AD4C0">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nil"/>
              <w:right w:val="single" w:color="auto" w:sz="4" w:space="0"/>
            </w:tcBorders>
            <w:noWrap w:val="0"/>
            <w:vAlign w:val="center"/>
          </w:tcPr>
          <w:p w14:paraId="73E658A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nil"/>
              <w:right w:val="single" w:color="auto" w:sz="4" w:space="0"/>
            </w:tcBorders>
            <w:noWrap w:val="0"/>
            <w:vAlign w:val="center"/>
          </w:tcPr>
          <w:p w14:paraId="200ACAAC">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Y≥80000</w:t>
            </w:r>
          </w:p>
        </w:tc>
        <w:tc>
          <w:tcPr>
            <w:tcW w:w="1786" w:type="dxa"/>
            <w:tcBorders>
              <w:top w:val="nil"/>
              <w:left w:val="nil"/>
              <w:bottom w:val="nil"/>
              <w:right w:val="single" w:color="auto" w:sz="4" w:space="0"/>
            </w:tcBorders>
            <w:noWrap w:val="0"/>
            <w:vAlign w:val="center"/>
          </w:tcPr>
          <w:p w14:paraId="7179635C">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6000≤Y＜80000</w:t>
            </w:r>
          </w:p>
        </w:tc>
        <w:tc>
          <w:tcPr>
            <w:tcW w:w="1647" w:type="dxa"/>
            <w:tcBorders>
              <w:top w:val="nil"/>
              <w:left w:val="nil"/>
              <w:bottom w:val="nil"/>
              <w:right w:val="single" w:color="auto" w:sz="4" w:space="0"/>
            </w:tcBorders>
            <w:noWrap w:val="0"/>
            <w:vAlign w:val="center"/>
          </w:tcPr>
          <w:p w14:paraId="0C68573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300≤Y＜6000</w:t>
            </w:r>
          </w:p>
        </w:tc>
        <w:tc>
          <w:tcPr>
            <w:tcW w:w="1046" w:type="dxa"/>
            <w:tcBorders>
              <w:top w:val="nil"/>
              <w:left w:val="nil"/>
              <w:bottom w:val="nil"/>
              <w:right w:val="nil"/>
            </w:tcBorders>
            <w:noWrap w:val="0"/>
            <w:vAlign w:val="center"/>
          </w:tcPr>
          <w:p w14:paraId="1B62B680">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w:t>
            </w:r>
          </w:p>
        </w:tc>
      </w:tr>
      <w:tr w14:paraId="0B7D4F37">
        <w:tblPrEx>
          <w:tblCellMar>
            <w:top w:w="0" w:type="dxa"/>
            <w:left w:w="108" w:type="dxa"/>
            <w:bottom w:w="0" w:type="dxa"/>
            <w:right w:w="108" w:type="dxa"/>
          </w:tblCellMar>
        </w:tblPrEx>
        <w:trPr>
          <w:trHeight w:val="627" w:hRule="exact"/>
          <w:jc w:val="center"/>
        </w:trPr>
        <w:tc>
          <w:tcPr>
            <w:tcW w:w="1930" w:type="dxa"/>
            <w:vMerge w:val="continue"/>
            <w:tcBorders>
              <w:top w:val="nil"/>
              <w:left w:val="nil"/>
              <w:bottom w:val="single" w:color="auto" w:sz="4" w:space="0"/>
              <w:right w:val="single" w:color="auto" w:sz="4" w:space="0"/>
            </w:tcBorders>
            <w:noWrap w:val="0"/>
            <w:vAlign w:val="center"/>
          </w:tcPr>
          <w:p w14:paraId="13199BC4">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41EA9207">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684" w:type="dxa"/>
            <w:tcBorders>
              <w:top w:val="nil"/>
              <w:left w:val="nil"/>
              <w:bottom w:val="single" w:color="auto" w:sz="4" w:space="0"/>
              <w:right w:val="single" w:color="auto" w:sz="4" w:space="0"/>
            </w:tcBorders>
            <w:noWrap w:val="0"/>
            <w:vAlign w:val="center"/>
          </w:tcPr>
          <w:p w14:paraId="4A681A4D">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477AAA97">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Z≥80000</w:t>
            </w:r>
          </w:p>
        </w:tc>
        <w:tc>
          <w:tcPr>
            <w:tcW w:w="1786" w:type="dxa"/>
            <w:tcBorders>
              <w:top w:val="nil"/>
              <w:left w:val="nil"/>
              <w:bottom w:val="single" w:color="auto" w:sz="4" w:space="0"/>
              <w:right w:val="single" w:color="auto" w:sz="4" w:space="0"/>
            </w:tcBorders>
            <w:noWrap w:val="0"/>
            <w:vAlign w:val="center"/>
          </w:tcPr>
          <w:p w14:paraId="32B3EC2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5000≤Z＜80000</w:t>
            </w:r>
          </w:p>
        </w:tc>
        <w:tc>
          <w:tcPr>
            <w:tcW w:w="1647" w:type="dxa"/>
            <w:tcBorders>
              <w:top w:val="nil"/>
              <w:left w:val="nil"/>
              <w:bottom w:val="single" w:color="auto" w:sz="4" w:space="0"/>
              <w:right w:val="single" w:color="auto" w:sz="4" w:space="0"/>
            </w:tcBorders>
            <w:noWrap w:val="0"/>
            <w:vAlign w:val="center"/>
          </w:tcPr>
          <w:p w14:paraId="3A6C2E5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300≤Z＜5000</w:t>
            </w:r>
          </w:p>
        </w:tc>
        <w:tc>
          <w:tcPr>
            <w:tcW w:w="1046" w:type="dxa"/>
            <w:tcBorders>
              <w:top w:val="nil"/>
              <w:left w:val="nil"/>
              <w:bottom w:val="single" w:color="auto" w:sz="4" w:space="0"/>
              <w:right w:val="nil"/>
            </w:tcBorders>
            <w:noWrap w:val="0"/>
            <w:vAlign w:val="center"/>
          </w:tcPr>
          <w:p w14:paraId="5D4EDE3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Z＜300</w:t>
            </w:r>
          </w:p>
        </w:tc>
      </w:tr>
      <w:tr w14:paraId="74C3CDB2">
        <w:tblPrEx>
          <w:tblCellMar>
            <w:top w:w="0" w:type="dxa"/>
            <w:left w:w="108" w:type="dxa"/>
            <w:bottom w:w="0" w:type="dxa"/>
            <w:right w:w="108" w:type="dxa"/>
          </w:tblCellMar>
        </w:tblPrEx>
        <w:trPr>
          <w:trHeight w:val="397" w:hRule="exact"/>
          <w:jc w:val="center"/>
        </w:trPr>
        <w:tc>
          <w:tcPr>
            <w:tcW w:w="1930" w:type="dxa"/>
            <w:vMerge w:val="restart"/>
            <w:tcBorders>
              <w:top w:val="nil"/>
              <w:left w:val="nil"/>
              <w:bottom w:val="single" w:color="auto" w:sz="4" w:space="0"/>
              <w:right w:val="single" w:color="auto" w:sz="4" w:space="0"/>
            </w:tcBorders>
            <w:noWrap w:val="0"/>
            <w:vAlign w:val="center"/>
          </w:tcPr>
          <w:p w14:paraId="5B3BD43A">
            <w:pPr>
              <w:widowControl/>
              <w:spacing w:line="24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批发业</w:t>
            </w:r>
          </w:p>
        </w:tc>
        <w:tc>
          <w:tcPr>
            <w:tcW w:w="1750" w:type="dxa"/>
            <w:tcBorders>
              <w:top w:val="nil"/>
              <w:left w:val="nil"/>
              <w:bottom w:val="nil"/>
              <w:right w:val="single" w:color="auto" w:sz="4" w:space="0"/>
            </w:tcBorders>
            <w:noWrap w:val="0"/>
            <w:vAlign w:val="center"/>
          </w:tcPr>
          <w:p w14:paraId="0D2678DE">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nil"/>
              <w:right w:val="single" w:color="auto" w:sz="4" w:space="0"/>
            </w:tcBorders>
            <w:noWrap w:val="0"/>
            <w:vAlign w:val="center"/>
          </w:tcPr>
          <w:p w14:paraId="0D2AB910">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nil"/>
              <w:right w:val="single" w:color="auto" w:sz="4" w:space="0"/>
            </w:tcBorders>
            <w:noWrap w:val="0"/>
            <w:vAlign w:val="center"/>
          </w:tcPr>
          <w:p w14:paraId="72774AFD">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w:t>
            </w:r>
          </w:p>
        </w:tc>
        <w:tc>
          <w:tcPr>
            <w:tcW w:w="1786" w:type="dxa"/>
            <w:tcBorders>
              <w:top w:val="nil"/>
              <w:left w:val="nil"/>
              <w:bottom w:val="nil"/>
              <w:right w:val="single" w:color="auto" w:sz="4" w:space="0"/>
            </w:tcBorders>
            <w:noWrap w:val="0"/>
            <w:vAlign w:val="center"/>
          </w:tcPr>
          <w:p w14:paraId="4F3F9D3C">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20≤X＜200</w:t>
            </w:r>
          </w:p>
        </w:tc>
        <w:tc>
          <w:tcPr>
            <w:tcW w:w="1647" w:type="dxa"/>
            <w:tcBorders>
              <w:top w:val="nil"/>
              <w:left w:val="nil"/>
              <w:bottom w:val="nil"/>
              <w:right w:val="single" w:color="auto" w:sz="4" w:space="0"/>
            </w:tcBorders>
            <w:noWrap w:val="0"/>
            <w:vAlign w:val="center"/>
          </w:tcPr>
          <w:p w14:paraId="48BDB31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5≤X＜20</w:t>
            </w:r>
          </w:p>
        </w:tc>
        <w:tc>
          <w:tcPr>
            <w:tcW w:w="1046" w:type="dxa"/>
            <w:tcBorders>
              <w:top w:val="nil"/>
              <w:left w:val="nil"/>
              <w:bottom w:val="nil"/>
              <w:right w:val="nil"/>
            </w:tcBorders>
            <w:noWrap w:val="0"/>
            <w:vAlign w:val="center"/>
          </w:tcPr>
          <w:p w14:paraId="2A803160">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X＜5</w:t>
            </w:r>
          </w:p>
        </w:tc>
      </w:tr>
      <w:tr w14:paraId="2A7D8B8A">
        <w:tblPrEx>
          <w:tblCellMar>
            <w:top w:w="0" w:type="dxa"/>
            <w:left w:w="108" w:type="dxa"/>
            <w:bottom w:w="0" w:type="dxa"/>
            <w:right w:w="108" w:type="dxa"/>
          </w:tblCellMar>
        </w:tblPrEx>
        <w:trPr>
          <w:trHeight w:val="717" w:hRule="exact"/>
          <w:jc w:val="center"/>
        </w:trPr>
        <w:tc>
          <w:tcPr>
            <w:tcW w:w="1930" w:type="dxa"/>
            <w:vMerge w:val="continue"/>
            <w:tcBorders>
              <w:top w:val="nil"/>
              <w:left w:val="nil"/>
              <w:bottom w:val="single" w:color="auto" w:sz="4" w:space="0"/>
              <w:right w:val="single" w:color="auto" w:sz="4" w:space="0"/>
            </w:tcBorders>
            <w:noWrap w:val="0"/>
            <w:vAlign w:val="center"/>
          </w:tcPr>
          <w:p w14:paraId="5B389C22">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00F3C829">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single" w:color="auto" w:sz="4" w:space="0"/>
              <w:right w:val="single" w:color="auto" w:sz="4" w:space="0"/>
            </w:tcBorders>
            <w:noWrap w:val="0"/>
            <w:vAlign w:val="center"/>
          </w:tcPr>
          <w:p w14:paraId="66EF2346">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2E4D50B9">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Y≥40000</w:t>
            </w:r>
          </w:p>
        </w:tc>
        <w:tc>
          <w:tcPr>
            <w:tcW w:w="1786" w:type="dxa"/>
            <w:tcBorders>
              <w:top w:val="nil"/>
              <w:left w:val="nil"/>
              <w:bottom w:val="single" w:color="auto" w:sz="4" w:space="0"/>
              <w:right w:val="single" w:color="auto" w:sz="4" w:space="0"/>
            </w:tcBorders>
            <w:noWrap w:val="0"/>
            <w:vAlign w:val="center"/>
          </w:tcPr>
          <w:p w14:paraId="36CED146">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5000≤Y＜40000</w:t>
            </w:r>
          </w:p>
        </w:tc>
        <w:tc>
          <w:tcPr>
            <w:tcW w:w="1647" w:type="dxa"/>
            <w:tcBorders>
              <w:top w:val="nil"/>
              <w:left w:val="nil"/>
              <w:bottom w:val="single" w:color="auto" w:sz="4" w:space="0"/>
              <w:right w:val="single" w:color="auto" w:sz="4" w:space="0"/>
            </w:tcBorders>
            <w:noWrap w:val="0"/>
            <w:vAlign w:val="center"/>
          </w:tcPr>
          <w:p w14:paraId="45C7E0F9">
            <w:pPr>
              <w:widowControl/>
              <w:ind w:left="-1" w:leftChars="-1" w:hanging="1"/>
              <w:jc w:val="both"/>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1000≤Y＜5000</w:t>
            </w:r>
          </w:p>
        </w:tc>
        <w:tc>
          <w:tcPr>
            <w:tcW w:w="1046" w:type="dxa"/>
            <w:tcBorders>
              <w:top w:val="nil"/>
              <w:left w:val="nil"/>
              <w:bottom w:val="single" w:color="auto" w:sz="4" w:space="0"/>
              <w:right w:val="nil"/>
            </w:tcBorders>
            <w:noWrap w:val="0"/>
            <w:vAlign w:val="center"/>
          </w:tcPr>
          <w:p w14:paraId="20CF71AF">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w:t>
            </w:r>
          </w:p>
        </w:tc>
      </w:tr>
      <w:tr w14:paraId="7FA2C810">
        <w:tblPrEx>
          <w:tblCellMar>
            <w:top w:w="0" w:type="dxa"/>
            <w:left w:w="108" w:type="dxa"/>
            <w:bottom w:w="0" w:type="dxa"/>
            <w:right w:w="108" w:type="dxa"/>
          </w:tblCellMar>
        </w:tblPrEx>
        <w:trPr>
          <w:trHeight w:val="397" w:hRule="exact"/>
          <w:jc w:val="center"/>
        </w:trPr>
        <w:tc>
          <w:tcPr>
            <w:tcW w:w="1930" w:type="dxa"/>
            <w:vMerge w:val="restart"/>
            <w:tcBorders>
              <w:top w:val="nil"/>
              <w:left w:val="nil"/>
              <w:bottom w:val="single" w:color="auto" w:sz="4" w:space="0"/>
              <w:right w:val="single" w:color="auto" w:sz="4" w:space="0"/>
            </w:tcBorders>
            <w:noWrap w:val="0"/>
            <w:vAlign w:val="center"/>
          </w:tcPr>
          <w:p w14:paraId="52E23984">
            <w:pPr>
              <w:widowControl/>
              <w:spacing w:line="24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零售业</w:t>
            </w:r>
          </w:p>
        </w:tc>
        <w:tc>
          <w:tcPr>
            <w:tcW w:w="1750" w:type="dxa"/>
            <w:tcBorders>
              <w:top w:val="nil"/>
              <w:left w:val="nil"/>
              <w:bottom w:val="nil"/>
              <w:right w:val="single" w:color="auto" w:sz="4" w:space="0"/>
            </w:tcBorders>
            <w:noWrap w:val="0"/>
            <w:vAlign w:val="center"/>
          </w:tcPr>
          <w:p w14:paraId="7D6E8B90">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nil"/>
              <w:right w:val="single" w:color="auto" w:sz="4" w:space="0"/>
            </w:tcBorders>
            <w:noWrap w:val="0"/>
            <w:vAlign w:val="center"/>
          </w:tcPr>
          <w:p w14:paraId="5948D11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nil"/>
              <w:right w:val="single" w:color="auto" w:sz="4" w:space="0"/>
            </w:tcBorders>
            <w:noWrap w:val="0"/>
            <w:vAlign w:val="center"/>
          </w:tcPr>
          <w:p w14:paraId="1FC3AF5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86" w:type="dxa"/>
            <w:tcBorders>
              <w:top w:val="nil"/>
              <w:left w:val="nil"/>
              <w:bottom w:val="nil"/>
              <w:right w:val="single" w:color="auto" w:sz="4" w:space="0"/>
            </w:tcBorders>
            <w:noWrap w:val="0"/>
            <w:vAlign w:val="center"/>
          </w:tcPr>
          <w:p w14:paraId="33CAD0DE">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50≤X＜300</w:t>
            </w:r>
          </w:p>
        </w:tc>
        <w:tc>
          <w:tcPr>
            <w:tcW w:w="1647" w:type="dxa"/>
            <w:tcBorders>
              <w:top w:val="nil"/>
              <w:left w:val="nil"/>
              <w:bottom w:val="nil"/>
              <w:right w:val="single" w:color="auto" w:sz="4" w:space="0"/>
            </w:tcBorders>
            <w:noWrap w:val="0"/>
            <w:vAlign w:val="center"/>
          </w:tcPr>
          <w:p w14:paraId="76EDDBE3">
            <w:pPr>
              <w:widowControl/>
              <w:ind w:left="-1" w:leftChars="-1" w:hanging="1"/>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10≤X＜50 </w:t>
            </w:r>
          </w:p>
        </w:tc>
        <w:tc>
          <w:tcPr>
            <w:tcW w:w="1046" w:type="dxa"/>
            <w:tcBorders>
              <w:top w:val="nil"/>
              <w:left w:val="nil"/>
              <w:bottom w:val="nil"/>
              <w:right w:val="nil"/>
            </w:tcBorders>
            <w:noWrap w:val="0"/>
            <w:vAlign w:val="center"/>
          </w:tcPr>
          <w:p w14:paraId="2B70403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26351929">
        <w:tblPrEx>
          <w:tblCellMar>
            <w:top w:w="0" w:type="dxa"/>
            <w:left w:w="108" w:type="dxa"/>
            <w:bottom w:w="0" w:type="dxa"/>
            <w:right w:w="108" w:type="dxa"/>
          </w:tblCellMar>
        </w:tblPrEx>
        <w:trPr>
          <w:trHeight w:val="597" w:hRule="exact"/>
          <w:jc w:val="center"/>
        </w:trPr>
        <w:tc>
          <w:tcPr>
            <w:tcW w:w="1930" w:type="dxa"/>
            <w:vMerge w:val="continue"/>
            <w:tcBorders>
              <w:top w:val="nil"/>
              <w:left w:val="nil"/>
              <w:bottom w:val="single" w:color="auto" w:sz="4" w:space="0"/>
              <w:right w:val="single" w:color="auto" w:sz="4" w:space="0"/>
            </w:tcBorders>
            <w:noWrap w:val="0"/>
            <w:vAlign w:val="center"/>
          </w:tcPr>
          <w:p w14:paraId="1680F7CB">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30345F72">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single" w:color="auto" w:sz="4" w:space="0"/>
              <w:right w:val="single" w:color="auto" w:sz="4" w:space="0"/>
            </w:tcBorders>
            <w:noWrap w:val="0"/>
            <w:vAlign w:val="center"/>
          </w:tcPr>
          <w:p w14:paraId="537DC61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289F3B2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w:t>
            </w:r>
          </w:p>
        </w:tc>
        <w:tc>
          <w:tcPr>
            <w:tcW w:w="1786" w:type="dxa"/>
            <w:tcBorders>
              <w:top w:val="nil"/>
              <w:left w:val="nil"/>
              <w:bottom w:val="single" w:color="auto" w:sz="4" w:space="0"/>
              <w:right w:val="single" w:color="auto" w:sz="4" w:space="0"/>
            </w:tcBorders>
            <w:noWrap w:val="0"/>
            <w:vAlign w:val="center"/>
          </w:tcPr>
          <w:p w14:paraId="098FF319">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500≤Y＜20000</w:t>
            </w:r>
          </w:p>
        </w:tc>
        <w:tc>
          <w:tcPr>
            <w:tcW w:w="1647" w:type="dxa"/>
            <w:tcBorders>
              <w:top w:val="nil"/>
              <w:left w:val="nil"/>
              <w:bottom w:val="single" w:color="auto" w:sz="4" w:space="0"/>
              <w:right w:val="single" w:color="auto" w:sz="4" w:space="0"/>
            </w:tcBorders>
            <w:noWrap w:val="0"/>
            <w:vAlign w:val="center"/>
          </w:tcPr>
          <w:p w14:paraId="074A41A4">
            <w:pPr>
              <w:widowControl/>
              <w:ind w:left="-1" w:leftChars="-1" w:hanging="1"/>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100≤Y＜500 </w:t>
            </w:r>
          </w:p>
        </w:tc>
        <w:tc>
          <w:tcPr>
            <w:tcW w:w="1046" w:type="dxa"/>
            <w:tcBorders>
              <w:top w:val="nil"/>
              <w:left w:val="nil"/>
              <w:bottom w:val="single" w:color="auto" w:sz="4" w:space="0"/>
              <w:right w:val="nil"/>
            </w:tcBorders>
            <w:noWrap w:val="0"/>
            <w:vAlign w:val="center"/>
          </w:tcPr>
          <w:p w14:paraId="57AE1EC7">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79AB4749">
        <w:tblPrEx>
          <w:tblCellMar>
            <w:top w:w="0" w:type="dxa"/>
            <w:left w:w="108" w:type="dxa"/>
            <w:bottom w:w="0" w:type="dxa"/>
            <w:right w:w="108" w:type="dxa"/>
          </w:tblCellMar>
        </w:tblPrEx>
        <w:trPr>
          <w:trHeight w:val="397" w:hRule="exact"/>
          <w:jc w:val="center"/>
        </w:trPr>
        <w:tc>
          <w:tcPr>
            <w:tcW w:w="1930" w:type="dxa"/>
            <w:vMerge w:val="restart"/>
            <w:tcBorders>
              <w:top w:val="nil"/>
              <w:left w:val="nil"/>
              <w:bottom w:val="single" w:color="auto" w:sz="4" w:space="0"/>
              <w:right w:val="single" w:color="auto" w:sz="4" w:space="0"/>
            </w:tcBorders>
            <w:noWrap w:val="0"/>
            <w:vAlign w:val="center"/>
          </w:tcPr>
          <w:p w14:paraId="5DE83473">
            <w:pPr>
              <w:widowControl/>
              <w:spacing w:line="240" w:lineRule="exact"/>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 xml:space="preserve">交通运输业 </w:t>
            </w:r>
          </w:p>
        </w:tc>
        <w:tc>
          <w:tcPr>
            <w:tcW w:w="1750" w:type="dxa"/>
            <w:tcBorders>
              <w:top w:val="nil"/>
              <w:left w:val="nil"/>
              <w:bottom w:val="nil"/>
              <w:right w:val="single" w:color="auto" w:sz="4" w:space="0"/>
            </w:tcBorders>
            <w:noWrap w:val="0"/>
            <w:vAlign w:val="center"/>
          </w:tcPr>
          <w:p w14:paraId="14D708A6">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nil"/>
              <w:right w:val="single" w:color="auto" w:sz="4" w:space="0"/>
            </w:tcBorders>
            <w:noWrap w:val="0"/>
            <w:vAlign w:val="center"/>
          </w:tcPr>
          <w:p w14:paraId="45940EE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nil"/>
              <w:right w:val="single" w:color="auto" w:sz="4" w:space="0"/>
            </w:tcBorders>
            <w:noWrap w:val="0"/>
            <w:vAlign w:val="center"/>
          </w:tcPr>
          <w:p w14:paraId="5E7745D9">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86" w:type="dxa"/>
            <w:tcBorders>
              <w:top w:val="nil"/>
              <w:left w:val="nil"/>
              <w:bottom w:val="nil"/>
              <w:right w:val="single" w:color="auto" w:sz="4" w:space="0"/>
            </w:tcBorders>
            <w:noWrap w:val="0"/>
            <w:vAlign w:val="center"/>
          </w:tcPr>
          <w:p w14:paraId="55A0AF6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647" w:type="dxa"/>
            <w:tcBorders>
              <w:top w:val="nil"/>
              <w:left w:val="nil"/>
              <w:bottom w:val="nil"/>
              <w:right w:val="single" w:color="auto" w:sz="4" w:space="0"/>
            </w:tcBorders>
            <w:noWrap w:val="0"/>
            <w:vAlign w:val="center"/>
          </w:tcPr>
          <w:p w14:paraId="521139FC">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20≤X＜300</w:t>
            </w:r>
          </w:p>
        </w:tc>
        <w:tc>
          <w:tcPr>
            <w:tcW w:w="1046" w:type="dxa"/>
            <w:tcBorders>
              <w:top w:val="nil"/>
              <w:left w:val="nil"/>
              <w:bottom w:val="nil"/>
              <w:right w:val="nil"/>
            </w:tcBorders>
            <w:noWrap w:val="0"/>
            <w:vAlign w:val="center"/>
          </w:tcPr>
          <w:p w14:paraId="7691E735">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23F79685">
        <w:tblPrEx>
          <w:tblCellMar>
            <w:top w:w="0" w:type="dxa"/>
            <w:left w:w="108" w:type="dxa"/>
            <w:bottom w:w="0" w:type="dxa"/>
            <w:right w:w="108" w:type="dxa"/>
          </w:tblCellMar>
        </w:tblPrEx>
        <w:trPr>
          <w:trHeight w:val="602" w:hRule="exact"/>
          <w:jc w:val="center"/>
        </w:trPr>
        <w:tc>
          <w:tcPr>
            <w:tcW w:w="1930" w:type="dxa"/>
            <w:vMerge w:val="continue"/>
            <w:tcBorders>
              <w:top w:val="nil"/>
              <w:left w:val="nil"/>
              <w:bottom w:val="single" w:color="auto" w:sz="4" w:space="0"/>
              <w:right w:val="single" w:color="auto" w:sz="4" w:space="0"/>
            </w:tcBorders>
            <w:noWrap w:val="0"/>
            <w:vAlign w:val="center"/>
          </w:tcPr>
          <w:p w14:paraId="540D2100">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6D898FE9">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single" w:color="auto" w:sz="4" w:space="0"/>
              <w:right w:val="single" w:color="auto" w:sz="4" w:space="0"/>
            </w:tcBorders>
            <w:noWrap w:val="0"/>
            <w:vAlign w:val="center"/>
          </w:tcPr>
          <w:p w14:paraId="66832F9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0868D187">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86" w:type="dxa"/>
            <w:tcBorders>
              <w:top w:val="nil"/>
              <w:left w:val="nil"/>
              <w:bottom w:val="single" w:color="auto" w:sz="4" w:space="0"/>
              <w:right w:val="single" w:color="auto" w:sz="4" w:space="0"/>
            </w:tcBorders>
            <w:noWrap w:val="0"/>
            <w:vAlign w:val="center"/>
          </w:tcPr>
          <w:p w14:paraId="5F5D4E94">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3000≤Y＜30000</w:t>
            </w:r>
          </w:p>
        </w:tc>
        <w:tc>
          <w:tcPr>
            <w:tcW w:w="1647" w:type="dxa"/>
            <w:tcBorders>
              <w:top w:val="nil"/>
              <w:left w:val="nil"/>
              <w:bottom w:val="single" w:color="auto" w:sz="4" w:space="0"/>
              <w:right w:val="single" w:color="auto" w:sz="4" w:space="0"/>
            </w:tcBorders>
            <w:noWrap w:val="0"/>
            <w:vAlign w:val="center"/>
          </w:tcPr>
          <w:p w14:paraId="7AC2E60D">
            <w:pPr>
              <w:widowControl/>
              <w:jc w:val="both"/>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200≤Y＜3000</w:t>
            </w:r>
          </w:p>
        </w:tc>
        <w:tc>
          <w:tcPr>
            <w:tcW w:w="1046" w:type="dxa"/>
            <w:tcBorders>
              <w:top w:val="nil"/>
              <w:left w:val="nil"/>
              <w:bottom w:val="single" w:color="auto" w:sz="4" w:space="0"/>
              <w:right w:val="nil"/>
            </w:tcBorders>
            <w:noWrap w:val="0"/>
            <w:vAlign w:val="center"/>
          </w:tcPr>
          <w:p w14:paraId="16AEC23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w:t>
            </w:r>
          </w:p>
        </w:tc>
      </w:tr>
      <w:tr w14:paraId="2A874A5F">
        <w:tblPrEx>
          <w:tblCellMar>
            <w:top w:w="0" w:type="dxa"/>
            <w:left w:w="108" w:type="dxa"/>
            <w:bottom w:w="0" w:type="dxa"/>
            <w:right w:w="108" w:type="dxa"/>
          </w:tblCellMar>
        </w:tblPrEx>
        <w:trPr>
          <w:trHeight w:val="397" w:hRule="exact"/>
          <w:jc w:val="center"/>
        </w:trPr>
        <w:tc>
          <w:tcPr>
            <w:tcW w:w="1930" w:type="dxa"/>
            <w:vMerge w:val="restart"/>
            <w:tcBorders>
              <w:top w:val="nil"/>
              <w:left w:val="nil"/>
              <w:bottom w:val="single" w:color="auto" w:sz="4" w:space="0"/>
              <w:right w:val="single" w:color="auto" w:sz="4" w:space="0"/>
            </w:tcBorders>
            <w:noWrap w:val="0"/>
            <w:vAlign w:val="center"/>
          </w:tcPr>
          <w:p w14:paraId="5A3BB2CC">
            <w:pPr>
              <w:widowControl/>
              <w:spacing w:line="240" w:lineRule="exact"/>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仓储业</w:t>
            </w:r>
          </w:p>
        </w:tc>
        <w:tc>
          <w:tcPr>
            <w:tcW w:w="1750" w:type="dxa"/>
            <w:tcBorders>
              <w:top w:val="nil"/>
              <w:left w:val="nil"/>
              <w:bottom w:val="nil"/>
              <w:right w:val="single" w:color="auto" w:sz="4" w:space="0"/>
            </w:tcBorders>
            <w:noWrap w:val="0"/>
            <w:vAlign w:val="center"/>
          </w:tcPr>
          <w:p w14:paraId="596378BE">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nil"/>
              <w:right w:val="single" w:color="auto" w:sz="4" w:space="0"/>
            </w:tcBorders>
            <w:noWrap w:val="0"/>
            <w:vAlign w:val="center"/>
          </w:tcPr>
          <w:p w14:paraId="3708C1D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nil"/>
              <w:right w:val="single" w:color="auto" w:sz="4" w:space="0"/>
            </w:tcBorders>
            <w:noWrap w:val="0"/>
            <w:vAlign w:val="center"/>
          </w:tcPr>
          <w:p w14:paraId="72CE01D4">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w:t>
            </w:r>
          </w:p>
        </w:tc>
        <w:tc>
          <w:tcPr>
            <w:tcW w:w="1786" w:type="dxa"/>
            <w:tcBorders>
              <w:top w:val="nil"/>
              <w:left w:val="nil"/>
              <w:bottom w:val="nil"/>
              <w:right w:val="single" w:color="auto" w:sz="4" w:space="0"/>
            </w:tcBorders>
            <w:noWrap w:val="0"/>
            <w:vAlign w:val="center"/>
          </w:tcPr>
          <w:p w14:paraId="6CFA2F42">
            <w:pPr>
              <w:widowControl/>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100≤X＜200</w:t>
            </w:r>
          </w:p>
        </w:tc>
        <w:tc>
          <w:tcPr>
            <w:tcW w:w="1647" w:type="dxa"/>
            <w:tcBorders>
              <w:top w:val="nil"/>
              <w:left w:val="nil"/>
              <w:bottom w:val="nil"/>
              <w:right w:val="single" w:color="auto" w:sz="4" w:space="0"/>
            </w:tcBorders>
            <w:noWrap w:val="0"/>
            <w:vAlign w:val="center"/>
          </w:tcPr>
          <w:p w14:paraId="180A4BC9">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20≤X＜100</w:t>
            </w:r>
          </w:p>
        </w:tc>
        <w:tc>
          <w:tcPr>
            <w:tcW w:w="1046" w:type="dxa"/>
            <w:tcBorders>
              <w:top w:val="nil"/>
              <w:left w:val="nil"/>
              <w:bottom w:val="nil"/>
              <w:right w:val="nil"/>
            </w:tcBorders>
            <w:noWrap w:val="0"/>
            <w:vAlign w:val="center"/>
          </w:tcPr>
          <w:p w14:paraId="782DE2B6">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1C033E7B">
        <w:tblPrEx>
          <w:tblCellMar>
            <w:top w:w="0" w:type="dxa"/>
            <w:left w:w="108" w:type="dxa"/>
            <w:bottom w:w="0" w:type="dxa"/>
            <w:right w:w="108" w:type="dxa"/>
          </w:tblCellMar>
        </w:tblPrEx>
        <w:trPr>
          <w:trHeight w:val="572" w:hRule="exact"/>
          <w:jc w:val="center"/>
        </w:trPr>
        <w:tc>
          <w:tcPr>
            <w:tcW w:w="1930" w:type="dxa"/>
            <w:vMerge w:val="continue"/>
            <w:tcBorders>
              <w:top w:val="nil"/>
              <w:left w:val="nil"/>
              <w:bottom w:val="single" w:color="auto" w:sz="4" w:space="0"/>
              <w:right w:val="single" w:color="auto" w:sz="4" w:space="0"/>
            </w:tcBorders>
            <w:noWrap w:val="0"/>
            <w:vAlign w:val="center"/>
          </w:tcPr>
          <w:p w14:paraId="6723A4F3">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137AE478">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single" w:color="auto" w:sz="4" w:space="0"/>
              <w:right w:val="single" w:color="auto" w:sz="4" w:space="0"/>
            </w:tcBorders>
            <w:noWrap w:val="0"/>
            <w:vAlign w:val="center"/>
          </w:tcPr>
          <w:p w14:paraId="09AEE0B0">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1E1B774D">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86" w:type="dxa"/>
            <w:tcBorders>
              <w:top w:val="nil"/>
              <w:left w:val="nil"/>
              <w:bottom w:val="single" w:color="auto" w:sz="4" w:space="0"/>
              <w:right w:val="single" w:color="auto" w:sz="4" w:space="0"/>
            </w:tcBorders>
            <w:noWrap w:val="0"/>
            <w:vAlign w:val="center"/>
          </w:tcPr>
          <w:p w14:paraId="423B1605">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1000≤Y＜30000</w:t>
            </w:r>
          </w:p>
        </w:tc>
        <w:tc>
          <w:tcPr>
            <w:tcW w:w="1647" w:type="dxa"/>
            <w:tcBorders>
              <w:top w:val="nil"/>
              <w:left w:val="nil"/>
              <w:bottom w:val="single" w:color="auto" w:sz="4" w:space="0"/>
              <w:right w:val="single" w:color="auto" w:sz="4" w:space="0"/>
            </w:tcBorders>
            <w:noWrap w:val="0"/>
            <w:vAlign w:val="center"/>
          </w:tcPr>
          <w:p w14:paraId="0A23896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1046" w:type="dxa"/>
            <w:tcBorders>
              <w:top w:val="nil"/>
              <w:left w:val="nil"/>
              <w:bottom w:val="single" w:color="auto" w:sz="4" w:space="0"/>
              <w:right w:val="nil"/>
            </w:tcBorders>
            <w:noWrap w:val="0"/>
            <w:vAlign w:val="center"/>
          </w:tcPr>
          <w:p w14:paraId="4D5CAD6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57F2CBC0">
        <w:tblPrEx>
          <w:tblCellMar>
            <w:top w:w="0" w:type="dxa"/>
            <w:left w:w="108" w:type="dxa"/>
            <w:bottom w:w="0" w:type="dxa"/>
            <w:right w:w="108" w:type="dxa"/>
          </w:tblCellMar>
        </w:tblPrEx>
        <w:trPr>
          <w:trHeight w:val="397" w:hRule="exact"/>
          <w:jc w:val="center"/>
        </w:trPr>
        <w:tc>
          <w:tcPr>
            <w:tcW w:w="1930" w:type="dxa"/>
            <w:vMerge w:val="restart"/>
            <w:tcBorders>
              <w:top w:val="nil"/>
              <w:left w:val="nil"/>
              <w:bottom w:val="single" w:color="auto" w:sz="4" w:space="0"/>
              <w:right w:val="single" w:color="auto" w:sz="4" w:space="0"/>
            </w:tcBorders>
            <w:noWrap w:val="0"/>
            <w:vAlign w:val="center"/>
          </w:tcPr>
          <w:p w14:paraId="4FB1D477">
            <w:pPr>
              <w:widowControl/>
              <w:spacing w:line="24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邮政业</w:t>
            </w:r>
          </w:p>
        </w:tc>
        <w:tc>
          <w:tcPr>
            <w:tcW w:w="1750" w:type="dxa"/>
            <w:tcBorders>
              <w:top w:val="nil"/>
              <w:left w:val="nil"/>
              <w:bottom w:val="nil"/>
              <w:right w:val="single" w:color="auto" w:sz="4" w:space="0"/>
            </w:tcBorders>
            <w:noWrap w:val="0"/>
            <w:vAlign w:val="center"/>
          </w:tcPr>
          <w:p w14:paraId="5BA415D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nil"/>
              <w:right w:val="single" w:color="auto" w:sz="4" w:space="0"/>
            </w:tcBorders>
            <w:noWrap w:val="0"/>
            <w:vAlign w:val="center"/>
          </w:tcPr>
          <w:p w14:paraId="3E5E9087">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nil"/>
              <w:right w:val="single" w:color="auto" w:sz="4" w:space="0"/>
            </w:tcBorders>
            <w:noWrap w:val="0"/>
            <w:vAlign w:val="center"/>
          </w:tcPr>
          <w:p w14:paraId="42E179F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86" w:type="dxa"/>
            <w:tcBorders>
              <w:top w:val="nil"/>
              <w:left w:val="nil"/>
              <w:bottom w:val="nil"/>
              <w:right w:val="single" w:color="auto" w:sz="4" w:space="0"/>
            </w:tcBorders>
            <w:noWrap w:val="0"/>
            <w:vAlign w:val="center"/>
          </w:tcPr>
          <w:p w14:paraId="7F2F3DD9">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647" w:type="dxa"/>
            <w:tcBorders>
              <w:top w:val="nil"/>
              <w:left w:val="nil"/>
              <w:bottom w:val="nil"/>
              <w:right w:val="single" w:color="auto" w:sz="4" w:space="0"/>
            </w:tcBorders>
            <w:noWrap w:val="0"/>
            <w:vAlign w:val="center"/>
          </w:tcPr>
          <w:p w14:paraId="155B566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20≤X＜300</w:t>
            </w:r>
          </w:p>
        </w:tc>
        <w:tc>
          <w:tcPr>
            <w:tcW w:w="1046" w:type="dxa"/>
            <w:tcBorders>
              <w:top w:val="nil"/>
              <w:left w:val="nil"/>
              <w:bottom w:val="nil"/>
              <w:right w:val="nil"/>
            </w:tcBorders>
            <w:noWrap w:val="0"/>
            <w:vAlign w:val="center"/>
          </w:tcPr>
          <w:p w14:paraId="11DA84AD">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069EBA7F">
        <w:tblPrEx>
          <w:tblCellMar>
            <w:top w:w="0" w:type="dxa"/>
            <w:left w:w="108" w:type="dxa"/>
            <w:bottom w:w="0" w:type="dxa"/>
            <w:right w:w="108" w:type="dxa"/>
          </w:tblCellMar>
        </w:tblPrEx>
        <w:trPr>
          <w:trHeight w:val="662" w:hRule="exact"/>
          <w:jc w:val="center"/>
        </w:trPr>
        <w:tc>
          <w:tcPr>
            <w:tcW w:w="1930" w:type="dxa"/>
            <w:vMerge w:val="continue"/>
            <w:tcBorders>
              <w:top w:val="nil"/>
              <w:left w:val="nil"/>
              <w:bottom w:val="single" w:color="auto" w:sz="4" w:space="0"/>
              <w:right w:val="single" w:color="auto" w:sz="4" w:space="0"/>
            </w:tcBorders>
            <w:noWrap w:val="0"/>
            <w:vAlign w:val="center"/>
          </w:tcPr>
          <w:p w14:paraId="09BC1D71">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0B410E41">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single" w:color="auto" w:sz="4" w:space="0"/>
              <w:right w:val="single" w:color="auto" w:sz="4" w:space="0"/>
            </w:tcBorders>
            <w:noWrap w:val="0"/>
            <w:vAlign w:val="center"/>
          </w:tcPr>
          <w:p w14:paraId="4B85B47E">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2934717C">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86" w:type="dxa"/>
            <w:tcBorders>
              <w:top w:val="nil"/>
              <w:left w:val="nil"/>
              <w:bottom w:val="single" w:color="auto" w:sz="4" w:space="0"/>
              <w:right w:val="single" w:color="auto" w:sz="4" w:space="0"/>
            </w:tcBorders>
            <w:noWrap w:val="0"/>
            <w:vAlign w:val="center"/>
          </w:tcPr>
          <w:p w14:paraId="34A72D5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2000≤Y＜30000</w:t>
            </w:r>
          </w:p>
        </w:tc>
        <w:tc>
          <w:tcPr>
            <w:tcW w:w="1647" w:type="dxa"/>
            <w:tcBorders>
              <w:top w:val="nil"/>
              <w:left w:val="nil"/>
              <w:bottom w:val="single" w:color="auto" w:sz="4" w:space="0"/>
              <w:right w:val="single" w:color="auto" w:sz="4" w:space="0"/>
            </w:tcBorders>
            <w:noWrap w:val="0"/>
            <w:vAlign w:val="center"/>
          </w:tcPr>
          <w:p w14:paraId="66E91BD0">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1046" w:type="dxa"/>
            <w:tcBorders>
              <w:top w:val="nil"/>
              <w:left w:val="nil"/>
              <w:bottom w:val="single" w:color="auto" w:sz="4" w:space="0"/>
              <w:right w:val="nil"/>
            </w:tcBorders>
            <w:noWrap w:val="0"/>
            <w:vAlign w:val="center"/>
          </w:tcPr>
          <w:p w14:paraId="3C35ED69">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2EAD2052">
        <w:tblPrEx>
          <w:tblCellMar>
            <w:top w:w="0" w:type="dxa"/>
            <w:left w:w="108" w:type="dxa"/>
            <w:bottom w:w="0" w:type="dxa"/>
            <w:right w:w="108" w:type="dxa"/>
          </w:tblCellMar>
        </w:tblPrEx>
        <w:trPr>
          <w:trHeight w:val="397" w:hRule="exact"/>
          <w:jc w:val="center"/>
        </w:trPr>
        <w:tc>
          <w:tcPr>
            <w:tcW w:w="1930" w:type="dxa"/>
            <w:vMerge w:val="restart"/>
            <w:tcBorders>
              <w:top w:val="nil"/>
              <w:left w:val="nil"/>
              <w:bottom w:val="single" w:color="auto" w:sz="4" w:space="0"/>
              <w:right w:val="single" w:color="auto" w:sz="4" w:space="0"/>
            </w:tcBorders>
            <w:noWrap w:val="0"/>
            <w:vAlign w:val="center"/>
          </w:tcPr>
          <w:p w14:paraId="3302B4B6">
            <w:pPr>
              <w:widowControl/>
              <w:spacing w:line="24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住宿业</w:t>
            </w:r>
          </w:p>
        </w:tc>
        <w:tc>
          <w:tcPr>
            <w:tcW w:w="1750" w:type="dxa"/>
            <w:tcBorders>
              <w:top w:val="nil"/>
              <w:left w:val="nil"/>
              <w:bottom w:val="nil"/>
              <w:right w:val="single" w:color="auto" w:sz="4" w:space="0"/>
            </w:tcBorders>
            <w:noWrap w:val="0"/>
            <w:vAlign w:val="center"/>
          </w:tcPr>
          <w:p w14:paraId="187EE743">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nil"/>
              <w:right w:val="single" w:color="auto" w:sz="4" w:space="0"/>
            </w:tcBorders>
            <w:noWrap w:val="0"/>
            <w:vAlign w:val="center"/>
          </w:tcPr>
          <w:p w14:paraId="12DF2900">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nil"/>
              <w:right w:val="single" w:color="auto" w:sz="4" w:space="0"/>
            </w:tcBorders>
            <w:noWrap w:val="0"/>
            <w:vAlign w:val="center"/>
          </w:tcPr>
          <w:p w14:paraId="7311F259">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86" w:type="dxa"/>
            <w:tcBorders>
              <w:top w:val="nil"/>
              <w:left w:val="nil"/>
              <w:bottom w:val="nil"/>
              <w:right w:val="single" w:color="auto" w:sz="4" w:space="0"/>
            </w:tcBorders>
            <w:noWrap w:val="0"/>
            <w:vAlign w:val="center"/>
          </w:tcPr>
          <w:p w14:paraId="74B75E1A">
            <w:pPr>
              <w:widowControl/>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100≤X＜300 </w:t>
            </w:r>
          </w:p>
        </w:tc>
        <w:tc>
          <w:tcPr>
            <w:tcW w:w="1647" w:type="dxa"/>
            <w:tcBorders>
              <w:top w:val="nil"/>
              <w:left w:val="nil"/>
              <w:bottom w:val="nil"/>
              <w:right w:val="single" w:color="auto" w:sz="4" w:space="0"/>
            </w:tcBorders>
            <w:noWrap w:val="0"/>
            <w:vAlign w:val="center"/>
          </w:tcPr>
          <w:p w14:paraId="600558F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10≤X＜100</w:t>
            </w:r>
          </w:p>
        </w:tc>
        <w:tc>
          <w:tcPr>
            <w:tcW w:w="1046" w:type="dxa"/>
            <w:tcBorders>
              <w:top w:val="nil"/>
              <w:left w:val="nil"/>
              <w:bottom w:val="nil"/>
              <w:right w:val="nil"/>
            </w:tcBorders>
            <w:noWrap w:val="0"/>
            <w:vAlign w:val="center"/>
          </w:tcPr>
          <w:p w14:paraId="69ABCFC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3F175E9C">
        <w:tblPrEx>
          <w:tblCellMar>
            <w:top w:w="0" w:type="dxa"/>
            <w:left w:w="108" w:type="dxa"/>
            <w:bottom w:w="0" w:type="dxa"/>
            <w:right w:w="108" w:type="dxa"/>
          </w:tblCellMar>
        </w:tblPrEx>
        <w:trPr>
          <w:trHeight w:val="642" w:hRule="exact"/>
          <w:jc w:val="center"/>
        </w:trPr>
        <w:tc>
          <w:tcPr>
            <w:tcW w:w="1930" w:type="dxa"/>
            <w:vMerge w:val="continue"/>
            <w:tcBorders>
              <w:top w:val="nil"/>
              <w:left w:val="nil"/>
              <w:bottom w:val="single" w:color="auto" w:sz="4" w:space="0"/>
              <w:right w:val="single" w:color="auto" w:sz="4" w:space="0"/>
            </w:tcBorders>
            <w:noWrap w:val="0"/>
            <w:vAlign w:val="center"/>
          </w:tcPr>
          <w:p w14:paraId="56A1DDBC">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6B735513">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single" w:color="auto" w:sz="4" w:space="0"/>
              <w:right w:val="single" w:color="auto" w:sz="4" w:space="0"/>
            </w:tcBorders>
            <w:noWrap w:val="0"/>
            <w:vAlign w:val="center"/>
          </w:tcPr>
          <w:p w14:paraId="2D016A6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47CE161C">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86" w:type="dxa"/>
            <w:tcBorders>
              <w:top w:val="nil"/>
              <w:left w:val="nil"/>
              <w:bottom w:val="single" w:color="auto" w:sz="4" w:space="0"/>
              <w:right w:val="single" w:color="auto" w:sz="4" w:space="0"/>
            </w:tcBorders>
            <w:noWrap w:val="0"/>
            <w:vAlign w:val="center"/>
          </w:tcPr>
          <w:p w14:paraId="49E24E34">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2000≤Y＜10000</w:t>
            </w:r>
          </w:p>
        </w:tc>
        <w:tc>
          <w:tcPr>
            <w:tcW w:w="1647" w:type="dxa"/>
            <w:tcBorders>
              <w:top w:val="nil"/>
              <w:left w:val="nil"/>
              <w:bottom w:val="single" w:color="auto" w:sz="4" w:space="0"/>
              <w:right w:val="single" w:color="auto" w:sz="4" w:space="0"/>
            </w:tcBorders>
            <w:noWrap w:val="0"/>
            <w:vAlign w:val="center"/>
          </w:tcPr>
          <w:p w14:paraId="0020D7F3">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1046" w:type="dxa"/>
            <w:tcBorders>
              <w:top w:val="nil"/>
              <w:left w:val="nil"/>
              <w:bottom w:val="single" w:color="auto" w:sz="4" w:space="0"/>
              <w:right w:val="nil"/>
            </w:tcBorders>
            <w:noWrap w:val="0"/>
            <w:vAlign w:val="center"/>
          </w:tcPr>
          <w:p w14:paraId="57AEF5E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421CF806">
        <w:tblPrEx>
          <w:tblCellMar>
            <w:top w:w="0" w:type="dxa"/>
            <w:left w:w="108" w:type="dxa"/>
            <w:bottom w:w="0" w:type="dxa"/>
            <w:right w:w="108" w:type="dxa"/>
          </w:tblCellMar>
        </w:tblPrEx>
        <w:trPr>
          <w:trHeight w:val="397" w:hRule="exact"/>
          <w:jc w:val="center"/>
        </w:trPr>
        <w:tc>
          <w:tcPr>
            <w:tcW w:w="1930" w:type="dxa"/>
            <w:vMerge w:val="restart"/>
            <w:tcBorders>
              <w:top w:val="nil"/>
              <w:left w:val="nil"/>
              <w:bottom w:val="single" w:color="auto" w:sz="4" w:space="0"/>
              <w:right w:val="single" w:color="auto" w:sz="4" w:space="0"/>
            </w:tcBorders>
            <w:noWrap w:val="0"/>
            <w:vAlign w:val="center"/>
          </w:tcPr>
          <w:p w14:paraId="6837D7F6">
            <w:pPr>
              <w:widowControl/>
              <w:spacing w:line="24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餐饮业</w:t>
            </w:r>
          </w:p>
        </w:tc>
        <w:tc>
          <w:tcPr>
            <w:tcW w:w="1750" w:type="dxa"/>
            <w:tcBorders>
              <w:top w:val="nil"/>
              <w:left w:val="nil"/>
              <w:bottom w:val="nil"/>
              <w:right w:val="single" w:color="auto" w:sz="4" w:space="0"/>
            </w:tcBorders>
            <w:noWrap w:val="0"/>
            <w:vAlign w:val="center"/>
          </w:tcPr>
          <w:p w14:paraId="4776CD10">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nil"/>
              <w:right w:val="single" w:color="auto" w:sz="4" w:space="0"/>
            </w:tcBorders>
            <w:noWrap w:val="0"/>
            <w:vAlign w:val="center"/>
          </w:tcPr>
          <w:p w14:paraId="720C863E">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nil"/>
              <w:right w:val="single" w:color="auto" w:sz="4" w:space="0"/>
            </w:tcBorders>
            <w:noWrap w:val="0"/>
            <w:vAlign w:val="center"/>
          </w:tcPr>
          <w:p w14:paraId="376C8A3E">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86" w:type="dxa"/>
            <w:tcBorders>
              <w:top w:val="nil"/>
              <w:left w:val="nil"/>
              <w:bottom w:val="nil"/>
              <w:right w:val="single" w:color="auto" w:sz="4" w:space="0"/>
            </w:tcBorders>
            <w:noWrap w:val="0"/>
            <w:vAlign w:val="center"/>
          </w:tcPr>
          <w:p w14:paraId="417D4F18">
            <w:pPr>
              <w:widowControl/>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100≤X＜300 </w:t>
            </w:r>
          </w:p>
        </w:tc>
        <w:tc>
          <w:tcPr>
            <w:tcW w:w="1647" w:type="dxa"/>
            <w:tcBorders>
              <w:top w:val="nil"/>
              <w:left w:val="nil"/>
              <w:bottom w:val="nil"/>
              <w:right w:val="single" w:color="auto" w:sz="4" w:space="0"/>
            </w:tcBorders>
            <w:noWrap w:val="0"/>
            <w:vAlign w:val="center"/>
          </w:tcPr>
          <w:p w14:paraId="64E6C2F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10≤X＜100</w:t>
            </w:r>
          </w:p>
        </w:tc>
        <w:tc>
          <w:tcPr>
            <w:tcW w:w="1046" w:type="dxa"/>
            <w:tcBorders>
              <w:top w:val="nil"/>
              <w:left w:val="nil"/>
              <w:bottom w:val="nil"/>
              <w:right w:val="nil"/>
            </w:tcBorders>
            <w:noWrap w:val="0"/>
            <w:vAlign w:val="center"/>
          </w:tcPr>
          <w:p w14:paraId="6AFADF8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3DBF3F04">
        <w:tblPrEx>
          <w:tblCellMar>
            <w:top w:w="0" w:type="dxa"/>
            <w:left w:w="108" w:type="dxa"/>
            <w:bottom w:w="0" w:type="dxa"/>
            <w:right w:w="108" w:type="dxa"/>
          </w:tblCellMar>
        </w:tblPrEx>
        <w:trPr>
          <w:trHeight w:val="702" w:hRule="exact"/>
          <w:jc w:val="center"/>
        </w:trPr>
        <w:tc>
          <w:tcPr>
            <w:tcW w:w="1930" w:type="dxa"/>
            <w:vMerge w:val="continue"/>
            <w:tcBorders>
              <w:top w:val="nil"/>
              <w:left w:val="nil"/>
              <w:bottom w:val="single" w:color="auto" w:sz="4" w:space="0"/>
              <w:right w:val="single" w:color="auto" w:sz="4" w:space="0"/>
            </w:tcBorders>
            <w:noWrap w:val="0"/>
            <w:vAlign w:val="center"/>
          </w:tcPr>
          <w:p w14:paraId="6B35232D">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6B9C2D3C">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single" w:color="auto" w:sz="4" w:space="0"/>
              <w:right w:val="single" w:color="auto" w:sz="4" w:space="0"/>
            </w:tcBorders>
            <w:noWrap w:val="0"/>
            <w:vAlign w:val="center"/>
          </w:tcPr>
          <w:p w14:paraId="7BAD0D7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34E0FD1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86" w:type="dxa"/>
            <w:tcBorders>
              <w:top w:val="nil"/>
              <w:left w:val="nil"/>
              <w:bottom w:val="single" w:color="auto" w:sz="4" w:space="0"/>
              <w:right w:val="single" w:color="auto" w:sz="4" w:space="0"/>
            </w:tcBorders>
            <w:noWrap w:val="0"/>
            <w:vAlign w:val="center"/>
          </w:tcPr>
          <w:p w14:paraId="1796FFD5">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2000≤Y＜10000</w:t>
            </w:r>
          </w:p>
        </w:tc>
        <w:tc>
          <w:tcPr>
            <w:tcW w:w="1647" w:type="dxa"/>
            <w:tcBorders>
              <w:top w:val="nil"/>
              <w:left w:val="nil"/>
              <w:bottom w:val="single" w:color="auto" w:sz="4" w:space="0"/>
              <w:right w:val="single" w:color="auto" w:sz="4" w:space="0"/>
            </w:tcBorders>
            <w:noWrap w:val="0"/>
            <w:vAlign w:val="center"/>
          </w:tcPr>
          <w:p w14:paraId="4D88AF2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1046" w:type="dxa"/>
            <w:tcBorders>
              <w:top w:val="nil"/>
              <w:left w:val="nil"/>
              <w:bottom w:val="single" w:color="auto" w:sz="4" w:space="0"/>
              <w:right w:val="nil"/>
            </w:tcBorders>
            <w:noWrap w:val="0"/>
            <w:vAlign w:val="center"/>
          </w:tcPr>
          <w:p w14:paraId="13093FB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4876417C">
        <w:tblPrEx>
          <w:tblCellMar>
            <w:top w:w="0" w:type="dxa"/>
            <w:left w:w="108" w:type="dxa"/>
            <w:bottom w:w="0" w:type="dxa"/>
            <w:right w:w="108" w:type="dxa"/>
          </w:tblCellMar>
        </w:tblPrEx>
        <w:trPr>
          <w:trHeight w:val="397" w:hRule="exact"/>
          <w:jc w:val="center"/>
        </w:trPr>
        <w:tc>
          <w:tcPr>
            <w:tcW w:w="1930" w:type="dxa"/>
            <w:vMerge w:val="restart"/>
            <w:tcBorders>
              <w:top w:val="nil"/>
              <w:left w:val="nil"/>
              <w:bottom w:val="single" w:color="auto" w:sz="4" w:space="0"/>
              <w:right w:val="single" w:color="auto" w:sz="4" w:space="0"/>
            </w:tcBorders>
            <w:noWrap w:val="0"/>
            <w:vAlign w:val="center"/>
          </w:tcPr>
          <w:p w14:paraId="3AC031C4">
            <w:pPr>
              <w:widowControl/>
              <w:spacing w:line="240" w:lineRule="exact"/>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 xml:space="preserve">信息传输业 </w:t>
            </w:r>
          </w:p>
        </w:tc>
        <w:tc>
          <w:tcPr>
            <w:tcW w:w="1750" w:type="dxa"/>
            <w:tcBorders>
              <w:top w:val="nil"/>
              <w:left w:val="nil"/>
              <w:bottom w:val="nil"/>
              <w:right w:val="single" w:color="auto" w:sz="4" w:space="0"/>
            </w:tcBorders>
            <w:noWrap w:val="0"/>
            <w:vAlign w:val="center"/>
          </w:tcPr>
          <w:p w14:paraId="5A617D29">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nil"/>
              <w:right w:val="single" w:color="auto" w:sz="4" w:space="0"/>
            </w:tcBorders>
            <w:noWrap w:val="0"/>
            <w:vAlign w:val="center"/>
          </w:tcPr>
          <w:p w14:paraId="2E1016F5">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nil"/>
              <w:right w:val="single" w:color="auto" w:sz="4" w:space="0"/>
            </w:tcBorders>
            <w:noWrap w:val="0"/>
            <w:vAlign w:val="center"/>
          </w:tcPr>
          <w:p w14:paraId="4CB7FBD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X≥2000</w:t>
            </w:r>
          </w:p>
        </w:tc>
        <w:tc>
          <w:tcPr>
            <w:tcW w:w="1786" w:type="dxa"/>
            <w:tcBorders>
              <w:top w:val="nil"/>
              <w:left w:val="nil"/>
              <w:bottom w:val="nil"/>
              <w:right w:val="single" w:color="auto" w:sz="4" w:space="0"/>
            </w:tcBorders>
            <w:noWrap w:val="0"/>
            <w:vAlign w:val="center"/>
          </w:tcPr>
          <w:p w14:paraId="35D88D8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100≤X＜2000</w:t>
            </w:r>
          </w:p>
        </w:tc>
        <w:tc>
          <w:tcPr>
            <w:tcW w:w="1647" w:type="dxa"/>
            <w:tcBorders>
              <w:top w:val="nil"/>
              <w:left w:val="nil"/>
              <w:bottom w:val="nil"/>
              <w:right w:val="single" w:color="auto" w:sz="4" w:space="0"/>
            </w:tcBorders>
            <w:noWrap w:val="0"/>
            <w:vAlign w:val="center"/>
          </w:tcPr>
          <w:p w14:paraId="56E88E5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10≤X＜100</w:t>
            </w:r>
          </w:p>
        </w:tc>
        <w:tc>
          <w:tcPr>
            <w:tcW w:w="1046" w:type="dxa"/>
            <w:tcBorders>
              <w:top w:val="nil"/>
              <w:left w:val="nil"/>
              <w:bottom w:val="nil"/>
              <w:right w:val="nil"/>
            </w:tcBorders>
            <w:noWrap w:val="0"/>
            <w:vAlign w:val="center"/>
          </w:tcPr>
          <w:p w14:paraId="0583D42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6CB399E0">
        <w:tblPrEx>
          <w:tblCellMar>
            <w:top w:w="0" w:type="dxa"/>
            <w:left w:w="108" w:type="dxa"/>
            <w:bottom w:w="0" w:type="dxa"/>
            <w:right w:w="108" w:type="dxa"/>
          </w:tblCellMar>
        </w:tblPrEx>
        <w:trPr>
          <w:trHeight w:val="627" w:hRule="exact"/>
          <w:jc w:val="center"/>
        </w:trPr>
        <w:tc>
          <w:tcPr>
            <w:tcW w:w="1930" w:type="dxa"/>
            <w:vMerge w:val="continue"/>
            <w:tcBorders>
              <w:top w:val="nil"/>
              <w:left w:val="nil"/>
              <w:bottom w:val="single" w:color="auto" w:sz="4" w:space="0"/>
              <w:right w:val="single" w:color="auto" w:sz="4" w:space="0"/>
            </w:tcBorders>
            <w:noWrap w:val="0"/>
            <w:vAlign w:val="center"/>
          </w:tcPr>
          <w:p w14:paraId="1A885A99">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7DC73BB2">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single" w:color="auto" w:sz="4" w:space="0"/>
              <w:right w:val="single" w:color="auto" w:sz="4" w:space="0"/>
            </w:tcBorders>
            <w:noWrap w:val="0"/>
            <w:vAlign w:val="center"/>
          </w:tcPr>
          <w:p w14:paraId="4EC5EB5E">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38E859E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Y≥100000</w:t>
            </w:r>
          </w:p>
        </w:tc>
        <w:tc>
          <w:tcPr>
            <w:tcW w:w="1786" w:type="dxa"/>
            <w:tcBorders>
              <w:top w:val="nil"/>
              <w:left w:val="nil"/>
              <w:bottom w:val="single" w:color="auto" w:sz="4" w:space="0"/>
              <w:right w:val="single" w:color="auto" w:sz="4" w:space="0"/>
            </w:tcBorders>
            <w:noWrap w:val="0"/>
            <w:vAlign w:val="center"/>
          </w:tcPr>
          <w:p w14:paraId="0D02F5CE">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1000≤Y＜100000</w:t>
            </w:r>
          </w:p>
        </w:tc>
        <w:tc>
          <w:tcPr>
            <w:tcW w:w="1647" w:type="dxa"/>
            <w:tcBorders>
              <w:top w:val="nil"/>
              <w:left w:val="nil"/>
              <w:bottom w:val="single" w:color="auto" w:sz="4" w:space="0"/>
              <w:right w:val="single" w:color="auto" w:sz="4" w:space="0"/>
            </w:tcBorders>
            <w:noWrap w:val="0"/>
            <w:vAlign w:val="center"/>
          </w:tcPr>
          <w:p w14:paraId="4151C28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1046" w:type="dxa"/>
            <w:tcBorders>
              <w:top w:val="nil"/>
              <w:left w:val="nil"/>
              <w:bottom w:val="single" w:color="auto" w:sz="4" w:space="0"/>
              <w:right w:val="nil"/>
            </w:tcBorders>
            <w:noWrap w:val="0"/>
            <w:vAlign w:val="center"/>
          </w:tcPr>
          <w:p w14:paraId="7D087257">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75B06FB5">
        <w:tblPrEx>
          <w:tblCellMar>
            <w:top w:w="0" w:type="dxa"/>
            <w:left w:w="108" w:type="dxa"/>
            <w:bottom w:w="0" w:type="dxa"/>
            <w:right w:w="108" w:type="dxa"/>
          </w:tblCellMar>
        </w:tblPrEx>
        <w:trPr>
          <w:trHeight w:val="534" w:hRule="exact"/>
          <w:jc w:val="center"/>
        </w:trPr>
        <w:tc>
          <w:tcPr>
            <w:tcW w:w="1930" w:type="dxa"/>
            <w:vMerge w:val="restart"/>
            <w:tcBorders>
              <w:top w:val="single" w:color="auto" w:sz="4" w:space="0"/>
              <w:left w:val="nil"/>
              <w:bottom w:val="single" w:color="auto" w:sz="4" w:space="0"/>
              <w:right w:val="single" w:color="auto" w:sz="4" w:space="0"/>
            </w:tcBorders>
            <w:noWrap w:val="0"/>
            <w:vAlign w:val="center"/>
          </w:tcPr>
          <w:p w14:paraId="27A0DC38">
            <w:pPr>
              <w:widowControl/>
              <w:spacing w:line="240" w:lineRule="exact"/>
              <w:jc w:val="left"/>
              <w:rPr>
                <w:rFonts w:hint="eastAsia" w:ascii="宋体" w:hAnsi="宋体" w:eastAsia="宋体" w:cs="宋体"/>
                <w:color w:val="auto"/>
                <w:spacing w:val="-12"/>
                <w:kern w:val="0"/>
                <w:sz w:val="21"/>
                <w:szCs w:val="21"/>
                <w:highlight w:val="none"/>
              </w:rPr>
            </w:pPr>
            <w:r>
              <w:rPr>
                <w:rFonts w:hint="eastAsia" w:ascii="宋体" w:hAnsi="宋体" w:eastAsia="宋体" w:cs="宋体"/>
                <w:color w:val="auto"/>
                <w:spacing w:val="-12"/>
                <w:kern w:val="0"/>
                <w:sz w:val="21"/>
                <w:szCs w:val="21"/>
                <w:highlight w:val="none"/>
              </w:rPr>
              <w:t>软件和信息技术服</w:t>
            </w:r>
            <w:r>
              <w:rPr>
                <w:rFonts w:hint="eastAsia" w:ascii="宋体" w:hAnsi="宋体" w:eastAsia="宋体" w:cs="宋体"/>
                <w:color w:val="auto"/>
                <w:kern w:val="0"/>
                <w:sz w:val="21"/>
                <w:szCs w:val="21"/>
                <w:highlight w:val="none"/>
              </w:rPr>
              <w:t>务业</w:t>
            </w:r>
          </w:p>
        </w:tc>
        <w:tc>
          <w:tcPr>
            <w:tcW w:w="1750" w:type="dxa"/>
            <w:tcBorders>
              <w:top w:val="nil"/>
              <w:left w:val="nil"/>
              <w:bottom w:val="nil"/>
              <w:right w:val="single" w:color="auto" w:sz="4" w:space="0"/>
            </w:tcBorders>
            <w:noWrap w:val="0"/>
            <w:vAlign w:val="center"/>
          </w:tcPr>
          <w:p w14:paraId="417EB94F">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nil"/>
              <w:right w:val="single" w:color="auto" w:sz="4" w:space="0"/>
            </w:tcBorders>
            <w:noWrap w:val="0"/>
            <w:vAlign w:val="center"/>
          </w:tcPr>
          <w:p w14:paraId="3BCC659F">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nil"/>
              <w:right w:val="single" w:color="auto" w:sz="4" w:space="0"/>
            </w:tcBorders>
            <w:noWrap w:val="0"/>
            <w:vAlign w:val="center"/>
          </w:tcPr>
          <w:p w14:paraId="79D0431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86" w:type="dxa"/>
            <w:tcBorders>
              <w:top w:val="nil"/>
              <w:left w:val="nil"/>
              <w:bottom w:val="nil"/>
              <w:right w:val="single" w:color="auto" w:sz="4" w:space="0"/>
            </w:tcBorders>
            <w:noWrap w:val="0"/>
            <w:vAlign w:val="center"/>
          </w:tcPr>
          <w:p w14:paraId="6148D145">
            <w:pPr>
              <w:widowControl/>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100≤X＜300 </w:t>
            </w:r>
          </w:p>
        </w:tc>
        <w:tc>
          <w:tcPr>
            <w:tcW w:w="1647" w:type="dxa"/>
            <w:tcBorders>
              <w:top w:val="nil"/>
              <w:left w:val="nil"/>
              <w:bottom w:val="nil"/>
              <w:right w:val="single" w:color="auto" w:sz="4" w:space="0"/>
            </w:tcBorders>
            <w:noWrap w:val="0"/>
            <w:vAlign w:val="center"/>
          </w:tcPr>
          <w:p w14:paraId="0D61A25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10≤X＜100</w:t>
            </w:r>
          </w:p>
        </w:tc>
        <w:tc>
          <w:tcPr>
            <w:tcW w:w="1046" w:type="dxa"/>
            <w:tcBorders>
              <w:top w:val="nil"/>
              <w:left w:val="nil"/>
              <w:bottom w:val="nil"/>
              <w:right w:val="nil"/>
            </w:tcBorders>
            <w:noWrap w:val="0"/>
            <w:vAlign w:val="center"/>
          </w:tcPr>
          <w:p w14:paraId="1F333FA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20B5575A">
        <w:tblPrEx>
          <w:tblCellMar>
            <w:top w:w="0" w:type="dxa"/>
            <w:left w:w="108" w:type="dxa"/>
            <w:bottom w:w="0" w:type="dxa"/>
            <w:right w:w="108" w:type="dxa"/>
          </w:tblCellMar>
        </w:tblPrEx>
        <w:trPr>
          <w:trHeight w:val="585" w:hRule="exact"/>
          <w:jc w:val="center"/>
        </w:trPr>
        <w:tc>
          <w:tcPr>
            <w:tcW w:w="1930" w:type="dxa"/>
            <w:vMerge w:val="continue"/>
            <w:tcBorders>
              <w:top w:val="single" w:color="auto" w:sz="4" w:space="0"/>
              <w:left w:val="nil"/>
              <w:bottom w:val="single" w:color="auto" w:sz="4" w:space="0"/>
              <w:right w:val="single" w:color="auto" w:sz="4" w:space="0"/>
            </w:tcBorders>
            <w:noWrap w:val="0"/>
            <w:vAlign w:val="center"/>
          </w:tcPr>
          <w:p w14:paraId="582A2D60">
            <w:pPr>
              <w:widowControl/>
              <w:jc w:val="left"/>
              <w:rPr>
                <w:rFonts w:hint="eastAsia" w:ascii="宋体" w:hAnsi="宋体" w:eastAsia="宋体" w:cs="宋体"/>
                <w:color w:val="auto"/>
                <w:spacing w:val="-12"/>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49D4097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single" w:color="auto" w:sz="4" w:space="0"/>
              <w:right w:val="single" w:color="auto" w:sz="4" w:space="0"/>
            </w:tcBorders>
            <w:noWrap w:val="0"/>
            <w:vAlign w:val="center"/>
          </w:tcPr>
          <w:p w14:paraId="154607A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4296376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86" w:type="dxa"/>
            <w:tcBorders>
              <w:top w:val="nil"/>
              <w:left w:val="nil"/>
              <w:bottom w:val="single" w:color="auto" w:sz="4" w:space="0"/>
              <w:right w:val="single" w:color="auto" w:sz="4" w:space="0"/>
            </w:tcBorders>
            <w:noWrap w:val="0"/>
            <w:vAlign w:val="center"/>
          </w:tcPr>
          <w:p w14:paraId="41286423">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1000≤Y＜10000</w:t>
            </w:r>
          </w:p>
        </w:tc>
        <w:tc>
          <w:tcPr>
            <w:tcW w:w="1647" w:type="dxa"/>
            <w:tcBorders>
              <w:top w:val="nil"/>
              <w:left w:val="nil"/>
              <w:bottom w:val="single" w:color="auto" w:sz="4" w:space="0"/>
              <w:right w:val="single" w:color="auto" w:sz="4" w:space="0"/>
            </w:tcBorders>
            <w:noWrap w:val="0"/>
            <w:vAlign w:val="center"/>
          </w:tcPr>
          <w:p w14:paraId="621FBF73">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50≤Y＜1000</w:t>
            </w:r>
          </w:p>
        </w:tc>
        <w:tc>
          <w:tcPr>
            <w:tcW w:w="1046" w:type="dxa"/>
            <w:tcBorders>
              <w:top w:val="nil"/>
              <w:left w:val="nil"/>
              <w:bottom w:val="single" w:color="auto" w:sz="4" w:space="0"/>
              <w:right w:val="nil"/>
            </w:tcBorders>
            <w:noWrap w:val="0"/>
            <w:vAlign w:val="center"/>
          </w:tcPr>
          <w:p w14:paraId="60D5D45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w:t>
            </w:r>
          </w:p>
        </w:tc>
      </w:tr>
      <w:tr w14:paraId="7627F421">
        <w:tblPrEx>
          <w:tblCellMar>
            <w:top w:w="0" w:type="dxa"/>
            <w:left w:w="108" w:type="dxa"/>
            <w:bottom w:w="0" w:type="dxa"/>
            <w:right w:w="108" w:type="dxa"/>
          </w:tblCellMar>
        </w:tblPrEx>
        <w:trPr>
          <w:trHeight w:val="340" w:hRule="exact"/>
          <w:jc w:val="center"/>
        </w:trPr>
        <w:tc>
          <w:tcPr>
            <w:tcW w:w="1930" w:type="dxa"/>
            <w:vMerge w:val="restart"/>
            <w:tcBorders>
              <w:top w:val="nil"/>
              <w:left w:val="nil"/>
              <w:bottom w:val="single" w:color="auto" w:sz="4" w:space="0"/>
              <w:right w:val="single" w:color="auto" w:sz="4" w:space="0"/>
            </w:tcBorders>
            <w:noWrap w:val="0"/>
            <w:vAlign w:val="center"/>
          </w:tcPr>
          <w:p w14:paraId="484080BB">
            <w:pPr>
              <w:widowControl/>
              <w:spacing w:line="24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房地产开发经营</w:t>
            </w:r>
          </w:p>
        </w:tc>
        <w:tc>
          <w:tcPr>
            <w:tcW w:w="1750" w:type="dxa"/>
            <w:tcBorders>
              <w:top w:val="nil"/>
              <w:left w:val="nil"/>
              <w:bottom w:val="nil"/>
              <w:right w:val="single" w:color="auto" w:sz="4" w:space="0"/>
            </w:tcBorders>
            <w:noWrap w:val="0"/>
            <w:vAlign w:val="center"/>
          </w:tcPr>
          <w:p w14:paraId="2B959D5D">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nil"/>
              <w:right w:val="single" w:color="auto" w:sz="4" w:space="0"/>
            </w:tcBorders>
            <w:noWrap w:val="0"/>
            <w:vAlign w:val="center"/>
          </w:tcPr>
          <w:p w14:paraId="0920434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nil"/>
              <w:right w:val="single" w:color="auto" w:sz="4" w:space="0"/>
            </w:tcBorders>
            <w:noWrap w:val="0"/>
            <w:vAlign w:val="center"/>
          </w:tcPr>
          <w:p w14:paraId="009771E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Y≥200000</w:t>
            </w:r>
          </w:p>
        </w:tc>
        <w:tc>
          <w:tcPr>
            <w:tcW w:w="1786" w:type="dxa"/>
            <w:tcBorders>
              <w:top w:val="nil"/>
              <w:left w:val="nil"/>
              <w:bottom w:val="nil"/>
              <w:right w:val="single" w:color="auto" w:sz="4" w:space="0"/>
            </w:tcBorders>
            <w:noWrap w:val="0"/>
            <w:vAlign w:val="center"/>
          </w:tcPr>
          <w:p w14:paraId="19D184D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1000≤Y＜200000</w:t>
            </w:r>
          </w:p>
        </w:tc>
        <w:tc>
          <w:tcPr>
            <w:tcW w:w="1647" w:type="dxa"/>
            <w:tcBorders>
              <w:top w:val="nil"/>
              <w:left w:val="nil"/>
              <w:bottom w:val="nil"/>
              <w:right w:val="single" w:color="auto" w:sz="4" w:space="0"/>
            </w:tcBorders>
            <w:noWrap w:val="0"/>
            <w:vAlign w:val="center"/>
          </w:tcPr>
          <w:p w14:paraId="6F7C8837">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100≤Y＜1000</w:t>
            </w:r>
          </w:p>
        </w:tc>
        <w:tc>
          <w:tcPr>
            <w:tcW w:w="1046" w:type="dxa"/>
            <w:tcBorders>
              <w:top w:val="nil"/>
              <w:left w:val="nil"/>
              <w:bottom w:val="nil"/>
              <w:right w:val="nil"/>
            </w:tcBorders>
            <w:noWrap w:val="0"/>
            <w:vAlign w:val="center"/>
          </w:tcPr>
          <w:p w14:paraId="6D8E773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00A1E725">
        <w:tblPrEx>
          <w:tblCellMar>
            <w:top w:w="0" w:type="dxa"/>
            <w:left w:w="108" w:type="dxa"/>
            <w:bottom w:w="0" w:type="dxa"/>
            <w:right w:w="108" w:type="dxa"/>
          </w:tblCellMar>
        </w:tblPrEx>
        <w:trPr>
          <w:trHeight w:val="405" w:hRule="exact"/>
          <w:jc w:val="center"/>
        </w:trPr>
        <w:tc>
          <w:tcPr>
            <w:tcW w:w="1930" w:type="dxa"/>
            <w:vMerge w:val="continue"/>
            <w:tcBorders>
              <w:top w:val="nil"/>
              <w:left w:val="nil"/>
              <w:bottom w:val="single" w:color="auto" w:sz="4" w:space="0"/>
              <w:right w:val="single" w:color="auto" w:sz="4" w:space="0"/>
            </w:tcBorders>
            <w:noWrap w:val="0"/>
            <w:vAlign w:val="center"/>
          </w:tcPr>
          <w:p w14:paraId="0A099585">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534C5907">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684" w:type="dxa"/>
            <w:tcBorders>
              <w:top w:val="nil"/>
              <w:left w:val="nil"/>
              <w:bottom w:val="single" w:color="auto" w:sz="4" w:space="0"/>
              <w:right w:val="single" w:color="auto" w:sz="4" w:space="0"/>
            </w:tcBorders>
            <w:noWrap w:val="0"/>
            <w:vAlign w:val="center"/>
          </w:tcPr>
          <w:p w14:paraId="6C8E973F">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09C9C897">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Z≥10000</w:t>
            </w:r>
          </w:p>
        </w:tc>
        <w:tc>
          <w:tcPr>
            <w:tcW w:w="1786" w:type="dxa"/>
            <w:tcBorders>
              <w:top w:val="nil"/>
              <w:left w:val="nil"/>
              <w:bottom w:val="single" w:color="auto" w:sz="4" w:space="0"/>
              <w:right w:val="single" w:color="auto" w:sz="4" w:space="0"/>
            </w:tcBorders>
            <w:noWrap w:val="0"/>
            <w:vAlign w:val="center"/>
          </w:tcPr>
          <w:p w14:paraId="3AEEA200">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5000≤Z＜10000</w:t>
            </w:r>
          </w:p>
        </w:tc>
        <w:tc>
          <w:tcPr>
            <w:tcW w:w="1647" w:type="dxa"/>
            <w:tcBorders>
              <w:top w:val="nil"/>
              <w:left w:val="nil"/>
              <w:bottom w:val="single" w:color="auto" w:sz="4" w:space="0"/>
              <w:right w:val="single" w:color="auto" w:sz="4" w:space="0"/>
            </w:tcBorders>
            <w:noWrap w:val="0"/>
            <w:vAlign w:val="center"/>
          </w:tcPr>
          <w:p w14:paraId="3C528375">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2000≤Z＜5000   </w:t>
            </w:r>
          </w:p>
        </w:tc>
        <w:tc>
          <w:tcPr>
            <w:tcW w:w="1046" w:type="dxa"/>
            <w:tcBorders>
              <w:top w:val="nil"/>
              <w:left w:val="nil"/>
              <w:bottom w:val="single" w:color="auto" w:sz="4" w:space="0"/>
              <w:right w:val="nil"/>
            </w:tcBorders>
            <w:noWrap w:val="0"/>
            <w:vAlign w:val="center"/>
          </w:tcPr>
          <w:p w14:paraId="1CB618B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Z＜2000</w:t>
            </w:r>
          </w:p>
        </w:tc>
      </w:tr>
      <w:tr w14:paraId="1392BA48">
        <w:tblPrEx>
          <w:tblCellMar>
            <w:top w:w="0" w:type="dxa"/>
            <w:left w:w="108" w:type="dxa"/>
            <w:bottom w:w="0" w:type="dxa"/>
            <w:right w:w="108" w:type="dxa"/>
          </w:tblCellMar>
        </w:tblPrEx>
        <w:trPr>
          <w:trHeight w:val="340" w:hRule="exact"/>
          <w:jc w:val="center"/>
        </w:trPr>
        <w:tc>
          <w:tcPr>
            <w:tcW w:w="1930" w:type="dxa"/>
            <w:vMerge w:val="restart"/>
            <w:tcBorders>
              <w:top w:val="nil"/>
              <w:left w:val="nil"/>
              <w:bottom w:val="single" w:color="auto" w:sz="4" w:space="0"/>
              <w:right w:val="single" w:color="auto" w:sz="4" w:space="0"/>
            </w:tcBorders>
            <w:noWrap w:val="0"/>
            <w:vAlign w:val="center"/>
          </w:tcPr>
          <w:p w14:paraId="221F8BD3">
            <w:pPr>
              <w:widowControl/>
              <w:spacing w:line="24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物业管理</w:t>
            </w:r>
          </w:p>
        </w:tc>
        <w:tc>
          <w:tcPr>
            <w:tcW w:w="1750" w:type="dxa"/>
            <w:tcBorders>
              <w:top w:val="nil"/>
              <w:left w:val="nil"/>
              <w:bottom w:val="nil"/>
              <w:right w:val="single" w:color="auto" w:sz="4" w:space="0"/>
            </w:tcBorders>
            <w:noWrap w:val="0"/>
            <w:vAlign w:val="center"/>
          </w:tcPr>
          <w:p w14:paraId="08B83C0E">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nil"/>
              <w:right w:val="single" w:color="auto" w:sz="4" w:space="0"/>
            </w:tcBorders>
            <w:noWrap w:val="0"/>
            <w:vAlign w:val="center"/>
          </w:tcPr>
          <w:p w14:paraId="0BEDDE2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nil"/>
              <w:right w:val="single" w:color="auto" w:sz="4" w:space="0"/>
            </w:tcBorders>
            <w:noWrap w:val="0"/>
            <w:vAlign w:val="center"/>
          </w:tcPr>
          <w:p w14:paraId="1F44D7C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86" w:type="dxa"/>
            <w:tcBorders>
              <w:top w:val="nil"/>
              <w:left w:val="nil"/>
              <w:bottom w:val="nil"/>
              <w:right w:val="single" w:color="auto" w:sz="4" w:space="0"/>
            </w:tcBorders>
            <w:noWrap w:val="0"/>
            <w:vAlign w:val="center"/>
          </w:tcPr>
          <w:p w14:paraId="528D0BE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647" w:type="dxa"/>
            <w:tcBorders>
              <w:top w:val="nil"/>
              <w:left w:val="nil"/>
              <w:bottom w:val="nil"/>
              <w:right w:val="single" w:color="auto" w:sz="4" w:space="0"/>
            </w:tcBorders>
            <w:noWrap w:val="0"/>
            <w:vAlign w:val="center"/>
          </w:tcPr>
          <w:p w14:paraId="667A084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100≤X＜300 </w:t>
            </w:r>
          </w:p>
        </w:tc>
        <w:tc>
          <w:tcPr>
            <w:tcW w:w="1046" w:type="dxa"/>
            <w:tcBorders>
              <w:top w:val="nil"/>
              <w:left w:val="nil"/>
              <w:bottom w:val="nil"/>
              <w:right w:val="nil"/>
            </w:tcBorders>
            <w:noWrap w:val="0"/>
            <w:vAlign w:val="center"/>
          </w:tcPr>
          <w:p w14:paraId="7344224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w:t>
            </w:r>
          </w:p>
        </w:tc>
      </w:tr>
      <w:tr w14:paraId="13B80DC3">
        <w:tblPrEx>
          <w:tblCellMar>
            <w:top w:w="0" w:type="dxa"/>
            <w:left w:w="108" w:type="dxa"/>
            <w:bottom w:w="0" w:type="dxa"/>
            <w:right w:w="108" w:type="dxa"/>
          </w:tblCellMar>
        </w:tblPrEx>
        <w:trPr>
          <w:trHeight w:val="435" w:hRule="exact"/>
          <w:jc w:val="center"/>
        </w:trPr>
        <w:tc>
          <w:tcPr>
            <w:tcW w:w="1930" w:type="dxa"/>
            <w:vMerge w:val="continue"/>
            <w:tcBorders>
              <w:top w:val="nil"/>
              <w:left w:val="nil"/>
              <w:bottom w:val="single" w:color="auto" w:sz="4" w:space="0"/>
              <w:right w:val="single" w:color="auto" w:sz="4" w:space="0"/>
            </w:tcBorders>
            <w:noWrap w:val="0"/>
            <w:vAlign w:val="center"/>
          </w:tcPr>
          <w:p w14:paraId="0791C38D">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2E2D5065">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684" w:type="dxa"/>
            <w:tcBorders>
              <w:top w:val="nil"/>
              <w:left w:val="nil"/>
              <w:bottom w:val="single" w:color="auto" w:sz="4" w:space="0"/>
              <w:right w:val="single" w:color="auto" w:sz="4" w:space="0"/>
            </w:tcBorders>
            <w:noWrap w:val="0"/>
            <w:vAlign w:val="center"/>
          </w:tcPr>
          <w:p w14:paraId="04959E8B">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3C652DE6">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Y≥5000</w:t>
            </w:r>
          </w:p>
        </w:tc>
        <w:tc>
          <w:tcPr>
            <w:tcW w:w="1786" w:type="dxa"/>
            <w:tcBorders>
              <w:top w:val="nil"/>
              <w:left w:val="nil"/>
              <w:bottom w:val="single" w:color="auto" w:sz="4" w:space="0"/>
              <w:right w:val="single" w:color="auto" w:sz="4" w:space="0"/>
            </w:tcBorders>
            <w:noWrap w:val="0"/>
            <w:vAlign w:val="center"/>
          </w:tcPr>
          <w:p w14:paraId="2F04C92A">
            <w:pPr>
              <w:widowControl/>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1000≤Y＜5000 </w:t>
            </w:r>
          </w:p>
        </w:tc>
        <w:tc>
          <w:tcPr>
            <w:tcW w:w="1647" w:type="dxa"/>
            <w:tcBorders>
              <w:top w:val="nil"/>
              <w:left w:val="nil"/>
              <w:bottom w:val="single" w:color="auto" w:sz="4" w:space="0"/>
              <w:right w:val="single" w:color="auto" w:sz="4" w:space="0"/>
            </w:tcBorders>
            <w:noWrap w:val="0"/>
            <w:vAlign w:val="center"/>
          </w:tcPr>
          <w:p w14:paraId="7B5C175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500≤Y＜1000</w:t>
            </w:r>
          </w:p>
        </w:tc>
        <w:tc>
          <w:tcPr>
            <w:tcW w:w="1046" w:type="dxa"/>
            <w:tcBorders>
              <w:top w:val="nil"/>
              <w:left w:val="nil"/>
              <w:bottom w:val="single" w:color="auto" w:sz="4" w:space="0"/>
              <w:right w:val="nil"/>
            </w:tcBorders>
            <w:noWrap w:val="0"/>
            <w:vAlign w:val="center"/>
          </w:tcPr>
          <w:p w14:paraId="29C16752">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Y＜500</w:t>
            </w:r>
          </w:p>
        </w:tc>
      </w:tr>
      <w:tr w14:paraId="31BB38E4">
        <w:tblPrEx>
          <w:tblCellMar>
            <w:top w:w="0" w:type="dxa"/>
            <w:left w:w="108" w:type="dxa"/>
            <w:bottom w:w="0" w:type="dxa"/>
            <w:right w:w="108" w:type="dxa"/>
          </w:tblCellMar>
        </w:tblPrEx>
        <w:trPr>
          <w:trHeight w:val="340" w:hRule="exact"/>
          <w:jc w:val="center"/>
        </w:trPr>
        <w:tc>
          <w:tcPr>
            <w:tcW w:w="1930" w:type="dxa"/>
            <w:vMerge w:val="restart"/>
            <w:tcBorders>
              <w:top w:val="nil"/>
              <w:left w:val="nil"/>
              <w:bottom w:val="single" w:color="auto" w:sz="4" w:space="0"/>
              <w:right w:val="single" w:color="auto" w:sz="4" w:space="0"/>
            </w:tcBorders>
            <w:noWrap w:val="0"/>
            <w:vAlign w:val="center"/>
          </w:tcPr>
          <w:p w14:paraId="0B0E008D">
            <w:pPr>
              <w:widowControl/>
              <w:spacing w:line="24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租赁和商务服务业</w:t>
            </w:r>
          </w:p>
        </w:tc>
        <w:tc>
          <w:tcPr>
            <w:tcW w:w="1750" w:type="dxa"/>
            <w:tcBorders>
              <w:top w:val="nil"/>
              <w:left w:val="nil"/>
              <w:bottom w:val="nil"/>
              <w:right w:val="single" w:color="auto" w:sz="4" w:space="0"/>
            </w:tcBorders>
            <w:noWrap w:val="0"/>
            <w:vAlign w:val="center"/>
          </w:tcPr>
          <w:p w14:paraId="6A58139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nil"/>
              <w:right w:val="single" w:color="auto" w:sz="4" w:space="0"/>
            </w:tcBorders>
            <w:noWrap w:val="0"/>
            <w:vAlign w:val="center"/>
          </w:tcPr>
          <w:p w14:paraId="1890087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nil"/>
              <w:right w:val="single" w:color="auto" w:sz="4" w:space="0"/>
            </w:tcBorders>
            <w:noWrap w:val="0"/>
            <w:vAlign w:val="center"/>
          </w:tcPr>
          <w:p w14:paraId="57B7F3A4">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86" w:type="dxa"/>
            <w:tcBorders>
              <w:top w:val="nil"/>
              <w:left w:val="nil"/>
              <w:bottom w:val="nil"/>
              <w:right w:val="single" w:color="auto" w:sz="4" w:space="0"/>
            </w:tcBorders>
            <w:noWrap w:val="0"/>
            <w:vAlign w:val="center"/>
          </w:tcPr>
          <w:p w14:paraId="6A4DD6F3">
            <w:pPr>
              <w:widowControl/>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100≤X＜300 </w:t>
            </w:r>
          </w:p>
        </w:tc>
        <w:tc>
          <w:tcPr>
            <w:tcW w:w="1647" w:type="dxa"/>
            <w:tcBorders>
              <w:top w:val="nil"/>
              <w:left w:val="nil"/>
              <w:bottom w:val="nil"/>
              <w:right w:val="single" w:color="auto" w:sz="4" w:space="0"/>
            </w:tcBorders>
            <w:noWrap w:val="0"/>
            <w:vAlign w:val="center"/>
          </w:tcPr>
          <w:p w14:paraId="102CE87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10≤X＜100</w:t>
            </w:r>
          </w:p>
        </w:tc>
        <w:tc>
          <w:tcPr>
            <w:tcW w:w="1046" w:type="dxa"/>
            <w:tcBorders>
              <w:top w:val="nil"/>
              <w:left w:val="nil"/>
              <w:bottom w:val="nil"/>
              <w:right w:val="nil"/>
            </w:tcBorders>
            <w:noWrap w:val="0"/>
            <w:vAlign w:val="center"/>
          </w:tcPr>
          <w:p w14:paraId="57E5033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77A91CDC">
        <w:tblPrEx>
          <w:tblCellMar>
            <w:top w:w="0" w:type="dxa"/>
            <w:left w:w="108" w:type="dxa"/>
            <w:bottom w:w="0" w:type="dxa"/>
            <w:right w:w="108" w:type="dxa"/>
          </w:tblCellMar>
        </w:tblPrEx>
        <w:trPr>
          <w:trHeight w:val="340" w:hRule="exact"/>
          <w:jc w:val="center"/>
        </w:trPr>
        <w:tc>
          <w:tcPr>
            <w:tcW w:w="1930" w:type="dxa"/>
            <w:vMerge w:val="continue"/>
            <w:tcBorders>
              <w:top w:val="nil"/>
              <w:left w:val="nil"/>
              <w:bottom w:val="single" w:color="auto" w:sz="4" w:space="0"/>
              <w:right w:val="single" w:color="auto" w:sz="4" w:space="0"/>
            </w:tcBorders>
            <w:noWrap w:val="0"/>
            <w:vAlign w:val="center"/>
          </w:tcPr>
          <w:p w14:paraId="264168A1">
            <w:pPr>
              <w:widowControl/>
              <w:jc w:val="left"/>
              <w:rPr>
                <w:rFonts w:hint="eastAsia" w:ascii="宋体" w:hAnsi="宋体" w:eastAsia="宋体" w:cs="宋体"/>
                <w:color w:val="auto"/>
                <w:kern w:val="0"/>
                <w:sz w:val="21"/>
                <w:szCs w:val="21"/>
                <w:highlight w:val="none"/>
              </w:rPr>
            </w:pPr>
          </w:p>
        </w:tc>
        <w:tc>
          <w:tcPr>
            <w:tcW w:w="1750" w:type="dxa"/>
            <w:tcBorders>
              <w:top w:val="nil"/>
              <w:left w:val="nil"/>
              <w:bottom w:val="single" w:color="auto" w:sz="4" w:space="0"/>
              <w:right w:val="single" w:color="auto" w:sz="4" w:space="0"/>
            </w:tcBorders>
            <w:noWrap w:val="0"/>
            <w:vAlign w:val="center"/>
          </w:tcPr>
          <w:p w14:paraId="1F16ACD5">
            <w:pPr>
              <w:widowControl/>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684" w:type="dxa"/>
            <w:tcBorders>
              <w:top w:val="nil"/>
              <w:left w:val="nil"/>
              <w:bottom w:val="single" w:color="auto" w:sz="4" w:space="0"/>
              <w:right w:val="single" w:color="auto" w:sz="4" w:space="0"/>
            </w:tcBorders>
            <w:noWrap w:val="0"/>
            <w:vAlign w:val="center"/>
          </w:tcPr>
          <w:p w14:paraId="6D893D8D">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300" w:type="dxa"/>
            <w:tcBorders>
              <w:top w:val="nil"/>
              <w:left w:val="nil"/>
              <w:bottom w:val="single" w:color="auto" w:sz="4" w:space="0"/>
              <w:right w:val="single" w:color="auto" w:sz="4" w:space="0"/>
            </w:tcBorders>
            <w:noWrap w:val="0"/>
            <w:vAlign w:val="center"/>
          </w:tcPr>
          <w:p w14:paraId="048F63B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Z≥120000</w:t>
            </w:r>
          </w:p>
        </w:tc>
        <w:tc>
          <w:tcPr>
            <w:tcW w:w="1786" w:type="dxa"/>
            <w:tcBorders>
              <w:top w:val="nil"/>
              <w:left w:val="nil"/>
              <w:bottom w:val="single" w:color="auto" w:sz="4" w:space="0"/>
              <w:right w:val="single" w:color="auto" w:sz="4" w:space="0"/>
            </w:tcBorders>
            <w:noWrap w:val="0"/>
            <w:vAlign w:val="center"/>
          </w:tcPr>
          <w:p w14:paraId="516870A5">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8000≤Z＜120000</w:t>
            </w:r>
          </w:p>
        </w:tc>
        <w:tc>
          <w:tcPr>
            <w:tcW w:w="1647" w:type="dxa"/>
            <w:tcBorders>
              <w:top w:val="nil"/>
              <w:left w:val="nil"/>
              <w:bottom w:val="single" w:color="auto" w:sz="4" w:space="0"/>
              <w:right w:val="single" w:color="auto" w:sz="4" w:space="0"/>
            </w:tcBorders>
            <w:noWrap w:val="0"/>
            <w:vAlign w:val="center"/>
          </w:tcPr>
          <w:p w14:paraId="2FFE8D57">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100≤Z＜8000</w:t>
            </w:r>
          </w:p>
        </w:tc>
        <w:tc>
          <w:tcPr>
            <w:tcW w:w="1046" w:type="dxa"/>
            <w:tcBorders>
              <w:top w:val="nil"/>
              <w:left w:val="nil"/>
              <w:bottom w:val="single" w:color="auto" w:sz="4" w:space="0"/>
              <w:right w:val="nil"/>
            </w:tcBorders>
            <w:noWrap w:val="0"/>
            <w:vAlign w:val="center"/>
          </w:tcPr>
          <w:p w14:paraId="5B8E0D11">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Z＜100</w:t>
            </w:r>
          </w:p>
        </w:tc>
      </w:tr>
      <w:tr w14:paraId="62BDB681">
        <w:tblPrEx>
          <w:tblCellMar>
            <w:top w:w="0" w:type="dxa"/>
            <w:left w:w="108" w:type="dxa"/>
            <w:bottom w:w="0" w:type="dxa"/>
            <w:right w:w="108" w:type="dxa"/>
          </w:tblCellMar>
        </w:tblPrEx>
        <w:trPr>
          <w:trHeight w:val="397" w:hRule="exact"/>
          <w:jc w:val="center"/>
        </w:trPr>
        <w:tc>
          <w:tcPr>
            <w:tcW w:w="1930" w:type="dxa"/>
            <w:tcBorders>
              <w:top w:val="nil"/>
              <w:left w:val="nil"/>
              <w:bottom w:val="single" w:color="auto" w:sz="4" w:space="0"/>
              <w:right w:val="single" w:color="auto" w:sz="4" w:space="0"/>
            </w:tcBorders>
            <w:noWrap w:val="0"/>
            <w:vAlign w:val="center"/>
          </w:tcPr>
          <w:p w14:paraId="4FF488A1">
            <w:pPr>
              <w:widowControl/>
              <w:spacing w:line="240" w:lineRule="exact"/>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 xml:space="preserve">其他未列明行业 </w:t>
            </w:r>
          </w:p>
        </w:tc>
        <w:tc>
          <w:tcPr>
            <w:tcW w:w="1750" w:type="dxa"/>
            <w:tcBorders>
              <w:top w:val="nil"/>
              <w:left w:val="nil"/>
              <w:bottom w:val="single" w:color="auto" w:sz="4" w:space="0"/>
              <w:right w:val="single" w:color="auto" w:sz="4" w:space="0"/>
            </w:tcBorders>
            <w:noWrap w:val="0"/>
            <w:vAlign w:val="center"/>
          </w:tcPr>
          <w:p w14:paraId="491DDA59">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684" w:type="dxa"/>
            <w:tcBorders>
              <w:top w:val="nil"/>
              <w:left w:val="nil"/>
              <w:bottom w:val="single" w:color="auto" w:sz="4" w:space="0"/>
              <w:right w:val="single" w:color="auto" w:sz="4" w:space="0"/>
            </w:tcBorders>
            <w:noWrap w:val="0"/>
            <w:vAlign w:val="center"/>
          </w:tcPr>
          <w:p w14:paraId="50D3E74A">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300" w:type="dxa"/>
            <w:tcBorders>
              <w:top w:val="nil"/>
              <w:left w:val="nil"/>
              <w:bottom w:val="single" w:color="auto" w:sz="4" w:space="0"/>
              <w:right w:val="single" w:color="auto" w:sz="4" w:space="0"/>
            </w:tcBorders>
            <w:noWrap w:val="0"/>
            <w:vAlign w:val="center"/>
          </w:tcPr>
          <w:p w14:paraId="0EC6D248">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86" w:type="dxa"/>
            <w:tcBorders>
              <w:top w:val="nil"/>
              <w:left w:val="nil"/>
              <w:bottom w:val="single" w:color="auto" w:sz="4" w:space="0"/>
              <w:right w:val="single" w:color="auto" w:sz="4" w:space="0"/>
            </w:tcBorders>
            <w:noWrap w:val="0"/>
            <w:vAlign w:val="center"/>
          </w:tcPr>
          <w:p w14:paraId="30D919A4">
            <w:pPr>
              <w:widowControl/>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100≤X＜300 </w:t>
            </w:r>
          </w:p>
        </w:tc>
        <w:tc>
          <w:tcPr>
            <w:tcW w:w="1647" w:type="dxa"/>
            <w:tcBorders>
              <w:top w:val="nil"/>
              <w:left w:val="nil"/>
              <w:bottom w:val="single" w:color="auto" w:sz="4" w:space="0"/>
              <w:right w:val="single" w:color="auto" w:sz="4" w:space="0"/>
            </w:tcBorders>
            <w:noWrap w:val="0"/>
            <w:vAlign w:val="center"/>
          </w:tcPr>
          <w:p w14:paraId="7C4E6C7F">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10≤X＜100</w:t>
            </w:r>
          </w:p>
        </w:tc>
        <w:tc>
          <w:tcPr>
            <w:tcW w:w="1046" w:type="dxa"/>
            <w:tcBorders>
              <w:top w:val="nil"/>
              <w:left w:val="nil"/>
              <w:bottom w:val="single" w:color="auto" w:sz="4" w:space="0"/>
              <w:right w:val="nil"/>
            </w:tcBorders>
            <w:noWrap w:val="0"/>
            <w:vAlign w:val="center"/>
          </w:tcPr>
          <w:p w14:paraId="5003E877">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bl>
    <w:p w14:paraId="4B031F97">
      <w:pPr>
        <w:widowControl/>
        <w:spacing w:line="540" w:lineRule="exact"/>
        <w:rPr>
          <w:rFonts w:hint="eastAsia" w:ascii="宋体" w:hAnsi="宋体" w:eastAsia="宋体" w:cs="宋体"/>
          <w:color w:val="auto"/>
          <w:spacing w:val="8"/>
          <w:kern w:val="0"/>
          <w:sz w:val="28"/>
          <w:szCs w:val="28"/>
          <w:highlight w:val="none"/>
        </w:rPr>
      </w:pPr>
      <w:r>
        <w:rPr>
          <w:rFonts w:hint="eastAsia" w:ascii="宋体" w:hAnsi="宋体" w:eastAsia="宋体" w:cs="宋体"/>
          <w:color w:val="auto"/>
          <w:spacing w:val="8"/>
          <w:kern w:val="0"/>
          <w:sz w:val="28"/>
          <w:szCs w:val="28"/>
          <w:highlight w:val="none"/>
        </w:rPr>
        <w:t>说明：</w:t>
      </w:r>
    </w:p>
    <w:p w14:paraId="70EE29C7">
      <w:pPr>
        <w:spacing w:line="540" w:lineRule="exact"/>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　　1.大型、中型和小型企业须同时满足所列指标的下限，否则下划一档；微型企业只须满足所列指标中的一项即可。</w:t>
      </w:r>
    </w:p>
    <w:p w14:paraId="4FC79ACC">
      <w:pPr>
        <w:spacing w:line="540" w:lineRule="exact"/>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5D7DCD6">
      <w:pPr>
        <w:spacing w:line="540" w:lineRule="exact"/>
        <w:jc w:val="left"/>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B3E1941">
      <w:pPr>
        <w:pStyle w:val="6"/>
        <w:adjustRightInd w:val="0"/>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总则</w:t>
      </w:r>
      <w:bookmarkEnd w:id="4"/>
      <w:bookmarkEnd w:id="5"/>
      <w:bookmarkEnd w:id="6"/>
    </w:p>
    <w:p w14:paraId="5B976DF1">
      <w:pPr>
        <w:pStyle w:val="7"/>
        <w:adjustRightInd w:val="0"/>
        <w:snapToGrid w:val="0"/>
        <w:spacing w:line="360" w:lineRule="auto"/>
        <w:rPr>
          <w:rFonts w:ascii="宋体" w:hAnsi="宋体" w:eastAsia="宋体" w:cs="宋体"/>
          <w:color w:val="auto"/>
          <w:sz w:val="21"/>
          <w:szCs w:val="21"/>
          <w:highlight w:val="none"/>
        </w:rPr>
      </w:pPr>
      <w:bookmarkStart w:id="7" w:name="_Toc31947"/>
      <w:bookmarkStart w:id="8" w:name="_Toc6537"/>
      <w:r>
        <w:rPr>
          <w:rFonts w:hint="eastAsia" w:ascii="宋体" w:hAnsi="宋体" w:eastAsia="宋体" w:cs="宋体"/>
          <w:color w:val="auto"/>
          <w:sz w:val="21"/>
          <w:szCs w:val="21"/>
          <w:highlight w:val="none"/>
        </w:rPr>
        <w:t>1.1 项目概况</w:t>
      </w:r>
      <w:bookmarkEnd w:id="7"/>
      <w:bookmarkEnd w:id="8"/>
    </w:p>
    <w:p w14:paraId="2B9376A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1.1.1 根据《中华人民共和国政府采购法》 等有关法律、法规和规章的规定，本招标项目己具备招标条件，现对本项目进行招标。</w:t>
      </w:r>
    </w:p>
    <w:p w14:paraId="71BA663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1.1.2 本招标项目招标人：见投标人须知前附表。</w:t>
      </w:r>
    </w:p>
    <w:p w14:paraId="30CB0FB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1.1.3 本招标代理机构：见投标人须知前附表。</w:t>
      </w:r>
    </w:p>
    <w:p w14:paraId="5875CDA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1.1.4 本招标项目名称：见投标人须知前附表。</w:t>
      </w:r>
    </w:p>
    <w:p w14:paraId="4198A46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1.1.5 本项目地点：见投标人须知前附表。</w:t>
      </w:r>
    </w:p>
    <w:p w14:paraId="4D21A7DC">
      <w:pPr>
        <w:pStyle w:val="7"/>
        <w:adjustRightInd w:val="0"/>
        <w:snapToGrid w:val="0"/>
        <w:spacing w:line="360" w:lineRule="auto"/>
        <w:rPr>
          <w:rFonts w:ascii="宋体" w:hAnsi="宋体" w:eastAsia="宋体" w:cs="宋体"/>
          <w:color w:val="auto"/>
          <w:sz w:val="21"/>
          <w:szCs w:val="21"/>
          <w:highlight w:val="none"/>
        </w:rPr>
      </w:pPr>
      <w:bookmarkStart w:id="9" w:name="_Toc15384"/>
      <w:bookmarkStart w:id="10" w:name="_Toc6446"/>
      <w:r>
        <w:rPr>
          <w:rFonts w:hint="eastAsia" w:ascii="宋体" w:hAnsi="宋体" w:eastAsia="宋体" w:cs="宋体"/>
          <w:color w:val="auto"/>
          <w:sz w:val="21"/>
          <w:szCs w:val="21"/>
          <w:highlight w:val="none"/>
        </w:rPr>
        <w:t>1.2 资金来源和落实情况</w:t>
      </w:r>
      <w:bookmarkEnd w:id="9"/>
      <w:bookmarkEnd w:id="10"/>
    </w:p>
    <w:p w14:paraId="5737209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 本招标项目的资金来源：见投标人须知前附表。</w:t>
      </w:r>
    </w:p>
    <w:p w14:paraId="2F1B847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1.2.2 本招标项目的出资比例：见投标人须知前附表。</w:t>
      </w:r>
    </w:p>
    <w:p w14:paraId="4BE6761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1.2.3 本招标项目的资金落实情况：见投标人须知前附表。</w:t>
      </w:r>
    </w:p>
    <w:p w14:paraId="0F5F4BCA">
      <w:pPr>
        <w:pStyle w:val="7"/>
        <w:adjustRightInd w:val="0"/>
        <w:snapToGrid w:val="0"/>
        <w:spacing w:line="360" w:lineRule="auto"/>
        <w:rPr>
          <w:rFonts w:ascii="宋体" w:hAnsi="宋体" w:eastAsia="宋体" w:cs="宋体"/>
          <w:color w:val="auto"/>
          <w:sz w:val="21"/>
          <w:szCs w:val="21"/>
          <w:highlight w:val="none"/>
        </w:rPr>
      </w:pPr>
      <w:bookmarkStart w:id="11" w:name="_Toc1544"/>
      <w:bookmarkStart w:id="12" w:name="_Toc301"/>
      <w:r>
        <w:rPr>
          <w:rFonts w:hint="eastAsia" w:ascii="宋体" w:hAnsi="宋体" w:eastAsia="宋体" w:cs="宋体"/>
          <w:color w:val="auto"/>
          <w:sz w:val="21"/>
          <w:szCs w:val="21"/>
          <w:highlight w:val="none"/>
        </w:rPr>
        <w:t>1.3 招标范围和标段划分、</w:t>
      </w:r>
      <w:r>
        <w:rPr>
          <w:rFonts w:hint="eastAsia" w:ascii="宋体" w:hAnsi="宋体" w:eastAsia="宋体" w:cs="宋体"/>
          <w:color w:val="auto"/>
          <w:sz w:val="21"/>
          <w:szCs w:val="21"/>
          <w:highlight w:val="none"/>
          <w:lang w:val="en-US" w:eastAsia="zh-CN"/>
        </w:rPr>
        <w:t>服务周期</w:t>
      </w:r>
      <w:r>
        <w:rPr>
          <w:rFonts w:hint="eastAsia" w:ascii="宋体" w:hAnsi="宋体" w:eastAsia="宋体" w:cs="宋体"/>
          <w:color w:val="auto"/>
          <w:sz w:val="21"/>
          <w:szCs w:val="21"/>
          <w:highlight w:val="none"/>
        </w:rPr>
        <w:t>和质量要求</w:t>
      </w:r>
      <w:bookmarkEnd w:id="11"/>
      <w:bookmarkEnd w:id="12"/>
    </w:p>
    <w:p w14:paraId="32C653F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1.3.1 本次招标范围和标段划分：见投标人须知前附表。</w:t>
      </w:r>
    </w:p>
    <w:p w14:paraId="099698E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1.3.2 本项目的</w:t>
      </w:r>
      <w:r>
        <w:rPr>
          <w:rFonts w:hint="eastAsia" w:ascii="宋体" w:hAnsi="宋体" w:cs="宋体"/>
          <w:color w:val="auto"/>
          <w:szCs w:val="21"/>
          <w:highlight w:val="none"/>
          <w:lang w:val="en-US" w:eastAsia="zh-CN"/>
        </w:rPr>
        <w:t>服务周期</w:t>
      </w:r>
      <w:r>
        <w:rPr>
          <w:rFonts w:hint="eastAsia" w:ascii="宋体" w:hAnsi="宋体" w:cs="宋体"/>
          <w:color w:val="auto"/>
          <w:szCs w:val="21"/>
          <w:highlight w:val="none"/>
        </w:rPr>
        <w:t>：见投标人须知前附表。</w:t>
      </w:r>
    </w:p>
    <w:p w14:paraId="64BF005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1.3.3 本项目的质量要求：见投标人须知前附表。</w:t>
      </w:r>
    </w:p>
    <w:p w14:paraId="684C1577">
      <w:pPr>
        <w:adjustRightInd w:val="0"/>
        <w:snapToGrid w:val="0"/>
        <w:spacing w:line="360" w:lineRule="auto"/>
        <w:ind w:firstLine="420" w:firstLineChars="200"/>
        <w:rPr>
          <w:color w:val="auto"/>
          <w:highlight w:val="none"/>
        </w:rPr>
      </w:pPr>
      <w:r>
        <w:rPr>
          <w:rFonts w:hint="eastAsia" w:ascii="宋体" w:hAnsi="宋体" w:cs="宋体"/>
          <w:color w:val="auto"/>
          <w:szCs w:val="21"/>
          <w:highlight w:val="none"/>
        </w:rPr>
        <w:t>1.3.4 本次招标项目标段划分：共划分为</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个标段。</w:t>
      </w:r>
    </w:p>
    <w:p w14:paraId="6FFA0734">
      <w:pPr>
        <w:pStyle w:val="7"/>
        <w:adjustRightInd w:val="0"/>
        <w:snapToGrid w:val="0"/>
        <w:spacing w:line="360" w:lineRule="auto"/>
        <w:rPr>
          <w:rFonts w:ascii="宋体" w:hAnsi="宋体" w:eastAsia="宋体" w:cs="宋体"/>
          <w:color w:val="auto"/>
          <w:sz w:val="21"/>
          <w:szCs w:val="21"/>
          <w:highlight w:val="none"/>
        </w:rPr>
      </w:pPr>
      <w:bookmarkStart w:id="13" w:name="_Toc2668"/>
      <w:bookmarkStart w:id="14" w:name="_Toc10255"/>
      <w:r>
        <w:rPr>
          <w:rFonts w:hint="eastAsia" w:ascii="宋体" w:hAnsi="宋体" w:eastAsia="宋体" w:cs="宋体"/>
          <w:color w:val="auto"/>
          <w:sz w:val="21"/>
          <w:szCs w:val="21"/>
          <w:highlight w:val="none"/>
        </w:rPr>
        <w:t>1.4 投标人资格要求</w:t>
      </w:r>
      <w:bookmarkEnd w:id="13"/>
      <w:bookmarkEnd w:id="14"/>
    </w:p>
    <w:p w14:paraId="5A41878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1.4.1 投标人应具备承担本项目的资质条件、能力和信誉。</w:t>
      </w:r>
    </w:p>
    <w:p w14:paraId="330295E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(l）资质条件：见投标人须知前附表；</w:t>
      </w:r>
    </w:p>
    <w:p w14:paraId="73304B1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(2）信誉要求：见投标人须知前附表；</w:t>
      </w:r>
    </w:p>
    <w:p w14:paraId="27EC766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）财务要求：见投标人须知前附表；</w:t>
      </w:r>
    </w:p>
    <w:p w14:paraId="1C1C202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）其他要求：见投标人须知前附表。</w:t>
      </w:r>
    </w:p>
    <w:p w14:paraId="53192A1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1.4.2 本</w:t>
      </w:r>
      <w:r>
        <w:rPr>
          <w:rFonts w:hint="eastAsia" w:ascii="宋体" w:hAnsi="宋体" w:cs="宋体"/>
          <w:color w:val="auto"/>
          <w:szCs w:val="21"/>
          <w:highlight w:val="none"/>
          <w:lang w:eastAsia="zh-CN"/>
        </w:rPr>
        <w:t>项目</w:t>
      </w:r>
      <w:r>
        <w:rPr>
          <w:rFonts w:hint="eastAsia" w:ascii="宋体" w:hAnsi="宋体" w:cs="宋体"/>
          <w:color w:val="auto"/>
          <w:szCs w:val="21"/>
          <w:highlight w:val="none"/>
        </w:rPr>
        <w:t>不接受联合体投标</w:t>
      </w:r>
    </w:p>
    <w:p w14:paraId="1623A7A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1.4.3 投标人不得存在下列情形之一：</w:t>
      </w:r>
    </w:p>
    <w:p w14:paraId="2844D85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(l）为招标人不具有独立法人资格的附属机构（单位）； </w:t>
      </w:r>
    </w:p>
    <w:p w14:paraId="29F62D3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(2）为本项目提供招标代理或咨询服务的；</w:t>
      </w:r>
    </w:p>
    <w:p w14:paraId="49CC1B2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(3）为本标段提供招标代理服务的；</w:t>
      </w:r>
    </w:p>
    <w:p w14:paraId="3ECF014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(4）与本标段的监理人或代建人或招标代理机构同为一个法定代表人的；</w:t>
      </w:r>
    </w:p>
    <w:p w14:paraId="4AE8719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(5）与本标段的监理人或代建人或招标代理机构相互控股或参股的；</w:t>
      </w:r>
    </w:p>
    <w:p w14:paraId="72CD428A">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(6）与本标段的监理人或代建人或招标代理机构相互任职或工作的；</w:t>
      </w:r>
    </w:p>
    <w:p w14:paraId="304FD7E1">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(7）被责令停业的；</w:t>
      </w:r>
    </w:p>
    <w:p w14:paraId="3A54B911">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(8）被暂停或取消投标资格的；</w:t>
      </w:r>
    </w:p>
    <w:p w14:paraId="434E9B7D">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(9）财产被接管或冻结的；</w:t>
      </w:r>
    </w:p>
    <w:p w14:paraId="510F638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(10）在最近三年内有骗取中标或严重违约或重大工程质量问题的；</w:t>
      </w:r>
    </w:p>
    <w:p w14:paraId="39D92736">
      <w:pPr>
        <w:adjustRightInd w:val="0"/>
        <w:snapToGrid w:val="0"/>
        <w:spacing w:line="360" w:lineRule="auto"/>
        <w:ind w:firstLine="422" w:firstLineChars="200"/>
        <w:rPr>
          <w:rFonts w:hint="eastAsia" w:ascii="宋体" w:hAnsi="宋体" w:cs="宋体"/>
          <w:b/>
          <w:bCs/>
          <w:color w:val="auto"/>
          <w:szCs w:val="21"/>
          <w:highlight w:val="none"/>
          <w:lang w:eastAsia="zh-CN"/>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11</w:t>
      </w:r>
      <w:r>
        <w:rPr>
          <w:rFonts w:hint="eastAsia" w:ascii="宋体" w:hAnsi="宋体" w:cs="宋体"/>
          <w:b/>
          <w:bCs/>
          <w:color w:val="auto"/>
          <w:szCs w:val="21"/>
          <w:highlight w:val="none"/>
          <w:lang w:eastAsia="zh-CN"/>
        </w:rPr>
        <w:t>）按照《河南省发展和改革委员会关于对&lt;关于认定投标人投标文件制作机器码一致视为串通投标行为的请示&gt;相关问题的批复》（豫发改公管【2019】198号）文件精神，电子开评标项目“投标人投标文件制作机器码一致”时视作废标。</w:t>
      </w:r>
    </w:p>
    <w:p w14:paraId="5A333779">
      <w:pPr>
        <w:pStyle w:val="7"/>
        <w:adjustRightInd w:val="0"/>
        <w:snapToGrid w:val="0"/>
        <w:spacing w:line="360" w:lineRule="auto"/>
        <w:rPr>
          <w:rFonts w:ascii="宋体" w:hAnsi="宋体" w:eastAsia="宋体" w:cs="宋体"/>
          <w:color w:val="auto"/>
          <w:sz w:val="21"/>
          <w:szCs w:val="21"/>
          <w:highlight w:val="none"/>
        </w:rPr>
      </w:pPr>
      <w:bookmarkStart w:id="15" w:name="_Toc233"/>
      <w:bookmarkStart w:id="16" w:name="_Toc17507"/>
      <w:r>
        <w:rPr>
          <w:rFonts w:hint="eastAsia" w:ascii="宋体" w:hAnsi="宋体" w:eastAsia="宋体" w:cs="宋体"/>
          <w:color w:val="auto"/>
          <w:sz w:val="21"/>
          <w:szCs w:val="21"/>
          <w:highlight w:val="none"/>
        </w:rPr>
        <w:t>1.5 费用承担</w:t>
      </w:r>
      <w:bookmarkEnd w:id="15"/>
      <w:bookmarkEnd w:id="16"/>
    </w:p>
    <w:p w14:paraId="0526405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投标人准备和参加投标活动</w:t>
      </w:r>
      <w:r>
        <w:rPr>
          <w:rFonts w:hint="eastAsia" w:ascii="宋体" w:hAnsi="宋体" w:cs="宋体"/>
          <w:color w:val="auto"/>
          <w:szCs w:val="21"/>
          <w:highlight w:val="none"/>
          <w:lang w:eastAsia="zh-CN"/>
        </w:rPr>
        <w:t>所</w:t>
      </w:r>
      <w:r>
        <w:rPr>
          <w:rFonts w:hint="eastAsia" w:ascii="宋体" w:hAnsi="宋体" w:cs="宋体"/>
          <w:color w:val="auto"/>
          <w:szCs w:val="21"/>
          <w:highlight w:val="none"/>
        </w:rPr>
        <w:t>发生的</w:t>
      </w:r>
      <w:r>
        <w:rPr>
          <w:rFonts w:hint="eastAsia" w:ascii="宋体" w:hAnsi="宋体" w:cs="宋体"/>
          <w:color w:val="auto"/>
          <w:szCs w:val="21"/>
          <w:highlight w:val="none"/>
          <w:lang w:eastAsia="zh-CN"/>
        </w:rPr>
        <w:t>一切</w:t>
      </w:r>
      <w:r>
        <w:rPr>
          <w:rFonts w:hint="eastAsia" w:ascii="宋体" w:hAnsi="宋体" w:cs="宋体"/>
          <w:color w:val="auto"/>
          <w:szCs w:val="21"/>
          <w:highlight w:val="none"/>
        </w:rPr>
        <w:t>费用自理。</w:t>
      </w:r>
    </w:p>
    <w:p w14:paraId="1D85F8C5">
      <w:pPr>
        <w:pStyle w:val="7"/>
        <w:adjustRightInd w:val="0"/>
        <w:snapToGrid w:val="0"/>
        <w:spacing w:line="360" w:lineRule="auto"/>
        <w:rPr>
          <w:rFonts w:ascii="宋体" w:hAnsi="宋体" w:eastAsia="宋体" w:cs="宋体"/>
          <w:color w:val="auto"/>
          <w:sz w:val="21"/>
          <w:szCs w:val="21"/>
          <w:highlight w:val="none"/>
        </w:rPr>
      </w:pPr>
      <w:bookmarkStart w:id="17" w:name="_Toc9460"/>
      <w:bookmarkStart w:id="18" w:name="_Toc8797"/>
      <w:r>
        <w:rPr>
          <w:rFonts w:hint="eastAsia" w:ascii="宋体" w:hAnsi="宋体" w:eastAsia="宋体" w:cs="宋体"/>
          <w:color w:val="auto"/>
          <w:sz w:val="21"/>
          <w:szCs w:val="21"/>
          <w:highlight w:val="none"/>
        </w:rPr>
        <w:t>1.6 保密</w:t>
      </w:r>
      <w:bookmarkEnd w:id="17"/>
      <w:bookmarkEnd w:id="18"/>
    </w:p>
    <w:p w14:paraId="14014F5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参与招标投标活动的各方应对招标文件和投标文件中的商业和技术等</w:t>
      </w:r>
      <w:r>
        <w:rPr>
          <w:rFonts w:hint="eastAsia" w:ascii="宋体" w:hAnsi="宋体" w:cs="宋体"/>
          <w:color w:val="auto"/>
          <w:szCs w:val="21"/>
          <w:highlight w:val="none"/>
          <w:lang w:eastAsia="zh-CN"/>
        </w:rPr>
        <w:t>内容进行</w:t>
      </w:r>
      <w:r>
        <w:rPr>
          <w:rFonts w:hint="eastAsia" w:ascii="宋体" w:hAnsi="宋体" w:cs="宋体"/>
          <w:color w:val="auto"/>
          <w:szCs w:val="21"/>
          <w:highlight w:val="none"/>
        </w:rPr>
        <w:t>秘密保密，违者应对由此造成的后果承担法律责任。</w:t>
      </w:r>
    </w:p>
    <w:p w14:paraId="58A5689E">
      <w:pPr>
        <w:pStyle w:val="7"/>
        <w:adjustRightInd w:val="0"/>
        <w:snapToGrid w:val="0"/>
        <w:spacing w:line="360" w:lineRule="auto"/>
        <w:rPr>
          <w:rFonts w:ascii="宋体" w:hAnsi="宋体" w:eastAsia="宋体" w:cs="宋体"/>
          <w:color w:val="auto"/>
          <w:sz w:val="21"/>
          <w:szCs w:val="21"/>
          <w:highlight w:val="none"/>
        </w:rPr>
      </w:pPr>
      <w:bookmarkStart w:id="19" w:name="_Toc10173"/>
      <w:bookmarkStart w:id="20" w:name="_Toc253"/>
      <w:r>
        <w:rPr>
          <w:rFonts w:hint="eastAsia" w:ascii="宋体" w:hAnsi="宋体" w:eastAsia="宋体" w:cs="宋体"/>
          <w:color w:val="auto"/>
          <w:sz w:val="21"/>
          <w:szCs w:val="21"/>
          <w:highlight w:val="none"/>
        </w:rPr>
        <w:t>1.7 语言文字</w:t>
      </w:r>
      <w:bookmarkEnd w:id="19"/>
      <w:bookmarkEnd w:id="20"/>
    </w:p>
    <w:p w14:paraId="4622B18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除专用术语外，与招标投标有关的语言均使用</w:t>
      </w:r>
      <w:r>
        <w:rPr>
          <w:rFonts w:hint="eastAsia" w:ascii="宋体" w:hAnsi="宋体" w:cs="宋体"/>
          <w:color w:val="auto"/>
          <w:szCs w:val="21"/>
          <w:highlight w:val="none"/>
          <w:lang w:eastAsia="zh-CN"/>
        </w:rPr>
        <w:t>简体</w:t>
      </w:r>
      <w:r>
        <w:rPr>
          <w:rFonts w:hint="eastAsia" w:ascii="宋体" w:hAnsi="宋体" w:cs="宋体"/>
          <w:color w:val="auto"/>
          <w:szCs w:val="21"/>
          <w:highlight w:val="none"/>
        </w:rPr>
        <w:t>中文。必要时专用术语应附有中文注释。</w:t>
      </w:r>
    </w:p>
    <w:p w14:paraId="2A4CBC60">
      <w:pPr>
        <w:pStyle w:val="7"/>
        <w:adjustRightInd w:val="0"/>
        <w:snapToGrid w:val="0"/>
        <w:spacing w:line="360" w:lineRule="auto"/>
        <w:rPr>
          <w:rFonts w:ascii="宋体" w:hAnsi="宋体" w:eastAsia="宋体" w:cs="宋体"/>
          <w:color w:val="auto"/>
          <w:sz w:val="21"/>
          <w:szCs w:val="21"/>
          <w:highlight w:val="none"/>
        </w:rPr>
      </w:pPr>
      <w:bookmarkStart w:id="21" w:name="_Toc1825"/>
      <w:bookmarkStart w:id="22" w:name="_Toc601"/>
      <w:r>
        <w:rPr>
          <w:rFonts w:hint="eastAsia" w:ascii="宋体" w:hAnsi="宋体" w:eastAsia="宋体" w:cs="宋体"/>
          <w:color w:val="auto"/>
          <w:sz w:val="21"/>
          <w:szCs w:val="21"/>
          <w:highlight w:val="none"/>
        </w:rPr>
        <w:t>1.8 计量单位</w:t>
      </w:r>
      <w:bookmarkEnd w:id="21"/>
      <w:bookmarkEnd w:id="22"/>
    </w:p>
    <w:p w14:paraId="1252A3E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所有计量均采用中华人民共和国法定计量单位。</w:t>
      </w:r>
    </w:p>
    <w:p w14:paraId="5E676B35">
      <w:pPr>
        <w:pStyle w:val="7"/>
        <w:adjustRightInd w:val="0"/>
        <w:snapToGrid w:val="0"/>
        <w:spacing w:line="360" w:lineRule="auto"/>
        <w:rPr>
          <w:rFonts w:ascii="宋体" w:hAnsi="宋体" w:eastAsia="宋体" w:cs="宋体"/>
          <w:color w:val="auto"/>
          <w:sz w:val="21"/>
          <w:szCs w:val="21"/>
          <w:highlight w:val="none"/>
        </w:rPr>
      </w:pPr>
      <w:bookmarkStart w:id="23" w:name="_Toc11164"/>
      <w:bookmarkStart w:id="24" w:name="_Toc31373"/>
      <w:r>
        <w:rPr>
          <w:rFonts w:hint="eastAsia" w:ascii="宋体" w:hAnsi="宋体" w:eastAsia="宋体" w:cs="宋体"/>
          <w:color w:val="auto"/>
          <w:sz w:val="21"/>
          <w:szCs w:val="21"/>
          <w:highlight w:val="none"/>
        </w:rPr>
        <w:t>1.9 踏勘现场（不组织）</w:t>
      </w:r>
      <w:bookmarkEnd w:id="23"/>
      <w:bookmarkEnd w:id="24"/>
    </w:p>
    <w:p w14:paraId="4620D93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1.9.1 投标人须知前附表规定组织踏勘现场的，招标人按投标人须知前附表规定的时间、地点组织投标人踏勘项目现场。</w:t>
      </w:r>
    </w:p>
    <w:p w14:paraId="6EDC932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1.9.2 投标人踏勘现场发生的费用自理。</w:t>
      </w:r>
    </w:p>
    <w:p w14:paraId="0BE6AC2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1.9.3 除招标人的原因外，投标人自行负责在踏勘现场中所发生的人员伤亡和财产损失。</w:t>
      </w:r>
    </w:p>
    <w:p w14:paraId="49AD9DA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1.9.4 招标人在踏勘现场中介绍的工程场地和相关的周边环境情况，供投标人在编制投标文件时参考，招标人不对投标人据此作出的判断和决策负责。</w:t>
      </w:r>
    </w:p>
    <w:p w14:paraId="1B9AB860">
      <w:pPr>
        <w:pStyle w:val="7"/>
        <w:adjustRightInd w:val="0"/>
        <w:snapToGrid w:val="0"/>
        <w:spacing w:line="360" w:lineRule="auto"/>
        <w:rPr>
          <w:rFonts w:ascii="宋体" w:hAnsi="宋体" w:eastAsia="宋体" w:cs="宋体"/>
          <w:color w:val="auto"/>
          <w:sz w:val="21"/>
          <w:szCs w:val="21"/>
          <w:highlight w:val="none"/>
        </w:rPr>
      </w:pPr>
      <w:bookmarkStart w:id="25" w:name="_Toc9988"/>
      <w:bookmarkStart w:id="26" w:name="_Toc675"/>
      <w:r>
        <w:rPr>
          <w:rFonts w:hint="eastAsia" w:ascii="宋体" w:hAnsi="宋体" w:eastAsia="宋体" w:cs="宋体"/>
          <w:color w:val="auto"/>
          <w:sz w:val="21"/>
          <w:szCs w:val="21"/>
          <w:highlight w:val="none"/>
        </w:rPr>
        <w:t>1.10 投标预备会</w:t>
      </w:r>
      <w:bookmarkEnd w:id="25"/>
      <w:bookmarkEnd w:id="26"/>
    </w:p>
    <w:p w14:paraId="0F93FEE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1.10.1 投标人须知前附表规定召开投标预备会的，招标人按投标人须知前附表规定的时间和地点召开投标预备会，澄清投标人提出的问题。</w:t>
      </w:r>
    </w:p>
    <w:p w14:paraId="2708AA6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1.10.2 投标人应在投标人须知前附表规定的时间前，</w:t>
      </w:r>
      <w:r>
        <w:rPr>
          <w:rFonts w:hint="eastAsia" w:ascii="宋体" w:hAnsi="宋体" w:cs="宋体"/>
          <w:color w:val="auto"/>
          <w:szCs w:val="21"/>
          <w:highlight w:val="none"/>
          <w:lang w:eastAsia="zh-CN"/>
        </w:rPr>
        <w:t>以电子平台形式</w:t>
      </w:r>
      <w:r>
        <w:rPr>
          <w:rFonts w:hint="eastAsia" w:ascii="宋体" w:hAnsi="宋体" w:cs="宋体"/>
          <w:color w:val="auto"/>
          <w:szCs w:val="21"/>
          <w:highlight w:val="none"/>
        </w:rPr>
        <w:t>将提出的问题送达招标人，以便招标人在会议期间澄清。</w:t>
      </w:r>
    </w:p>
    <w:p w14:paraId="3857B39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1.10.3 投标预备会后，招标人在投标人须知前附表规定的时间内，将对投标人所提问颗的澄清，以书面方式通知所有购买招标文件的投标人。该澄清内容为招标文件的组成部分。</w:t>
      </w:r>
    </w:p>
    <w:p w14:paraId="2C1AD8F4">
      <w:pPr>
        <w:pStyle w:val="7"/>
        <w:adjustRightInd w:val="0"/>
        <w:snapToGrid w:val="0"/>
        <w:spacing w:line="360" w:lineRule="auto"/>
        <w:rPr>
          <w:rFonts w:ascii="宋体" w:hAnsi="宋体" w:eastAsia="宋体" w:cs="宋体"/>
          <w:color w:val="auto"/>
          <w:sz w:val="21"/>
          <w:szCs w:val="21"/>
          <w:highlight w:val="none"/>
        </w:rPr>
      </w:pPr>
      <w:bookmarkStart w:id="27" w:name="_Toc6869"/>
      <w:bookmarkStart w:id="28" w:name="_Toc13468"/>
      <w:r>
        <w:rPr>
          <w:rFonts w:hint="eastAsia" w:ascii="宋体" w:hAnsi="宋体" w:eastAsia="宋体" w:cs="宋体"/>
          <w:color w:val="auto"/>
          <w:sz w:val="21"/>
          <w:szCs w:val="21"/>
          <w:highlight w:val="none"/>
        </w:rPr>
        <w:t>1.11 分包</w:t>
      </w:r>
      <w:bookmarkEnd w:id="27"/>
      <w:bookmarkEnd w:id="28"/>
      <w:r>
        <w:rPr>
          <w:rFonts w:hint="eastAsia" w:ascii="宋体" w:hAnsi="宋体" w:eastAsia="宋体" w:cs="宋体"/>
          <w:color w:val="auto"/>
          <w:sz w:val="21"/>
          <w:szCs w:val="21"/>
          <w:highlight w:val="none"/>
        </w:rPr>
        <w:t xml:space="preserve"> </w:t>
      </w:r>
    </w:p>
    <w:p w14:paraId="5CED8BC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 本</w:t>
      </w:r>
      <w:r>
        <w:rPr>
          <w:rFonts w:hint="eastAsia" w:ascii="宋体" w:hAnsi="宋体" w:cs="宋体"/>
          <w:color w:val="auto"/>
          <w:szCs w:val="21"/>
          <w:highlight w:val="none"/>
          <w:lang w:eastAsia="zh-CN"/>
        </w:rPr>
        <w:t>项目</w:t>
      </w:r>
      <w:r>
        <w:rPr>
          <w:rFonts w:hint="eastAsia" w:ascii="宋体" w:hAnsi="宋体" w:cs="宋体"/>
          <w:color w:val="auto"/>
          <w:szCs w:val="21"/>
          <w:highlight w:val="none"/>
        </w:rPr>
        <w:t>不允许分包。</w:t>
      </w:r>
    </w:p>
    <w:p w14:paraId="14D0A5F7">
      <w:pPr>
        <w:pStyle w:val="7"/>
        <w:adjustRightInd w:val="0"/>
        <w:snapToGrid w:val="0"/>
        <w:spacing w:line="360" w:lineRule="auto"/>
        <w:rPr>
          <w:rFonts w:ascii="宋体" w:hAnsi="宋体" w:eastAsia="宋体" w:cs="宋体"/>
          <w:color w:val="auto"/>
          <w:sz w:val="21"/>
          <w:szCs w:val="21"/>
          <w:highlight w:val="none"/>
        </w:rPr>
      </w:pPr>
      <w:bookmarkStart w:id="29" w:name="_Toc11322"/>
      <w:bookmarkStart w:id="30" w:name="_Toc27249"/>
      <w:r>
        <w:rPr>
          <w:rFonts w:hint="eastAsia" w:ascii="宋体" w:hAnsi="宋体" w:eastAsia="宋体" w:cs="宋体"/>
          <w:color w:val="auto"/>
          <w:sz w:val="21"/>
          <w:szCs w:val="21"/>
          <w:highlight w:val="none"/>
        </w:rPr>
        <w:t>1.12 偏离</w:t>
      </w:r>
      <w:bookmarkEnd w:id="29"/>
      <w:bookmarkEnd w:id="30"/>
    </w:p>
    <w:p w14:paraId="4BC2DB4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投标人须知前附表允许投标文件偏离招标文件某些要求的，偏离应当符合招标文件规定的偏离范围和幅度。</w:t>
      </w:r>
    </w:p>
    <w:p w14:paraId="597480DF">
      <w:pPr>
        <w:pStyle w:val="6"/>
        <w:adjustRightInd w:val="0"/>
        <w:snapToGrid w:val="0"/>
        <w:spacing w:line="360" w:lineRule="auto"/>
        <w:rPr>
          <w:rFonts w:ascii="宋体" w:hAnsi="宋体" w:cs="宋体"/>
          <w:color w:val="auto"/>
          <w:sz w:val="21"/>
          <w:szCs w:val="21"/>
          <w:highlight w:val="none"/>
        </w:rPr>
      </w:pPr>
      <w:bookmarkStart w:id="31" w:name="_Toc17587"/>
      <w:bookmarkStart w:id="32" w:name="_Toc30305"/>
      <w:bookmarkStart w:id="33" w:name="_Toc184635072"/>
      <w:r>
        <w:rPr>
          <w:rFonts w:hint="eastAsia" w:ascii="宋体" w:hAnsi="宋体" w:cs="宋体"/>
          <w:color w:val="auto"/>
          <w:sz w:val="21"/>
          <w:szCs w:val="21"/>
          <w:highlight w:val="none"/>
        </w:rPr>
        <w:t>2．招标文件</w:t>
      </w:r>
      <w:bookmarkEnd w:id="31"/>
      <w:bookmarkEnd w:id="32"/>
      <w:bookmarkEnd w:id="33"/>
    </w:p>
    <w:p w14:paraId="03C23B4E">
      <w:pPr>
        <w:pStyle w:val="7"/>
        <w:adjustRightInd w:val="0"/>
        <w:snapToGrid w:val="0"/>
        <w:spacing w:line="360" w:lineRule="auto"/>
        <w:rPr>
          <w:rFonts w:ascii="宋体" w:hAnsi="宋体" w:eastAsia="宋体" w:cs="宋体"/>
          <w:color w:val="auto"/>
          <w:sz w:val="21"/>
          <w:szCs w:val="21"/>
          <w:highlight w:val="none"/>
        </w:rPr>
      </w:pPr>
      <w:bookmarkStart w:id="34" w:name="_Toc11890"/>
      <w:bookmarkStart w:id="35" w:name="_Toc17786"/>
      <w:r>
        <w:rPr>
          <w:rFonts w:hint="eastAsia" w:ascii="宋体" w:hAnsi="宋体" w:eastAsia="宋体" w:cs="宋体"/>
          <w:color w:val="auto"/>
          <w:sz w:val="21"/>
          <w:szCs w:val="21"/>
          <w:highlight w:val="none"/>
        </w:rPr>
        <w:t>2.1 招标文件的组成</w:t>
      </w:r>
      <w:bookmarkEnd w:id="34"/>
      <w:bookmarkEnd w:id="35"/>
    </w:p>
    <w:p w14:paraId="759C703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本招标文件包括：</w:t>
      </w:r>
    </w:p>
    <w:p w14:paraId="3968DA8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(1）招标公告</w:t>
      </w:r>
    </w:p>
    <w:p w14:paraId="788511D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(2）投标人须知</w:t>
      </w:r>
    </w:p>
    <w:p w14:paraId="5F32718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(3）评标办法</w:t>
      </w:r>
    </w:p>
    <w:p w14:paraId="65BE49A1">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(4）合同条款及格式</w:t>
      </w:r>
    </w:p>
    <w:p w14:paraId="3BFE4408">
      <w:pPr>
        <w:adjustRightInd w:val="0"/>
        <w:snapToGrid w:val="0"/>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(5）</w:t>
      </w:r>
      <w:r>
        <w:rPr>
          <w:rFonts w:hint="eastAsia" w:ascii="宋体" w:hAnsi="宋体" w:cs="宋体"/>
          <w:color w:val="auto"/>
          <w:szCs w:val="21"/>
          <w:highlight w:val="none"/>
          <w:lang w:val="en-US" w:eastAsia="zh-CN"/>
        </w:rPr>
        <w:t>服务内容及要求</w:t>
      </w:r>
    </w:p>
    <w:p w14:paraId="0EA6A36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(6）投标文件格式</w:t>
      </w:r>
    </w:p>
    <w:p w14:paraId="6FF5B1D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根据本章第1.10 款、第2.2 款和第2.3 款对招标文件所作的澄清、修改，构成招标文件的组成部分。</w:t>
      </w:r>
    </w:p>
    <w:p w14:paraId="77C1D5E7">
      <w:pPr>
        <w:pStyle w:val="7"/>
        <w:adjustRightInd w:val="0"/>
        <w:snapToGrid w:val="0"/>
        <w:spacing w:line="360" w:lineRule="auto"/>
        <w:rPr>
          <w:rFonts w:ascii="宋体" w:hAnsi="宋体" w:eastAsia="宋体" w:cs="宋体"/>
          <w:color w:val="auto"/>
          <w:sz w:val="21"/>
          <w:szCs w:val="21"/>
          <w:highlight w:val="none"/>
        </w:rPr>
      </w:pPr>
      <w:bookmarkStart w:id="36" w:name="_Toc19984"/>
      <w:bookmarkStart w:id="37" w:name="_Toc19452"/>
      <w:r>
        <w:rPr>
          <w:rFonts w:hint="eastAsia" w:ascii="宋体" w:hAnsi="宋体" w:eastAsia="宋体" w:cs="宋体"/>
          <w:color w:val="auto"/>
          <w:sz w:val="21"/>
          <w:szCs w:val="21"/>
          <w:highlight w:val="none"/>
        </w:rPr>
        <w:t>2.2 招标文件的澄清</w:t>
      </w:r>
      <w:bookmarkEnd w:id="36"/>
      <w:bookmarkEnd w:id="37"/>
    </w:p>
    <w:p w14:paraId="0A4B0C1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2.2.1 投标人应仔细阅读和检查招标文件的全部内容。如发现缺页或附件不全，应及时向招标人提出，以便补齐。如有疑问，应在投标人须知前附表规定的时间前</w:t>
      </w:r>
      <w:r>
        <w:rPr>
          <w:rFonts w:hint="eastAsia" w:ascii="宋体" w:hAnsi="宋体" w:cs="宋体"/>
          <w:color w:val="auto"/>
          <w:szCs w:val="21"/>
          <w:highlight w:val="none"/>
          <w:lang w:eastAsia="zh-CN"/>
        </w:rPr>
        <w:t>以电子平台形式</w:t>
      </w:r>
      <w:r>
        <w:rPr>
          <w:rFonts w:hint="eastAsia" w:ascii="宋体" w:hAnsi="宋体" w:cs="宋体"/>
          <w:color w:val="auto"/>
          <w:szCs w:val="21"/>
          <w:highlight w:val="none"/>
        </w:rPr>
        <w:t>（包括信函、电报、传真等可以有形</w:t>
      </w:r>
      <w:r>
        <w:rPr>
          <w:rFonts w:hint="eastAsia" w:ascii="宋体" w:hAnsi="宋体" w:cs="宋体"/>
          <w:color w:val="auto"/>
          <w:szCs w:val="21"/>
          <w:highlight w:val="none"/>
          <w:lang w:eastAsia="zh-CN"/>
        </w:rPr>
        <w:t>的</w:t>
      </w:r>
      <w:r>
        <w:rPr>
          <w:rFonts w:hint="eastAsia" w:ascii="宋体" w:hAnsi="宋体" w:cs="宋体"/>
          <w:color w:val="auto"/>
          <w:szCs w:val="21"/>
          <w:highlight w:val="none"/>
        </w:rPr>
        <w:t>表现所载内容的形式，下同），要求招标人对招标文件予以澄清。</w:t>
      </w:r>
    </w:p>
    <w:p w14:paraId="3D5AE381">
      <w:pPr>
        <w:adjustRightInd w:val="0"/>
        <w:snapToGrid w:val="0"/>
        <w:spacing w:line="360" w:lineRule="auto"/>
        <w:ind w:firstLine="413" w:firstLineChars="197"/>
        <w:rPr>
          <w:rFonts w:ascii="宋体" w:hAnsi="宋体" w:cs="宋体"/>
          <w:color w:val="auto"/>
          <w:szCs w:val="21"/>
          <w:highlight w:val="none"/>
        </w:rPr>
      </w:pPr>
      <w:r>
        <w:rPr>
          <w:rFonts w:hint="eastAsia" w:ascii="宋体" w:hAnsi="宋体" w:cs="宋体"/>
          <w:color w:val="auto"/>
          <w:szCs w:val="21"/>
          <w:highlight w:val="none"/>
        </w:rPr>
        <w:t>2.2.2 招标文件的澄清以投标人须知前附表规定的时间通过</w:t>
      </w:r>
      <w:r>
        <w:rPr>
          <w:rFonts w:hint="eastAsia"/>
          <w:color w:val="auto"/>
          <w:highlight w:val="none"/>
        </w:rPr>
        <w:t>“</w:t>
      </w:r>
      <w:r>
        <w:rPr>
          <w:rFonts w:hint="eastAsia"/>
          <w:color w:val="auto"/>
          <w:highlight w:val="none"/>
          <w:lang w:eastAsia="zh-CN"/>
        </w:rPr>
        <w:t>郑州市公共资源交易中心荥阳分中心</w:t>
      </w:r>
      <w:r>
        <w:rPr>
          <w:rFonts w:hint="eastAsia"/>
          <w:color w:val="auto"/>
          <w:highlight w:val="none"/>
        </w:rPr>
        <w:t>平台” 发布</w:t>
      </w:r>
      <w:r>
        <w:rPr>
          <w:rFonts w:hint="eastAsia" w:ascii="宋体" w:hAnsi="宋体" w:cs="宋体"/>
          <w:color w:val="auto"/>
          <w:szCs w:val="21"/>
          <w:highlight w:val="none"/>
        </w:rPr>
        <w:t>，但不指明澄清问题的来源。澄清发出的时间距本章第 4.2.1 项规定的投标截止时间不足 15 日的，并且澄清内容可能影响投标文件编制的，将相应延长投标截止时间。</w:t>
      </w:r>
    </w:p>
    <w:p w14:paraId="655BCB49">
      <w:pPr>
        <w:pStyle w:val="7"/>
        <w:adjustRightInd w:val="0"/>
        <w:snapToGrid w:val="0"/>
        <w:spacing w:line="360" w:lineRule="auto"/>
        <w:rPr>
          <w:rFonts w:ascii="宋体" w:hAnsi="宋体" w:eastAsia="宋体" w:cs="宋体"/>
          <w:color w:val="auto"/>
          <w:sz w:val="21"/>
          <w:szCs w:val="21"/>
          <w:highlight w:val="none"/>
        </w:rPr>
      </w:pPr>
      <w:bookmarkStart w:id="38" w:name="_Toc17782"/>
      <w:bookmarkStart w:id="39" w:name="_Toc10147"/>
      <w:r>
        <w:rPr>
          <w:rFonts w:hint="eastAsia" w:ascii="宋体" w:hAnsi="宋体" w:eastAsia="宋体" w:cs="宋体"/>
          <w:color w:val="auto"/>
          <w:sz w:val="21"/>
          <w:szCs w:val="21"/>
          <w:highlight w:val="none"/>
        </w:rPr>
        <w:t>2.3 招标文件的修改</w:t>
      </w:r>
      <w:bookmarkEnd w:id="38"/>
      <w:bookmarkEnd w:id="39"/>
    </w:p>
    <w:p w14:paraId="7C1594C4">
      <w:pPr>
        <w:adjustRightInd w:val="0"/>
        <w:snapToGrid w:val="0"/>
        <w:spacing w:line="360" w:lineRule="auto"/>
        <w:ind w:firstLine="413" w:firstLineChars="197"/>
        <w:rPr>
          <w:rFonts w:ascii="宋体" w:hAnsi="宋体" w:cs="宋体"/>
          <w:color w:val="auto"/>
          <w:szCs w:val="21"/>
          <w:highlight w:val="none"/>
        </w:rPr>
      </w:pPr>
      <w:r>
        <w:rPr>
          <w:rFonts w:hint="eastAsia" w:ascii="宋体" w:hAnsi="宋体" w:cs="宋体"/>
          <w:color w:val="auto"/>
          <w:szCs w:val="21"/>
          <w:highlight w:val="none"/>
        </w:rPr>
        <w:t>2.3.1 在投标截止时间15</w:t>
      </w:r>
      <w:r>
        <w:rPr>
          <w:rFonts w:hint="eastAsia" w:ascii="宋体" w:hAnsi="宋体" w:cs="宋体"/>
          <w:color w:val="auto"/>
          <w:szCs w:val="21"/>
          <w:highlight w:val="none"/>
          <w:lang w:eastAsia="zh-CN"/>
        </w:rPr>
        <w:t>日</w:t>
      </w:r>
      <w:r>
        <w:rPr>
          <w:rFonts w:hint="eastAsia" w:ascii="宋体" w:hAnsi="宋体" w:cs="宋体"/>
          <w:color w:val="auto"/>
          <w:szCs w:val="21"/>
          <w:highlight w:val="none"/>
        </w:rPr>
        <w:t>前，采购人可以按照投标人须知前附表规定</w:t>
      </w:r>
      <w:r>
        <w:rPr>
          <w:rFonts w:hint="eastAsia" w:ascii="宋体" w:hAnsi="宋体" w:cs="宋体"/>
          <w:color w:val="auto"/>
          <w:szCs w:val="21"/>
          <w:highlight w:val="none"/>
          <w:lang w:eastAsia="zh-CN"/>
        </w:rPr>
        <w:t>的</w:t>
      </w:r>
      <w:r>
        <w:rPr>
          <w:rFonts w:hint="eastAsia" w:ascii="宋体" w:hAnsi="宋体" w:cs="宋体"/>
          <w:color w:val="auto"/>
          <w:szCs w:val="21"/>
          <w:highlight w:val="none"/>
        </w:rPr>
        <w:t>形式修改招标文件，并通过</w:t>
      </w:r>
      <w:r>
        <w:rPr>
          <w:rFonts w:hint="eastAsia"/>
          <w:color w:val="auto"/>
          <w:highlight w:val="none"/>
        </w:rPr>
        <w:t>“</w:t>
      </w:r>
      <w:r>
        <w:rPr>
          <w:rFonts w:hint="eastAsia"/>
          <w:color w:val="auto"/>
          <w:highlight w:val="none"/>
          <w:lang w:eastAsia="zh-CN"/>
        </w:rPr>
        <w:t>郑州市公共资源交易中心荥阳分中心</w:t>
      </w:r>
      <w:r>
        <w:rPr>
          <w:rFonts w:hint="eastAsia"/>
          <w:color w:val="auto"/>
          <w:highlight w:val="none"/>
        </w:rPr>
        <w:t>平台” 发布通知所有投标人</w:t>
      </w:r>
      <w:r>
        <w:rPr>
          <w:rFonts w:hint="eastAsia" w:ascii="宋体" w:hAnsi="宋体" w:cs="宋体"/>
          <w:color w:val="auto"/>
          <w:szCs w:val="21"/>
          <w:highlight w:val="none"/>
        </w:rPr>
        <w:t>。如果修改招标文件的时间距投标截止时间不足15</w:t>
      </w:r>
      <w:r>
        <w:rPr>
          <w:rFonts w:hint="eastAsia" w:ascii="宋体" w:hAnsi="宋体" w:cs="宋体"/>
          <w:color w:val="auto"/>
          <w:szCs w:val="21"/>
          <w:highlight w:val="none"/>
          <w:lang w:eastAsia="zh-CN"/>
        </w:rPr>
        <w:t>日</w:t>
      </w:r>
      <w:r>
        <w:rPr>
          <w:rFonts w:hint="eastAsia" w:ascii="宋体" w:hAnsi="宋体" w:cs="宋体"/>
          <w:color w:val="auto"/>
          <w:szCs w:val="21"/>
          <w:highlight w:val="none"/>
        </w:rPr>
        <w:t>，相应延长投标截止时间。</w:t>
      </w:r>
    </w:p>
    <w:p w14:paraId="0B6677B5">
      <w:pPr>
        <w:pStyle w:val="6"/>
        <w:adjustRightInd w:val="0"/>
        <w:snapToGrid w:val="0"/>
        <w:spacing w:line="360" w:lineRule="auto"/>
        <w:rPr>
          <w:rFonts w:ascii="宋体" w:hAnsi="宋体" w:cs="宋体"/>
          <w:color w:val="auto"/>
          <w:sz w:val="21"/>
          <w:szCs w:val="21"/>
          <w:highlight w:val="none"/>
        </w:rPr>
      </w:pPr>
      <w:bookmarkStart w:id="40" w:name="_Toc4977"/>
      <w:bookmarkStart w:id="41" w:name="_Toc27161"/>
      <w:bookmarkStart w:id="42" w:name="_Toc184635073"/>
      <w:r>
        <w:rPr>
          <w:rFonts w:hint="eastAsia" w:ascii="宋体" w:hAnsi="宋体" w:cs="宋体"/>
          <w:color w:val="auto"/>
          <w:sz w:val="21"/>
          <w:szCs w:val="21"/>
          <w:highlight w:val="none"/>
        </w:rPr>
        <w:t>3．投标文件</w:t>
      </w:r>
      <w:bookmarkEnd w:id="40"/>
      <w:bookmarkEnd w:id="41"/>
      <w:bookmarkEnd w:id="42"/>
    </w:p>
    <w:p w14:paraId="17B2DBDF">
      <w:pPr>
        <w:pStyle w:val="7"/>
        <w:adjustRightInd w:val="0"/>
        <w:snapToGrid w:val="0"/>
        <w:spacing w:line="360" w:lineRule="auto"/>
        <w:rPr>
          <w:rFonts w:ascii="宋体" w:hAnsi="宋体" w:eastAsia="宋体" w:cs="宋体"/>
          <w:color w:val="auto"/>
          <w:sz w:val="21"/>
          <w:szCs w:val="21"/>
          <w:highlight w:val="none"/>
        </w:rPr>
      </w:pPr>
      <w:bookmarkStart w:id="43" w:name="_Toc10282"/>
      <w:bookmarkStart w:id="44" w:name="_Toc31140"/>
      <w:r>
        <w:rPr>
          <w:rFonts w:hint="eastAsia" w:ascii="宋体" w:hAnsi="宋体" w:eastAsia="宋体" w:cs="宋体"/>
          <w:color w:val="auto"/>
          <w:sz w:val="21"/>
          <w:szCs w:val="21"/>
          <w:highlight w:val="none"/>
        </w:rPr>
        <w:t>3.1 投标文件的组成</w:t>
      </w:r>
      <w:bookmarkEnd w:id="43"/>
      <w:bookmarkEnd w:id="44"/>
    </w:p>
    <w:p w14:paraId="72ADC81E">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3.1.1 投标文件应包括下列内容：</w:t>
      </w:r>
    </w:p>
    <w:p w14:paraId="3F51280C">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（1）投标函及投标函附录</w:t>
      </w:r>
    </w:p>
    <w:p w14:paraId="46587A9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cs="宋体"/>
          <w:color w:val="auto"/>
          <w:szCs w:val="21"/>
          <w:highlight w:val="none"/>
        </w:rPr>
        <w:t>法定代表人身份证明</w:t>
      </w:r>
    </w:p>
    <w:p w14:paraId="01C4212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授权委托书</w:t>
      </w:r>
    </w:p>
    <w:p w14:paraId="3129DA56">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w:t>
      </w:r>
      <w:r>
        <w:rPr>
          <w:rFonts w:hint="eastAsia" w:ascii="宋体" w:hAnsi="宋体" w:cs="宋体"/>
          <w:color w:val="auto"/>
          <w:szCs w:val="21"/>
          <w:highlight w:val="none"/>
        </w:rPr>
        <w:t>报价明细表</w:t>
      </w:r>
    </w:p>
    <w:p w14:paraId="4FFA30B8">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投标承诺函</w:t>
      </w:r>
    </w:p>
    <w:p w14:paraId="53FF3F2E">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lang w:eastAsia="zh-CN"/>
        </w:rPr>
        <w:t>）</w:t>
      </w:r>
      <w:r>
        <w:rPr>
          <w:rFonts w:hint="eastAsia" w:ascii="宋体" w:hAnsi="宋体" w:cs="宋体"/>
          <w:color w:val="auto"/>
          <w:szCs w:val="21"/>
          <w:highlight w:val="none"/>
        </w:rPr>
        <w:t>招标代理服务费承诺函</w:t>
      </w:r>
    </w:p>
    <w:p w14:paraId="4A49A775">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lang w:eastAsia="zh-CN"/>
        </w:rPr>
        <w:t>）</w:t>
      </w:r>
      <w:r>
        <w:rPr>
          <w:rFonts w:hint="eastAsia" w:ascii="宋体" w:hAnsi="宋体" w:cs="宋体"/>
          <w:color w:val="auto"/>
          <w:szCs w:val="21"/>
          <w:highlight w:val="none"/>
        </w:rPr>
        <w:t>资格审查资料</w:t>
      </w:r>
    </w:p>
    <w:p w14:paraId="7BD39F59">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lang w:eastAsia="zh-CN"/>
        </w:rPr>
        <w:t>）</w:t>
      </w:r>
      <w:r>
        <w:rPr>
          <w:rFonts w:hint="eastAsia" w:ascii="宋体" w:hAnsi="宋体" w:cs="宋体"/>
          <w:color w:val="auto"/>
          <w:szCs w:val="21"/>
          <w:highlight w:val="none"/>
        </w:rPr>
        <w:t>商务响应/偏离表</w:t>
      </w:r>
    </w:p>
    <w:p w14:paraId="770B9B1E">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lang w:eastAsia="zh-CN"/>
        </w:rPr>
        <w:t>）</w:t>
      </w:r>
      <w:r>
        <w:rPr>
          <w:rFonts w:hint="eastAsia" w:ascii="宋体" w:hAnsi="宋体" w:cs="宋体"/>
          <w:color w:val="auto"/>
          <w:szCs w:val="21"/>
          <w:highlight w:val="none"/>
        </w:rPr>
        <w:t>项目实施方案</w:t>
      </w:r>
    </w:p>
    <w:p w14:paraId="0E031A8B">
      <w:pPr>
        <w:pStyle w:val="15"/>
        <w:ind w:firstLine="420" w:firstLineChars="200"/>
        <w:rPr>
          <w:rFonts w:hint="eastAsia" w:eastAsia="宋体"/>
          <w:color w:val="auto"/>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lang w:eastAsia="zh-CN"/>
        </w:rPr>
        <w:t>）</w:t>
      </w:r>
      <w:r>
        <w:rPr>
          <w:rFonts w:hint="eastAsia"/>
          <w:color w:val="auto"/>
          <w:highlight w:val="none"/>
          <w:lang w:val="en-US" w:eastAsia="zh-CN"/>
        </w:rPr>
        <w:t>供应商企业实力</w:t>
      </w:r>
    </w:p>
    <w:p w14:paraId="613C423B">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lang w:eastAsia="zh-CN"/>
        </w:rPr>
        <w:t>）</w:t>
      </w:r>
      <w:r>
        <w:rPr>
          <w:rFonts w:hint="eastAsia" w:ascii="宋体" w:hAnsi="宋体" w:cs="宋体"/>
          <w:color w:val="auto"/>
          <w:szCs w:val="21"/>
          <w:highlight w:val="none"/>
        </w:rPr>
        <w:t>反商业贿赂承诺书</w:t>
      </w:r>
    </w:p>
    <w:p w14:paraId="2050A486">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中小企业声明函</w:t>
      </w:r>
    </w:p>
    <w:p w14:paraId="4842E618">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13</w:t>
      </w:r>
      <w:r>
        <w:rPr>
          <w:rFonts w:hint="eastAsia" w:ascii="宋体" w:hAnsi="宋体" w:cs="宋体"/>
          <w:color w:val="auto"/>
          <w:szCs w:val="21"/>
          <w:highlight w:val="none"/>
          <w:lang w:eastAsia="zh-CN"/>
        </w:rPr>
        <w:t>）</w:t>
      </w:r>
      <w:r>
        <w:rPr>
          <w:rFonts w:hint="eastAsia" w:ascii="宋体" w:hAnsi="宋体" w:cs="宋体"/>
          <w:color w:val="auto"/>
          <w:szCs w:val="21"/>
          <w:highlight w:val="none"/>
        </w:rPr>
        <w:t>残疾人福利性单位声明函</w:t>
      </w:r>
    </w:p>
    <w:p w14:paraId="7BB54B24">
      <w:pPr>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14</w:t>
      </w:r>
      <w:r>
        <w:rPr>
          <w:rFonts w:hint="eastAsia" w:ascii="宋体" w:hAnsi="宋体" w:cs="宋体"/>
          <w:color w:val="auto"/>
          <w:szCs w:val="21"/>
          <w:highlight w:val="none"/>
          <w:lang w:eastAsia="zh-CN"/>
        </w:rPr>
        <w:t>）</w:t>
      </w:r>
      <w:r>
        <w:rPr>
          <w:rFonts w:hint="eastAsia" w:ascii="宋体" w:hAnsi="宋体" w:cs="宋体"/>
          <w:color w:val="auto"/>
          <w:szCs w:val="21"/>
          <w:highlight w:val="none"/>
        </w:rPr>
        <w:t>其他材料</w:t>
      </w:r>
    </w:p>
    <w:p w14:paraId="01771F88">
      <w:pPr>
        <w:pStyle w:val="7"/>
        <w:adjustRightInd w:val="0"/>
        <w:snapToGrid w:val="0"/>
        <w:spacing w:line="360" w:lineRule="auto"/>
        <w:rPr>
          <w:rFonts w:ascii="宋体" w:hAnsi="宋体" w:eastAsia="宋体" w:cs="宋体"/>
          <w:color w:val="auto"/>
          <w:sz w:val="21"/>
          <w:szCs w:val="21"/>
          <w:highlight w:val="none"/>
        </w:rPr>
      </w:pPr>
      <w:bookmarkStart w:id="45" w:name="_Toc176"/>
      <w:bookmarkStart w:id="46" w:name="_Toc23667"/>
      <w:r>
        <w:rPr>
          <w:rFonts w:hint="eastAsia" w:ascii="宋体" w:hAnsi="宋体" w:eastAsia="宋体" w:cs="宋体"/>
          <w:color w:val="auto"/>
          <w:sz w:val="21"/>
          <w:szCs w:val="21"/>
          <w:highlight w:val="none"/>
        </w:rPr>
        <w:t>3.2 投标报价</w:t>
      </w:r>
      <w:bookmarkEnd w:id="45"/>
      <w:bookmarkEnd w:id="46"/>
    </w:p>
    <w:p w14:paraId="11D9F795">
      <w:pPr>
        <w:adjustRightInd w:val="0"/>
        <w:snapToGrid w:val="0"/>
        <w:spacing w:line="360" w:lineRule="auto"/>
        <w:ind w:firstLine="420" w:firstLineChars="200"/>
        <w:rPr>
          <w:rFonts w:ascii="宋体" w:hAnsi="宋体" w:cs="宋体"/>
          <w:color w:val="auto"/>
          <w:szCs w:val="21"/>
          <w:highlight w:val="none"/>
        </w:rPr>
      </w:pPr>
      <w:bookmarkStart w:id="47" w:name="_Toc23350"/>
      <w:r>
        <w:rPr>
          <w:rFonts w:hint="eastAsia" w:ascii="宋体" w:hAnsi="宋体" w:cs="宋体"/>
          <w:color w:val="auto"/>
          <w:szCs w:val="21"/>
          <w:highlight w:val="none"/>
        </w:rPr>
        <w:t>3.2.1.投标人应根据</w:t>
      </w:r>
      <w:r>
        <w:rPr>
          <w:rFonts w:hint="eastAsia" w:ascii="宋体" w:hAnsi="宋体" w:cs="宋体"/>
          <w:color w:val="auto"/>
          <w:szCs w:val="21"/>
          <w:highlight w:val="none"/>
          <w:lang w:eastAsia="zh-CN"/>
        </w:rPr>
        <w:t>项目</w:t>
      </w:r>
      <w:r>
        <w:rPr>
          <w:rFonts w:hint="eastAsia" w:ascii="宋体" w:hAnsi="宋体" w:cs="宋体"/>
          <w:color w:val="auto"/>
          <w:szCs w:val="21"/>
          <w:highlight w:val="none"/>
        </w:rPr>
        <w:t>概况并结合市场行情，自主填报投标报价。如招标人设最高投标限价的，投标人报价超出最高投标限价的做废标处理。</w:t>
      </w:r>
    </w:p>
    <w:p w14:paraId="169AF1D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3.2.2.投标人必须按项目规定的范围所提供的全部服务所需要的全部费用进行报价，包括实施完成本项目全部设计工作所需的现场办公费、生活设施费、劳务费、技术服务费、测量费、交通费、通讯费、保险费、税费和利润，以及为完成本项目所需要的专用仪器费、设备费和设施费等与设计业务有关的一切费用。</w:t>
      </w:r>
    </w:p>
    <w:p w14:paraId="5CC5A5CB">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3.2.3投标人应按本招标文件及招标人提供的技术资料进行报价。</w:t>
      </w:r>
    </w:p>
    <w:p w14:paraId="58735A4F">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3.2.4投标人在投标截止时间前修改投标函中的投标报价，应同时修改相应报价。此修改须符合本章第 4.3 款的有关要求。</w:t>
      </w:r>
    </w:p>
    <w:p w14:paraId="30EDF5C2">
      <w:pPr>
        <w:pStyle w:val="7"/>
        <w:adjustRightInd w:val="0"/>
        <w:snapToGrid w:val="0"/>
        <w:spacing w:line="360" w:lineRule="auto"/>
        <w:rPr>
          <w:rFonts w:ascii="宋体" w:hAnsi="宋体" w:eastAsia="宋体" w:cs="宋体"/>
          <w:color w:val="auto"/>
          <w:sz w:val="21"/>
          <w:szCs w:val="21"/>
          <w:highlight w:val="none"/>
        </w:rPr>
      </w:pPr>
      <w:bookmarkStart w:id="48" w:name="_Toc23783"/>
      <w:r>
        <w:rPr>
          <w:rFonts w:hint="eastAsia" w:ascii="宋体" w:hAnsi="宋体" w:eastAsia="宋体" w:cs="宋体"/>
          <w:color w:val="auto"/>
          <w:sz w:val="21"/>
          <w:szCs w:val="21"/>
          <w:highlight w:val="none"/>
        </w:rPr>
        <w:t>3.3 投标有效期</w:t>
      </w:r>
      <w:bookmarkEnd w:id="47"/>
      <w:bookmarkEnd w:id="48"/>
    </w:p>
    <w:p w14:paraId="75AD06D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3.3.1 在投标人须知前附表规定的投标有效期内，投标人不得要求撤销或修改其投标文件。</w:t>
      </w:r>
    </w:p>
    <w:p w14:paraId="578D3A97">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3.3.2 如出现特殊情况需要延长投标有效期的，招标人应</w:t>
      </w:r>
      <w:r>
        <w:rPr>
          <w:rFonts w:hint="eastAsia" w:ascii="宋体" w:hAnsi="宋体" w:cs="宋体"/>
          <w:color w:val="auto"/>
          <w:szCs w:val="21"/>
          <w:highlight w:val="none"/>
          <w:lang w:eastAsia="zh-CN"/>
        </w:rPr>
        <w:t>以电子平台形式</w:t>
      </w:r>
      <w:r>
        <w:rPr>
          <w:rFonts w:hint="eastAsia" w:ascii="宋体" w:hAnsi="宋体" w:cs="宋体"/>
          <w:color w:val="auto"/>
          <w:szCs w:val="21"/>
          <w:highlight w:val="none"/>
        </w:rPr>
        <w:t>通知所有投标人延长投标有效期。</w:t>
      </w:r>
    </w:p>
    <w:p w14:paraId="7F7D6DAD">
      <w:pPr>
        <w:pStyle w:val="7"/>
        <w:adjustRightInd w:val="0"/>
        <w:snapToGrid w:val="0"/>
        <w:spacing w:line="360" w:lineRule="auto"/>
        <w:rPr>
          <w:rFonts w:hint="eastAsia" w:ascii="宋体" w:hAnsi="宋体" w:eastAsia="宋体" w:cs="宋体"/>
          <w:color w:val="auto"/>
          <w:sz w:val="21"/>
          <w:szCs w:val="21"/>
          <w:highlight w:val="none"/>
          <w:lang w:eastAsia="zh-CN"/>
        </w:rPr>
      </w:pPr>
      <w:bookmarkStart w:id="49" w:name="_Toc2707"/>
      <w:bookmarkStart w:id="50" w:name="_Toc25996"/>
      <w:r>
        <w:rPr>
          <w:rFonts w:hint="eastAsia" w:ascii="宋体" w:hAnsi="宋体" w:eastAsia="宋体" w:cs="宋体"/>
          <w:color w:val="auto"/>
          <w:sz w:val="21"/>
          <w:szCs w:val="21"/>
          <w:highlight w:val="none"/>
        </w:rPr>
        <w:t>3.4 投标保证金</w:t>
      </w:r>
      <w:bookmarkEnd w:id="49"/>
      <w:r>
        <w:rPr>
          <w:rFonts w:hint="eastAsia" w:ascii="宋体" w:hAnsi="宋体" w:eastAsia="宋体" w:cs="宋体"/>
          <w:color w:val="auto"/>
          <w:sz w:val="21"/>
          <w:szCs w:val="21"/>
          <w:highlight w:val="none"/>
          <w:lang w:eastAsia="zh-CN"/>
        </w:rPr>
        <w:t>（不适用）</w:t>
      </w:r>
      <w:bookmarkEnd w:id="50"/>
    </w:p>
    <w:p w14:paraId="7F897122">
      <w:pPr>
        <w:pStyle w:val="7"/>
        <w:adjustRightInd w:val="0"/>
        <w:snapToGrid w:val="0"/>
        <w:spacing w:line="360" w:lineRule="auto"/>
        <w:rPr>
          <w:rFonts w:ascii="宋体" w:hAnsi="宋体" w:eastAsia="宋体" w:cs="宋体"/>
          <w:color w:val="auto"/>
          <w:sz w:val="21"/>
          <w:szCs w:val="21"/>
          <w:highlight w:val="none"/>
        </w:rPr>
      </w:pPr>
      <w:bookmarkStart w:id="51" w:name="_Toc18380"/>
      <w:bookmarkStart w:id="52" w:name="_Toc21982"/>
      <w:r>
        <w:rPr>
          <w:rFonts w:hint="eastAsia" w:ascii="宋体" w:hAnsi="宋体" w:eastAsia="宋体" w:cs="宋体"/>
          <w:color w:val="auto"/>
          <w:sz w:val="21"/>
          <w:szCs w:val="21"/>
          <w:highlight w:val="none"/>
        </w:rPr>
        <w:t>3.5 资格审查资料</w:t>
      </w:r>
      <w:bookmarkEnd w:id="51"/>
      <w:bookmarkEnd w:id="52"/>
    </w:p>
    <w:p w14:paraId="227BCEF5">
      <w:pPr>
        <w:adjustRightInd w:val="0"/>
        <w:snapToGrid w:val="0"/>
        <w:spacing w:line="360" w:lineRule="auto"/>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rPr>
        <w:t xml:space="preserve">3.5.1 </w:t>
      </w:r>
      <w:r>
        <w:rPr>
          <w:rFonts w:hint="eastAsia" w:ascii="宋体" w:hAnsi="宋体" w:cs="宋体"/>
          <w:color w:val="auto"/>
          <w:szCs w:val="21"/>
          <w:highlight w:val="none"/>
          <w:lang w:eastAsia="zh-CN"/>
        </w:rPr>
        <w:t>按</w:t>
      </w:r>
      <w:r>
        <w:rPr>
          <w:rFonts w:hint="eastAsia" w:ascii="宋体" w:hAnsi="宋体" w:cs="宋体"/>
          <w:color w:val="auto"/>
          <w:szCs w:val="21"/>
          <w:highlight w:val="none"/>
        </w:rPr>
        <w:t>“投标人须知前附表”</w:t>
      </w:r>
      <w:r>
        <w:rPr>
          <w:rFonts w:hint="eastAsia" w:ascii="宋体" w:hAnsi="宋体" w:cs="宋体"/>
          <w:color w:val="auto"/>
          <w:szCs w:val="21"/>
          <w:highlight w:val="none"/>
          <w:lang w:val="en-US" w:eastAsia="zh-CN"/>
        </w:rPr>
        <w:t>1.4.1提供相关证明</w:t>
      </w:r>
      <w:r>
        <w:rPr>
          <w:rFonts w:hint="eastAsia" w:ascii="宋体" w:hAnsi="宋体" w:cs="宋体"/>
          <w:color w:val="auto"/>
          <w:szCs w:val="21"/>
          <w:highlight w:val="none"/>
          <w:lang w:eastAsia="zh-CN"/>
        </w:rPr>
        <w:t>。</w:t>
      </w:r>
    </w:p>
    <w:p w14:paraId="45F4E9ED">
      <w:pPr>
        <w:adjustRightInd w:val="0"/>
        <w:snapToGrid w:val="0"/>
        <w:spacing w:line="360" w:lineRule="auto"/>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3.5.2 相关证明材料在制作、上传文件时需上传至郑州市公共资源交易中心荥阳分中心平台对应位置，</w:t>
      </w:r>
      <w:r>
        <w:rPr>
          <w:rFonts w:hint="eastAsia" w:ascii="宋体" w:hAnsi="宋体" w:cs="宋体"/>
          <w:color w:val="auto"/>
          <w:szCs w:val="21"/>
          <w:highlight w:val="none"/>
          <w:lang w:val="en-US" w:eastAsia="zh-CN"/>
        </w:rPr>
        <w:t>如</w:t>
      </w:r>
      <w:r>
        <w:rPr>
          <w:rFonts w:hint="eastAsia" w:ascii="宋体" w:hAnsi="宋体" w:cs="宋体"/>
          <w:color w:val="auto"/>
          <w:szCs w:val="21"/>
          <w:highlight w:val="none"/>
          <w:lang w:eastAsia="zh-CN"/>
        </w:rPr>
        <w:t>出现影响资格审查相关问题时，由投标单位负责。</w:t>
      </w:r>
    </w:p>
    <w:p w14:paraId="6CF2FFF5">
      <w:pPr>
        <w:pStyle w:val="7"/>
        <w:adjustRightInd w:val="0"/>
        <w:snapToGrid w:val="0"/>
        <w:spacing w:line="360" w:lineRule="auto"/>
        <w:rPr>
          <w:rFonts w:ascii="宋体" w:hAnsi="宋体" w:eastAsia="宋体" w:cs="宋体"/>
          <w:color w:val="auto"/>
          <w:sz w:val="21"/>
          <w:szCs w:val="21"/>
          <w:highlight w:val="none"/>
        </w:rPr>
      </w:pPr>
      <w:bookmarkStart w:id="53" w:name="_Toc7668"/>
      <w:bookmarkStart w:id="54" w:name="_Toc25929"/>
      <w:r>
        <w:rPr>
          <w:rFonts w:hint="eastAsia" w:ascii="宋体" w:hAnsi="宋体" w:eastAsia="宋体" w:cs="宋体"/>
          <w:color w:val="auto"/>
          <w:sz w:val="21"/>
          <w:szCs w:val="21"/>
          <w:highlight w:val="none"/>
        </w:rPr>
        <w:t>3.6 备选投标方案（不允许）</w:t>
      </w:r>
      <w:bookmarkEnd w:id="53"/>
      <w:bookmarkEnd w:id="54"/>
    </w:p>
    <w:p w14:paraId="157D98D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3.6.1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36B3CF76">
      <w:pPr>
        <w:pStyle w:val="7"/>
        <w:adjustRightInd w:val="0"/>
        <w:snapToGrid w:val="0"/>
        <w:spacing w:line="360" w:lineRule="auto"/>
        <w:rPr>
          <w:rFonts w:ascii="宋体" w:hAnsi="宋体" w:eastAsia="宋体" w:cs="宋体"/>
          <w:color w:val="auto"/>
          <w:sz w:val="21"/>
          <w:szCs w:val="21"/>
          <w:highlight w:val="none"/>
        </w:rPr>
      </w:pPr>
      <w:bookmarkStart w:id="55" w:name="_Toc10958"/>
      <w:bookmarkStart w:id="56" w:name="_Toc4215"/>
      <w:r>
        <w:rPr>
          <w:rFonts w:hint="eastAsia" w:ascii="宋体" w:hAnsi="宋体" w:eastAsia="宋体" w:cs="宋体"/>
          <w:color w:val="auto"/>
          <w:sz w:val="21"/>
          <w:szCs w:val="21"/>
          <w:highlight w:val="none"/>
        </w:rPr>
        <w:t>3.7 投标文件的编制</w:t>
      </w:r>
      <w:bookmarkEnd w:id="55"/>
      <w:bookmarkEnd w:id="56"/>
    </w:p>
    <w:p w14:paraId="55CFF32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3.7.1 投标文件应按第六章“投标文件格式”进行编写，如有必要，可以增加附页，作为投标文件的组成部分。其中，投标函附录在满足招标文件实质性要求的基础上，可以提出比招标文件要求更有利于招标人的承诺。</w:t>
      </w:r>
    </w:p>
    <w:p w14:paraId="6975975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3.7.2 投标文件应当对招标文件有关</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期、投标有效期、质量要求、招标范围等实质性内容作出响应。</w:t>
      </w:r>
    </w:p>
    <w:p w14:paraId="5E7922D7">
      <w:pPr>
        <w:adjustRightInd w:val="0"/>
        <w:snapToGrid w:val="0"/>
        <w:spacing w:line="360" w:lineRule="auto"/>
        <w:ind w:firstLine="413" w:firstLineChars="197"/>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3.7.3 投标文件全部采用电子文档，除投标人须知前附表另有规定外，投标文件所附证书证件均为原件扫描件，并采用单位和个人数字证书，按招标文件要求在相应位置加盖电子签章。由投标人的法定代表人（单位负责人）签字或加盖电子签章的，应附法定代表人（单位负责人）身份证明，由代理人签字或加盖电子签章的，应附由法定代表人（单位负责人）签署的授权委托书。</w:t>
      </w:r>
      <w:r>
        <w:rPr>
          <w:rFonts w:hint="eastAsia" w:ascii="宋体" w:hAnsi="宋体" w:cs="宋体"/>
          <w:b w:val="0"/>
          <w:bCs w:val="0"/>
          <w:color w:val="auto"/>
          <w:szCs w:val="21"/>
          <w:highlight w:val="none"/>
          <w:lang w:eastAsia="zh-CN"/>
        </w:rPr>
        <w:t>签字或盖章或电子签章</w:t>
      </w:r>
      <w:r>
        <w:rPr>
          <w:rFonts w:hint="eastAsia" w:ascii="宋体" w:hAnsi="宋体" w:cs="宋体"/>
          <w:b w:val="0"/>
          <w:bCs w:val="0"/>
          <w:color w:val="auto"/>
          <w:szCs w:val="21"/>
          <w:highlight w:val="none"/>
        </w:rPr>
        <w:t>的具体要求见投标人须知前附表。</w:t>
      </w:r>
    </w:p>
    <w:p w14:paraId="004A8C92">
      <w:pPr>
        <w:adjustRightInd w:val="0"/>
        <w:snapToGrid w:val="0"/>
        <w:spacing w:line="360" w:lineRule="auto"/>
        <w:ind w:firstLine="413" w:firstLineChars="197"/>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3.7.4投标人（供应商）请登陆</w:t>
      </w:r>
      <w:r>
        <w:rPr>
          <w:rFonts w:hint="eastAsia" w:ascii="宋体" w:hAnsi="宋体" w:cs="宋体"/>
          <w:b w:val="0"/>
          <w:bCs w:val="0"/>
          <w:color w:val="auto"/>
          <w:szCs w:val="21"/>
          <w:highlight w:val="none"/>
          <w:lang w:eastAsia="zh-CN"/>
        </w:rPr>
        <w:t>郑州市公共资源交易中心荥阳分中心</w:t>
      </w:r>
      <w:r>
        <w:rPr>
          <w:rFonts w:hint="eastAsia" w:ascii="宋体" w:hAnsi="宋体" w:cs="宋体"/>
          <w:b w:val="0"/>
          <w:bCs w:val="0"/>
          <w:color w:val="auto"/>
          <w:szCs w:val="21"/>
          <w:highlight w:val="none"/>
        </w:rPr>
        <w:t>网站—下载中心—下载中心栏目下载最新版本的投标文件制作工具安装包，并使用安装后的最新版本投标文件制作工具制作电子投标文件（具体制作手册请查询交易中心网站-办事指南-投标文件制作操作手册）。</w:t>
      </w:r>
    </w:p>
    <w:p w14:paraId="7F16C4AB">
      <w:pPr>
        <w:pStyle w:val="6"/>
        <w:adjustRightInd w:val="0"/>
        <w:snapToGrid w:val="0"/>
        <w:spacing w:line="360" w:lineRule="auto"/>
        <w:rPr>
          <w:rFonts w:ascii="宋体" w:hAnsi="宋体" w:cs="宋体"/>
          <w:color w:val="auto"/>
          <w:sz w:val="21"/>
          <w:szCs w:val="21"/>
          <w:highlight w:val="none"/>
        </w:rPr>
      </w:pPr>
      <w:bookmarkStart w:id="57" w:name="_Toc184635074"/>
      <w:bookmarkStart w:id="58" w:name="_Toc22253"/>
      <w:bookmarkStart w:id="59" w:name="_Toc26591"/>
      <w:r>
        <w:rPr>
          <w:rFonts w:hint="eastAsia" w:ascii="宋体" w:hAnsi="宋体" w:cs="宋体"/>
          <w:color w:val="auto"/>
          <w:sz w:val="21"/>
          <w:szCs w:val="21"/>
          <w:highlight w:val="none"/>
        </w:rPr>
        <w:t>4．投标</w:t>
      </w:r>
      <w:bookmarkEnd w:id="57"/>
      <w:bookmarkEnd w:id="58"/>
      <w:bookmarkEnd w:id="59"/>
    </w:p>
    <w:p w14:paraId="1F5EFCFF">
      <w:pPr>
        <w:pStyle w:val="7"/>
        <w:adjustRightInd w:val="0"/>
        <w:snapToGrid w:val="0"/>
        <w:spacing w:line="360" w:lineRule="auto"/>
        <w:rPr>
          <w:rFonts w:ascii="宋体" w:hAnsi="宋体" w:eastAsia="宋体" w:cs="宋体"/>
          <w:color w:val="auto"/>
          <w:sz w:val="21"/>
          <w:szCs w:val="21"/>
          <w:highlight w:val="none"/>
        </w:rPr>
      </w:pPr>
      <w:bookmarkStart w:id="60" w:name="_Toc3326"/>
      <w:bookmarkStart w:id="61" w:name="_Toc29370"/>
      <w:r>
        <w:rPr>
          <w:rFonts w:hint="eastAsia" w:ascii="宋体" w:hAnsi="宋体" w:eastAsia="宋体" w:cs="宋体"/>
          <w:color w:val="auto"/>
          <w:sz w:val="21"/>
          <w:szCs w:val="21"/>
          <w:highlight w:val="none"/>
        </w:rPr>
        <w:t>4.1 投标文件的密封和标记</w:t>
      </w:r>
      <w:bookmarkEnd w:id="60"/>
      <w:bookmarkEnd w:id="61"/>
    </w:p>
    <w:p w14:paraId="1C093C49">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4.1.1 投标人应当按照招标文件和电子招标投标交易平台的要求加密投标文件，具体要求见投标人须知前附表。 </w:t>
      </w:r>
    </w:p>
    <w:p w14:paraId="6A53A39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4.1.2 未按本章第 4.1.1 项要求密封的投标文件，招标人将予以拒收。</w:t>
      </w:r>
    </w:p>
    <w:p w14:paraId="058D9907">
      <w:pPr>
        <w:pStyle w:val="7"/>
        <w:adjustRightInd w:val="0"/>
        <w:snapToGrid w:val="0"/>
        <w:spacing w:line="360" w:lineRule="auto"/>
        <w:rPr>
          <w:rFonts w:ascii="宋体" w:hAnsi="宋体" w:eastAsia="宋体" w:cs="宋体"/>
          <w:color w:val="auto"/>
          <w:sz w:val="21"/>
          <w:szCs w:val="21"/>
          <w:highlight w:val="none"/>
        </w:rPr>
      </w:pPr>
      <w:bookmarkStart w:id="62" w:name="_Toc13880"/>
      <w:bookmarkStart w:id="63" w:name="_Toc14621"/>
      <w:r>
        <w:rPr>
          <w:rFonts w:hint="eastAsia" w:ascii="宋体" w:hAnsi="宋体" w:eastAsia="宋体" w:cs="宋体"/>
          <w:color w:val="auto"/>
          <w:sz w:val="21"/>
          <w:szCs w:val="21"/>
          <w:highlight w:val="none"/>
        </w:rPr>
        <w:t>4.2 投标文件的递交</w:t>
      </w:r>
      <w:bookmarkEnd w:id="62"/>
      <w:bookmarkEnd w:id="63"/>
    </w:p>
    <w:p w14:paraId="5CB8DC93">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4.2.1 投标人应在投标人须知前附表规定的投标截止时间前递交投标文件。</w:t>
      </w:r>
    </w:p>
    <w:p w14:paraId="701C53FE">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4.2.2 投标人通过下载招标文件的电子招标投标交易平台递交电子投标文件。</w:t>
      </w:r>
    </w:p>
    <w:p w14:paraId="7B18C464">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4.2.3除投标人须知前附表另有规定外，投标人所递交的投标文件不予退还。</w:t>
      </w:r>
    </w:p>
    <w:p w14:paraId="23640368">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4.2.4投标文件上传：各投标人（供应商）须在投标截止时间前企业身份认证锁（CA密钥）登陆</w:t>
      </w:r>
      <w:r>
        <w:rPr>
          <w:rFonts w:hint="eastAsia" w:ascii="宋体" w:hAnsi="宋体" w:cs="宋体"/>
          <w:color w:val="auto"/>
          <w:szCs w:val="21"/>
          <w:highlight w:val="none"/>
          <w:lang w:eastAsia="zh-CN"/>
        </w:rPr>
        <w:t>郑州市公共资源交易中心荥阳分中心</w:t>
      </w:r>
      <w:r>
        <w:rPr>
          <w:rFonts w:hint="eastAsia" w:ascii="宋体" w:hAnsi="宋体" w:cs="宋体"/>
          <w:color w:val="auto"/>
          <w:szCs w:val="21"/>
          <w:highlight w:val="none"/>
        </w:rPr>
        <w:t>网站上传加密的电子投标文件到系统的指定位置。上传时必须得到电脑‘上传成功’的确认回复。请投标人（供应商）在上传时认真检查上传投标文件是否完整、正确。</w:t>
      </w:r>
    </w:p>
    <w:p w14:paraId="04F1BA8D">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投标人（供应商）在交易中心投标系统无法上传电子投标文件时，请在工作时间及时与</w:t>
      </w:r>
      <w:r>
        <w:rPr>
          <w:rFonts w:hint="eastAsia" w:ascii="宋体" w:hAnsi="宋体" w:cs="宋体"/>
          <w:color w:val="auto"/>
          <w:szCs w:val="21"/>
          <w:highlight w:val="none"/>
          <w:lang w:eastAsia="zh-CN"/>
        </w:rPr>
        <w:t>郑州市公共资源交易中心荥阳分中心</w:t>
      </w:r>
      <w:r>
        <w:rPr>
          <w:rFonts w:hint="eastAsia" w:ascii="宋体" w:hAnsi="宋体" w:cs="宋体"/>
          <w:color w:val="auto"/>
          <w:szCs w:val="21"/>
          <w:highlight w:val="none"/>
        </w:rPr>
        <w:t>联系。</w:t>
      </w:r>
    </w:p>
    <w:p w14:paraId="41A2D04F">
      <w:pPr>
        <w:adjustRightInd w:val="0"/>
        <w:snapToGrid w:val="0"/>
        <w:spacing w:line="360" w:lineRule="auto"/>
        <w:ind w:firstLine="420" w:firstLineChars="200"/>
        <w:rPr>
          <w:rFonts w:ascii="宋体" w:hAnsi="宋体" w:cs="宋体"/>
          <w:b/>
          <w:bCs/>
          <w:color w:val="auto"/>
          <w:szCs w:val="21"/>
          <w:highlight w:val="none"/>
        </w:rPr>
      </w:pPr>
      <w:r>
        <w:rPr>
          <w:rFonts w:hint="eastAsia" w:ascii="宋体" w:hAnsi="宋体" w:cs="宋体"/>
          <w:color w:val="auto"/>
          <w:szCs w:val="21"/>
          <w:highlight w:val="none"/>
        </w:rPr>
        <w:t>4.2.5逾期送达的投标文件，电子招标投标交易平台将予以拒收。</w:t>
      </w:r>
    </w:p>
    <w:p w14:paraId="4E3EBA81">
      <w:pPr>
        <w:pStyle w:val="7"/>
        <w:adjustRightInd w:val="0"/>
        <w:snapToGrid w:val="0"/>
        <w:spacing w:line="360" w:lineRule="auto"/>
        <w:rPr>
          <w:rFonts w:ascii="宋体" w:hAnsi="宋体" w:eastAsia="宋体" w:cs="宋体"/>
          <w:color w:val="auto"/>
          <w:sz w:val="21"/>
          <w:szCs w:val="21"/>
          <w:highlight w:val="none"/>
        </w:rPr>
      </w:pPr>
      <w:bookmarkStart w:id="64" w:name="_Toc14782"/>
      <w:bookmarkStart w:id="65" w:name="_Toc4348"/>
      <w:r>
        <w:rPr>
          <w:rFonts w:hint="eastAsia" w:ascii="宋体" w:hAnsi="宋体" w:eastAsia="宋体" w:cs="宋体"/>
          <w:color w:val="auto"/>
          <w:sz w:val="21"/>
          <w:szCs w:val="21"/>
          <w:highlight w:val="none"/>
        </w:rPr>
        <w:t>4.3 投标文件的修改与撤回</w:t>
      </w:r>
      <w:bookmarkEnd w:id="64"/>
      <w:bookmarkEnd w:id="65"/>
    </w:p>
    <w:p w14:paraId="500371A5">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4.3.1 在投标人须知前附表规定的投标截止时间前，投标人可以修改或撤回已递交的投标文件，最终投标文件以投标截止时间前完成上传至荥阳市市公共资源交易管理中心电子交易系统</w:t>
      </w:r>
      <w:r>
        <w:rPr>
          <w:rFonts w:hint="eastAsia" w:ascii="宋体" w:hAnsi="宋体" w:cs="宋体"/>
          <w:color w:val="auto"/>
          <w:szCs w:val="21"/>
          <w:highlight w:val="none"/>
          <w:lang w:eastAsia="zh-CN"/>
        </w:rPr>
        <w:t>的</w:t>
      </w:r>
      <w:r>
        <w:rPr>
          <w:rFonts w:hint="eastAsia" w:ascii="宋体" w:hAnsi="宋体" w:cs="宋体"/>
          <w:color w:val="auto"/>
          <w:szCs w:val="21"/>
          <w:highlight w:val="none"/>
        </w:rPr>
        <w:t>最后一份投标文件为准。</w:t>
      </w:r>
    </w:p>
    <w:p w14:paraId="3C62AFAF">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4.3.2投标人修改或撤回已递交投标文件的书面通知应按照本章第3.7.3 项的要求加盖电子签章。电子招标投标交易平台收到通知后，即时向投标人发出确认回执通知。</w:t>
      </w:r>
    </w:p>
    <w:p w14:paraId="3102DB93">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4.3.3 修改的内容为投标文件的组成部分。修改的投标文件应按照本章第3 条、第4 条规定进行编制、标记和递交，并标明“修改”字样。</w:t>
      </w:r>
    </w:p>
    <w:p w14:paraId="760B9B94">
      <w:pPr>
        <w:pStyle w:val="6"/>
        <w:adjustRightInd w:val="0"/>
        <w:snapToGrid w:val="0"/>
        <w:spacing w:line="360" w:lineRule="auto"/>
        <w:rPr>
          <w:rFonts w:ascii="宋体" w:hAnsi="宋体" w:cs="宋体"/>
          <w:color w:val="auto"/>
          <w:sz w:val="21"/>
          <w:szCs w:val="21"/>
          <w:highlight w:val="none"/>
        </w:rPr>
      </w:pPr>
      <w:bookmarkStart w:id="66" w:name="_Toc19739"/>
      <w:bookmarkStart w:id="67" w:name="_Toc184635075"/>
      <w:bookmarkStart w:id="68" w:name="_Toc10394"/>
      <w:r>
        <w:rPr>
          <w:rFonts w:hint="eastAsia" w:ascii="宋体" w:hAnsi="宋体" w:cs="宋体"/>
          <w:color w:val="auto"/>
          <w:sz w:val="21"/>
          <w:szCs w:val="21"/>
          <w:highlight w:val="none"/>
        </w:rPr>
        <w:t>5．开标</w:t>
      </w:r>
      <w:bookmarkEnd w:id="66"/>
      <w:bookmarkEnd w:id="67"/>
      <w:bookmarkEnd w:id="68"/>
    </w:p>
    <w:p w14:paraId="1B5917B6">
      <w:pPr>
        <w:pStyle w:val="7"/>
        <w:adjustRightInd w:val="0"/>
        <w:snapToGrid w:val="0"/>
        <w:spacing w:line="360" w:lineRule="auto"/>
        <w:rPr>
          <w:rFonts w:ascii="宋体" w:hAnsi="宋体" w:eastAsia="宋体" w:cs="宋体"/>
          <w:color w:val="auto"/>
          <w:sz w:val="21"/>
          <w:szCs w:val="21"/>
          <w:highlight w:val="none"/>
        </w:rPr>
      </w:pPr>
      <w:bookmarkStart w:id="69" w:name="_Toc10302"/>
      <w:bookmarkStart w:id="70" w:name="_Toc24943"/>
      <w:r>
        <w:rPr>
          <w:rFonts w:hint="eastAsia" w:ascii="宋体" w:hAnsi="宋体" w:eastAsia="宋体" w:cs="宋体"/>
          <w:color w:val="auto"/>
          <w:sz w:val="21"/>
          <w:szCs w:val="21"/>
          <w:highlight w:val="none"/>
        </w:rPr>
        <w:t>5.1 开标时间和地点</w:t>
      </w:r>
      <w:bookmarkEnd w:id="69"/>
      <w:bookmarkEnd w:id="70"/>
    </w:p>
    <w:p w14:paraId="10F166FD">
      <w:pPr>
        <w:spacing w:line="360" w:lineRule="auto"/>
        <w:ind w:firstLine="420" w:firstLineChars="200"/>
        <w:rPr>
          <w:rFonts w:hint="eastAsia" w:ascii="宋体" w:hAnsi="宋体" w:cs="宋体"/>
          <w:color w:val="auto"/>
          <w:szCs w:val="21"/>
          <w:highlight w:val="none"/>
        </w:rPr>
      </w:pPr>
      <w:bookmarkStart w:id="71" w:name="_Toc10567"/>
      <w:r>
        <w:rPr>
          <w:rFonts w:hint="eastAsia" w:ascii="宋体" w:hAnsi="宋体" w:cs="宋体"/>
          <w:color w:val="auto"/>
          <w:szCs w:val="21"/>
          <w:highlight w:val="none"/>
        </w:rPr>
        <w:t>5.1.1 招标人在本章第4.2.1项规定的投标截止时间（开标时间）和投标人须知前附表规定的地点开标。</w:t>
      </w:r>
    </w:p>
    <w:p w14:paraId="5B07945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5.1.2 投标人须按投标人须知前附表规定完成解密。</w:t>
      </w:r>
    </w:p>
    <w:p w14:paraId="187EC324">
      <w:pPr>
        <w:pStyle w:val="7"/>
        <w:adjustRightInd w:val="0"/>
        <w:snapToGrid w:val="0"/>
        <w:spacing w:line="360" w:lineRule="auto"/>
        <w:rPr>
          <w:rFonts w:ascii="宋体" w:hAnsi="宋体" w:eastAsia="宋体" w:cs="宋体"/>
          <w:color w:val="auto"/>
          <w:sz w:val="21"/>
          <w:szCs w:val="21"/>
          <w:highlight w:val="none"/>
        </w:rPr>
      </w:pPr>
      <w:bookmarkStart w:id="72" w:name="_Toc161"/>
      <w:r>
        <w:rPr>
          <w:rFonts w:hint="eastAsia" w:ascii="宋体" w:hAnsi="宋体" w:eastAsia="宋体" w:cs="宋体"/>
          <w:color w:val="auto"/>
          <w:sz w:val="21"/>
          <w:szCs w:val="21"/>
          <w:highlight w:val="none"/>
        </w:rPr>
        <w:t>5.2 开标程序</w:t>
      </w:r>
      <w:bookmarkEnd w:id="71"/>
      <w:bookmarkEnd w:id="72"/>
    </w:p>
    <w:p w14:paraId="7D2FE3AC">
      <w:pPr>
        <w:spacing w:line="360" w:lineRule="auto"/>
        <w:ind w:firstLine="420" w:firstLineChars="200"/>
        <w:rPr>
          <w:rFonts w:hint="eastAsia" w:ascii="宋体" w:hAnsi="宋体" w:cs="宋体"/>
          <w:color w:val="auto"/>
          <w:szCs w:val="21"/>
          <w:highlight w:val="none"/>
        </w:rPr>
      </w:pPr>
      <w:bookmarkStart w:id="73" w:name="_Toc184635076"/>
      <w:bookmarkStart w:id="74" w:name="_Toc27644"/>
      <w:r>
        <w:rPr>
          <w:rFonts w:hint="eastAsia" w:ascii="宋体" w:hAnsi="宋体" w:cs="宋体"/>
          <w:color w:val="auto"/>
          <w:szCs w:val="21"/>
          <w:highlight w:val="none"/>
        </w:rPr>
        <w:t>5.2.1主持人按下列程序进行开标：</w:t>
      </w:r>
    </w:p>
    <w:p w14:paraId="4F3E0BC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（1）宣布开标纪律。</w:t>
      </w:r>
    </w:p>
    <w:p w14:paraId="63B056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（2）宣布</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人、监标人等有关人员姓名；</w:t>
      </w:r>
    </w:p>
    <w:p w14:paraId="4EA139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（3）检查投标文件的</w:t>
      </w:r>
      <w:r>
        <w:rPr>
          <w:rFonts w:hint="eastAsia" w:ascii="宋体" w:hAnsi="宋体" w:cs="宋体"/>
          <w:color w:val="auto"/>
          <w:szCs w:val="21"/>
          <w:highlight w:val="none"/>
          <w:lang w:val="en-US" w:eastAsia="zh-CN"/>
        </w:rPr>
        <w:t>加密</w:t>
      </w:r>
      <w:r>
        <w:rPr>
          <w:rFonts w:hint="eastAsia" w:ascii="宋体" w:hAnsi="宋体" w:cs="宋体"/>
          <w:color w:val="auto"/>
          <w:szCs w:val="21"/>
          <w:highlight w:val="none"/>
        </w:rPr>
        <w:t>情况，并对上传至交易平台的加密投标文件进行解密；</w:t>
      </w:r>
    </w:p>
    <w:p w14:paraId="2409403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人代表、监标人等有关人员在开标记录上签字确认。</w:t>
      </w:r>
    </w:p>
    <w:p w14:paraId="67C1DBE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（5）开标结束。</w:t>
      </w:r>
    </w:p>
    <w:p w14:paraId="5FF49918">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进入资格审查阶段。开标结束后，采购人或者采购代理机构依法对投标人的资格进行审查。</w:t>
      </w:r>
    </w:p>
    <w:p w14:paraId="54EDBB56">
      <w:pPr>
        <w:spacing w:line="360" w:lineRule="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采购人或者采购代理机构审查每个投标人提交的资格证明材料是否齐全、完整、有效，不具备招标文件中规定的资格要求的投标人投标无效。经资格审查有效投标人不足三家的则不进入评标阶段。</w:t>
      </w:r>
    </w:p>
    <w:p w14:paraId="239F3CA2">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5.3  开标异议</w:t>
      </w:r>
    </w:p>
    <w:p w14:paraId="0C00978F">
      <w:pPr>
        <w:spacing w:line="360" w:lineRule="auto"/>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rPr>
        <w:t>投标人对开标有异议的，应当在开标现场提出，招标人当场作出答复，并制作记录</w:t>
      </w:r>
      <w:r>
        <w:rPr>
          <w:rFonts w:hint="eastAsia" w:ascii="宋体" w:hAnsi="宋体" w:cs="宋体"/>
          <w:color w:val="auto"/>
          <w:szCs w:val="21"/>
          <w:highlight w:val="none"/>
          <w:lang w:eastAsia="zh-CN"/>
        </w:rPr>
        <w:t>。</w:t>
      </w:r>
    </w:p>
    <w:p w14:paraId="27BEBB39">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5.4资格审查小组</w:t>
      </w:r>
    </w:p>
    <w:p w14:paraId="09191AE1">
      <w:pPr>
        <w:spacing w:line="360" w:lineRule="auto"/>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rPr>
        <w:t>采购代理机构将根据招标内容和特点按规定组建协助采购人资格审查小组，其成员由采购人</w:t>
      </w:r>
      <w:r>
        <w:rPr>
          <w:rFonts w:hint="eastAsia" w:ascii="宋体" w:hAnsi="宋体" w:cs="宋体"/>
          <w:color w:val="auto"/>
          <w:szCs w:val="21"/>
          <w:highlight w:val="none"/>
          <w:lang w:eastAsia="zh-CN"/>
        </w:rPr>
        <w:t>参会</w:t>
      </w:r>
      <w:r>
        <w:rPr>
          <w:rFonts w:hint="eastAsia" w:ascii="宋体" w:hAnsi="宋体" w:cs="宋体"/>
          <w:color w:val="auto"/>
          <w:szCs w:val="21"/>
          <w:highlight w:val="none"/>
        </w:rPr>
        <w:t>代表</w:t>
      </w:r>
      <w:r>
        <w:rPr>
          <w:rFonts w:hint="eastAsia" w:ascii="宋体" w:hAnsi="宋体" w:cs="宋体"/>
          <w:color w:val="auto"/>
          <w:szCs w:val="21"/>
          <w:highlight w:val="none"/>
          <w:lang w:eastAsia="zh-CN"/>
        </w:rPr>
        <w:t>或代理机构人员</w:t>
      </w:r>
      <w:r>
        <w:rPr>
          <w:rFonts w:hint="eastAsia" w:ascii="宋体" w:hAnsi="宋体" w:cs="宋体"/>
          <w:color w:val="auto"/>
          <w:szCs w:val="21"/>
          <w:highlight w:val="none"/>
        </w:rPr>
        <w:t>组成，资格审查小组负责对投标人资格进行审查。</w:t>
      </w:r>
    </w:p>
    <w:p w14:paraId="46DFA762">
      <w:pPr>
        <w:pStyle w:val="6"/>
        <w:adjustRightInd w:val="0"/>
        <w:snapToGrid w:val="0"/>
        <w:spacing w:line="360" w:lineRule="auto"/>
        <w:rPr>
          <w:rFonts w:ascii="宋体" w:hAnsi="宋体" w:cs="宋体"/>
          <w:color w:val="auto"/>
          <w:sz w:val="21"/>
          <w:szCs w:val="21"/>
          <w:highlight w:val="none"/>
        </w:rPr>
      </w:pPr>
      <w:bookmarkStart w:id="75" w:name="_Toc30765"/>
      <w:r>
        <w:rPr>
          <w:rFonts w:hint="eastAsia" w:ascii="宋体" w:hAnsi="宋体" w:cs="宋体"/>
          <w:color w:val="auto"/>
          <w:sz w:val="21"/>
          <w:szCs w:val="21"/>
          <w:highlight w:val="none"/>
        </w:rPr>
        <w:t>6．评标</w:t>
      </w:r>
      <w:bookmarkEnd w:id="73"/>
      <w:bookmarkEnd w:id="74"/>
      <w:bookmarkEnd w:id="75"/>
    </w:p>
    <w:p w14:paraId="12F8CD13">
      <w:pPr>
        <w:pStyle w:val="7"/>
        <w:adjustRightInd w:val="0"/>
        <w:snapToGrid w:val="0"/>
        <w:spacing w:line="360" w:lineRule="auto"/>
        <w:rPr>
          <w:rFonts w:ascii="宋体" w:hAnsi="宋体" w:eastAsia="宋体" w:cs="宋体"/>
          <w:color w:val="auto"/>
          <w:sz w:val="21"/>
          <w:szCs w:val="21"/>
          <w:highlight w:val="none"/>
        </w:rPr>
      </w:pPr>
      <w:bookmarkStart w:id="76" w:name="_Toc16737"/>
      <w:bookmarkStart w:id="77" w:name="_Toc5389"/>
      <w:r>
        <w:rPr>
          <w:rFonts w:hint="eastAsia" w:ascii="宋体" w:hAnsi="宋体" w:eastAsia="宋体" w:cs="宋体"/>
          <w:color w:val="auto"/>
          <w:sz w:val="21"/>
          <w:szCs w:val="21"/>
          <w:highlight w:val="none"/>
        </w:rPr>
        <w:t>6.1 评标委员会</w:t>
      </w:r>
      <w:bookmarkEnd w:id="76"/>
      <w:bookmarkEnd w:id="77"/>
    </w:p>
    <w:p w14:paraId="55DBD39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6.1.1评标由招标人依法组建的评标委员会负责。评标委员会由有关技术、经济等方面的专家组成。评标委员会成员人数以及技术、经济等方面专家的确定方式见投标人须知前附表。</w:t>
      </w:r>
    </w:p>
    <w:p w14:paraId="217FE6F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6.1.2 评标委员会成员有下列情形之一的，应当回避：</w:t>
      </w:r>
    </w:p>
    <w:p w14:paraId="6DBF048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(1）招标人或投标人的主要负责人的近亲属；</w:t>
      </w:r>
    </w:p>
    <w:p w14:paraId="2EE9251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(2）项目主管部门或者行政监督部门的人员：</w:t>
      </w:r>
    </w:p>
    <w:p w14:paraId="7AC1FBC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(3）与投标人有经济利益关系，可能影响对投标公正评审的；</w:t>
      </w:r>
    </w:p>
    <w:p w14:paraId="69D2808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(4）曾因在招标、评标以及其他与招标投标有关活动中从事违法行为而受过行政处罚或刑事处罚的。</w:t>
      </w:r>
    </w:p>
    <w:p w14:paraId="0C9740F5">
      <w:pPr>
        <w:pStyle w:val="7"/>
        <w:adjustRightInd w:val="0"/>
        <w:snapToGrid w:val="0"/>
        <w:spacing w:line="360" w:lineRule="auto"/>
        <w:rPr>
          <w:rFonts w:ascii="宋体" w:hAnsi="宋体" w:eastAsia="宋体" w:cs="宋体"/>
          <w:color w:val="auto"/>
          <w:sz w:val="21"/>
          <w:szCs w:val="21"/>
          <w:highlight w:val="none"/>
        </w:rPr>
      </w:pPr>
      <w:bookmarkStart w:id="78" w:name="_Toc23512"/>
      <w:bookmarkStart w:id="79" w:name="_Toc27410"/>
      <w:r>
        <w:rPr>
          <w:rFonts w:hint="eastAsia" w:ascii="宋体" w:hAnsi="宋体" w:eastAsia="宋体" w:cs="宋体"/>
          <w:color w:val="auto"/>
          <w:sz w:val="21"/>
          <w:szCs w:val="21"/>
          <w:highlight w:val="none"/>
        </w:rPr>
        <w:t>6.2 评标原则</w:t>
      </w:r>
      <w:bookmarkEnd w:id="78"/>
      <w:bookmarkEnd w:id="79"/>
    </w:p>
    <w:p w14:paraId="3EFD019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评标活动遵循公平、公正、科学和择优的原则。</w:t>
      </w:r>
    </w:p>
    <w:p w14:paraId="463708A3">
      <w:pPr>
        <w:pStyle w:val="7"/>
        <w:adjustRightInd w:val="0"/>
        <w:snapToGrid w:val="0"/>
        <w:spacing w:line="360" w:lineRule="auto"/>
        <w:rPr>
          <w:rFonts w:ascii="宋体" w:hAnsi="宋体" w:eastAsia="宋体" w:cs="宋体"/>
          <w:color w:val="auto"/>
          <w:sz w:val="21"/>
          <w:szCs w:val="21"/>
          <w:highlight w:val="none"/>
        </w:rPr>
      </w:pPr>
      <w:bookmarkStart w:id="80" w:name="_Toc32136"/>
      <w:bookmarkStart w:id="81" w:name="_Toc8943"/>
      <w:r>
        <w:rPr>
          <w:rFonts w:hint="eastAsia" w:ascii="宋体" w:hAnsi="宋体" w:eastAsia="宋体" w:cs="宋体"/>
          <w:color w:val="auto"/>
          <w:sz w:val="21"/>
          <w:szCs w:val="21"/>
          <w:highlight w:val="none"/>
        </w:rPr>
        <w:t>6.3 评标</w:t>
      </w:r>
      <w:bookmarkEnd w:id="80"/>
      <w:bookmarkEnd w:id="81"/>
    </w:p>
    <w:p w14:paraId="3B00164C">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评标委员会按照第三章“评标办法”规定的方法、评审因素、标准和程序对投标文件进行评审。第三章“评标办法”没有规定的方法、评审因素和标准，不作为评标依据。</w:t>
      </w:r>
    </w:p>
    <w:p w14:paraId="7A139710">
      <w:pPr>
        <w:pStyle w:val="6"/>
        <w:adjustRightInd w:val="0"/>
        <w:snapToGrid w:val="0"/>
        <w:spacing w:line="360" w:lineRule="auto"/>
        <w:rPr>
          <w:rFonts w:ascii="宋体" w:hAnsi="宋体" w:cs="宋体"/>
          <w:color w:val="auto"/>
          <w:sz w:val="21"/>
          <w:szCs w:val="21"/>
          <w:highlight w:val="none"/>
        </w:rPr>
      </w:pPr>
      <w:bookmarkStart w:id="82" w:name="_Toc184635077"/>
      <w:bookmarkStart w:id="83" w:name="_Toc31047"/>
      <w:bookmarkStart w:id="84" w:name="_Toc5863"/>
      <w:r>
        <w:rPr>
          <w:rFonts w:hint="eastAsia" w:ascii="宋体" w:hAnsi="宋体" w:cs="宋体"/>
          <w:color w:val="auto"/>
          <w:sz w:val="21"/>
          <w:szCs w:val="21"/>
          <w:highlight w:val="none"/>
        </w:rPr>
        <w:t>7．合同授予</w:t>
      </w:r>
      <w:bookmarkEnd w:id="82"/>
      <w:bookmarkEnd w:id="83"/>
      <w:bookmarkEnd w:id="84"/>
    </w:p>
    <w:p w14:paraId="47F76375">
      <w:pPr>
        <w:pStyle w:val="7"/>
        <w:adjustRightInd w:val="0"/>
        <w:snapToGrid w:val="0"/>
        <w:spacing w:line="360" w:lineRule="auto"/>
        <w:rPr>
          <w:rFonts w:ascii="宋体" w:hAnsi="宋体" w:eastAsia="宋体" w:cs="宋体"/>
          <w:color w:val="auto"/>
          <w:sz w:val="21"/>
          <w:szCs w:val="21"/>
          <w:highlight w:val="none"/>
        </w:rPr>
      </w:pPr>
      <w:bookmarkStart w:id="85" w:name="_Toc31031"/>
      <w:bookmarkStart w:id="86" w:name="_Toc23186"/>
      <w:r>
        <w:rPr>
          <w:rFonts w:hint="eastAsia" w:ascii="宋体" w:hAnsi="宋体" w:eastAsia="宋体" w:cs="宋体"/>
          <w:color w:val="auto"/>
          <w:sz w:val="21"/>
          <w:szCs w:val="21"/>
          <w:highlight w:val="none"/>
        </w:rPr>
        <w:t>7.1 定标方式</w:t>
      </w:r>
      <w:bookmarkEnd w:id="85"/>
      <w:bookmarkEnd w:id="86"/>
    </w:p>
    <w:p w14:paraId="67C3A7E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除投标人须知前附表规定</w:t>
      </w:r>
      <w:r>
        <w:rPr>
          <w:rFonts w:hint="eastAsia" w:ascii="宋体" w:hAnsi="宋体" w:cs="宋体"/>
          <w:color w:val="auto"/>
          <w:szCs w:val="21"/>
          <w:highlight w:val="none"/>
          <w:lang w:eastAsia="zh-CN"/>
        </w:rPr>
        <w:t>的</w:t>
      </w:r>
      <w:r>
        <w:rPr>
          <w:rFonts w:hint="eastAsia" w:ascii="宋体" w:hAnsi="宋体" w:cs="宋体"/>
          <w:color w:val="auto"/>
          <w:szCs w:val="21"/>
          <w:highlight w:val="none"/>
        </w:rPr>
        <w:t>评标委员会直接确定中标人外，招标人依据评标委员会推荐的中标候选人确定中标人，评标委员会推荐中标候选人的人数见投标人须知前附表。</w:t>
      </w:r>
    </w:p>
    <w:p w14:paraId="64AB9009">
      <w:pPr>
        <w:pStyle w:val="15"/>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招标人将根据评标委员会提出的评标报告，确定排名第一的中标候选人为中标人。如果排名第一的中标候选人放弃中标或因不可抗力提出不能履行合同，</w:t>
      </w:r>
      <w:r>
        <w:rPr>
          <w:rFonts w:hint="eastAsia" w:ascii="宋体" w:hAnsi="宋体" w:cs="宋体"/>
          <w:color w:val="auto"/>
          <w:szCs w:val="21"/>
          <w:highlight w:val="none"/>
          <w:lang w:eastAsia="zh-CN"/>
        </w:rPr>
        <w:t>或</w:t>
      </w:r>
      <w:r>
        <w:rPr>
          <w:rFonts w:hint="eastAsia" w:ascii="宋体" w:hAnsi="宋体" w:cs="宋体"/>
          <w:color w:val="auto"/>
          <w:szCs w:val="21"/>
          <w:highlight w:val="none"/>
        </w:rPr>
        <w:t>被查实存在影响中标的违法行为、存在不符合中标条件等情形，招标人可以按照评标委员会提出的中标候选人名单排序依次确定其他中标候选人为中标人，也可以重新招标。如中标候选人均放弃中标资格或均出现上述问题时，招标人将重新进行招标。</w:t>
      </w:r>
    </w:p>
    <w:p w14:paraId="4320C0B1">
      <w:pPr>
        <w:pStyle w:val="7"/>
        <w:adjustRightInd w:val="0"/>
        <w:snapToGrid w:val="0"/>
        <w:spacing w:line="360" w:lineRule="auto"/>
        <w:rPr>
          <w:rFonts w:ascii="宋体" w:hAnsi="宋体" w:eastAsia="宋体" w:cs="宋体"/>
          <w:color w:val="auto"/>
          <w:sz w:val="21"/>
          <w:szCs w:val="21"/>
          <w:highlight w:val="none"/>
        </w:rPr>
      </w:pPr>
      <w:bookmarkStart w:id="87" w:name="_Toc12106"/>
      <w:bookmarkStart w:id="88" w:name="_Toc2515"/>
      <w:r>
        <w:rPr>
          <w:rFonts w:hint="eastAsia" w:ascii="宋体" w:hAnsi="宋体" w:eastAsia="宋体" w:cs="宋体"/>
          <w:color w:val="auto"/>
          <w:sz w:val="21"/>
          <w:szCs w:val="21"/>
          <w:highlight w:val="none"/>
        </w:rPr>
        <w:t>7.2 中标通知</w:t>
      </w:r>
      <w:bookmarkEnd w:id="87"/>
      <w:bookmarkEnd w:id="88"/>
    </w:p>
    <w:p w14:paraId="11F6B20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在本章第3.3 款规定的投标有效期内，招标人</w:t>
      </w:r>
      <w:r>
        <w:rPr>
          <w:rFonts w:hint="eastAsia" w:ascii="宋体" w:hAnsi="宋体" w:cs="宋体"/>
          <w:color w:val="auto"/>
          <w:szCs w:val="21"/>
          <w:highlight w:val="none"/>
          <w:lang w:eastAsia="zh-CN"/>
        </w:rPr>
        <w:t>以电子平台形式</w:t>
      </w:r>
      <w:r>
        <w:rPr>
          <w:rFonts w:hint="eastAsia" w:ascii="宋体" w:hAnsi="宋体" w:cs="宋体"/>
          <w:color w:val="auto"/>
          <w:szCs w:val="21"/>
          <w:highlight w:val="none"/>
        </w:rPr>
        <w:t>向中标人发出中标通知书，同时将中标结果通知未中标的投标人。</w:t>
      </w:r>
    </w:p>
    <w:p w14:paraId="752AEE64">
      <w:pPr>
        <w:pStyle w:val="7"/>
        <w:adjustRightInd w:val="0"/>
        <w:snapToGrid w:val="0"/>
        <w:spacing w:line="360" w:lineRule="auto"/>
        <w:rPr>
          <w:rFonts w:ascii="宋体" w:hAnsi="宋体" w:eastAsia="宋体" w:cs="宋体"/>
          <w:color w:val="auto"/>
          <w:sz w:val="21"/>
          <w:szCs w:val="21"/>
          <w:highlight w:val="none"/>
        </w:rPr>
      </w:pPr>
      <w:bookmarkStart w:id="89" w:name="_Toc9415"/>
      <w:bookmarkStart w:id="90" w:name="_Toc6860"/>
      <w:r>
        <w:rPr>
          <w:rFonts w:hint="eastAsia" w:ascii="宋体" w:hAnsi="宋体" w:eastAsia="宋体" w:cs="宋体"/>
          <w:color w:val="auto"/>
          <w:sz w:val="21"/>
          <w:szCs w:val="21"/>
          <w:highlight w:val="none"/>
        </w:rPr>
        <w:t>7.3 履约担保</w:t>
      </w:r>
      <w:bookmarkEnd w:id="89"/>
      <w:bookmarkEnd w:id="90"/>
    </w:p>
    <w:p w14:paraId="6A69D66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7.3.1 履约担保的金额、担保形式</w:t>
      </w:r>
      <w:r>
        <w:rPr>
          <w:rFonts w:hint="eastAsia" w:ascii="宋体" w:hAnsi="宋体" w:cs="宋体"/>
          <w:color w:val="auto"/>
          <w:szCs w:val="21"/>
          <w:highlight w:val="none"/>
          <w:lang w:val="en-US" w:eastAsia="zh-CN"/>
        </w:rPr>
        <w:t>详见投标人须知前附表</w:t>
      </w:r>
      <w:r>
        <w:rPr>
          <w:rFonts w:hint="eastAsia" w:ascii="宋体" w:hAnsi="宋体" w:cs="宋体"/>
          <w:color w:val="auto"/>
          <w:szCs w:val="21"/>
          <w:highlight w:val="none"/>
        </w:rPr>
        <w:t>。</w:t>
      </w:r>
    </w:p>
    <w:p w14:paraId="25A38E87">
      <w:pPr>
        <w:pStyle w:val="7"/>
        <w:adjustRightInd w:val="0"/>
        <w:snapToGrid w:val="0"/>
        <w:spacing w:line="360" w:lineRule="auto"/>
        <w:rPr>
          <w:rFonts w:ascii="宋体" w:hAnsi="宋体" w:eastAsia="宋体" w:cs="宋体"/>
          <w:color w:val="auto"/>
          <w:sz w:val="21"/>
          <w:szCs w:val="21"/>
          <w:highlight w:val="none"/>
        </w:rPr>
      </w:pPr>
      <w:bookmarkStart w:id="91" w:name="_Toc4366"/>
      <w:bookmarkStart w:id="92" w:name="_Toc9001"/>
      <w:r>
        <w:rPr>
          <w:rFonts w:hint="eastAsia" w:ascii="宋体" w:hAnsi="宋体" w:eastAsia="宋体" w:cs="宋体"/>
          <w:color w:val="auto"/>
          <w:sz w:val="21"/>
          <w:szCs w:val="21"/>
          <w:highlight w:val="none"/>
        </w:rPr>
        <w:t>7.4 签订合同</w:t>
      </w:r>
      <w:bookmarkEnd w:id="91"/>
      <w:bookmarkEnd w:id="92"/>
    </w:p>
    <w:p w14:paraId="458D253B">
      <w:pPr>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7.4.1 采购人应当自中标通知书发出之日起</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日内，按照招标文件和中标人投标文件的规定，与中标人签订书面合同。所签订的合同不得对招标文件确定的事项和中标人投标文件作实质性修改。采购人不得向中标人提出任何不合理的要求作为签订合同的条件</w:t>
      </w:r>
      <w:r>
        <w:rPr>
          <w:rFonts w:hint="eastAsia" w:ascii="宋体" w:hAnsi="宋体" w:cs="宋体"/>
          <w:color w:val="auto"/>
          <w:szCs w:val="21"/>
          <w:highlight w:val="none"/>
          <w:lang w:eastAsia="zh-CN"/>
        </w:rPr>
        <w:t>。</w:t>
      </w:r>
    </w:p>
    <w:p w14:paraId="140702D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7.4.2 发出中标通知书后，招标人无正当理由拒签合同的，给中标人造成损失的，还应当赔偿损失。</w:t>
      </w:r>
    </w:p>
    <w:p w14:paraId="548CA84D">
      <w:pPr>
        <w:pStyle w:val="6"/>
        <w:adjustRightInd w:val="0"/>
        <w:snapToGrid w:val="0"/>
        <w:spacing w:line="360" w:lineRule="auto"/>
        <w:rPr>
          <w:rFonts w:ascii="宋体" w:hAnsi="宋体" w:cs="宋体"/>
          <w:color w:val="auto"/>
          <w:sz w:val="21"/>
          <w:szCs w:val="21"/>
          <w:highlight w:val="none"/>
        </w:rPr>
      </w:pPr>
      <w:bookmarkStart w:id="93" w:name="_Toc184635078"/>
      <w:bookmarkStart w:id="94" w:name="_Toc12016"/>
      <w:bookmarkStart w:id="95" w:name="_Toc3366"/>
      <w:r>
        <w:rPr>
          <w:rFonts w:hint="eastAsia" w:ascii="宋体" w:hAnsi="宋体" w:cs="宋体"/>
          <w:color w:val="auto"/>
          <w:sz w:val="21"/>
          <w:szCs w:val="21"/>
          <w:highlight w:val="none"/>
        </w:rPr>
        <w:t>8．重新招标和不再招标</w:t>
      </w:r>
      <w:bookmarkEnd w:id="93"/>
      <w:bookmarkEnd w:id="94"/>
      <w:bookmarkEnd w:id="95"/>
    </w:p>
    <w:p w14:paraId="05597BEE">
      <w:pPr>
        <w:pStyle w:val="7"/>
        <w:adjustRightInd w:val="0"/>
        <w:snapToGrid w:val="0"/>
        <w:spacing w:line="360" w:lineRule="auto"/>
        <w:rPr>
          <w:rFonts w:ascii="宋体" w:hAnsi="宋体" w:eastAsia="宋体" w:cs="宋体"/>
          <w:color w:val="auto"/>
          <w:sz w:val="21"/>
          <w:szCs w:val="21"/>
          <w:highlight w:val="none"/>
        </w:rPr>
      </w:pPr>
      <w:bookmarkStart w:id="96" w:name="_Toc4693"/>
      <w:bookmarkStart w:id="97" w:name="_Toc26396"/>
      <w:r>
        <w:rPr>
          <w:rFonts w:hint="eastAsia" w:ascii="宋体" w:hAnsi="宋体" w:eastAsia="宋体" w:cs="宋体"/>
          <w:color w:val="auto"/>
          <w:sz w:val="21"/>
          <w:szCs w:val="21"/>
          <w:highlight w:val="none"/>
        </w:rPr>
        <w:t>8.1 重新招标</w:t>
      </w:r>
      <w:bookmarkEnd w:id="96"/>
      <w:bookmarkEnd w:id="97"/>
    </w:p>
    <w:p w14:paraId="40FD24E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有下列情形之一的，招标人将重新招标：</w:t>
      </w:r>
    </w:p>
    <w:p w14:paraId="60B9A9D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(l）投标截止时间止，投标人少于3个的；</w:t>
      </w:r>
    </w:p>
    <w:p w14:paraId="6A5AB2F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(2）经评标委员会评审后否决所有投标的。</w:t>
      </w:r>
    </w:p>
    <w:p w14:paraId="457D7B4F">
      <w:pPr>
        <w:pStyle w:val="7"/>
        <w:adjustRightInd w:val="0"/>
        <w:snapToGrid w:val="0"/>
        <w:spacing w:line="360" w:lineRule="auto"/>
        <w:rPr>
          <w:rFonts w:ascii="宋体" w:hAnsi="宋体" w:eastAsia="宋体" w:cs="宋体"/>
          <w:color w:val="auto"/>
          <w:sz w:val="21"/>
          <w:szCs w:val="21"/>
          <w:highlight w:val="none"/>
        </w:rPr>
      </w:pPr>
      <w:bookmarkStart w:id="98" w:name="_Toc16763"/>
      <w:bookmarkStart w:id="99" w:name="_Toc28134"/>
      <w:r>
        <w:rPr>
          <w:rFonts w:hint="eastAsia" w:ascii="宋体" w:hAnsi="宋体" w:eastAsia="宋体" w:cs="宋体"/>
          <w:color w:val="auto"/>
          <w:sz w:val="21"/>
          <w:szCs w:val="21"/>
          <w:highlight w:val="none"/>
        </w:rPr>
        <w:t>8.2 不再招标</w:t>
      </w:r>
      <w:bookmarkEnd w:id="98"/>
      <w:bookmarkEnd w:id="99"/>
    </w:p>
    <w:p w14:paraId="3055340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重新招标后投标人仍少于3个或者所有投标被否决的，属于必须审批或核准的项目，经原审批或核准部门批准后不再进行招标。</w:t>
      </w:r>
    </w:p>
    <w:p w14:paraId="7A267A62">
      <w:pPr>
        <w:pStyle w:val="6"/>
        <w:adjustRightInd w:val="0"/>
        <w:snapToGrid w:val="0"/>
        <w:spacing w:line="360" w:lineRule="auto"/>
        <w:rPr>
          <w:rFonts w:ascii="宋体" w:hAnsi="宋体" w:cs="宋体"/>
          <w:color w:val="auto"/>
          <w:sz w:val="21"/>
          <w:szCs w:val="21"/>
          <w:highlight w:val="none"/>
        </w:rPr>
      </w:pPr>
      <w:bookmarkStart w:id="100" w:name="_Toc184635079"/>
      <w:bookmarkStart w:id="101" w:name="_Toc17974"/>
      <w:bookmarkStart w:id="102" w:name="_Toc14012"/>
      <w:r>
        <w:rPr>
          <w:rFonts w:hint="eastAsia" w:ascii="宋体" w:hAnsi="宋体" w:cs="宋体"/>
          <w:color w:val="auto"/>
          <w:sz w:val="21"/>
          <w:szCs w:val="21"/>
          <w:highlight w:val="none"/>
        </w:rPr>
        <w:t>9．纪律和监督</w:t>
      </w:r>
      <w:bookmarkEnd w:id="100"/>
      <w:bookmarkEnd w:id="101"/>
      <w:bookmarkEnd w:id="102"/>
    </w:p>
    <w:p w14:paraId="789E1A24">
      <w:pPr>
        <w:pStyle w:val="7"/>
        <w:adjustRightInd w:val="0"/>
        <w:snapToGrid w:val="0"/>
        <w:spacing w:line="360" w:lineRule="auto"/>
        <w:rPr>
          <w:rFonts w:ascii="宋体" w:hAnsi="宋体" w:eastAsia="宋体" w:cs="宋体"/>
          <w:color w:val="auto"/>
          <w:sz w:val="21"/>
          <w:szCs w:val="21"/>
          <w:highlight w:val="none"/>
        </w:rPr>
      </w:pPr>
      <w:bookmarkStart w:id="103" w:name="_Toc25291"/>
      <w:bookmarkStart w:id="104" w:name="_Toc14121"/>
      <w:r>
        <w:rPr>
          <w:rFonts w:hint="eastAsia" w:ascii="宋体" w:hAnsi="宋体" w:eastAsia="宋体" w:cs="宋体"/>
          <w:color w:val="auto"/>
          <w:sz w:val="21"/>
          <w:szCs w:val="21"/>
          <w:highlight w:val="none"/>
        </w:rPr>
        <w:t>9.1 对招标人的纪律要求</w:t>
      </w:r>
      <w:bookmarkEnd w:id="103"/>
      <w:bookmarkEnd w:id="104"/>
    </w:p>
    <w:p w14:paraId="5A0C18F3">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招标人不得泄漏招标投标活动中应当保密的情况和资料，不得与投标人串通损害国家利益、社会公共利益或者他人合法权益。</w:t>
      </w:r>
    </w:p>
    <w:p w14:paraId="667F9D37">
      <w:pPr>
        <w:pStyle w:val="7"/>
        <w:adjustRightInd w:val="0"/>
        <w:snapToGrid w:val="0"/>
        <w:spacing w:line="360" w:lineRule="auto"/>
        <w:rPr>
          <w:rFonts w:ascii="宋体" w:hAnsi="宋体" w:eastAsia="宋体" w:cs="宋体"/>
          <w:color w:val="auto"/>
          <w:sz w:val="21"/>
          <w:szCs w:val="21"/>
          <w:highlight w:val="none"/>
        </w:rPr>
      </w:pPr>
      <w:bookmarkStart w:id="105" w:name="_Toc30424"/>
      <w:bookmarkStart w:id="106" w:name="_Toc16212"/>
      <w:r>
        <w:rPr>
          <w:rFonts w:hint="eastAsia" w:ascii="宋体" w:hAnsi="宋体" w:eastAsia="宋体" w:cs="宋体"/>
          <w:color w:val="auto"/>
          <w:sz w:val="21"/>
          <w:szCs w:val="21"/>
          <w:highlight w:val="none"/>
        </w:rPr>
        <w:t>9.2 对投标人的纪律要求</w:t>
      </w:r>
      <w:bookmarkEnd w:id="105"/>
      <w:bookmarkEnd w:id="106"/>
    </w:p>
    <w:p w14:paraId="4C77B2EF">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47E2CBF5">
      <w:pPr>
        <w:pStyle w:val="7"/>
        <w:adjustRightInd w:val="0"/>
        <w:snapToGrid w:val="0"/>
        <w:spacing w:line="360" w:lineRule="auto"/>
        <w:rPr>
          <w:rFonts w:ascii="宋体" w:hAnsi="宋体" w:eastAsia="宋体" w:cs="宋体"/>
          <w:color w:val="auto"/>
          <w:sz w:val="21"/>
          <w:szCs w:val="21"/>
          <w:highlight w:val="none"/>
        </w:rPr>
      </w:pPr>
      <w:bookmarkStart w:id="107" w:name="_Toc16289"/>
      <w:bookmarkStart w:id="108" w:name="_Toc15112"/>
      <w:r>
        <w:rPr>
          <w:rFonts w:hint="eastAsia" w:ascii="宋体" w:hAnsi="宋体" w:eastAsia="宋体" w:cs="宋体"/>
          <w:color w:val="auto"/>
          <w:sz w:val="21"/>
          <w:szCs w:val="21"/>
          <w:highlight w:val="none"/>
        </w:rPr>
        <w:t>9.3 对评标委员会成员的纪律要求</w:t>
      </w:r>
      <w:bookmarkEnd w:id="107"/>
      <w:bookmarkEnd w:id="108"/>
    </w:p>
    <w:p w14:paraId="08E52752">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45B1F0F6">
      <w:pPr>
        <w:pStyle w:val="7"/>
        <w:adjustRightInd w:val="0"/>
        <w:snapToGrid w:val="0"/>
        <w:spacing w:line="360" w:lineRule="auto"/>
        <w:rPr>
          <w:rFonts w:ascii="宋体" w:hAnsi="宋体" w:eastAsia="宋体" w:cs="宋体"/>
          <w:color w:val="auto"/>
          <w:sz w:val="21"/>
          <w:szCs w:val="21"/>
          <w:highlight w:val="none"/>
        </w:rPr>
      </w:pPr>
      <w:bookmarkStart w:id="109" w:name="_Toc14772"/>
      <w:bookmarkStart w:id="110" w:name="_Toc20345"/>
      <w:r>
        <w:rPr>
          <w:rFonts w:hint="eastAsia" w:ascii="宋体" w:hAnsi="宋体" w:eastAsia="宋体" w:cs="宋体"/>
          <w:color w:val="auto"/>
          <w:sz w:val="21"/>
          <w:szCs w:val="21"/>
          <w:highlight w:val="none"/>
        </w:rPr>
        <w:t>9.4 对与评标活动有关的工作人员的纪律要求</w:t>
      </w:r>
      <w:bookmarkEnd w:id="109"/>
      <w:bookmarkEnd w:id="110"/>
    </w:p>
    <w:p w14:paraId="4E400D7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5E8E1ADC">
      <w:pPr>
        <w:pStyle w:val="7"/>
        <w:adjustRightInd w:val="0"/>
        <w:snapToGrid w:val="0"/>
        <w:spacing w:line="360" w:lineRule="auto"/>
        <w:rPr>
          <w:rFonts w:ascii="宋体" w:hAnsi="宋体" w:eastAsia="宋体" w:cs="宋体"/>
          <w:color w:val="auto"/>
          <w:sz w:val="21"/>
          <w:szCs w:val="21"/>
          <w:highlight w:val="none"/>
        </w:rPr>
      </w:pPr>
      <w:bookmarkStart w:id="111" w:name="_Toc7242"/>
      <w:bookmarkStart w:id="112" w:name="_Toc14153"/>
      <w:r>
        <w:rPr>
          <w:rFonts w:hint="eastAsia" w:ascii="宋体" w:hAnsi="宋体" w:eastAsia="宋体" w:cs="宋体"/>
          <w:color w:val="auto"/>
          <w:sz w:val="21"/>
          <w:szCs w:val="21"/>
          <w:highlight w:val="none"/>
        </w:rPr>
        <w:t>9.5 投诉</w:t>
      </w:r>
      <w:bookmarkEnd w:id="111"/>
      <w:bookmarkEnd w:id="112"/>
    </w:p>
    <w:p w14:paraId="7D4A403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投标人和其他利害关系人认为本次招标活动违反法律、法规和规章规定的，有权向有关行政监督部门投诉。</w:t>
      </w:r>
    </w:p>
    <w:p w14:paraId="4A15D69D">
      <w:pPr>
        <w:pStyle w:val="6"/>
        <w:adjustRightInd w:val="0"/>
        <w:snapToGrid w:val="0"/>
        <w:spacing w:line="360" w:lineRule="auto"/>
        <w:rPr>
          <w:rFonts w:ascii="宋体" w:hAnsi="宋体" w:cs="宋体"/>
          <w:color w:val="auto"/>
          <w:sz w:val="21"/>
          <w:szCs w:val="21"/>
          <w:highlight w:val="none"/>
        </w:rPr>
      </w:pPr>
      <w:bookmarkStart w:id="113" w:name="_Toc184635080"/>
      <w:bookmarkStart w:id="114" w:name="_Toc20473"/>
      <w:bookmarkStart w:id="115" w:name="_Toc9449"/>
      <w:r>
        <w:rPr>
          <w:rFonts w:hint="eastAsia" w:ascii="宋体" w:hAnsi="宋体" w:cs="宋体"/>
          <w:color w:val="auto"/>
          <w:sz w:val="21"/>
          <w:szCs w:val="21"/>
          <w:highlight w:val="none"/>
        </w:rPr>
        <w:t>10、需要补充的其他内容</w:t>
      </w:r>
      <w:bookmarkEnd w:id="113"/>
      <w:bookmarkEnd w:id="114"/>
      <w:bookmarkEnd w:id="115"/>
    </w:p>
    <w:p w14:paraId="173D740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需要补充的其他内容：见投标人须知前附表。</w:t>
      </w:r>
    </w:p>
    <w:p w14:paraId="4CC93324">
      <w:pPr>
        <w:adjustRightInd w:val="0"/>
        <w:snapToGrid w:val="0"/>
        <w:spacing w:line="360" w:lineRule="auto"/>
        <w:ind w:firstLine="420" w:firstLineChars="200"/>
        <w:rPr>
          <w:rFonts w:ascii="宋体" w:hAnsi="宋体" w:cs="宋体"/>
          <w:color w:val="auto"/>
          <w:szCs w:val="21"/>
          <w:highlight w:val="none"/>
        </w:rPr>
      </w:pPr>
    </w:p>
    <w:p w14:paraId="4E79167E">
      <w:pPr>
        <w:adjustRightInd w:val="0"/>
        <w:snapToGrid w:val="0"/>
        <w:spacing w:line="360" w:lineRule="auto"/>
        <w:ind w:firstLine="420" w:firstLineChars="200"/>
        <w:rPr>
          <w:rFonts w:ascii="宋体" w:hAnsi="宋体" w:cs="宋体"/>
          <w:color w:val="auto"/>
          <w:szCs w:val="21"/>
          <w:highlight w:val="none"/>
        </w:rPr>
        <w:sectPr>
          <w:headerReference r:id="rId8" w:type="first"/>
          <w:footerReference r:id="rId10" w:type="first"/>
          <w:headerReference r:id="rId7" w:type="default"/>
          <w:footerReference r:id="rId9" w:type="default"/>
          <w:pgSz w:w="11906" w:h="16838"/>
          <w:pgMar w:top="1304" w:right="1134" w:bottom="1304" w:left="1418" w:header="851" w:footer="992" w:gutter="0"/>
          <w:pgBorders>
            <w:top w:val="none" w:sz="0" w:space="0"/>
            <w:left w:val="none" w:sz="0" w:space="0"/>
            <w:bottom w:val="none" w:sz="0" w:space="0"/>
            <w:right w:val="none" w:sz="0" w:space="0"/>
          </w:pgBorders>
          <w:cols w:space="720" w:num="1"/>
          <w:titlePg/>
          <w:docGrid w:type="lines" w:linePitch="312" w:charSpace="0"/>
        </w:sectPr>
      </w:pPr>
    </w:p>
    <w:p w14:paraId="289AA012">
      <w:pPr>
        <w:pStyle w:val="4"/>
        <w:adjustRightInd w:val="0"/>
        <w:snapToGrid w:val="0"/>
        <w:spacing w:line="360" w:lineRule="auto"/>
        <w:jc w:val="center"/>
        <w:rPr>
          <w:rFonts w:ascii="宋体" w:hAnsi="宋体" w:cs="宋体"/>
          <w:color w:val="auto"/>
          <w:sz w:val="32"/>
          <w:szCs w:val="32"/>
          <w:highlight w:val="none"/>
        </w:rPr>
      </w:pPr>
      <w:bookmarkStart w:id="116" w:name="_Toc184635092"/>
      <w:bookmarkStart w:id="117" w:name="_Toc28509"/>
      <w:bookmarkStart w:id="118" w:name="_Toc184635096"/>
      <w:r>
        <w:rPr>
          <w:rFonts w:hint="eastAsia" w:ascii="宋体" w:hAnsi="宋体" w:cs="宋体"/>
          <w:color w:val="auto"/>
          <w:sz w:val="32"/>
          <w:szCs w:val="32"/>
          <w:highlight w:val="none"/>
        </w:rPr>
        <w:t>第三章 评标办法</w:t>
      </w:r>
      <w:bookmarkEnd w:id="116"/>
      <w:r>
        <w:rPr>
          <w:rFonts w:hint="eastAsia" w:ascii="宋体" w:hAnsi="宋体" w:cs="宋体"/>
          <w:color w:val="auto"/>
          <w:sz w:val="32"/>
          <w:szCs w:val="32"/>
          <w:highlight w:val="none"/>
        </w:rPr>
        <w:t>（综合评标法）</w:t>
      </w:r>
      <w:bookmarkEnd w:id="117"/>
    </w:p>
    <w:p w14:paraId="643B7460">
      <w:pPr>
        <w:pStyle w:val="61"/>
        <w:adjustRightInd w:val="0"/>
        <w:snapToGrid w:val="0"/>
        <w:spacing w:line="360" w:lineRule="auto"/>
        <w:ind w:firstLine="562" w:firstLineChars="200"/>
        <w:rPr>
          <w:rFonts w:ascii="宋体" w:hAnsi="宋体" w:eastAsia="宋体"/>
          <w:color w:val="auto"/>
          <w:sz w:val="24"/>
          <w:szCs w:val="24"/>
          <w:highlight w:val="none"/>
        </w:rPr>
      </w:pPr>
      <w:r>
        <w:rPr>
          <w:rFonts w:hint="eastAsia" w:ascii="宋体" w:hAnsi="宋体" w:eastAsia="宋体"/>
          <w:color w:val="auto"/>
          <w:highlight w:val="none"/>
        </w:rPr>
        <w:t xml:space="preserve">                 </w:t>
      </w:r>
      <w:r>
        <w:rPr>
          <w:rFonts w:hint="eastAsia" w:ascii="宋体" w:hAnsi="宋体" w:eastAsia="宋体"/>
          <w:color w:val="auto"/>
          <w:sz w:val="24"/>
          <w:szCs w:val="24"/>
          <w:highlight w:val="none"/>
        </w:rPr>
        <w:t xml:space="preserve">       </w:t>
      </w:r>
      <w:bookmarkStart w:id="119" w:name="_Toc14989"/>
      <w:bookmarkStart w:id="120" w:name="_Toc17080"/>
      <w:r>
        <w:rPr>
          <w:rFonts w:hint="eastAsia" w:ascii="宋体" w:hAnsi="宋体" w:eastAsia="宋体"/>
          <w:color w:val="auto"/>
          <w:sz w:val="24"/>
          <w:szCs w:val="24"/>
          <w:highlight w:val="none"/>
        </w:rPr>
        <w:t>评标办法前附表</w:t>
      </w:r>
      <w:bookmarkEnd w:id="119"/>
      <w:bookmarkEnd w:id="120"/>
    </w:p>
    <w:tbl>
      <w:tblPr>
        <w:tblStyle w:val="33"/>
        <w:tblW w:w="961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48"/>
        <w:gridCol w:w="1245"/>
        <w:gridCol w:w="2138"/>
        <w:gridCol w:w="5084"/>
      </w:tblGrid>
      <w:tr w14:paraId="57EF82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148" w:type="dxa"/>
            <w:tcBorders>
              <w:top w:val="single" w:color="auto" w:sz="4" w:space="0"/>
              <w:left w:val="single" w:color="auto" w:sz="4" w:space="0"/>
              <w:bottom w:val="single" w:color="auto" w:sz="4" w:space="0"/>
              <w:right w:val="single" w:color="auto" w:sz="4" w:space="0"/>
            </w:tcBorders>
            <w:vAlign w:val="center"/>
          </w:tcPr>
          <w:p w14:paraId="79DB7A96">
            <w:pPr>
              <w:adjustRightInd w:val="0"/>
              <w:spacing w:line="360" w:lineRule="auto"/>
              <w:jc w:val="center"/>
              <w:textAlignment w:val="baseline"/>
              <w:rPr>
                <w:rFonts w:ascii="宋体" w:hAnsi="宋体" w:cs="宋体"/>
                <w:b/>
                <w:color w:val="auto"/>
                <w:szCs w:val="21"/>
                <w:highlight w:val="none"/>
              </w:rPr>
            </w:pPr>
            <w:bookmarkStart w:id="121" w:name="_Toc246996987"/>
            <w:bookmarkStart w:id="122" w:name="_Toc152042378"/>
            <w:bookmarkStart w:id="123" w:name="_Toc144974568"/>
            <w:bookmarkStart w:id="124" w:name="_Toc152045601"/>
            <w:bookmarkStart w:id="125" w:name="_Toc247085759"/>
            <w:bookmarkStart w:id="126" w:name="_Toc179632619"/>
            <w:bookmarkStart w:id="127" w:name="_Toc246996244"/>
            <w:r>
              <w:rPr>
                <w:rFonts w:hint="eastAsia" w:ascii="宋体" w:hAnsi="宋体" w:cs="宋体"/>
                <w:b/>
                <w:color w:val="auto"/>
                <w:szCs w:val="21"/>
                <w:highlight w:val="none"/>
              </w:rPr>
              <w:t>评审类型</w:t>
            </w:r>
          </w:p>
        </w:tc>
        <w:tc>
          <w:tcPr>
            <w:tcW w:w="1245" w:type="dxa"/>
            <w:tcBorders>
              <w:top w:val="single" w:color="auto" w:sz="4" w:space="0"/>
              <w:left w:val="single" w:color="auto" w:sz="4" w:space="0"/>
              <w:bottom w:val="single" w:color="auto" w:sz="4" w:space="0"/>
              <w:right w:val="single" w:color="auto" w:sz="4" w:space="0"/>
            </w:tcBorders>
            <w:vAlign w:val="center"/>
          </w:tcPr>
          <w:p w14:paraId="7A196EF3">
            <w:pPr>
              <w:adjustRightInd w:val="0"/>
              <w:spacing w:line="360" w:lineRule="auto"/>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条款号</w:t>
            </w:r>
          </w:p>
        </w:tc>
        <w:tc>
          <w:tcPr>
            <w:tcW w:w="2138" w:type="dxa"/>
            <w:tcBorders>
              <w:top w:val="single" w:color="auto" w:sz="4" w:space="0"/>
              <w:left w:val="single" w:color="auto" w:sz="4" w:space="0"/>
              <w:bottom w:val="single" w:color="auto" w:sz="4" w:space="0"/>
              <w:right w:val="single" w:color="auto" w:sz="4" w:space="0"/>
            </w:tcBorders>
            <w:vAlign w:val="center"/>
          </w:tcPr>
          <w:p w14:paraId="001D2393">
            <w:pPr>
              <w:adjustRightInd w:val="0"/>
              <w:spacing w:line="360" w:lineRule="auto"/>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评审因素</w:t>
            </w:r>
          </w:p>
        </w:tc>
        <w:tc>
          <w:tcPr>
            <w:tcW w:w="5084" w:type="dxa"/>
            <w:tcBorders>
              <w:top w:val="single" w:color="auto" w:sz="4" w:space="0"/>
              <w:left w:val="single" w:color="auto" w:sz="4" w:space="0"/>
              <w:bottom w:val="single" w:color="auto" w:sz="4" w:space="0"/>
              <w:right w:val="single" w:color="auto" w:sz="4" w:space="0"/>
            </w:tcBorders>
            <w:vAlign w:val="center"/>
          </w:tcPr>
          <w:p w14:paraId="4C7E1103">
            <w:pPr>
              <w:adjustRightInd w:val="0"/>
              <w:spacing w:line="360" w:lineRule="auto"/>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评审标准</w:t>
            </w:r>
          </w:p>
        </w:tc>
      </w:tr>
      <w:tr w14:paraId="635942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6" w:hRule="atLeast"/>
          <w:jc w:val="center"/>
        </w:trPr>
        <w:tc>
          <w:tcPr>
            <w:tcW w:w="1148" w:type="dxa"/>
            <w:vMerge w:val="restart"/>
            <w:tcBorders>
              <w:top w:val="single" w:color="auto" w:sz="4" w:space="0"/>
              <w:left w:val="single" w:color="auto" w:sz="4" w:space="0"/>
              <w:right w:val="single" w:color="auto" w:sz="4" w:space="0"/>
            </w:tcBorders>
            <w:vAlign w:val="center"/>
          </w:tcPr>
          <w:p w14:paraId="6D8EDF5F">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szCs w:val="21"/>
                <w:highlight w:val="none"/>
              </w:rPr>
              <w:t>初步评审</w:t>
            </w:r>
          </w:p>
          <w:p w14:paraId="6A32A3D1">
            <w:pPr>
              <w:adjustRightInd w:val="0"/>
              <w:spacing w:line="360" w:lineRule="auto"/>
              <w:textAlignment w:val="baseline"/>
              <w:rPr>
                <w:rFonts w:ascii="宋体" w:hAnsi="宋体" w:cs="宋体"/>
                <w:color w:val="auto"/>
                <w:szCs w:val="21"/>
                <w:highlight w:val="none"/>
              </w:rPr>
            </w:pPr>
          </w:p>
        </w:tc>
        <w:tc>
          <w:tcPr>
            <w:tcW w:w="1245" w:type="dxa"/>
            <w:vMerge w:val="restart"/>
            <w:tcBorders>
              <w:top w:val="single" w:color="auto" w:sz="4" w:space="0"/>
              <w:left w:val="single" w:color="auto" w:sz="4" w:space="0"/>
              <w:bottom w:val="single" w:color="auto" w:sz="4" w:space="0"/>
              <w:right w:val="single" w:color="auto" w:sz="4" w:space="0"/>
            </w:tcBorders>
            <w:vAlign w:val="center"/>
          </w:tcPr>
          <w:p w14:paraId="7A4349E4">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szCs w:val="21"/>
                <w:highlight w:val="none"/>
              </w:rPr>
              <w:t>2.1.1形式评审</w:t>
            </w:r>
          </w:p>
        </w:tc>
        <w:tc>
          <w:tcPr>
            <w:tcW w:w="2138" w:type="dxa"/>
            <w:tcBorders>
              <w:top w:val="single" w:color="auto" w:sz="4" w:space="0"/>
              <w:left w:val="single" w:color="auto" w:sz="4" w:space="0"/>
              <w:bottom w:val="single" w:color="auto" w:sz="4" w:space="0"/>
              <w:right w:val="single" w:color="auto" w:sz="4" w:space="0"/>
            </w:tcBorders>
            <w:vAlign w:val="center"/>
          </w:tcPr>
          <w:p w14:paraId="556C5989">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szCs w:val="21"/>
                <w:highlight w:val="none"/>
              </w:rPr>
              <w:t>投标人名称</w:t>
            </w:r>
          </w:p>
        </w:tc>
        <w:tc>
          <w:tcPr>
            <w:tcW w:w="5084" w:type="dxa"/>
            <w:tcBorders>
              <w:top w:val="single" w:color="auto" w:sz="4" w:space="0"/>
              <w:left w:val="single" w:color="auto" w:sz="4" w:space="0"/>
              <w:bottom w:val="single" w:color="auto" w:sz="4" w:space="0"/>
              <w:right w:val="single" w:color="auto" w:sz="4" w:space="0"/>
            </w:tcBorders>
            <w:vAlign w:val="center"/>
          </w:tcPr>
          <w:p w14:paraId="2520A494">
            <w:pPr>
              <w:adjustRightInd w:val="0"/>
              <w:spacing w:line="360" w:lineRule="auto"/>
              <w:ind w:right="-107" w:rightChars="-51"/>
              <w:jc w:val="center"/>
              <w:textAlignment w:val="baseline"/>
              <w:rPr>
                <w:rFonts w:ascii="宋体" w:hAnsi="宋体" w:cs="宋体"/>
                <w:color w:val="auto"/>
                <w:szCs w:val="21"/>
                <w:highlight w:val="none"/>
              </w:rPr>
            </w:pPr>
            <w:r>
              <w:rPr>
                <w:rFonts w:hint="eastAsia" w:ascii="宋体" w:hAnsi="宋体" w:cs="宋体"/>
                <w:color w:val="auto"/>
                <w:szCs w:val="21"/>
                <w:highlight w:val="none"/>
              </w:rPr>
              <w:t>与营业执照一致</w:t>
            </w:r>
          </w:p>
        </w:tc>
      </w:tr>
      <w:tr w14:paraId="1E117D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48" w:type="dxa"/>
            <w:vMerge w:val="continue"/>
            <w:tcBorders>
              <w:left w:val="single" w:color="auto" w:sz="4" w:space="0"/>
              <w:right w:val="single" w:color="auto" w:sz="4" w:space="0"/>
            </w:tcBorders>
            <w:vAlign w:val="center"/>
          </w:tcPr>
          <w:p w14:paraId="150BD5B5">
            <w:pPr>
              <w:widowControl/>
              <w:spacing w:line="360" w:lineRule="auto"/>
              <w:jc w:val="left"/>
              <w:rPr>
                <w:rFonts w:ascii="宋体" w:hAnsi="宋体" w:cs="宋体"/>
                <w:color w:val="auto"/>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vAlign w:val="center"/>
          </w:tcPr>
          <w:p w14:paraId="7A3620B4">
            <w:pPr>
              <w:widowControl/>
              <w:spacing w:line="360" w:lineRule="auto"/>
              <w:jc w:val="left"/>
              <w:rPr>
                <w:rFonts w:ascii="宋体" w:hAnsi="宋体" w:cs="宋体"/>
                <w:color w:val="auto"/>
                <w:szCs w:val="21"/>
                <w:highlight w:val="none"/>
              </w:rPr>
            </w:pPr>
          </w:p>
        </w:tc>
        <w:tc>
          <w:tcPr>
            <w:tcW w:w="2138" w:type="dxa"/>
            <w:tcBorders>
              <w:top w:val="single" w:color="auto" w:sz="4" w:space="0"/>
              <w:left w:val="single" w:color="auto" w:sz="4" w:space="0"/>
              <w:bottom w:val="single" w:color="auto" w:sz="4" w:space="0"/>
              <w:right w:val="single" w:color="auto" w:sz="4" w:space="0"/>
            </w:tcBorders>
            <w:vAlign w:val="center"/>
          </w:tcPr>
          <w:p w14:paraId="7FE8AC2F">
            <w:pPr>
              <w:adjustRightInd w:val="0"/>
              <w:spacing w:line="360" w:lineRule="auto"/>
              <w:jc w:val="center"/>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投标函及投标函附录签字盖章</w:t>
            </w:r>
          </w:p>
        </w:tc>
        <w:tc>
          <w:tcPr>
            <w:tcW w:w="5084" w:type="dxa"/>
            <w:tcBorders>
              <w:top w:val="single" w:color="auto" w:sz="4" w:space="0"/>
              <w:left w:val="single" w:color="auto" w:sz="4" w:space="0"/>
              <w:bottom w:val="single" w:color="auto" w:sz="4" w:space="0"/>
              <w:right w:val="single" w:color="auto" w:sz="4" w:space="0"/>
            </w:tcBorders>
            <w:vAlign w:val="center"/>
          </w:tcPr>
          <w:p w14:paraId="78FE9BAF">
            <w:pPr>
              <w:adjustRightInd w:val="0"/>
              <w:spacing w:line="360" w:lineRule="auto"/>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符合招标文件“第六章 投标文件格式”的要求</w:t>
            </w:r>
          </w:p>
        </w:tc>
      </w:tr>
      <w:tr w14:paraId="1C32AE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1148" w:type="dxa"/>
            <w:vMerge w:val="continue"/>
            <w:tcBorders>
              <w:left w:val="single" w:color="auto" w:sz="4" w:space="0"/>
              <w:right w:val="single" w:color="auto" w:sz="4" w:space="0"/>
            </w:tcBorders>
            <w:vAlign w:val="center"/>
          </w:tcPr>
          <w:p w14:paraId="20F12D3B">
            <w:pPr>
              <w:widowControl/>
              <w:spacing w:line="360" w:lineRule="auto"/>
              <w:jc w:val="left"/>
              <w:rPr>
                <w:rFonts w:ascii="宋体" w:hAnsi="宋体" w:cs="宋体"/>
                <w:color w:val="auto"/>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vAlign w:val="center"/>
          </w:tcPr>
          <w:p w14:paraId="35E78320">
            <w:pPr>
              <w:widowControl/>
              <w:spacing w:line="360" w:lineRule="auto"/>
              <w:jc w:val="left"/>
              <w:rPr>
                <w:rFonts w:ascii="宋体" w:hAnsi="宋体" w:cs="宋体"/>
                <w:color w:val="auto"/>
                <w:szCs w:val="21"/>
                <w:highlight w:val="none"/>
              </w:rPr>
            </w:pPr>
          </w:p>
        </w:tc>
        <w:tc>
          <w:tcPr>
            <w:tcW w:w="2138" w:type="dxa"/>
            <w:tcBorders>
              <w:top w:val="single" w:color="auto" w:sz="4" w:space="0"/>
              <w:left w:val="single" w:color="auto" w:sz="4" w:space="0"/>
              <w:bottom w:val="single" w:color="auto" w:sz="4" w:space="0"/>
              <w:right w:val="single" w:color="auto" w:sz="4" w:space="0"/>
            </w:tcBorders>
            <w:vAlign w:val="center"/>
          </w:tcPr>
          <w:p w14:paraId="689968D1">
            <w:pPr>
              <w:adjustRightInd w:val="0"/>
              <w:spacing w:line="360" w:lineRule="auto"/>
              <w:jc w:val="center"/>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报价唯一</w:t>
            </w:r>
          </w:p>
        </w:tc>
        <w:tc>
          <w:tcPr>
            <w:tcW w:w="5084" w:type="dxa"/>
            <w:tcBorders>
              <w:top w:val="single" w:color="auto" w:sz="4" w:space="0"/>
              <w:left w:val="single" w:color="auto" w:sz="4" w:space="0"/>
              <w:bottom w:val="single" w:color="auto" w:sz="4" w:space="0"/>
              <w:right w:val="single" w:color="auto" w:sz="4" w:space="0"/>
            </w:tcBorders>
            <w:vAlign w:val="center"/>
          </w:tcPr>
          <w:p w14:paraId="0078E679">
            <w:pPr>
              <w:adjustRightInd w:val="0"/>
              <w:spacing w:line="360" w:lineRule="auto"/>
              <w:textAlignment w:val="baseline"/>
              <w:rPr>
                <w:rFonts w:ascii="宋体" w:hAnsi="宋体" w:cs="宋体"/>
                <w:color w:val="auto"/>
                <w:sz w:val="21"/>
                <w:szCs w:val="21"/>
                <w:highlight w:val="none"/>
              </w:rPr>
            </w:pPr>
            <w:r>
              <w:rPr>
                <w:rFonts w:hint="eastAsia" w:ascii="宋体" w:hAnsi="宋体" w:cs="宋体"/>
                <w:color w:val="auto"/>
                <w:sz w:val="21"/>
                <w:szCs w:val="21"/>
                <w:highlight w:val="none"/>
              </w:rPr>
              <w:t>只能有一个有效报价且未超过招标人最高投标限价</w:t>
            </w:r>
          </w:p>
        </w:tc>
      </w:tr>
      <w:tr w14:paraId="576631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1148" w:type="dxa"/>
            <w:vMerge w:val="continue"/>
            <w:tcBorders>
              <w:left w:val="single" w:color="auto" w:sz="4" w:space="0"/>
              <w:right w:val="single" w:color="auto" w:sz="4" w:space="0"/>
            </w:tcBorders>
            <w:vAlign w:val="center"/>
          </w:tcPr>
          <w:p w14:paraId="4E394BEC">
            <w:pPr>
              <w:adjustRightInd w:val="0"/>
              <w:spacing w:line="360" w:lineRule="auto"/>
              <w:jc w:val="center"/>
              <w:textAlignment w:val="baseline"/>
              <w:rPr>
                <w:rFonts w:ascii="宋体" w:hAnsi="宋体" w:cs="宋体"/>
                <w:color w:val="auto"/>
                <w:szCs w:val="21"/>
                <w:highlight w:val="none"/>
              </w:rPr>
            </w:pPr>
          </w:p>
        </w:tc>
        <w:tc>
          <w:tcPr>
            <w:tcW w:w="1245" w:type="dxa"/>
            <w:vMerge w:val="restart"/>
            <w:tcBorders>
              <w:top w:val="single" w:color="auto" w:sz="4" w:space="0"/>
              <w:left w:val="nil"/>
              <w:right w:val="single" w:color="auto" w:sz="4" w:space="0"/>
            </w:tcBorders>
            <w:vAlign w:val="center"/>
          </w:tcPr>
          <w:p w14:paraId="386AF15C">
            <w:pPr>
              <w:adjustRightInd w:val="0"/>
              <w:spacing w:line="360" w:lineRule="auto"/>
              <w:textAlignment w:val="baseline"/>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2.1.2资格评审</w:t>
            </w:r>
          </w:p>
        </w:tc>
        <w:tc>
          <w:tcPr>
            <w:tcW w:w="2138" w:type="dxa"/>
            <w:tcBorders>
              <w:top w:val="single" w:color="auto" w:sz="4" w:space="0"/>
              <w:left w:val="single" w:color="auto" w:sz="4" w:space="0"/>
              <w:bottom w:val="single" w:color="auto" w:sz="4" w:space="0"/>
              <w:right w:val="single" w:color="auto" w:sz="4" w:space="0"/>
            </w:tcBorders>
            <w:vAlign w:val="center"/>
          </w:tcPr>
          <w:p w14:paraId="3E38EC25">
            <w:pPr>
              <w:adjustRightInd w:val="0"/>
              <w:snapToGrid w:val="0"/>
              <w:spacing w:line="360" w:lineRule="auto"/>
              <w:jc w:val="center"/>
              <w:textAlignment w:val="baseline"/>
              <w:rPr>
                <w:rFonts w:ascii="宋体" w:hAnsi="宋体" w:cs="宋体"/>
                <w:b/>
                <w:bCs/>
                <w:color w:val="auto"/>
                <w:sz w:val="21"/>
                <w:szCs w:val="21"/>
                <w:highlight w:val="none"/>
              </w:rPr>
            </w:pPr>
            <w:r>
              <w:rPr>
                <w:rFonts w:hint="eastAsia" w:cs="宋体"/>
                <w:color w:val="auto"/>
                <w:sz w:val="21"/>
                <w:szCs w:val="21"/>
                <w:highlight w:val="none"/>
                <w:lang w:val="zh-CN"/>
              </w:rPr>
              <w:t>营业执照</w:t>
            </w:r>
          </w:p>
        </w:tc>
        <w:tc>
          <w:tcPr>
            <w:tcW w:w="5084" w:type="dxa"/>
            <w:tcBorders>
              <w:top w:val="single" w:color="auto" w:sz="4" w:space="0"/>
              <w:left w:val="single" w:color="auto" w:sz="4" w:space="0"/>
              <w:bottom w:val="single" w:color="auto" w:sz="4" w:space="0"/>
              <w:right w:val="single" w:color="auto" w:sz="4" w:space="0"/>
            </w:tcBorders>
            <w:vAlign w:val="center"/>
          </w:tcPr>
          <w:p w14:paraId="6887E1F1">
            <w:pPr>
              <w:pStyle w:val="30"/>
              <w:adjustRightInd w:val="0"/>
              <w:snapToGrid w:val="0"/>
              <w:spacing w:before="0" w:beforeAutospacing="0" w:after="0" w:afterAutospacing="0" w:line="360" w:lineRule="auto"/>
              <w:jc w:val="both"/>
              <w:rPr>
                <w:rFonts w:ascii="宋体" w:hAnsi="宋体" w:cs="宋体"/>
                <w:color w:val="auto"/>
                <w:sz w:val="21"/>
                <w:szCs w:val="21"/>
                <w:highlight w:val="none"/>
              </w:rPr>
            </w:pPr>
            <w:r>
              <w:rPr>
                <w:rFonts w:hint="eastAsia" w:ascii="宋体" w:hAnsi="宋体" w:cs="宋体"/>
                <w:color w:val="auto"/>
                <w:sz w:val="21"/>
                <w:szCs w:val="21"/>
                <w:highlight w:val="none"/>
                <w:lang w:val="zh-CN"/>
              </w:rPr>
              <w:t>详见第二章“</w:t>
            </w:r>
            <w:r>
              <w:rPr>
                <w:rFonts w:hint="eastAsia" w:cs="宋体"/>
                <w:color w:val="auto"/>
                <w:sz w:val="21"/>
                <w:szCs w:val="21"/>
                <w:highlight w:val="none"/>
                <w:lang w:val="zh-CN"/>
              </w:rPr>
              <w:t>投标人须知前附表</w:t>
            </w:r>
            <w:r>
              <w:rPr>
                <w:rFonts w:hint="eastAsia" w:ascii="宋体" w:hAnsi="宋体" w:cs="宋体"/>
                <w:color w:val="auto"/>
                <w:sz w:val="21"/>
                <w:szCs w:val="21"/>
                <w:highlight w:val="none"/>
                <w:lang w:val="zh-CN"/>
              </w:rPr>
              <w:t>”项规定</w:t>
            </w:r>
          </w:p>
        </w:tc>
      </w:tr>
      <w:tr w14:paraId="35236A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1148" w:type="dxa"/>
            <w:vMerge w:val="continue"/>
            <w:tcBorders>
              <w:left w:val="single" w:color="auto" w:sz="4" w:space="0"/>
              <w:right w:val="single" w:color="auto" w:sz="4" w:space="0"/>
            </w:tcBorders>
            <w:vAlign w:val="center"/>
          </w:tcPr>
          <w:p w14:paraId="2049D154">
            <w:pPr>
              <w:widowControl/>
              <w:spacing w:line="360" w:lineRule="auto"/>
              <w:jc w:val="left"/>
              <w:rPr>
                <w:rFonts w:ascii="宋体" w:hAnsi="宋体" w:cs="宋体"/>
                <w:color w:val="auto"/>
                <w:szCs w:val="21"/>
                <w:highlight w:val="none"/>
              </w:rPr>
            </w:pPr>
          </w:p>
        </w:tc>
        <w:tc>
          <w:tcPr>
            <w:tcW w:w="1245" w:type="dxa"/>
            <w:vMerge w:val="continue"/>
            <w:tcBorders>
              <w:left w:val="nil"/>
              <w:right w:val="single" w:color="auto" w:sz="4" w:space="0"/>
            </w:tcBorders>
            <w:vAlign w:val="center"/>
          </w:tcPr>
          <w:p w14:paraId="67C66926">
            <w:pPr>
              <w:widowControl/>
              <w:spacing w:line="360" w:lineRule="auto"/>
              <w:jc w:val="left"/>
              <w:rPr>
                <w:rFonts w:ascii="宋体" w:hAnsi="宋体" w:cs="宋体"/>
                <w:color w:val="auto"/>
                <w:szCs w:val="21"/>
                <w:highlight w:val="none"/>
              </w:rPr>
            </w:pPr>
          </w:p>
        </w:tc>
        <w:tc>
          <w:tcPr>
            <w:tcW w:w="2138" w:type="dxa"/>
            <w:tcBorders>
              <w:top w:val="single" w:color="auto" w:sz="4" w:space="0"/>
              <w:left w:val="single" w:color="auto" w:sz="4" w:space="0"/>
              <w:bottom w:val="single" w:color="auto" w:sz="4" w:space="0"/>
              <w:right w:val="single" w:color="auto" w:sz="4" w:space="0"/>
            </w:tcBorders>
            <w:vAlign w:val="center"/>
          </w:tcPr>
          <w:p w14:paraId="5C36ED32">
            <w:pPr>
              <w:adjustRightInd w:val="0"/>
              <w:snapToGrid w:val="0"/>
              <w:spacing w:line="360" w:lineRule="auto"/>
              <w:jc w:val="center"/>
              <w:textAlignment w:val="baseline"/>
              <w:rPr>
                <w:rFonts w:ascii="宋体" w:hAnsi="宋体" w:cs="宋体"/>
                <w:color w:val="auto"/>
                <w:sz w:val="21"/>
                <w:szCs w:val="21"/>
                <w:highlight w:val="none"/>
              </w:rPr>
            </w:pPr>
            <w:r>
              <w:rPr>
                <w:rFonts w:hint="eastAsia"/>
                <w:color w:val="auto"/>
                <w:szCs w:val="21"/>
                <w:highlight w:val="none"/>
              </w:rPr>
              <w:t>具有良好的商业信誉和健全的财务会计制度</w:t>
            </w:r>
          </w:p>
        </w:tc>
        <w:tc>
          <w:tcPr>
            <w:tcW w:w="5084" w:type="dxa"/>
            <w:tcBorders>
              <w:top w:val="single" w:color="auto" w:sz="4" w:space="0"/>
              <w:left w:val="single" w:color="auto" w:sz="4" w:space="0"/>
              <w:bottom w:val="single" w:color="auto" w:sz="4" w:space="0"/>
              <w:right w:val="single" w:color="auto" w:sz="4" w:space="0"/>
            </w:tcBorders>
            <w:vAlign w:val="center"/>
          </w:tcPr>
          <w:p w14:paraId="58A13C32">
            <w:pPr>
              <w:adjustRightInd w:val="0"/>
              <w:snapToGrid w:val="0"/>
              <w:spacing w:line="360" w:lineRule="auto"/>
              <w:jc w:val="center"/>
              <w:textAlignment w:val="baseline"/>
              <w:rPr>
                <w:rFonts w:ascii="宋体" w:hAnsi="宋体" w:cs="宋体"/>
                <w:color w:val="auto"/>
                <w:sz w:val="21"/>
                <w:szCs w:val="21"/>
                <w:highlight w:val="none"/>
              </w:rPr>
            </w:pPr>
            <w:r>
              <w:rPr>
                <w:rFonts w:hint="eastAsia" w:ascii="宋体" w:hAnsi="宋体" w:cs="宋体"/>
                <w:color w:val="auto"/>
                <w:sz w:val="21"/>
                <w:szCs w:val="21"/>
                <w:highlight w:val="none"/>
                <w:lang w:val="zh-CN"/>
              </w:rPr>
              <w:t>详见第二章“投标人须知前附表”项规定</w:t>
            </w:r>
          </w:p>
        </w:tc>
      </w:tr>
      <w:tr w14:paraId="2BC590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1148" w:type="dxa"/>
            <w:vMerge w:val="continue"/>
            <w:tcBorders>
              <w:left w:val="single" w:color="auto" w:sz="4" w:space="0"/>
              <w:right w:val="single" w:color="auto" w:sz="4" w:space="0"/>
            </w:tcBorders>
            <w:vAlign w:val="center"/>
          </w:tcPr>
          <w:p w14:paraId="73658F1E">
            <w:pPr>
              <w:widowControl/>
              <w:spacing w:line="360" w:lineRule="auto"/>
              <w:jc w:val="left"/>
              <w:rPr>
                <w:rFonts w:ascii="宋体" w:hAnsi="宋体" w:cs="宋体"/>
                <w:color w:val="auto"/>
                <w:szCs w:val="21"/>
                <w:highlight w:val="none"/>
              </w:rPr>
            </w:pPr>
          </w:p>
        </w:tc>
        <w:tc>
          <w:tcPr>
            <w:tcW w:w="1245" w:type="dxa"/>
            <w:vMerge w:val="continue"/>
            <w:tcBorders>
              <w:left w:val="nil"/>
              <w:right w:val="single" w:color="auto" w:sz="4" w:space="0"/>
            </w:tcBorders>
            <w:vAlign w:val="center"/>
          </w:tcPr>
          <w:p w14:paraId="457FD118">
            <w:pPr>
              <w:widowControl/>
              <w:spacing w:line="360" w:lineRule="auto"/>
              <w:jc w:val="left"/>
              <w:rPr>
                <w:rFonts w:ascii="宋体" w:hAnsi="宋体" w:cs="宋体"/>
                <w:color w:val="auto"/>
                <w:szCs w:val="21"/>
                <w:highlight w:val="none"/>
              </w:rPr>
            </w:pPr>
          </w:p>
        </w:tc>
        <w:tc>
          <w:tcPr>
            <w:tcW w:w="2138" w:type="dxa"/>
            <w:tcBorders>
              <w:top w:val="single" w:color="auto" w:sz="4" w:space="0"/>
              <w:left w:val="single" w:color="auto" w:sz="4" w:space="0"/>
              <w:bottom w:val="single" w:color="auto" w:sz="4" w:space="0"/>
              <w:right w:val="single" w:color="auto" w:sz="4" w:space="0"/>
            </w:tcBorders>
            <w:vAlign w:val="center"/>
          </w:tcPr>
          <w:p w14:paraId="1BEBDF66">
            <w:pPr>
              <w:adjustRightInd w:val="0"/>
              <w:snapToGrid w:val="0"/>
              <w:spacing w:line="360" w:lineRule="auto"/>
              <w:jc w:val="center"/>
              <w:textAlignment w:val="baseline"/>
              <w:rPr>
                <w:rFonts w:ascii="宋体" w:hAnsi="宋体" w:cs="宋体"/>
                <w:color w:val="auto"/>
                <w:sz w:val="21"/>
                <w:szCs w:val="21"/>
                <w:highlight w:val="none"/>
              </w:rPr>
            </w:pPr>
            <w:r>
              <w:rPr>
                <w:rFonts w:hint="eastAsia" w:cs="宋体"/>
                <w:color w:val="auto"/>
                <w:sz w:val="21"/>
                <w:szCs w:val="21"/>
                <w:highlight w:val="none"/>
                <w:lang w:val="zh-CN"/>
              </w:rPr>
              <w:t>具有履行合同所必需的设备和专业技术能力</w:t>
            </w:r>
          </w:p>
        </w:tc>
        <w:tc>
          <w:tcPr>
            <w:tcW w:w="5084" w:type="dxa"/>
            <w:tcBorders>
              <w:top w:val="single" w:color="auto" w:sz="4" w:space="0"/>
              <w:left w:val="single" w:color="auto" w:sz="4" w:space="0"/>
              <w:bottom w:val="single" w:color="auto" w:sz="4" w:space="0"/>
              <w:right w:val="single" w:color="auto" w:sz="4" w:space="0"/>
            </w:tcBorders>
            <w:vAlign w:val="center"/>
          </w:tcPr>
          <w:p w14:paraId="1A3D2D61">
            <w:pPr>
              <w:adjustRightInd w:val="0"/>
              <w:snapToGrid w:val="0"/>
              <w:spacing w:line="360" w:lineRule="auto"/>
              <w:jc w:val="center"/>
              <w:textAlignment w:val="baseline"/>
              <w:rPr>
                <w:rFonts w:ascii="宋体" w:hAnsi="宋体" w:cs="宋体"/>
                <w:color w:val="auto"/>
                <w:sz w:val="21"/>
                <w:szCs w:val="21"/>
                <w:highlight w:val="none"/>
              </w:rPr>
            </w:pPr>
            <w:r>
              <w:rPr>
                <w:rFonts w:hint="eastAsia" w:ascii="宋体" w:hAnsi="宋体" w:cs="宋体"/>
                <w:color w:val="auto"/>
                <w:sz w:val="21"/>
                <w:szCs w:val="21"/>
                <w:highlight w:val="none"/>
                <w:lang w:val="zh-CN"/>
              </w:rPr>
              <w:t>详见第二章“投标人须知前附表”项规定</w:t>
            </w:r>
          </w:p>
        </w:tc>
      </w:tr>
      <w:tr w14:paraId="475777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1148" w:type="dxa"/>
            <w:vMerge w:val="continue"/>
            <w:tcBorders>
              <w:left w:val="single" w:color="auto" w:sz="4" w:space="0"/>
              <w:right w:val="single" w:color="auto" w:sz="4" w:space="0"/>
            </w:tcBorders>
            <w:vAlign w:val="center"/>
          </w:tcPr>
          <w:p w14:paraId="2A2285BB">
            <w:pPr>
              <w:widowControl/>
              <w:spacing w:line="360" w:lineRule="auto"/>
              <w:jc w:val="left"/>
              <w:rPr>
                <w:rFonts w:ascii="宋体" w:hAnsi="宋体" w:cs="宋体"/>
                <w:color w:val="auto"/>
                <w:szCs w:val="21"/>
                <w:highlight w:val="none"/>
              </w:rPr>
            </w:pPr>
          </w:p>
        </w:tc>
        <w:tc>
          <w:tcPr>
            <w:tcW w:w="1245" w:type="dxa"/>
            <w:vMerge w:val="continue"/>
            <w:tcBorders>
              <w:left w:val="nil"/>
              <w:right w:val="single" w:color="auto" w:sz="4" w:space="0"/>
            </w:tcBorders>
            <w:vAlign w:val="center"/>
          </w:tcPr>
          <w:p w14:paraId="3ED32D4F">
            <w:pPr>
              <w:widowControl/>
              <w:spacing w:line="360" w:lineRule="auto"/>
              <w:jc w:val="left"/>
              <w:rPr>
                <w:rFonts w:ascii="宋体" w:hAnsi="宋体" w:cs="宋体"/>
                <w:color w:val="auto"/>
                <w:szCs w:val="21"/>
                <w:highlight w:val="none"/>
              </w:rPr>
            </w:pPr>
          </w:p>
        </w:tc>
        <w:tc>
          <w:tcPr>
            <w:tcW w:w="2138" w:type="dxa"/>
            <w:tcBorders>
              <w:top w:val="single" w:color="auto" w:sz="4" w:space="0"/>
              <w:left w:val="single" w:color="auto" w:sz="4" w:space="0"/>
              <w:bottom w:val="single" w:color="auto" w:sz="4" w:space="0"/>
              <w:right w:val="single" w:color="auto" w:sz="4" w:space="0"/>
            </w:tcBorders>
            <w:vAlign w:val="center"/>
          </w:tcPr>
          <w:p w14:paraId="37813B08">
            <w:pPr>
              <w:adjustRightInd w:val="0"/>
              <w:snapToGrid w:val="0"/>
              <w:spacing w:line="360" w:lineRule="auto"/>
              <w:jc w:val="center"/>
              <w:textAlignment w:val="baseline"/>
              <w:rPr>
                <w:rFonts w:ascii="宋体" w:hAnsi="宋体" w:cs="宋体"/>
                <w:color w:val="auto"/>
                <w:sz w:val="21"/>
                <w:szCs w:val="21"/>
                <w:highlight w:val="none"/>
              </w:rPr>
            </w:pPr>
            <w:r>
              <w:rPr>
                <w:rFonts w:hint="eastAsia" w:ascii="宋体" w:hAnsi="宋体" w:cs="宋体"/>
                <w:color w:val="auto"/>
                <w:sz w:val="21"/>
                <w:szCs w:val="21"/>
                <w:highlight w:val="none"/>
                <w:lang w:val="zh-CN"/>
              </w:rPr>
              <w:t>具有依法缴纳税收和社会保障资金的良好记录</w:t>
            </w:r>
          </w:p>
        </w:tc>
        <w:tc>
          <w:tcPr>
            <w:tcW w:w="5084" w:type="dxa"/>
            <w:tcBorders>
              <w:top w:val="single" w:color="auto" w:sz="4" w:space="0"/>
              <w:left w:val="single" w:color="auto" w:sz="4" w:space="0"/>
              <w:bottom w:val="single" w:color="auto" w:sz="4" w:space="0"/>
              <w:right w:val="single" w:color="auto" w:sz="4" w:space="0"/>
            </w:tcBorders>
            <w:vAlign w:val="center"/>
          </w:tcPr>
          <w:p w14:paraId="4EACE68E">
            <w:pPr>
              <w:adjustRightInd w:val="0"/>
              <w:snapToGrid w:val="0"/>
              <w:spacing w:line="360" w:lineRule="auto"/>
              <w:jc w:val="center"/>
              <w:textAlignment w:val="baseline"/>
              <w:rPr>
                <w:rFonts w:ascii="宋体" w:hAnsi="宋体" w:cs="宋体"/>
                <w:color w:val="auto"/>
                <w:sz w:val="21"/>
                <w:szCs w:val="21"/>
                <w:highlight w:val="none"/>
              </w:rPr>
            </w:pPr>
            <w:r>
              <w:rPr>
                <w:rFonts w:hint="eastAsia" w:ascii="宋体" w:hAnsi="宋体" w:cs="宋体"/>
                <w:color w:val="auto"/>
                <w:sz w:val="21"/>
                <w:szCs w:val="21"/>
                <w:highlight w:val="none"/>
                <w:lang w:val="zh-CN"/>
              </w:rPr>
              <w:t>详见第二章“投标人须知前附表”项规定</w:t>
            </w:r>
          </w:p>
        </w:tc>
      </w:tr>
      <w:tr w14:paraId="53E850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8" w:hRule="atLeast"/>
          <w:jc w:val="center"/>
        </w:trPr>
        <w:tc>
          <w:tcPr>
            <w:tcW w:w="1148" w:type="dxa"/>
            <w:vMerge w:val="continue"/>
            <w:tcBorders>
              <w:left w:val="single" w:color="auto" w:sz="4" w:space="0"/>
              <w:right w:val="single" w:color="auto" w:sz="4" w:space="0"/>
            </w:tcBorders>
            <w:vAlign w:val="center"/>
          </w:tcPr>
          <w:p w14:paraId="283483AB">
            <w:pPr>
              <w:widowControl/>
              <w:spacing w:line="360" w:lineRule="auto"/>
              <w:jc w:val="left"/>
              <w:rPr>
                <w:rFonts w:ascii="宋体" w:hAnsi="宋体" w:cs="宋体"/>
                <w:color w:val="auto"/>
                <w:szCs w:val="21"/>
                <w:highlight w:val="none"/>
              </w:rPr>
            </w:pPr>
          </w:p>
        </w:tc>
        <w:tc>
          <w:tcPr>
            <w:tcW w:w="1245" w:type="dxa"/>
            <w:vMerge w:val="continue"/>
            <w:tcBorders>
              <w:left w:val="nil"/>
              <w:right w:val="single" w:color="auto" w:sz="4" w:space="0"/>
            </w:tcBorders>
            <w:vAlign w:val="center"/>
          </w:tcPr>
          <w:p w14:paraId="5FAD9840">
            <w:pPr>
              <w:widowControl/>
              <w:spacing w:line="360" w:lineRule="auto"/>
              <w:jc w:val="left"/>
              <w:rPr>
                <w:rFonts w:ascii="宋体" w:hAnsi="宋体" w:cs="宋体"/>
                <w:color w:val="auto"/>
                <w:szCs w:val="21"/>
                <w:highlight w:val="none"/>
              </w:rPr>
            </w:pPr>
          </w:p>
        </w:tc>
        <w:tc>
          <w:tcPr>
            <w:tcW w:w="2138" w:type="dxa"/>
            <w:tcBorders>
              <w:top w:val="single" w:color="auto" w:sz="4" w:space="0"/>
              <w:left w:val="single" w:color="auto" w:sz="4" w:space="0"/>
              <w:bottom w:val="single" w:color="auto" w:sz="4" w:space="0"/>
              <w:right w:val="single" w:color="auto" w:sz="4" w:space="0"/>
            </w:tcBorders>
            <w:vAlign w:val="center"/>
          </w:tcPr>
          <w:p w14:paraId="615BEB08">
            <w:pPr>
              <w:adjustRightInd w:val="0"/>
              <w:snapToGrid w:val="0"/>
              <w:spacing w:line="360" w:lineRule="auto"/>
              <w:jc w:val="center"/>
              <w:textAlignment w:val="baseline"/>
              <w:rPr>
                <w:rFonts w:ascii="宋体" w:hAnsi="宋体" w:cs="宋体"/>
                <w:color w:val="auto"/>
                <w:sz w:val="21"/>
                <w:szCs w:val="21"/>
                <w:highlight w:val="none"/>
              </w:rPr>
            </w:pPr>
            <w:r>
              <w:rPr>
                <w:rFonts w:hint="eastAsia" w:cs="宋体"/>
                <w:color w:val="auto"/>
                <w:sz w:val="21"/>
                <w:szCs w:val="21"/>
                <w:highlight w:val="none"/>
              </w:rPr>
              <w:t>参加政府采购活动前三年内，在经营活动中没有重大违法记录</w:t>
            </w:r>
          </w:p>
        </w:tc>
        <w:tc>
          <w:tcPr>
            <w:tcW w:w="5084" w:type="dxa"/>
            <w:tcBorders>
              <w:top w:val="single" w:color="auto" w:sz="4" w:space="0"/>
              <w:left w:val="single" w:color="auto" w:sz="4" w:space="0"/>
              <w:bottom w:val="single" w:color="auto" w:sz="4" w:space="0"/>
              <w:right w:val="single" w:color="auto" w:sz="4" w:space="0"/>
            </w:tcBorders>
            <w:vAlign w:val="center"/>
          </w:tcPr>
          <w:p w14:paraId="39065859">
            <w:pPr>
              <w:adjustRightInd w:val="0"/>
              <w:snapToGrid w:val="0"/>
              <w:spacing w:line="360" w:lineRule="auto"/>
              <w:jc w:val="center"/>
              <w:textAlignment w:val="baseline"/>
              <w:rPr>
                <w:rFonts w:ascii="宋体" w:hAnsi="宋体" w:cs="宋体"/>
                <w:color w:val="auto"/>
                <w:sz w:val="21"/>
                <w:szCs w:val="21"/>
                <w:highlight w:val="none"/>
              </w:rPr>
            </w:pPr>
            <w:r>
              <w:rPr>
                <w:rFonts w:hint="eastAsia" w:ascii="宋体" w:hAnsi="宋体" w:cs="宋体"/>
                <w:color w:val="auto"/>
                <w:sz w:val="21"/>
                <w:szCs w:val="21"/>
                <w:highlight w:val="none"/>
                <w:lang w:val="zh-CN"/>
              </w:rPr>
              <w:t>详见第二章“投标人须知前附表”项规定</w:t>
            </w:r>
          </w:p>
        </w:tc>
      </w:tr>
      <w:tr w14:paraId="6AAE3F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8" w:hRule="atLeast"/>
          <w:jc w:val="center"/>
        </w:trPr>
        <w:tc>
          <w:tcPr>
            <w:tcW w:w="1148" w:type="dxa"/>
            <w:vMerge w:val="continue"/>
            <w:tcBorders>
              <w:left w:val="single" w:color="auto" w:sz="4" w:space="0"/>
              <w:right w:val="single" w:color="auto" w:sz="4" w:space="0"/>
            </w:tcBorders>
            <w:vAlign w:val="center"/>
          </w:tcPr>
          <w:p w14:paraId="65A0AAFB">
            <w:pPr>
              <w:widowControl/>
              <w:spacing w:line="360" w:lineRule="auto"/>
              <w:jc w:val="left"/>
              <w:rPr>
                <w:rFonts w:ascii="宋体" w:hAnsi="宋体" w:cs="宋体"/>
                <w:color w:val="auto"/>
                <w:szCs w:val="21"/>
                <w:highlight w:val="none"/>
              </w:rPr>
            </w:pPr>
          </w:p>
        </w:tc>
        <w:tc>
          <w:tcPr>
            <w:tcW w:w="1245" w:type="dxa"/>
            <w:vMerge w:val="continue"/>
            <w:tcBorders>
              <w:left w:val="nil"/>
              <w:right w:val="single" w:color="auto" w:sz="4" w:space="0"/>
            </w:tcBorders>
            <w:vAlign w:val="center"/>
          </w:tcPr>
          <w:p w14:paraId="68571223">
            <w:pPr>
              <w:widowControl/>
              <w:spacing w:line="360" w:lineRule="auto"/>
              <w:jc w:val="left"/>
              <w:rPr>
                <w:rFonts w:ascii="宋体" w:hAnsi="宋体" w:cs="宋体"/>
                <w:color w:val="auto"/>
                <w:szCs w:val="21"/>
                <w:highlight w:val="none"/>
              </w:rPr>
            </w:pPr>
          </w:p>
        </w:tc>
        <w:tc>
          <w:tcPr>
            <w:tcW w:w="2138" w:type="dxa"/>
            <w:tcBorders>
              <w:top w:val="single" w:color="auto" w:sz="4" w:space="0"/>
              <w:left w:val="single" w:color="auto" w:sz="4" w:space="0"/>
              <w:bottom w:val="single" w:color="auto" w:sz="4" w:space="0"/>
              <w:right w:val="single" w:color="auto" w:sz="4" w:space="0"/>
            </w:tcBorders>
            <w:vAlign w:val="center"/>
          </w:tcPr>
          <w:p w14:paraId="2B93227B">
            <w:pPr>
              <w:adjustRightInd w:val="0"/>
              <w:snapToGrid w:val="0"/>
              <w:spacing w:line="360" w:lineRule="auto"/>
              <w:jc w:val="center"/>
              <w:textAlignment w:val="baseline"/>
              <w:rPr>
                <w:rFonts w:hint="default" w:eastAsia="宋体" w:cs="宋体"/>
                <w:color w:val="auto"/>
                <w:sz w:val="21"/>
                <w:szCs w:val="21"/>
                <w:highlight w:val="none"/>
                <w:lang w:val="en-US" w:eastAsia="zh-CN"/>
              </w:rPr>
            </w:pPr>
            <w:r>
              <w:rPr>
                <w:rFonts w:hint="eastAsia" w:cs="宋体"/>
                <w:color w:val="auto"/>
                <w:sz w:val="21"/>
                <w:szCs w:val="21"/>
                <w:highlight w:val="none"/>
                <w:lang w:val="en-US" w:eastAsia="zh-CN"/>
              </w:rPr>
              <w:t>特定资格要求</w:t>
            </w:r>
          </w:p>
        </w:tc>
        <w:tc>
          <w:tcPr>
            <w:tcW w:w="5084" w:type="dxa"/>
            <w:tcBorders>
              <w:top w:val="single" w:color="auto" w:sz="4" w:space="0"/>
              <w:left w:val="single" w:color="auto" w:sz="4" w:space="0"/>
              <w:bottom w:val="single" w:color="auto" w:sz="4" w:space="0"/>
              <w:right w:val="single" w:color="auto" w:sz="4" w:space="0"/>
            </w:tcBorders>
            <w:vAlign w:val="center"/>
          </w:tcPr>
          <w:p w14:paraId="4BDE96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资质要求：须</w:t>
            </w:r>
            <w:r>
              <w:rPr>
                <w:rFonts w:hint="eastAsia" w:ascii="宋体" w:hAnsi="宋体" w:eastAsia="宋体" w:cs="宋体"/>
                <w:color w:val="auto"/>
                <w:szCs w:val="21"/>
                <w:highlight w:val="none"/>
              </w:rPr>
              <w:t>具备有效期范围内的营业执照或事业单位法人证书；投标人须具备测绘乙级及以上资质；</w:t>
            </w:r>
          </w:p>
          <w:p w14:paraId="2E21F326">
            <w:pPr>
              <w:pStyle w:val="15"/>
              <w:spacing w:line="360" w:lineRule="auto"/>
              <w:ind w:firstLine="420" w:firstLineChars="200"/>
              <w:rPr>
                <w:rFonts w:hint="default"/>
                <w:color w:val="auto"/>
                <w:highlight w:val="none"/>
                <w:lang w:val="en-US" w:eastAsia="zh-CN"/>
              </w:rPr>
            </w:pP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拟派项目负责人：项目负责人须具有测绘及相关专业中级及以上技术职称（需提供单位为其缴纳的近三个月的社保证明及签订的劳动合同）</w:t>
            </w:r>
          </w:p>
          <w:p w14:paraId="04FB8E8E">
            <w:pPr>
              <w:spacing w:line="360" w:lineRule="auto"/>
              <w:ind w:firstLine="420" w:firstLineChars="200"/>
              <w:rPr>
                <w:rFonts w:hint="eastAsia" w:ascii="宋体" w:hAnsi="宋体" w:cs="宋体"/>
                <w:b w:val="0"/>
                <w:bCs w:val="0"/>
                <w:color w:val="auto"/>
                <w:kern w:val="0"/>
                <w:sz w:val="21"/>
                <w:szCs w:val="21"/>
                <w:highlight w:val="none"/>
                <w:lang w:val="en-US" w:eastAsia="zh-CN" w:bidi="ar"/>
              </w:rPr>
            </w:pPr>
            <w:r>
              <w:rPr>
                <w:rFonts w:hint="eastAsia" w:ascii="宋体" w:hAnsi="宋体" w:cs="宋体"/>
                <w:b w:val="0"/>
                <w:bCs w:val="0"/>
                <w:color w:val="auto"/>
                <w:szCs w:val="21"/>
                <w:highlight w:val="none"/>
                <w:lang w:val="en-US" w:eastAsia="zh-CN"/>
              </w:rPr>
              <w:t>3、</w:t>
            </w:r>
            <w:r>
              <w:rPr>
                <w:rFonts w:hint="eastAsia" w:ascii="宋体" w:hAnsi="宋体" w:eastAsia="宋体" w:cs="宋体"/>
                <w:b w:val="0"/>
                <w:bCs w:val="0"/>
                <w:color w:val="auto"/>
                <w:kern w:val="0"/>
                <w:sz w:val="21"/>
                <w:szCs w:val="21"/>
                <w:highlight w:val="none"/>
                <w:lang w:val="en-US" w:eastAsia="zh-CN" w:bidi="ar"/>
              </w:rPr>
              <w:t>根据《财政</w:t>
            </w:r>
            <w:r>
              <w:rPr>
                <w:rFonts w:hint="eastAsia" w:ascii="宋体" w:hAnsi="宋体" w:eastAsia="宋体" w:cs="宋体"/>
                <w:color w:val="auto"/>
                <w:kern w:val="0"/>
                <w:sz w:val="21"/>
                <w:szCs w:val="21"/>
                <w:highlight w:val="none"/>
                <w:lang w:val="en-US" w:eastAsia="zh-CN" w:bidi="ar"/>
              </w:rPr>
              <w:t>部关于在政府采购活动中查询及使用信用记录有关问题的通知》(财库[2016]125号)和豫财购【2016】15号的规定，对列入失信被执行人、</w:t>
            </w:r>
            <w:r>
              <w:rPr>
                <w:rFonts w:hint="eastAsia" w:ascii="宋体" w:hAnsi="宋体" w:cs="宋体"/>
                <w:color w:val="auto"/>
                <w:kern w:val="0"/>
                <w:sz w:val="21"/>
                <w:szCs w:val="21"/>
                <w:highlight w:val="none"/>
                <w:lang w:val="en-US" w:eastAsia="zh-CN" w:bidi="ar"/>
              </w:rPr>
              <w:t>重大税收违法失信主体</w:t>
            </w:r>
            <w:r>
              <w:rPr>
                <w:rFonts w:hint="eastAsia" w:ascii="宋体" w:hAnsi="宋体" w:eastAsia="宋体" w:cs="宋体"/>
                <w:color w:val="auto"/>
                <w:kern w:val="0"/>
                <w:sz w:val="21"/>
                <w:szCs w:val="21"/>
                <w:highlight w:val="none"/>
                <w:lang w:val="en-US" w:eastAsia="zh-CN" w:bidi="ar"/>
              </w:rPr>
              <w:t>、政府采购严重违法失信行为记录名单的供应商，拒绝参与本项目政府采购活动</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通过</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中国执行信息公开网</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（zxgk.court.gov.cn）查询被列入失信被执行人</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“信用中国</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网站（www.creditchina.gov.cn）查询</w:t>
            </w:r>
            <w:r>
              <w:rPr>
                <w:rFonts w:hint="eastAsia" w:ascii="宋体" w:hAnsi="宋体" w:cs="宋体"/>
                <w:color w:val="auto"/>
                <w:kern w:val="0"/>
                <w:sz w:val="21"/>
                <w:szCs w:val="21"/>
                <w:highlight w:val="none"/>
                <w:lang w:val="en-US" w:eastAsia="zh-CN" w:bidi="ar"/>
              </w:rPr>
              <w:t>重大税收违法失信主体</w:t>
            </w: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中国政府采购网</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（www.ccgp.gov.cn）查询政府采购严重违法失信行为记录名单），</w:t>
            </w:r>
            <w:r>
              <w:rPr>
                <w:rFonts w:hint="eastAsia" w:ascii="宋体" w:hAnsi="宋体" w:cs="宋体"/>
                <w:color w:val="auto"/>
                <w:kern w:val="0"/>
                <w:sz w:val="21"/>
                <w:szCs w:val="21"/>
                <w:highlight w:val="none"/>
                <w:lang w:val="en-US" w:eastAsia="zh-CN" w:bidi="ar"/>
              </w:rPr>
              <w:t>提供加盖</w:t>
            </w:r>
            <w:r>
              <w:rPr>
                <w:rFonts w:hint="eastAsia" w:ascii="宋体" w:hAnsi="宋体" w:eastAsia="宋体" w:cs="宋体"/>
                <w:color w:val="auto"/>
                <w:kern w:val="0"/>
                <w:sz w:val="21"/>
                <w:szCs w:val="21"/>
                <w:highlight w:val="none"/>
                <w:lang w:val="en-US" w:eastAsia="zh-CN" w:bidi="ar"/>
              </w:rPr>
              <w:t>单位公章的查询网页截图</w:t>
            </w:r>
            <w:r>
              <w:rPr>
                <w:rFonts w:hint="eastAsia" w:ascii="宋体" w:hAnsi="宋体" w:eastAsia="宋体" w:cs="宋体"/>
                <w:b w:val="0"/>
                <w:bCs w:val="0"/>
                <w:color w:val="auto"/>
                <w:kern w:val="0"/>
                <w:sz w:val="21"/>
                <w:szCs w:val="21"/>
                <w:highlight w:val="none"/>
                <w:lang w:val="en-US" w:eastAsia="zh-CN" w:bidi="ar"/>
              </w:rPr>
              <w:t>（截图内容要完整清晰</w:t>
            </w:r>
            <w:r>
              <w:rPr>
                <w:rFonts w:hint="eastAsia" w:ascii="宋体" w:hAnsi="宋体" w:cs="宋体"/>
                <w:b w:val="0"/>
                <w:bCs w:val="0"/>
                <w:color w:val="auto"/>
                <w:kern w:val="0"/>
                <w:sz w:val="21"/>
                <w:szCs w:val="21"/>
                <w:highlight w:val="none"/>
                <w:lang w:val="en-US" w:eastAsia="zh-CN" w:bidi="ar"/>
              </w:rPr>
              <w:t>）。</w:t>
            </w:r>
            <w:r>
              <w:rPr>
                <w:rFonts w:hint="eastAsia" w:ascii="宋体" w:hAnsi="宋体" w:cs="宋体"/>
                <w:b/>
                <w:bCs/>
                <w:color w:val="auto"/>
                <w:kern w:val="0"/>
                <w:sz w:val="21"/>
                <w:szCs w:val="21"/>
                <w:highlight w:val="none"/>
                <w:lang w:val="en-US" w:eastAsia="zh-CN" w:bidi="ar"/>
              </w:rPr>
              <w:t>注：</w:t>
            </w:r>
            <w:r>
              <w:rPr>
                <w:rFonts w:hint="eastAsia" w:ascii="宋体" w:hAnsi="宋体" w:cs="宋体"/>
                <w:b w:val="0"/>
                <w:bCs w:val="0"/>
                <w:color w:val="auto"/>
                <w:kern w:val="0"/>
                <w:sz w:val="21"/>
                <w:szCs w:val="21"/>
                <w:highlight w:val="none"/>
                <w:lang w:val="en-US" w:eastAsia="zh-CN" w:bidi="ar"/>
              </w:rPr>
              <w:t>采购代理机构在开标当天根据需要对所参与本项目投标的供应商的信用情况（失信被执行人、重大税收违法失信主体、政府采购严重违法失信行为记录名单）进行查询。若在开标当天查询到供应商有相关负面信息的，则该供应商为无效供应商。</w:t>
            </w:r>
          </w:p>
          <w:p w14:paraId="6ADD7976">
            <w:pPr>
              <w:pStyle w:val="21"/>
              <w:spacing w:line="360" w:lineRule="auto"/>
              <w:ind w:firstLine="210" w:firstLineChars="100"/>
              <w:rPr>
                <w:rFonts w:hint="eastAsia" w:ascii="宋体" w:hAnsi="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4、单位负责人为同一人或者存在直接控股、管理关系的不同供应商，不得参加同一合同项下的政府采购活动。【提供在“国家企业信用信息公示系统”中查询打印的相关材料并加盖公章（需显示公司基本信息、主要人员信息、股东信息），查询日期在本公告发布日期之后至投标截止日期之前】；</w:t>
            </w:r>
          </w:p>
          <w:p w14:paraId="0C0ABF94">
            <w:pPr>
              <w:pStyle w:val="30"/>
              <w:numPr>
                <w:ilvl w:val="0"/>
                <w:numId w:val="0"/>
              </w:numPr>
              <w:spacing w:before="0" w:beforeAutospacing="0" w:after="0" w:afterAutospacing="0" w:line="384" w:lineRule="auto"/>
              <w:ind w:firstLine="210" w:firstLineChars="100"/>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5、</w:t>
            </w:r>
            <w:r>
              <w:rPr>
                <w:rFonts w:hint="eastAsia" w:asciiTheme="minorEastAsia" w:hAnsiTheme="minorEastAsia" w:eastAsiaTheme="minorEastAsia" w:cstheme="minorEastAsia"/>
                <w:bCs/>
                <w:color w:val="auto"/>
                <w:sz w:val="21"/>
                <w:szCs w:val="21"/>
                <w:highlight w:val="none"/>
                <w:lang w:val="en-US" w:eastAsia="zh-CN"/>
              </w:rPr>
              <w:t>为采购项目提供整体设计、规范编制或者项目管理、监理、检测等服务的供应商，不得再参加本采购项目的其他采购活动（书面承诺,格式自拟）。</w:t>
            </w:r>
          </w:p>
          <w:p w14:paraId="3AF9AAC1">
            <w:pPr>
              <w:pStyle w:val="3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84" w:lineRule="auto"/>
              <w:ind w:firstLine="210" w:firstLineChars="100"/>
              <w:textAlignment w:val="auto"/>
              <w:rPr>
                <w:rFonts w:hint="default"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供应商须提供《中小企业声明函》，格式详见本项目采购文件。</w:t>
            </w:r>
          </w:p>
          <w:p w14:paraId="304CF7BE">
            <w:pPr>
              <w:pStyle w:val="3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84" w:lineRule="auto"/>
              <w:ind w:firstLine="210" w:firstLineChars="100"/>
              <w:textAlignment w:val="auto"/>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7、</w:t>
            </w:r>
            <w:r>
              <w:rPr>
                <w:rFonts w:hint="eastAsia" w:asciiTheme="minorEastAsia" w:hAnsiTheme="minorEastAsia" w:eastAsiaTheme="minorEastAsia" w:cstheme="minorEastAsia"/>
                <w:bCs/>
                <w:color w:val="auto"/>
                <w:sz w:val="21"/>
                <w:szCs w:val="21"/>
                <w:highlight w:val="none"/>
                <w:lang w:val="en-US" w:eastAsia="zh-CN"/>
              </w:rPr>
              <w:t>不允许转包和违法分包。</w:t>
            </w:r>
          </w:p>
          <w:p w14:paraId="5428F5F9">
            <w:pPr>
              <w:pStyle w:val="21"/>
              <w:spacing w:line="360" w:lineRule="auto"/>
              <w:ind w:firstLine="210" w:firstLineChars="100"/>
              <w:rPr>
                <w:rFonts w:hint="eastAsia" w:ascii="宋体" w:hAnsi="宋体" w:cs="宋体"/>
                <w:color w:val="auto"/>
                <w:szCs w:val="21"/>
                <w:highlight w:val="none"/>
              </w:rPr>
            </w:pPr>
            <w:r>
              <w:rPr>
                <w:rFonts w:hint="eastAsia" w:asciiTheme="minorEastAsia" w:hAnsiTheme="minorEastAsia" w:eastAsiaTheme="minorEastAsia" w:cstheme="minorEastAsia"/>
                <w:bCs/>
                <w:color w:val="auto"/>
                <w:sz w:val="21"/>
                <w:szCs w:val="21"/>
                <w:highlight w:val="none"/>
                <w:lang w:val="en-US" w:eastAsia="zh-CN"/>
              </w:rPr>
              <w:t>8、本项目采用资格后审。</w:t>
            </w:r>
          </w:p>
        </w:tc>
      </w:tr>
      <w:tr w14:paraId="7D40A9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1148" w:type="dxa"/>
            <w:vMerge w:val="continue"/>
            <w:tcBorders>
              <w:top w:val="single" w:color="auto" w:sz="4" w:space="0"/>
              <w:left w:val="single" w:color="auto" w:sz="4" w:space="0"/>
              <w:bottom w:val="single" w:color="auto" w:sz="4" w:space="0"/>
              <w:right w:val="single" w:color="auto" w:sz="4" w:space="0"/>
            </w:tcBorders>
            <w:vAlign w:val="center"/>
          </w:tcPr>
          <w:p w14:paraId="55E94A0E">
            <w:pPr>
              <w:adjustRightInd w:val="0"/>
              <w:spacing w:line="360" w:lineRule="auto"/>
              <w:textAlignment w:val="baseline"/>
              <w:rPr>
                <w:rFonts w:ascii="宋体" w:hAnsi="宋体" w:cs="宋体"/>
                <w:color w:val="auto"/>
                <w:szCs w:val="21"/>
                <w:highlight w:val="none"/>
              </w:rPr>
            </w:pPr>
          </w:p>
        </w:tc>
        <w:tc>
          <w:tcPr>
            <w:tcW w:w="1245" w:type="dxa"/>
            <w:vMerge w:val="restart"/>
            <w:tcBorders>
              <w:top w:val="single" w:color="auto" w:sz="4" w:space="0"/>
              <w:left w:val="single" w:color="auto" w:sz="4" w:space="0"/>
              <w:bottom w:val="single" w:color="auto" w:sz="4" w:space="0"/>
              <w:right w:val="single" w:color="auto" w:sz="4" w:space="0"/>
            </w:tcBorders>
            <w:vAlign w:val="center"/>
          </w:tcPr>
          <w:p w14:paraId="62809392">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szCs w:val="21"/>
                <w:highlight w:val="none"/>
              </w:rPr>
              <w:t>2.1.3</w:t>
            </w:r>
          </w:p>
          <w:p w14:paraId="47399E47">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szCs w:val="21"/>
                <w:highlight w:val="none"/>
              </w:rPr>
              <w:t>响应性评审</w:t>
            </w:r>
          </w:p>
        </w:tc>
        <w:tc>
          <w:tcPr>
            <w:tcW w:w="2138" w:type="dxa"/>
            <w:tcBorders>
              <w:top w:val="single" w:color="auto" w:sz="4" w:space="0"/>
              <w:left w:val="single" w:color="auto" w:sz="4" w:space="0"/>
              <w:bottom w:val="single" w:color="auto" w:sz="4" w:space="0"/>
              <w:right w:val="single" w:color="auto" w:sz="4" w:space="0"/>
            </w:tcBorders>
            <w:vAlign w:val="center"/>
          </w:tcPr>
          <w:p w14:paraId="362FD037">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szCs w:val="21"/>
                <w:highlight w:val="none"/>
                <w:lang w:val="en-US" w:eastAsia="zh-CN"/>
              </w:rPr>
              <w:t>服务周期</w:t>
            </w:r>
          </w:p>
        </w:tc>
        <w:tc>
          <w:tcPr>
            <w:tcW w:w="5084" w:type="dxa"/>
            <w:tcBorders>
              <w:top w:val="single" w:color="auto" w:sz="4" w:space="0"/>
              <w:left w:val="single" w:color="auto" w:sz="4" w:space="0"/>
              <w:bottom w:val="single" w:color="auto" w:sz="4" w:space="0"/>
              <w:right w:val="single" w:color="auto" w:sz="4" w:space="0"/>
            </w:tcBorders>
            <w:vAlign w:val="center"/>
          </w:tcPr>
          <w:p w14:paraId="625F855B">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szCs w:val="21"/>
                <w:highlight w:val="none"/>
              </w:rPr>
              <w:t>符合第二章“投标人须知”第1.3.2项规定</w:t>
            </w:r>
          </w:p>
        </w:tc>
      </w:tr>
      <w:tr w14:paraId="549163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jc w:val="center"/>
        </w:trPr>
        <w:tc>
          <w:tcPr>
            <w:tcW w:w="1148" w:type="dxa"/>
            <w:vMerge w:val="continue"/>
            <w:tcBorders>
              <w:top w:val="single" w:color="auto" w:sz="4" w:space="0"/>
              <w:left w:val="single" w:color="auto" w:sz="4" w:space="0"/>
              <w:bottom w:val="single" w:color="auto" w:sz="4" w:space="0"/>
              <w:right w:val="single" w:color="auto" w:sz="4" w:space="0"/>
            </w:tcBorders>
            <w:vAlign w:val="center"/>
          </w:tcPr>
          <w:p w14:paraId="50710BB6">
            <w:pPr>
              <w:widowControl/>
              <w:spacing w:line="360" w:lineRule="auto"/>
              <w:jc w:val="left"/>
              <w:rPr>
                <w:rFonts w:ascii="宋体" w:hAnsi="宋体" w:cs="宋体"/>
                <w:color w:val="auto"/>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vAlign w:val="center"/>
          </w:tcPr>
          <w:p w14:paraId="44B9A5A4">
            <w:pPr>
              <w:widowControl/>
              <w:spacing w:line="360" w:lineRule="auto"/>
              <w:jc w:val="left"/>
              <w:rPr>
                <w:rFonts w:ascii="宋体" w:hAnsi="宋体" w:cs="宋体"/>
                <w:color w:val="auto"/>
                <w:szCs w:val="21"/>
                <w:highlight w:val="none"/>
              </w:rPr>
            </w:pPr>
          </w:p>
        </w:tc>
        <w:tc>
          <w:tcPr>
            <w:tcW w:w="2138" w:type="dxa"/>
            <w:tcBorders>
              <w:top w:val="single" w:color="auto" w:sz="4" w:space="0"/>
              <w:left w:val="single" w:color="auto" w:sz="4" w:space="0"/>
              <w:bottom w:val="single" w:color="auto" w:sz="4" w:space="0"/>
              <w:right w:val="single" w:color="auto" w:sz="4" w:space="0"/>
            </w:tcBorders>
            <w:vAlign w:val="center"/>
          </w:tcPr>
          <w:p w14:paraId="3FDB15E1">
            <w:pPr>
              <w:adjustRightInd w:val="0"/>
              <w:spacing w:line="360" w:lineRule="auto"/>
              <w:jc w:val="center"/>
              <w:textAlignment w:val="baseline"/>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质量</w:t>
            </w:r>
            <w:r>
              <w:rPr>
                <w:rFonts w:hint="eastAsia" w:ascii="宋体" w:hAnsi="宋体" w:cs="宋体"/>
                <w:color w:val="auto"/>
                <w:szCs w:val="21"/>
                <w:highlight w:val="none"/>
                <w:lang w:eastAsia="zh-CN"/>
              </w:rPr>
              <w:t>要求</w:t>
            </w:r>
          </w:p>
        </w:tc>
        <w:tc>
          <w:tcPr>
            <w:tcW w:w="5084" w:type="dxa"/>
            <w:tcBorders>
              <w:top w:val="single" w:color="auto" w:sz="4" w:space="0"/>
              <w:left w:val="single" w:color="auto" w:sz="4" w:space="0"/>
              <w:bottom w:val="single" w:color="auto" w:sz="4" w:space="0"/>
              <w:right w:val="single" w:color="auto" w:sz="4" w:space="0"/>
            </w:tcBorders>
            <w:vAlign w:val="center"/>
          </w:tcPr>
          <w:p w14:paraId="5BF67EBD">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szCs w:val="21"/>
                <w:highlight w:val="none"/>
              </w:rPr>
              <w:t>符合第二章“投标人须知”第1.3.3项规定</w:t>
            </w:r>
          </w:p>
        </w:tc>
      </w:tr>
      <w:tr w14:paraId="636710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1148" w:type="dxa"/>
            <w:vMerge w:val="continue"/>
            <w:tcBorders>
              <w:top w:val="single" w:color="auto" w:sz="4" w:space="0"/>
              <w:left w:val="single" w:color="auto" w:sz="4" w:space="0"/>
              <w:bottom w:val="single" w:color="auto" w:sz="4" w:space="0"/>
              <w:right w:val="single" w:color="auto" w:sz="4" w:space="0"/>
            </w:tcBorders>
            <w:vAlign w:val="center"/>
          </w:tcPr>
          <w:p w14:paraId="2BF42FB7">
            <w:pPr>
              <w:widowControl/>
              <w:spacing w:line="360" w:lineRule="auto"/>
              <w:jc w:val="left"/>
              <w:rPr>
                <w:rFonts w:ascii="宋体" w:hAnsi="宋体" w:cs="宋体"/>
                <w:color w:val="auto"/>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vAlign w:val="center"/>
          </w:tcPr>
          <w:p w14:paraId="7BEBEF33">
            <w:pPr>
              <w:widowControl/>
              <w:spacing w:line="360" w:lineRule="auto"/>
              <w:jc w:val="left"/>
              <w:rPr>
                <w:rFonts w:ascii="宋体" w:hAnsi="宋体" w:cs="宋体"/>
                <w:color w:val="auto"/>
                <w:szCs w:val="21"/>
                <w:highlight w:val="none"/>
              </w:rPr>
            </w:pPr>
          </w:p>
        </w:tc>
        <w:tc>
          <w:tcPr>
            <w:tcW w:w="2138" w:type="dxa"/>
            <w:tcBorders>
              <w:top w:val="single" w:color="auto" w:sz="4" w:space="0"/>
              <w:left w:val="single" w:color="auto" w:sz="4" w:space="0"/>
              <w:bottom w:val="single" w:color="auto" w:sz="4" w:space="0"/>
              <w:right w:val="single" w:color="auto" w:sz="4" w:space="0"/>
            </w:tcBorders>
            <w:vAlign w:val="center"/>
          </w:tcPr>
          <w:p w14:paraId="308EFE90">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szCs w:val="21"/>
                <w:highlight w:val="none"/>
              </w:rPr>
              <w:t>投标有效期</w:t>
            </w:r>
          </w:p>
        </w:tc>
        <w:tc>
          <w:tcPr>
            <w:tcW w:w="5084" w:type="dxa"/>
            <w:tcBorders>
              <w:top w:val="single" w:color="auto" w:sz="4" w:space="0"/>
              <w:left w:val="single" w:color="auto" w:sz="4" w:space="0"/>
              <w:bottom w:val="single" w:color="auto" w:sz="4" w:space="0"/>
              <w:right w:val="single" w:color="auto" w:sz="4" w:space="0"/>
            </w:tcBorders>
            <w:vAlign w:val="center"/>
          </w:tcPr>
          <w:p w14:paraId="549D6601">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szCs w:val="21"/>
                <w:highlight w:val="none"/>
              </w:rPr>
              <w:t>符合第二章“投标人须知”第3.3.1项规定</w:t>
            </w:r>
          </w:p>
        </w:tc>
      </w:tr>
      <w:tr w14:paraId="38D105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1148" w:type="dxa"/>
            <w:vMerge w:val="continue"/>
            <w:tcBorders>
              <w:top w:val="single" w:color="auto" w:sz="4" w:space="0"/>
              <w:left w:val="single" w:color="auto" w:sz="4" w:space="0"/>
              <w:bottom w:val="single" w:color="auto" w:sz="4" w:space="0"/>
              <w:right w:val="single" w:color="auto" w:sz="4" w:space="0"/>
            </w:tcBorders>
            <w:vAlign w:val="center"/>
          </w:tcPr>
          <w:p w14:paraId="112C80D7">
            <w:pPr>
              <w:widowControl/>
              <w:spacing w:line="360" w:lineRule="auto"/>
              <w:jc w:val="left"/>
              <w:rPr>
                <w:rFonts w:ascii="宋体" w:hAnsi="宋体" w:cs="宋体"/>
                <w:color w:val="auto"/>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vAlign w:val="center"/>
          </w:tcPr>
          <w:p w14:paraId="439EB05D">
            <w:pPr>
              <w:widowControl/>
              <w:spacing w:line="360" w:lineRule="auto"/>
              <w:jc w:val="left"/>
              <w:rPr>
                <w:rFonts w:ascii="宋体" w:hAnsi="宋体" w:cs="宋体"/>
                <w:color w:val="auto"/>
                <w:szCs w:val="21"/>
                <w:highlight w:val="none"/>
              </w:rPr>
            </w:pPr>
          </w:p>
        </w:tc>
        <w:tc>
          <w:tcPr>
            <w:tcW w:w="2138" w:type="dxa"/>
            <w:tcBorders>
              <w:top w:val="single" w:color="auto" w:sz="4" w:space="0"/>
              <w:left w:val="single" w:color="auto" w:sz="4" w:space="0"/>
              <w:bottom w:val="single" w:color="auto" w:sz="4" w:space="0"/>
              <w:right w:val="single" w:color="auto" w:sz="4" w:space="0"/>
            </w:tcBorders>
            <w:vAlign w:val="center"/>
          </w:tcPr>
          <w:p w14:paraId="2610015A">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szCs w:val="21"/>
                <w:highlight w:val="none"/>
              </w:rPr>
              <w:t>投标文件格式</w:t>
            </w:r>
          </w:p>
        </w:tc>
        <w:tc>
          <w:tcPr>
            <w:tcW w:w="5084" w:type="dxa"/>
            <w:tcBorders>
              <w:top w:val="single" w:color="auto" w:sz="4" w:space="0"/>
              <w:left w:val="single" w:color="auto" w:sz="4" w:space="0"/>
              <w:bottom w:val="single" w:color="auto" w:sz="4" w:space="0"/>
              <w:right w:val="single" w:color="auto" w:sz="4" w:space="0"/>
            </w:tcBorders>
            <w:vAlign w:val="center"/>
          </w:tcPr>
          <w:p w14:paraId="65B50A6C">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szCs w:val="21"/>
                <w:highlight w:val="none"/>
              </w:rPr>
              <w:t>符合招标文件中投标文件格式要求</w:t>
            </w:r>
          </w:p>
        </w:tc>
      </w:tr>
    </w:tbl>
    <w:p w14:paraId="1B4E0B82">
      <w:pPr>
        <w:spacing w:line="360" w:lineRule="auto"/>
        <w:jc w:val="center"/>
        <w:outlineLvl w:val="1"/>
        <w:rPr>
          <w:rFonts w:hint="eastAsia"/>
          <w:color w:val="auto"/>
          <w:highlight w:val="none"/>
          <w:lang w:val="en-US" w:eastAsia="zh-CN"/>
        </w:rPr>
      </w:pPr>
      <w:bookmarkStart w:id="128" w:name="_Toc10868"/>
      <w:bookmarkStart w:id="129" w:name="_Toc26120"/>
      <w:r>
        <w:rPr>
          <w:rFonts w:hint="eastAsia" w:ascii="宋体" w:hAnsi="宋体" w:cs="宋体"/>
          <w:b/>
          <w:color w:val="auto"/>
          <w:highlight w:val="none"/>
          <w:lang w:val="en-US" w:eastAsia="zh-CN"/>
        </w:rPr>
        <w:t>详细评审</w:t>
      </w:r>
    </w:p>
    <w:tbl>
      <w:tblPr>
        <w:tblStyle w:val="33"/>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1324"/>
        <w:gridCol w:w="6574"/>
      </w:tblGrid>
      <w:tr w14:paraId="3725F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14" w:type="dxa"/>
            <w:vAlign w:val="center"/>
          </w:tcPr>
          <w:p w14:paraId="6B071214">
            <w:pPr>
              <w:widowControl/>
              <w:spacing w:line="360" w:lineRule="auto"/>
              <w:jc w:val="center"/>
              <w:rPr>
                <w:rFonts w:ascii="宋体" w:hAnsi="宋体" w:cs="宋体"/>
                <w:color w:val="auto"/>
                <w:szCs w:val="21"/>
                <w:highlight w:val="none"/>
              </w:rPr>
            </w:pPr>
            <w:r>
              <w:rPr>
                <w:rFonts w:hint="eastAsia" w:ascii="宋体" w:hAnsi="宋体" w:cs="宋体"/>
                <w:color w:val="auto"/>
                <w:szCs w:val="21"/>
                <w:highlight w:val="none"/>
              </w:rPr>
              <w:t>2.2.1</w:t>
            </w:r>
          </w:p>
        </w:tc>
        <w:tc>
          <w:tcPr>
            <w:tcW w:w="1324" w:type="dxa"/>
            <w:vAlign w:val="center"/>
          </w:tcPr>
          <w:p w14:paraId="50095108">
            <w:pPr>
              <w:adjustRightInd w:val="0"/>
              <w:spacing w:line="360" w:lineRule="auto"/>
              <w:jc w:val="center"/>
              <w:textAlignment w:val="baseline"/>
              <w:rPr>
                <w:color w:val="auto"/>
                <w:highlight w:val="none"/>
              </w:rPr>
            </w:pPr>
            <w:r>
              <w:rPr>
                <w:rFonts w:hint="eastAsia"/>
                <w:color w:val="auto"/>
                <w:highlight w:val="none"/>
              </w:rPr>
              <w:t xml:space="preserve"> 分值构成</w:t>
            </w:r>
          </w:p>
          <w:p w14:paraId="3779DCBD">
            <w:pPr>
              <w:pStyle w:val="32"/>
              <w:ind w:firstLine="0" w:firstLineChars="0"/>
              <w:jc w:val="center"/>
              <w:rPr>
                <w:color w:val="auto"/>
                <w:highlight w:val="none"/>
              </w:rPr>
            </w:pPr>
            <w:r>
              <w:rPr>
                <w:rFonts w:hint="eastAsia" w:ascii="Times New Roman" w:hAnsi="Times New Roman" w:cs="Times New Roman"/>
                <w:color w:val="auto"/>
                <w:sz w:val="21"/>
                <w:szCs w:val="24"/>
                <w:highlight w:val="none"/>
              </w:rPr>
              <w:t>（总分100分）</w:t>
            </w:r>
          </w:p>
        </w:tc>
        <w:tc>
          <w:tcPr>
            <w:tcW w:w="6574" w:type="dxa"/>
            <w:vAlign w:val="center"/>
          </w:tcPr>
          <w:p w14:paraId="74590D1C">
            <w:pPr>
              <w:adjustRightInd w:val="0"/>
              <w:spacing w:line="360" w:lineRule="auto"/>
              <w:jc w:val="left"/>
              <w:textAlignment w:val="baseline"/>
              <w:rPr>
                <w:color w:val="auto"/>
                <w:highlight w:val="none"/>
              </w:rPr>
            </w:pPr>
            <w:r>
              <w:rPr>
                <w:rFonts w:hint="eastAsia"/>
                <w:color w:val="auto"/>
                <w:highlight w:val="none"/>
              </w:rPr>
              <w:t>经济标评分：</w:t>
            </w:r>
            <w:r>
              <w:rPr>
                <w:rFonts w:hint="eastAsia"/>
                <w:color w:val="auto"/>
                <w:highlight w:val="none"/>
                <w:lang w:val="en-US" w:eastAsia="zh-CN"/>
              </w:rPr>
              <w:t>10</w:t>
            </w:r>
            <w:r>
              <w:rPr>
                <w:rFonts w:hint="eastAsia"/>
                <w:color w:val="auto"/>
                <w:highlight w:val="none"/>
              </w:rPr>
              <w:t>分</w:t>
            </w:r>
          </w:p>
          <w:p w14:paraId="7455FB31">
            <w:pPr>
              <w:adjustRightInd w:val="0"/>
              <w:spacing w:line="360" w:lineRule="auto"/>
              <w:jc w:val="left"/>
              <w:textAlignment w:val="baseline"/>
              <w:rPr>
                <w:color w:val="auto"/>
                <w:highlight w:val="none"/>
              </w:rPr>
            </w:pPr>
            <w:r>
              <w:rPr>
                <w:rFonts w:hint="eastAsia"/>
                <w:color w:val="auto"/>
                <w:highlight w:val="none"/>
              </w:rPr>
              <w:t>技术标评分：</w:t>
            </w:r>
            <w:r>
              <w:rPr>
                <w:rFonts w:hint="eastAsia"/>
                <w:color w:val="auto"/>
                <w:highlight w:val="none"/>
                <w:lang w:val="en-US" w:eastAsia="zh-CN"/>
              </w:rPr>
              <w:t>65</w:t>
            </w:r>
            <w:r>
              <w:rPr>
                <w:rFonts w:hint="eastAsia"/>
                <w:color w:val="auto"/>
                <w:highlight w:val="none"/>
              </w:rPr>
              <w:t>分</w:t>
            </w:r>
          </w:p>
          <w:p w14:paraId="00C6981F">
            <w:pPr>
              <w:adjustRightInd w:val="0"/>
              <w:spacing w:line="360" w:lineRule="auto"/>
              <w:jc w:val="left"/>
              <w:textAlignment w:val="baseline"/>
              <w:rPr>
                <w:rFonts w:ascii="宋体" w:hAnsi="宋体" w:cs="宋体"/>
                <w:color w:val="auto"/>
                <w:szCs w:val="21"/>
                <w:highlight w:val="none"/>
              </w:rPr>
            </w:pPr>
            <w:r>
              <w:rPr>
                <w:rFonts w:hint="eastAsia"/>
                <w:color w:val="auto"/>
                <w:highlight w:val="none"/>
              </w:rPr>
              <w:t>综合标评分：</w:t>
            </w:r>
            <w:r>
              <w:rPr>
                <w:rFonts w:hint="eastAsia"/>
                <w:color w:val="auto"/>
                <w:highlight w:val="none"/>
                <w:lang w:val="en-US" w:eastAsia="zh-CN"/>
              </w:rPr>
              <w:t>25</w:t>
            </w:r>
            <w:r>
              <w:rPr>
                <w:rFonts w:hint="eastAsia"/>
                <w:color w:val="auto"/>
                <w:highlight w:val="none"/>
              </w:rPr>
              <w:t>分</w:t>
            </w:r>
          </w:p>
        </w:tc>
      </w:tr>
      <w:tr w14:paraId="3452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614" w:type="dxa"/>
            <w:vAlign w:val="center"/>
          </w:tcPr>
          <w:p w14:paraId="431BBBB0">
            <w:pPr>
              <w:widowControl/>
              <w:spacing w:line="360" w:lineRule="auto"/>
              <w:jc w:val="center"/>
              <w:rPr>
                <w:rFonts w:ascii="宋体" w:hAnsi="宋体" w:cs="宋体"/>
                <w:color w:val="auto"/>
                <w:szCs w:val="21"/>
                <w:highlight w:val="none"/>
              </w:rPr>
            </w:pPr>
          </w:p>
          <w:p w14:paraId="63B2D102">
            <w:pPr>
              <w:widowControl/>
              <w:spacing w:line="360" w:lineRule="auto"/>
              <w:jc w:val="center"/>
              <w:rPr>
                <w:rFonts w:ascii="宋体" w:hAnsi="宋体" w:cs="宋体"/>
                <w:color w:val="auto"/>
                <w:szCs w:val="21"/>
                <w:highlight w:val="none"/>
              </w:rPr>
            </w:pPr>
          </w:p>
          <w:p w14:paraId="1A6E8999">
            <w:pPr>
              <w:widowControl/>
              <w:spacing w:line="360" w:lineRule="auto"/>
              <w:jc w:val="both"/>
              <w:rPr>
                <w:rFonts w:ascii="宋体" w:hAnsi="宋体" w:cs="宋体"/>
                <w:color w:val="auto"/>
                <w:szCs w:val="21"/>
                <w:highlight w:val="none"/>
              </w:rPr>
            </w:pPr>
          </w:p>
          <w:p w14:paraId="54097959">
            <w:pPr>
              <w:widowControl/>
              <w:spacing w:line="360" w:lineRule="auto"/>
              <w:jc w:val="center"/>
              <w:rPr>
                <w:rFonts w:ascii="宋体" w:hAnsi="宋体" w:cs="宋体"/>
                <w:color w:val="auto"/>
                <w:szCs w:val="21"/>
                <w:highlight w:val="none"/>
              </w:rPr>
            </w:pPr>
          </w:p>
          <w:p w14:paraId="1EBA95FF">
            <w:pPr>
              <w:widowControl/>
              <w:spacing w:line="360" w:lineRule="auto"/>
              <w:jc w:val="center"/>
              <w:rPr>
                <w:rFonts w:ascii="宋体" w:hAnsi="宋体" w:cs="宋体"/>
                <w:color w:val="auto"/>
                <w:szCs w:val="21"/>
                <w:highlight w:val="none"/>
              </w:rPr>
            </w:pPr>
          </w:p>
          <w:p w14:paraId="48D69D02">
            <w:pPr>
              <w:widowControl/>
              <w:spacing w:line="360" w:lineRule="auto"/>
              <w:jc w:val="center"/>
              <w:rPr>
                <w:rFonts w:ascii="宋体" w:hAnsi="宋体" w:cs="宋体"/>
                <w:color w:val="auto"/>
                <w:szCs w:val="21"/>
                <w:highlight w:val="none"/>
              </w:rPr>
            </w:pPr>
            <w:r>
              <w:rPr>
                <w:rFonts w:hint="eastAsia" w:ascii="宋体" w:hAnsi="宋体" w:cs="宋体"/>
                <w:color w:val="auto"/>
                <w:szCs w:val="21"/>
                <w:highlight w:val="none"/>
              </w:rPr>
              <w:t>2.2.2（1）经济标评分（</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tc>
        <w:tc>
          <w:tcPr>
            <w:tcW w:w="1324" w:type="dxa"/>
            <w:vAlign w:val="center"/>
          </w:tcPr>
          <w:p w14:paraId="42719841">
            <w:pPr>
              <w:spacing w:line="360" w:lineRule="auto"/>
              <w:jc w:val="center"/>
              <w:rPr>
                <w:color w:val="auto"/>
                <w:highlight w:val="none"/>
              </w:rPr>
            </w:pPr>
          </w:p>
          <w:p w14:paraId="3386BBFE">
            <w:pPr>
              <w:spacing w:line="360" w:lineRule="auto"/>
              <w:jc w:val="center"/>
              <w:rPr>
                <w:color w:val="auto"/>
                <w:highlight w:val="none"/>
              </w:rPr>
            </w:pPr>
          </w:p>
          <w:p w14:paraId="1C5E5775">
            <w:pPr>
              <w:spacing w:line="360" w:lineRule="auto"/>
              <w:jc w:val="both"/>
              <w:rPr>
                <w:color w:val="auto"/>
                <w:highlight w:val="none"/>
              </w:rPr>
            </w:pPr>
          </w:p>
          <w:p w14:paraId="7FA9C188">
            <w:pPr>
              <w:spacing w:line="360" w:lineRule="auto"/>
              <w:jc w:val="center"/>
              <w:rPr>
                <w:color w:val="auto"/>
                <w:highlight w:val="none"/>
              </w:rPr>
            </w:pPr>
          </w:p>
          <w:p w14:paraId="4FA0C0F8">
            <w:pPr>
              <w:spacing w:line="360" w:lineRule="auto"/>
              <w:jc w:val="center"/>
              <w:rPr>
                <w:color w:val="auto"/>
                <w:highlight w:val="none"/>
              </w:rPr>
            </w:pPr>
            <w:r>
              <w:rPr>
                <w:rFonts w:hint="eastAsia"/>
                <w:color w:val="auto"/>
                <w:highlight w:val="none"/>
              </w:rPr>
              <w:t>投标报价</w:t>
            </w:r>
          </w:p>
          <w:p w14:paraId="1198A6CB">
            <w:pPr>
              <w:adjustRightInd w:val="0"/>
              <w:spacing w:line="360" w:lineRule="auto"/>
              <w:jc w:val="center"/>
              <w:textAlignment w:val="baseline"/>
              <w:rPr>
                <w:rFonts w:ascii="宋体" w:hAnsi="宋体" w:cs="宋体"/>
                <w:color w:val="auto"/>
                <w:szCs w:val="21"/>
                <w:highlight w:val="none"/>
              </w:rPr>
            </w:pPr>
            <w:r>
              <w:rPr>
                <w:rFonts w:hint="eastAsia" w:ascii="宋体" w:hAnsi="宋体" w:cs="宋体"/>
                <w:color w:val="auto"/>
                <w:highlight w:val="none"/>
                <w:lang w:val="en-US" w:eastAsia="zh-CN"/>
              </w:rPr>
              <w:t>（10</w:t>
            </w:r>
            <w:r>
              <w:rPr>
                <w:rFonts w:hint="eastAsia" w:ascii="宋体" w:hAnsi="宋体" w:cs="宋体"/>
                <w:color w:val="auto"/>
                <w:highlight w:val="none"/>
              </w:rPr>
              <w:t>分</w:t>
            </w:r>
            <w:r>
              <w:rPr>
                <w:rFonts w:hint="eastAsia" w:ascii="宋体" w:hAnsi="宋体" w:cs="宋体"/>
                <w:color w:val="auto"/>
                <w:highlight w:val="none"/>
                <w:lang w:val="en-US" w:eastAsia="zh-CN"/>
              </w:rPr>
              <w:t>）</w:t>
            </w:r>
          </w:p>
        </w:tc>
        <w:tc>
          <w:tcPr>
            <w:tcW w:w="6574" w:type="dxa"/>
            <w:vAlign w:val="center"/>
          </w:tcPr>
          <w:p w14:paraId="3B2E444E">
            <w:pPr>
              <w:shd w:val="clear" w:color="auto" w:fill="FFFFFF"/>
              <w:adjustRightInd w:val="0"/>
              <w:snapToGrid w:val="0"/>
              <w:spacing w:line="360" w:lineRule="auto"/>
              <w:rPr>
                <w:b/>
                <w:bCs/>
                <w:color w:val="auto"/>
                <w:highlight w:val="none"/>
              </w:rPr>
            </w:pPr>
            <w:r>
              <w:rPr>
                <w:rFonts w:hint="eastAsia"/>
                <w:b/>
                <w:bCs/>
                <w:color w:val="auto"/>
                <w:highlight w:val="none"/>
              </w:rPr>
              <w:t>评标基准价：</w:t>
            </w:r>
            <w:r>
              <w:rPr>
                <w:rFonts w:hint="eastAsia"/>
                <w:color w:val="auto"/>
                <w:highlight w:val="none"/>
              </w:rPr>
              <w:t>满足招标文件要求且价格最低的评标价（含小微企业评标价）为评标基准价，</w:t>
            </w:r>
          </w:p>
          <w:p w14:paraId="00ABC751">
            <w:pPr>
              <w:shd w:val="clear" w:color="auto" w:fill="FFFFFF"/>
              <w:adjustRightInd w:val="0"/>
              <w:snapToGrid w:val="0"/>
              <w:spacing w:line="360" w:lineRule="auto"/>
              <w:rPr>
                <w:b/>
                <w:bCs/>
                <w:color w:val="auto"/>
                <w:highlight w:val="none"/>
              </w:rPr>
            </w:pPr>
            <w:r>
              <w:rPr>
                <w:rFonts w:hint="eastAsia"/>
                <w:b/>
                <w:bCs/>
                <w:color w:val="auto"/>
                <w:highlight w:val="none"/>
              </w:rPr>
              <w:t>投标报价得分计算：</w:t>
            </w:r>
          </w:p>
          <w:p w14:paraId="3889CAF3">
            <w:pPr>
              <w:shd w:val="clear" w:color="auto" w:fill="FFFFFF"/>
              <w:adjustRightInd w:val="0"/>
              <w:snapToGrid w:val="0"/>
              <w:spacing w:line="360" w:lineRule="auto"/>
              <w:rPr>
                <w:color w:val="auto"/>
                <w:highlight w:val="none"/>
              </w:rPr>
            </w:pPr>
            <w:r>
              <w:rPr>
                <w:rFonts w:hint="eastAsia"/>
                <w:color w:val="auto"/>
                <w:highlight w:val="none"/>
              </w:rPr>
              <w:t>投标报价等于评标基准价其价格分为</w:t>
            </w:r>
            <w:r>
              <w:rPr>
                <w:rFonts w:hint="eastAsia"/>
                <w:color w:val="auto"/>
                <w:highlight w:val="none"/>
                <w:lang w:val="en-US" w:eastAsia="zh-CN"/>
              </w:rPr>
              <w:t>10</w:t>
            </w:r>
            <w:r>
              <w:rPr>
                <w:rFonts w:hint="eastAsia"/>
                <w:color w:val="auto"/>
                <w:highlight w:val="none"/>
              </w:rPr>
              <w:t>分。</w:t>
            </w:r>
          </w:p>
          <w:p w14:paraId="20AEB8E1">
            <w:pPr>
              <w:shd w:val="clear" w:color="auto" w:fill="FFFFFF"/>
              <w:adjustRightInd w:val="0"/>
              <w:snapToGrid w:val="0"/>
              <w:spacing w:line="360" w:lineRule="auto"/>
              <w:rPr>
                <w:color w:val="auto"/>
                <w:highlight w:val="none"/>
              </w:rPr>
            </w:pPr>
            <w:r>
              <w:rPr>
                <w:rFonts w:hint="eastAsia"/>
                <w:color w:val="auto"/>
                <w:highlight w:val="none"/>
              </w:rPr>
              <w:t>其他投标人的价格分统一按照下列公式计算：</w:t>
            </w:r>
          </w:p>
          <w:p w14:paraId="3065AC96">
            <w:pPr>
              <w:shd w:val="clear" w:color="auto" w:fill="FFFFFF"/>
              <w:adjustRightInd w:val="0"/>
              <w:snapToGrid w:val="0"/>
              <w:spacing w:line="360" w:lineRule="auto"/>
              <w:rPr>
                <w:rFonts w:hint="eastAsia"/>
                <w:color w:val="auto"/>
                <w:highlight w:val="none"/>
              </w:rPr>
            </w:pPr>
            <w:r>
              <w:rPr>
                <w:rFonts w:hint="eastAsia"/>
                <w:color w:val="auto"/>
                <w:highlight w:val="none"/>
              </w:rPr>
              <w:t>报价得分=(评标基准价／报价)×价格权值（</w:t>
            </w:r>
            <w:r>
              <w:rPr>
                <w:rFonts w:hint="eastAsia"/>
                <w:color w:val="auto"/>
                <w:highlight w:val="none"/>
                <w:lang w:val="en-US" w:eastAsia="zh-CN"/>
              </w:rPr>
              <w:t>10</w:t>
            </w:r>
            <w:r>
              <w:rPr>
                <w:rFonts w:hint="eastAsia"/>
                <w:color w:val="auto"/>
                <w:highlight w:val="none"/>
              </w:rPr>
              <w:t>分）（四舍五入后保留小数点后两位）</w:t>
            </w:r>
          </w:p>
          <w:p w14:paraId="7BD8342E">
            <w:pPr>
              <w:shd w:val="clear" w:color="auto" w:fill="FFFFFF"/>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注：1.评审中出现下列情形之一的，评审委员会应当启动异常低价投标（响应）审查程序：</w:t>
            </w:r>
          </w:p>
          <w:p w14:paraId="4201E64D">
            <w:pPr>
              <w:widowControl/>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（1）投标（响应）报价低于全部通过符合性审查供应商投标（响应）报价平均值</w:t>
            </w:r>
            <w:r>
              <w:rPr>
                <w:rFonts w:hint="eastAsia" w:ascii="宋体" w:hAnsi="宋体" w:cs="宋体"/>
                <w:color w:val="auto"/>
                <w:szCs w:val="21"/>
                <w:highlight w:val="none"/>
                <w:lang w:val="en-US" w:eastAsia="zh-CN"/>
              </w:rPr>
              <w:t>50</w:t>
            </w:r>
            <w:r>
              <w:rPr>
                <w:rFonts w:hint="eastAsia" w:ascii="宋体" w:hAnsi="宋体" w:eastAsia="宋体" w:cs="宋体"/>
                <w:color w:val="auto"/>
                <w:szCs w:val="21"/>
                <w:highlight w:val="none"/>
              </w:rPr>
              <w:t>%的，即投标（响应）报价&lt;全部通过符合性审查供应商投标（响应）报价平均值×</w:t>
            </w:r>
            <w:r>
              <w:rPr>
                <w:rFonts w:hint="eastAsia" w:ascii="宋体" w:hAnsi="宋体" w:cs="宋体"/>
                <w:color w:val="auto"/>
                <w:szCs w:val="21"/>
                <w:highlight w:val="none"/>
                <w:lang w:val="en-US" w:eastAsia="zh-CN"/>
              </w:rPr>
              <w:t>50</w:t>
            </w:r>
            <w:r>
              <w:rPr>
                <w:rFonts w:hint="eastAsia" w:ascii="宋体" w:hAnsi="宋体" w:eastAsia="宋体" w:cs="宋体"/>
                <w:color w:val="auto"/>
                <w:szCs w:val="21"/>
                <w:highlight w:val="none"/>
              </w:rPr>
              <w:t>%；</w:t>
            </w:r>
          </w:p>
          <w:p w14:paraId="745743A8">
            <w:pPr>
              <w:widowControl/>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（2）投标（响应）报价低于通过符合性审查的次低报价供应商投标（响应）报价</w:t>
            </w:r>
            <w:r>
              <w:rPr>
                <w:rFonts w:hint="eastAsia" w:ascii="宋体" w:hAnsi="宋体" w:cs="宋体"/>
                <w:color w:val="auto"/>
                <w:szCs w:val="21"/>
                <w:highlight w:val="none"/>
                <w:lang w:val="en-US" w:eastAsia="zh-CN"/>
              </w:rPr>
              <w:t>50</w:t>
            </w:r>
            <w:r>
              <w:rPr>
                <w:rFonts w:hint="eastAsia" w:ascii="宋体" w:hAnsi="宋体" w:eastAsia="宋体" w:cs="宋体"/>
                <w:color w:val="auto"/>
                <w:szCs w:val="21"/>
                <w:highlight w:val="none"/>
              </w:rPr>
              <w:t>%的，即投标（响应）报价&lt;通过符合性审查的次低报价供应商投标（响应）报价×</w:t>
            </w:r>
            <w:r>
              <w:rPr>
                <w:rFonts w:hint="eastAsia" w:ascii="宋体" w:hAnsi="宋体" w:cs="宋体"/>
                <w:color w:val="auto"/>
                <w:szCs w:val="21"/>
                <w:highlight w:val="none"/>
                <w:lang w:val="en-US" w:eastAsia="zh-CN"/>
              </w:rPr>
              <w:t>50</w:t>
            </w:r>
            <w:r>
              <w:rPr>
                <w:rFonts w:hint="eastAsia" w:ascii="宋体" w:hAnsi="宋体" w:eastAsia="宋体" w:cs="宋体"/>
                <w:color w:val="auto"/>
                <w:szCs w:val="21"/>
                <w:highlight w:val="none"/>
              </w:rPr>
              <w:t>%；</w:t>
            </w:r>
          </w:p>
          <w:p w14:paraId="76EBA1F7">
            <w:pPr>
              <w:widowControl/>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（3）投标（响应）报价低于采购项目最高限价</w:t>
            </w:r>
            <w:r>
              <w:rPr>
                <w:rFonts w:hint="eastAsia" w:ascii="宋体" w:hAnsi="宋体" w:cs="宋体"/>
                <w:color w:val="auto"/>
                <w:szCs w:val="21"/>
                <w:highlight w:val="none"/>
                <w:lang w:val="en-US" w:eastAsia="zh-CN"/>
              </w:rPr>
              <w:t>45</w:t>
            </w:r>
            <w:r>
              <w:rPr>
                <w:rFonts w:hint="eastAsia" w:ascii="宋体" w:hAnsi="宋体" w:eastAsia="宋体" w:cs="宋体"/>
                <w:color w:val="auto"/>
                <w:szCs w:val="21"/>
                <w:highlight w:val="none"/>
              </w:rPr>
              <w:t>%的，即投标（响应）报价&lt;采购项目最高限价×</w:t>
            </w:r>
            <w:r>
              <w:rPr>
                <w:rFonts w:hint="eastAsia" w:ascii="宋体" w:hAnsi="宋体" w:cs="宋体"/>
                <w:color w:val="auto"/>
                <w:szCs w:val="21"/>
                <w:highlight w:val="none"/>
                <w:lang w:val="en-US" w:eastAsia="zh-CN"/>
              </w:rPr>
              <w:t>45</w:t>
            </w:r>
            <w:r>
              <w:rPr>
                <w:rFonts w:hint="eastAsia" w:ascii="宋体" w:hAnsi="宋体" w:eastAsia="宋体" w:cs="宋体"/>
                <w:color w:val="auto"/>
                <w:szCs w:val="21"/>
                <w:highlight w:val="none"/>
              </w:rPr>
              <w:t>%；</w:t>
            </w:r>
          </w:p>
          <w:p w14:paraId="6CF69292">
            <w:pPr>
              <w:widowControl/>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（4）评审委员会基于专业判断，认为供应商报价过低，有可能影响产品质量或者不能诚信履约的其他情形。</w:t>
            </w:r>
          </w:p>
          <w:p w14:paraId="310BA518">
            <w:pPr>
              <w:widowControl/>
              <w:spacing w:line="5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异常低价投标（响应）审查的启动原因、审查意见和审查结果应当在评审报告中记录，并随供应商提供的相关书面说明及证明材料，以及评审委员会有关互联网浏览、查询历史一并归档。</w:t>
            </w:r>
          </w:p>
          <w:p w14:paraId="1B16BD4F">
            <w:pPr>
              <w:widowControl/>
              <w:spacing w:line="500" w:lineRule="exact"/>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超过招标控制价的报价</w:t>
            </w: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人不予接受，做无效标处理。</w:t>
            </w:r>
          </w:p>
          <w:p w14:paraId="34E3A25C">
            <w:pPr>
              <w:widowControl/>
              <w:spacing w:line="500" w:lineRule="exact"/>
              <w:ind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.监狱企业、残疾人福利性企业视同小微企业。</w:t>
            </w:r>
          </w:p>
          <w:p w14:paraId="6470CA90">
            <w:pPr>
              <w:widowControl/>
              <w:spacing w:line="500" w:lineRule="exact"/>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注：（1）企业须提供《中小企业声明函》。</w:t>
            </w:r>
          </w:p>
          <w:p w14:paraId="78FBD538">
            <w:pPr>
              <w:widowControl/>
              <w:spacing w:line="500" w:lineRule="exact"/>
              <w:ind w:firstLine="840" w:firstLineChars="400"/>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根据财政部司法部《关于政府采购支持监狱企业发展有关问题的通知》（财库〔2014〕68号）和财政部民政部中国残疾人联合会《关于促进残疾人就业政府采购政策的通知》（财库〔2017〕141号）规定，监狱企业、残疾人福利性企业，给予企业价格</w:t>
            </w:r>
            <w:r>
              <w:rPr>
                <w:rFonts w:hint="eastAsia" w:ascii="宋体" w:hAnsi="宋体" w:cs="宋体"/>
                <w:color w:val="auto"/>
                <w:szCs w:val="21"/>
                <w:highlight w:val="none"/>
                <w:lang w:val="en-US" w:eastAsia="zh-CN"/>
              </w:rPr>
              <w:t>20</w:t>
            </w:r>
            <w:r>
              <w:rPr>
                <w:rFonts w:hint="eastAsia" w:ascii="宋体" w:hAnsi="宋体" w:eastAsia="宋体" w:cs="宋体"/>
                <w:color w:val="auto"/>
                <w:szCs w:val="21"/>
                <w:highlight w:val="none"/>
              </w:rPr>
              <w:t>%的扣除，扣除后的价格仅用于报价计算分值使用，不做为签订合同的依据。注：若属于监狱企业，须提供由省级以上监狱管理局、戒毒管理局（含新疆生产建设兵团）出具的属于监狱企业的证明文件原件（投标文件附原件扫描件），残疾人福利性企业须有残疾人福利性单位声明函等有效证明文件，否则不予认可。</w:t>
            </w:r>
          </w:p>
          <w:p w14:paraId="373E5F83">
            <w:pPr>
              <w:pStyle w:val="2"/>
              <w:spacing w:line="360" w:lineRule="auto"/>
              <w:ind w:left="0" w:leftChars="0" w:firstLine="420" w:firstLineChars="200"/>
              <w:rPr>
                <w:color w:val="auto"/>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）本项目专门面向中小企业采购，小微企业不再享受价格扣除的优惠政策。</w:t>
            </w:r>
          </w:p>
        </w:tc>
      </w:tr>
      <w:tr w14:paraId="07B7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614" w:type="dxa"/>
            <w:vMerge w:val="restart"/>
            <w:vAlign w:val="center"/>
          </w:tcPr>
          <w:p w14:paraId="262E6754">
            <w:pPr>
              <w:widowControl/>
              <w:spacing w:line="360" w:lineRule="auto"/>
              <w:jc w:val="center"/>
              <w:rPr>
                <w:rFonts w:ascii="宋体" w:hAnsi="宋体" w:cs="宋体"/>
                <w:color w:val="auto"/>
                <w:szCs w:val="21"/>
                <w:highlight w:val="none"/>
              </w:rPr>
            </w:pPr>
            <w:r>
              <w:rPr>
                <w:rFonts w:hint="eastAsia" w:ascii="宋体" w:hAnsi="宋体" w:cs="宋体"/>
                <w:color w:val="auto"/>
                <w:szCs w:val="21"/>
                <w:highlight w:val="none"/>
              </w:rPr>
              <w:t>2.2.2（2）</w:t>
            </w:r>
            <w:r>
              <w:rPr>
                <w:rFonts w:hint="eastAsia"/>
                <w:color w:val="auto"/>
                <w:highlight w:val="none"/>
              </w:rPr>
              <w:t>技术标评分（</w:t>
            </w:r>
            <w:r>
              <w:rPr>
                <w:rFonts w:hint="eastAsia"/>
                <w:color w:val="auto"/>
                <w:highlight w:val="none"/>
                <w:lang w:val="en-US" w:eastAsia="zh-CN"/>
              </w:rPr>
              <w:t>65</w:t>
            </w:r>
            <w:r>
              <w:rPr>
                <w:rFonts w:hint="eastAsia"/>
                <w:color w:val="auto"/>
                <w:highlight w:val="none"/>
              </w:rPr>
              <w:t>分）</w:t>
            </w:r>
          </w:p>
        </w:tc>
        <w:tc>
          <w:tcPr>
            <w:tcW w:w="1324" w:type="dxa"/>
            <w:vAlign w:val="center"/>
          </w:tcPr>
          <w:p w14:paraId="017E953C">
            <w:pPr>
              <w:jc w:val="center"/>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项目组织机构（10分）</w:t>
            </w:r>
          </w:p>
        </w:tc>
        <w:tc>
          <w:tcPr>
            <w:tcW w:w="6574" w:type="dxa"/>
            <w:vAlign w:val="center"/>
          </w:tcPr>
          <w:p w14:paraId="1717D55B">
            <w:pPr>
              <w:spacing w:line="440" w:lineRule="exact"/>
              <w:rPr>
                <w:rFonts w:hint="eastAsia" w:eastAsia="宋体"/>
                <w:color w:val="auto"/>
                <w:highlight w:val="none"/>
                <w:lang w:val="en-US" w:eastAsia="zh-CN"/>
              </w:rPr>
            </w:pPr>
            <w:r>
              <w:rPr>
                <w:rFonts w:hint="eastAsia" w:eastAsia="宋体"/>
                <w:color w:val="auto"/>
                <w:highlight w:val="none"/>
                <w:lang w:val="en-US" w:eastAsia="zh-CN"/>
              </w:rPr>
              <w:t>根据投标人提供的项目组织机构设置方案综合评定：</w:t>
            </w:r>
          </w:p>
          <w:p w14:paraId="28EF5576">
            <w:pPr>
              <w:spacing w:line="440" w:lineRule="exact"/>
              <w:rPr>
                <w:rFonts w:hint="eastAsia" w:eastAsia="宋体"/>
                <w:color w:val="auto"/>
                <w:highlight w:val="none"/>
                <w:lang w:val="en-US" w:eastAsia="zh-CN"/>
              </w:rPr>
            </w:pPr>
            <w:r>
              <w:rPr>
                <w:rFonts w:hint="eastAsia" w:eastAsia="宋体"/>
                <w:color w:val="auto"/>
                <w:highlight w:val="none"/>
                <w:lang w:val="en-US" w:eastAsia="zh-CN"/>
              </w:rPr>
              <w:t>项目组织机构设置非常合理、职能非常清晰的得</w:t>
            </w:r>
            <w:r>
              <w:rPr>
                <w:rFonts w:hint="eastAsia"/>
                <w:color w:val="auto"/>
                <w:highlight w:val="none"/>
                <w:lang w:val="en-US" w:eastAsia="zh-CN"/>
              </w:rPr>
              <w:t>10</w:t>
            </w:r>
            <w:r>
              <w:rPr>
                <w:rFonts w:hint="eastAsia" w:eastAsia="宋体"/>
                <w:color w:val="auto"/>
                <w:highlight w:val="none"/>
                <w:lang w:val="en-US" w:eastAsia="zh-CN"/>
              </w:rPr>
              <w:t>分；</w:t>
            </w:r>
          </w:p>
          <w:p w14:paraId="70474C02">
            <w:pPr>
              <w:spacing w:line="440" w:lineRule="exact"/>
              <w:rPr>
                <w:rFonts w:hint="eastAsia" w:eastAsia="宋体"/>
                <w:color w:val="auto"/>
                <w:highlight w:val="none"/>
                <w:lang w:val="en-US" w:eastAsia="zh-CN"/>
              </w:rPr>
            </w:pPr>
            <w:r>
              <w:rPr>
                <w:rFonts w:hint="eastAsia" w:eastAsia="宋体"/>
                <w:color w:val="auto"/>
                <w:highlight w:val="none"/>
                <w:lang w:val="en-US" w:eastAsia="zh-CN"/>
              </w:rPr>
              <w:t>项目组织机构设置比较合理、职能比较清晰的得</w:t>
            </w:r>
            <w:r>
              <w:rPr>
                <w:rFonts w:hint="eastAsia"/>
                <w:color w:val="auto"/>
                <w:highlight w:val="none"/>
                <w:lang w:val="en-US" w:eastAsia="zh-CN"/>
              </w:rPr>
              <w:t>7</w:t>
            </w:r>
            <w:r>
              <w:rPr>
                <w:rFonts w:hint="eastAsia" w:eastAsia="宋体"/>
                <w:color w:val="auto"/>
                <w:highlight w:val="none"/>
                <w:lang w:val="en-US" w:eastAsia="zh-CN"/>
              </w:rPr>
              <w:t>分；</w:t>
            </w:r>
          </w:p>
          <w:p w14:paraId="2B5FC56D">
            <w:pPr>
              <w:spacing w:line="440" w:lineRule="exact"/>
              <w:rPr>
                <w:rFonts w:hint="eastAsia" w:eastAsia="宋体"/>
                <w:color w:val="auto"/>
                <w:highlight w:val="none"/>
                <w:lang w:val="en-US" w:eastAsia="zh-CN"/>
              </w:rPr>
            </w:pPr>
            <w:r>
              <w:rPr>
                <w:rFonts w:hint="eastAsia" w:eastAsia="宋体"/>
                <w:color w:val="auto"/>
                <w:highlight w:val="none"/>
                <w:lang w:val="en-US" w:eastAsia="zh-CN"/>
              </w:rPr>
              <w:t>项目组织机构设置不够合理、职能不够清晰的得</w:t>
            </w:r>
            <w:r>
              <w:rPr>
                <w:rFonts w:hint="eastAsia"/>
                <w:color w:val="auto"/>
                <w:highlight w:val="none"/>
                <w:lang w:val="en-US" w:eastAsia="zh-CN"/>
              </w:rPr>
              <w:t>4</w:t>
            </w:r>
            <w:r>
              <w:rPr>
                <w:rFonts w:hint="eastAsia" w:eastAsia="宋体"/>
                <w:color w:val="auto"/>
                <w:highlight w:val="none"/>
                <w:lang w:val="en-US" w:eastAsia="zh-CN"/>
              </w:rPr>
              <w:t>分；</w:t>
            </w:r>
          </w:p>
          <w:p w14:paraId="07B6D5F6">
            <w:pPr>
              <w:spacing w:line="440" w:lineRule="exact"/>
              <w:rPr>
                <w:rFonts w:hint="eastAsia" w:eastAsia="宋体"/>
                <w:color w:val="auto"/>
                <w:highlight w:val="none"/>
                <w:lang w:val="en-US" w:eastAsia="zh-CN"/>
              </w:rPr>
            </w:pPr>
            <w:r>
              <w:rPr>
                <w:rFonts w:hint="eastAsia" w:eastAsia="宋体"/>
                <w:color w:val="auto"/>
                <w:highlight w:val="none"/>
                <w:lang w:val="en-US" w:eastAsia="zh-CN"/>
              </w:rPr>
              <w:t>缺项的得0分。</w:t>
            </w:r>
          </w:p>
        </w:tc>
      </w:tr>
      <w:tr w14:paraId="7489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614" w:type="dxa"/>
            <w:vMerge w:val="continue"/>
            <w:vAlign w:val="center"/>
          </w:tcPr>
          <w:p w14:paraId="3E5015A6">
            <w:pPr>
              <w:spacing w:line="360" w:lineRule="auto"/>
              <w:rPr>
                <w:color w:val="auto"/>
                <w:highlight w:val="none"/>
              </w:rPr>
            </w:pPr>
          </w:p>
        </w:tc>
        <w:tc>
          <w:tcPr>
            <w:tcW w:w="1324" w:type="dxa"/>
            <w:vAlign w:val="center"/>
          </w:tcPr>
          <w:p w14:paraId="34F9AB4E">
            <w:pPr>
              <w:jc w:val="center"/>
              <w:rPr>
                <w:rFonts w:hint="eastAsia" w:eastAsia="宋体"/>
                <w:color w:val="auto"/>
                <w:highlight w:val="none"/>
                <w:lang w:eastAsia="zh-CN"/>
              </w:rPr>
            </w:pPr>
            <w:r>
              <w:rPr>
                <w:rFonts w:hint="eastAsia" w:eastAsia="宋体"/>
                <w:color w:val="auto"/>
                <w:highlight w:val="none"/>
                <w:lang w:eastAsia="zh-CN"/>
              </w:rPr>
              <w:t>项目主要人员岗位职责（</w:t>
            </w:r>
            <w:r>
              <w:rPr>
                <w:rFonts w:hint="eastAsia"/>
                <w:color w:val="auto"/>
                <w:highlight w:val="none"/>
                <w:lang w:val="en-US" w:eastAsia="zh-CN"/>
              </w:rPr>
              <w:t>8</w:t>
            </w:r>
            <w:r>
              <w:rPr>
                <w:rFonts w:hint="eastAsia" w:eastAsia="宋体"/>
                <w:color w:val="auto"/>
                <w:highlight w:val="none"/>
                <w:lang w:eastAsia="zh-CN"/>
              </w:rPr>
              <w:t>分）</w:t>
            </w:r>
          </w:p>
        </w:tc>
        <w:tc>
          <w:tcPr>
            <w:tcW w:w="6574" w:type="dxa"/>
            <w:vAlign w:val="center"/>
          </w:tcPr>
          <w:p w14:paraId="2809CE36">
            <w:pPr>
              <w:jc w:val="left"/>
              <w:rPr>
                <w:rFonts w:hint="eastAsia"/>
                <w:color w:val="auto"/>
                <w:highlight w:val="none"/>
              </w:rPr>
            </w:pPr>
            <w:r>
              <w:rPr>
                <w:rFonts w:hint="eastAsia"/>
                <w:color w:val="auto"/>
                <w:highlight w:val="none"/>
              </w:rPr>
              <w:t>根据投标人提供的项目主要人员岗位职责方案综合评定：</w:t>
            </w:r>
          </w:p>
          <w:p w14:paraId="0E186EC3">
            <w:pPr>
              <w:jc w:val="left"/>
              <w:rPr>
                <w:rFonts w:hint="eastAsia"/>
                <w:color w:val="auto"/>
                <w:highlight w:val="none"/>
              </w:rPr>
            </w:pPr>
            <w:r>
              <w:rPr>
                <w:rFonts w:hint="eastAsia"/>
                <w:color w:val="auto"/>
                <w:highlight w:val="none"/>
              </w:rPr>
              <w:t>项目主要人员分工非常合理、岗位职责非常明确的得</w:t>
            </w:r>
            <w:r>
              <w:rPr>
                <w:rFonts w:hint="eastAsia"/>
                <w:color w:val="auto"/>
                <w:highlight w:val="none"/>
                <w:lang w:val="en-US" w:eastAsia="zh-CN"/>
              </w:rPr>
              <w:t>8</w:t>
            </w:r>
            <w:r>
              <w:rPr>
                <w:rFonts w:hint="eastAsia"/>
                <w:color w:val="auto"/>
                <w:highlight w:val="none"/>
              </w:rPr>
              <w:t>分；</w:t>
            </w:r>
          </w:p>
          <w:p w14:paraId="36CCEC32">
            <w:pPr>
              <w:jc w:val="left"/>
              <w:rPr>
                <w:rFonts w:hint="eastAsia"/>
                <w:color w:val="auto"/>
                <w:highlight w:val="none"/>
              </w:rPr>
            </w:pPr>
            <w:r>
              <w:rPr>
                <w:rFonts w:hint="eastAsia"/>
                <w:color w:val="auto"/>
                <w:highlight w:val="none"/>
              </w:rPr>
              <w:t>项目主要人员分工比较合理、岗位职责比较明确的得</w:t>
            </w:r>
            <w:r>
              <w:rPr>
                <w:rFonts w:hint="eastAsia"/>
                <w:color w:val="auto"/>
                <w:highlight w:val="none"/>
                <w:lang w:val="en-US" w:eastAsia="zh-CN"/>
              </w:rPr>
              <w:t>4</w:t>
            </w:r>
            <w:r>
              <w:rPr>
                <w:rFonts w:hint="eastAsia"/>
                <w:color w:val="auto"/>
                <w:highlight w:val="none"/>
              </w:rPr>
              <w:t>分；</w:t>
            </w:r>
          </w:p>
          <w:p w14:paraId="13E77EE5">
            <w:pPr>
              <w:jc w:val="left"/>
              <w:rPr>
                <w:rFonts w:hint="eastAsia"/>
                <w:color w:val="auto"/>
                <w:highlight w:val="none"/>
              </w:rPr>
            </w:pPr>
            <w:r>
              <w:rPr>
                <w:rFonts w:hint="eastAsia"/>
                <w:color w:val="auto"/>
                <w:highlight w:val="none"/>
              </w:rPr>
              <w:t>项目主要人员分工不够合理、岗位职责不够明确的得</w:t>
            </w:r>
            <w:r>
              <w:rPr>
                <w:rFonts w:hint="eastAsia"/>
                <w:color w:val="auto"/>
                <w:highlight w:val="none"/>
                <w:lang w:val="en-US" w:eastAsia="zh-CN"/>
              </w:rPr>
              <w:t>3</w:t>
            </w:r>
            <w:r>
              <w:rPr>
                <w:rFonts w:hint="eastAsia"/>
                <w:color w:val="auto"/>
                <w:highlight w:val="none"/>
              </w:rPr>
              <w:t>分；</w:t>
            </w:r>
          </w:p>
          <w:p w14:paraId="6B039713">
            <w:pPr>
              <w:jc w:val="left"/>
              <w:rPr>
                <w:color w:val="auto"/>
                <w:highlight w:val="none"/>
              </w:rPr>
            </w:pPr>
            <w:r>
              <w:rPr>
                <w:rFonts w:hint="eastAsia"/>
                <w:color w:val="auto"/>
                <w:highlight w:val="none"/>
              </w:rPr>
              <w:t>缺项的得0分。</w:t>
            </w:r>
          </w:p>
        </w:tc>
      </w:tr>
      <w:tr w14:paraId="0497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614" w:type="dxa"/>
            <w:vMerge w:val="continue"/>
            <w:vAlign w:val="center"/>
          </w:tcPr>
          <w:p w14:paraId="1F7207FD">
            <w:pPr>
              <w:spacing w:line="360" w:lineRule="auto"/>
              <w:rPr>
                <w:color w:val="auto"/>
                <w:highlight w:val="none"/>
              </w:rPr>
            </w:pPr>
          </w:p>
        </w:tc>
        <w:tc>
          <w:tcPr>
            <w:tcW w:w="1324" w:type="dxa"/>
            <w:vAlign w:val="center"/>
          </w:tcPr>
          <w:p w14:paraId="5EE10179">
            <w:pPr>
              <w:jc w:val="center"/>
              <w:rPr>
                <w:rFonts w:hint="eastAsia"/>
                <w:color w:val="auto"/>
                <w:highlight w:val="none"/>
                <w:lang w:eastAsia="zh-CN"/>
              </w:rPr>
            </w:pPr>
            <w:r>
              <w:rPr>
                <w:rFonts w:hint="eastAsia"/>
                <w:color w:val="auto"/>
                <w:highlight w:val="none"/>
                <w:lang w:eastAsia="zh-CN"/>
              </w:rPr>
              <w:t>项目工作内容（</w:t>
            </w:r>
            <w:r>
              <w:rPr>
                <w:rFonts w:hint="eastAsia"/>
                <w:color w:val="auto"/>
                <w:highlight w:val="none"/>
                <w:lang w:val="en-US" w:eastAsia="zh-CN"/>
              </w:rPr>
              <w:t>6</w:t>
            </w:r>
            <w:r>
              <w:rPr>
                <w:rFonts w:hint="eastAsia"/>
                <w:color w:val="auto"/>
                <w:highlight w:val="none"/>
                <w:lang w:eastAsia="zh-CN"/>
              </w:rPr>
              <w:t>分）</w:t>
            </w:r>
          </w:p>
        </w:tc>
        <w:tc>
          <w:tcPr>
            <w:tcW w:w="6574" w:type="dxa"/>
            <w:vAlign w:val="center"/>
          </w:tcPr>
          <w:p w14:paraId="7ECE3545">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根据投标人提供的项目工作内容综合评定：</w:t>
            </w:r>
          </w:p>
          <w:p w14:paraId="7E1F6B6E">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工作内容非常全面、思路非常清晰、操作性非常强的得6分；</w:t>
            </w:r>
          </w:p>
          <w:p w14:paraId="7C88CA39">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工作内容比较全面、思路比较清晰、操作性比较强的得4分；</w:t>
            </w:r>
          </w:p>
          <w:p w14:paraId="1D55E508">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工作内容不够全面、思路不够清晰、操作性差的得2分；</w:t>
            </w:r>
          </w:p>
          <w:p w14:paraId="0F31E4F3">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缺项的得0分。</w:t>
            </w:r>
          </w:p>
        </w:tc>
      </w:tr>
      <w:tr w14:paraId="1DDB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614" w:type="dxa"/>
            <w:vMerge w:val="continue"/>
            <w:vAlign w:val="center"/>
          </w:tcPr>
          <w:p w14:paraId="2771B466">
            <w:pPr>
              <w:spacing w:line="360" w:lineRule="auto"/>
              <w:rPr>
                <w:color w:val="auto"/>
                <w:highlight w:val="none"/>
              </w:rPr>
            </w:pPr>
          </w:p>
        </w:tc>
        <w:tc>
          <w:tcPr>
            <w:tcW w:w="1324" w:type="dxa"/>
            <w:vAlign w:val="center"/>
          </w:tcPr>
          <w:p w14:paraId="650A3D38">
            <w:pPr>
              <w:jc w:val="center"/>
              <w:rPr>
                <w:rFonts w:hint="eastAsia"/>
                <w:color w:val="auto"/>
                <w:highlight w:val="none"/>
                <w:lang w:eastAsia="zh-CN"/>
              </w:rPr>
            </w:pPr>
            <w:r>
              <w:rPr>
                <w:rFonts w:hint="eastAsia"/>
                <w:color w:val="auto"/>
                <w:highlight w:val="none"/>
                <w:lang w:eastAsia="zh-CN"/>
              </w:rPr>
              <w:t>项目工作流程（6分）</w:t>
            </w:r>
          </w:p>
        </w:tc>
        <w:tc>
          <w:tcPr>
            <w:tcW w:w="6574" w:type="dxa"/>
            <w:vAlign w:val="center"/>
          </w:tcPr>
          <w:p w14:paraId="58E444E7">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根据投标人提供的项目工作流程综合评定：</w:t>
            </w:r>
          </w:p>
          <w:p w14:paraId="7C14B122">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工作流程非常完整、工序衔接非常合理、操作性非常强的得6分；</w:t>
            </w:r>
          </w:p>
          <w:p w14:paraId="133B2971">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工作流程比较完整、工序衔接比较合理、操作性比较强的得4分；</w:t>
            </w:r>
          </w:p>
          <w:p w14:paraId="7B2537A1">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工作流程不够完整、工序衔接不够合理、操作性差的得2分；</w:t>
            </w:r>
          </w:p>
          <w:p w14:paraId="1D9E5D31">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缺项的得0分。</w:t>
            </w:r>
          </w:p>
        </w:tc>
      </w:tr>
      <w:tr w14:paraId="716EB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614" w:type="dxa"/>
            <w:vMerge w:val="continue"/>
            <w:vAlign w:val="center"/>
          </w:tcPr>
          <w:p w14:paraId="56DD4823">
            <w:pPr>
              <w:spacing w:line="360" w:lineRule="auto"/>
              <w:rPr>
                <w:color w:val="auto"/>
                <w:highlight w:val="none"/>
              </w:rPr>
            </w:pPr>
          </w:p>
        </w:tc>
        <w:tc>
          <w:tcPr>
            <w:tcW w:w="1324" w:type="dxa"/>
            <w:vAlign w:val="center"/>
          </w:tcPr>
          <w:p w14:paraId="20E32377">
            <w:pPr>
              <w:jc w:val="center"/>
              <w:rPr>
                <w:rFonts w:hint="eastAsia"/>
                <w:color w:val="auto"/>
                <w:highlight w:val="none"/>
                <w:lang w:eastAsia="zh-CN"/>
              </w:rPr>
            </w:pPr>
            <w:r>
              <w:rPr>
                <w:rFonts w:hint="eastAsia"/>
                <w:color w:val="auto"/>
                <w:highlight w:val="none"/>
                <w:lang w:eastAsia="zh-CN"/>
              </w:rPr>
              <w:t>现有数据成果的利用方案（8分）</w:t>
            </w:r>
          </w:p>
        </w:tc>
        <w:tc>
          <w:tcPr>
            <w:tcW w:w="6574" w:type="dxa"/>
            <w:vAlign w:val="center"/>
          </w:tcPr>
          <w:p w14:paraId="45333FEC">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根据投标人提供的现有数据成果利用方案综合评定：</w:t>
            </w:r>
          </w:p>
          <w:p w14:paraId="74A32F86">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现有数据成果利用非常充分、利用方式非常合理的得8分；</w:t>
            </w:r>
          </w:p>
          <w:p w14:paraId="7B7AEF24">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现有数据成果利用比较充分、利用方式比较合理的得5分；</w:t>
            </w:r>
          </w:p>
          <w:p w14:paraId="3B4498D4">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现有数据成果利用不够充分、利用方式不够合理的得2分；</w:t>
            </w:r>
          </w:p>
          <w:p w14:paraId="7C0BE85C">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缺项的得0分。</w:t>
            </w:r>
          </w:p>
        </w:tc>
      </w:tr>
      <w:tr w14:paraId="6588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614" w:type="dxa"/>
            <w:vMerge w:val="continue"/>
            <w:vAlign w:val="center"/>
          </w:tcPr>
          <w:p w14:paraId="3E0869E1">
            <w:pPr>
              <w:spacing w:line="360" w:lineRule="auto"/>
              <w:rPr>
                <w:color w:val="auto"/>
                <w:highlight w:val="none"/>
              </w:rPr>
            </w:pPr>
          </w:p>
        </w:tc>
        <w:tc>
          <w:tcPr>
            <w:tcW w:w="1324" w:type="dxa"/>
            <w:vAlign w:val="center"/>
          </w:tcPr>
          <w:p w14:paraId="7BDCB3BF">
            <w:pPr>
              <w:jc w:val="center"/>
              <w:rPr>
                <w:rFonts w:hint="eastAsia"/>
                <w:color w:val="auto"/>
                <w:highlight w:val="none"/>
                <w:lang w:eastAsia="zh-CN"/>
              </w:rPr>
            </w:pPr>
            <w:r>
              <w:rPr>
                <w:rFonts w:hint="eastAsia"/>
                <w:color w:val="auto"/>
                <w:highlight w:val="none"/>
                <w:lang w:eastAsia="zh-CN"/>
              </w:rPr>
              <w:t>项目实施计划（</w:t>
            </w:r>
            <w:r>
              <w:rPr>
                <w:rFonts w:hint="eastAsia"/>
                <w:color w:val="auto"/>
                <w:highlight w:val="none"/>
                <w:lang w:val="en-US" w:eastAsia="zh-CN"/>
              </w:rPr>
              <w:t>8</w:t>
            </w:r>
            <w:r>
              <w:rPr>
                <w:rFonts w:hint="eastAsia"/>
                <w:color w:val="auto"/>
                <w:highlight w:val="none"/>
                <w:lang w:eastAsia="zh-CN"/>
              </w:rPr>
              <w:t>分）</w:t>
            </w:r>
          </w:p>
        </w:tc>
        <w:tc>
          <w:tcPr>
            <w:tcW w:w="6574" w:type="dxa"/>
            <w:vAlign w:val="center"/>
          </w:tcPr>
          <w:p w14:paraId="1A2D03F5">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根据投标人提供的项目实施计划综合评定：</w:t>
            </w:r>
          </w:p>
          <w:p w14:paraId="5A0D5CB5">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项目实施计划内容非常详细、安排非常合理的得8分；</w:t>
            </w:r>
          </w:p>
          <w:p w14:paraId="4F7A9F8D">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项目实施计划内容比较详细、安排比较合理的得5分；</w:t>
            </w:r>
          </w:p>
          <w:p w14:paraId="3FEB60F1">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项目实施计划内容不够详细、安排不够合理的得2分；</w:t>
            </w:r>
          </w:p>
          <w:p w14:paraId="1F167681">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缺项的得0分。</w:t>
            </w:r>
          </w:p>
        </w:tc>
      </w:tr>
      <w:tr w14:paraId="0DE9D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614" w:type="dxa"/>
            <w:vMerge w:val="continue"/>
            <w:vAlign w:val="center"/>
          </w:tcPr>
          <w:p w14:paraId="637F5D21">
            <w:pPr>
              <w:spacing w:line="360" w:lineRule="auto"/>
              <w:rPr>
                <w:color w:val="auto"/>
                <w:highlight w:val="none"/>
              </w:rPr>
            </w:pPr>
          </w:p>
        </w:tc>
        <w:tc>
          <w:tcPr>
            <w:tcW w:w="1324" w:type="dxa"/>
            <w:vAlign w:val="center"/>
          </w:tcPr>
          <w:p w14:paraId="3A3AA30C">
            <w:pPr>
              <w:jc w:val="center"/>
              <w:rPr>
                <w:rFonts w:hint="eastAsia"/>
                <w:color w:val="auto"/>
                <w:highlight w:val="none"/>
                <w:lang w:eastAsia="zh-CN"/>
              </w:rPr>
            </w:pPr>
            <w:r>
              <w:rPr>
                <w:rFonts w:hint="eastAsia"/>
                <w:color w:val="auto"/>
                <w:highlight w:val="none"/>
                <w:lang w:eastAsia="zh-CN"/>
              </w:rPr>
              <w:t>确保项目质量的技术和组织措施（</w:t>
            </w:r>
            <w:r>
              <w:rPr>
                <w:rFonts w:hint="eastAsia"/>
                <w:color w:val="auto"/>
                <w:highlight w:val="none"/>
                <w:lang w:val="en-US" w:eastAsia="zh-CN"/>
              </w:rPr>
              <w:t>6</w:t>
            </w:r>
            <w:r>
              <w:rPr>
                <w:rFonts w:hint="eastAsia"/>
                <w:color w:val="auto"/>
                <w:highlight w:val="none"/>
                <w:lang w:eastAsia="zh-CN"/>
              </w:rPr>
              <w:t>分）</w:t>
            </w:r>
          </w:p>
        </w:tc>
        <w:tc>
          <w:tcPr>
            <w:tcW w:w="6574" w:type="dxa"/>
            <w:vAlign w:val="center"/>
          </w:tcPr>
          <w:p w14:paraId="71DD3559">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根据投标人提供的确保项目质量的技术和组织措施综合评定：</w:t>
            </w:r>
          </w:p>
          <w:p w14:paraId="33DD96E9">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技术措施非常详细、组织措施非常合理的得6分；</w:t>
            </w:r>
          </w:p>
          <w:p w14:paraId="216DE7AD">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技术措施比较详细、组织措施比较合理的得3分；</w:t>
            </w:r>
          </w:p>
          <w:p w14:paraId="6455F6FE">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技术措施不够详细、组织措施不够合理的得1.5分；</w:t>
            </w:r>
          </w:p>
          <w:p w14:paraId="0604FE6A">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缺项的得0分。</w:t>
            </w:r>
          </w:p>
        </w:tc>
      </w:tr>
      <w:tr w14:paraId="58095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614" w:type="dxa"/>
            <w:vMerge w:val="continue"/>
            <w:vAlign w:val="center"/>
          </w:tcPr>
          <w:p w14:paraId="1D701C20">
            <w:pPr>
              <w:spacing w:line="360" w:lineRule="auto"/>
              <w:rPr>
                <w:color w:val="auto"/>
                <w:highlight w:val="none"/>
              </w:rPr>
            </w:pPr>
          </w:p>
        </w:tc>
        <w:tc>
          <w:tcPr>
            <w:tcW w:w="1324" w:type="dxa"/>
            <w:vAlign w:val="center"/>
          </w:tcPr>
          <w:p w14:paraId="3CF3164E">
            <w:pPr>
              <w:jc w:val="center"/>
              <w:rPr>
                <w:rFonts w:hint="eastAsia"/>
                <w:color w:val="auto"/>
                <w:highlight w:val="none"/>
                <w:lang w:eastAsia="zh-CN"/>
              </w:rPr>
            </w:pPr>
            <w:r>
              <w:rPr>
                <w:rFonts w:hint="eastAsia"/>
                <w:color w:val="auto"/>
                <w:highlight w:val="none"/>
                <w:lang w:eastAsia="zh-CN"/>
              </w:rPr>
              <w:t>数据保密措施（8分）</w:t>
            </w:r>
          </w:p>
        </w:tc>
        <w:tc>
          <w:tcPr>
            <w:tcW w:w="6574" w:type="dxa"/>
            <w:vAlign w:val="center"/>
          </w:tcPr>
          <w:p w14:paraId="0BF6D884">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根据投标人提供的数据保密措施综合评定：</w:t>
            </w:r>
          </w:p>
          <w:p w14:paraId="12945A7B">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数据保密措施非常全面、制度非常完善、方式非常合理的得8分；</w:t>
            </w:r>
          </w:p>
          <w:p w14:paraId="0622551C">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数据保密措施比较全面、制度比较完善、方式比较合理的得5分；</w:t>
            </w:r>
          </w:p>
          <w:p w14:paraId="68DB498E">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数据保密措施不够全面、制度不够完善、方式不够合理的得2.5分；</w:t>
            </w:r>
          </w:p>
          <w:p w14:paraId="4E49605A">
            <w:pPr>
              <w:spacing w:line="360" w:lineRule="auto"/>
              <w:jc w:val="left"/>
              <w:rPr>
                <w:rFonts w:hint="eastAsia" w:ascii="宋体" w:hAnsi="宋体" w:cs="宋体fal"/>
                <w:color w:val="auto"/>
                <w:szCs w:val="21"/>
                <w:highlight w:val="none"/>
                <w:lang w:val="en-US" w:eastAsia="zh-CN"/>
              </w:rPr>
            </w:pPr>
            <w:r>
              <w:rPr>
                <w:rFonts w:hint="eastAsia" w:ascii="宋体" w:hAnsi="宋体" w:cs="宋体fal"/>
                <w:color w:val="auto"/>
                <w:szCs w:val="21"/>
                <w:highlight w:val="none"/>
                <w:lang w:val="en-US" w:eastAsia="zh-CN"/>
              </w:rPr>
              <w:t>缺项的得0分。</w:t>
            </w:r>
          </w:p>
        </w:tc>
      </w:tr>
      <w:tr w14:paraId="0314D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614" w:type="dxa"/>
            <w:vMerge w:val="continue"/>
            <w:vAlign w:val="center"/>
          </w:tcPr>
          <w:p w14:paraId="572BE3A6">
            <w:pPr>
              <w:spacing w:line="360" w:lineRule="auto"/>
              <w:rPr>
                <w:color w:val="auto"/>
                <w:highlight w:val="none"/>
              </w:rPr>
            </w:pPr>
          </w:p>
        </w:tc>
        <w:tc>
          <w:tcPr>
            <w:tcW w:w="1324" w:type="dxa"/>
            <w:vAlign w:val="center"/>
          </w:tcPr>
          <w:p w14:paraId="155EE2C0">
            <w:pPr>
              <w:spacing w:line="360" w:lineRule="auto"/>
              <w:jc w:val="left"/>
              <w:rPr>
                <w:rFonts w:hint="eastAsia" w:ascii="Times New Roman" w:hAnsi="Times New Roman" w:eastAsia="宋体" w:cs="Times New Roman"/>
                <w:color w:val="auto"/>
                <w:kern w:val="2"/>
                <w:sz w:val="21"/>
                <w:szCs w:val="24"/>
                <w:highlight w:val="none"/>
                <w:lang w:val="en-US" w:eastAsia="zh-CN" w:bidi="ar-SA"/>
              </w:rPr>
            </w:pPr>
            <w:r>
              <w:rPr>
                <w:color w:val="auto"/>
                <w:szCs w:val="21"/>
                <w:highlight w:val="none"/>
              </w:rPr>
              <w:t>关键点、</w:t>
            </w:r>
            <w:r>
              <w:rPr>
                <w:color w:val="auto"/>
                <w:highlight w:val="none"/>
              </w:rPr>
              <w:t>难点分析（</w:t>
            </w:r>
            <w:r>
              <w:rPr>
                <w:rFonts w:hint="eastAsia"/>
                <w:color w:val="auto"/>
                <w:highlight w:val="none"/>
                <w:lang w:val="en-US" w:eastAsia="zh-CN"/>
              </w:rPr>
              <w:t>5</w:t>
            </w:r>
            <w:r>
              <w:rPr>
                <w:color w:val="auto"/>
                <w:highlight w:val="none"/>
              </w:rPr>
              <w:t>分）</w:t>
            </w:r>
          </w:p>
        </w:tc>
        <w:tc>
          <w:tcPr>
            <w:tcW w:w="6574" w:type="dxa"/>
            <w:vAlign w:val="center"/>
          </w:tcPr>
          <w:p w14:paraId="7C96A817">
            <w:pPr>
              <w:spacing w:line="360" w:lineRule="auto"/>
              <w:jc w:val="left"/>
              <w:rPr>
                <w:color w:val="auto"/>
                <w:szCs w:val="21"/>
                <w:highlight w:val="none"/>
              </w:rPr>
            </w:pPr>
            <w:r>
              <w:rPr>
                <w:color w:val="auto"/>
                <w:szCs w:val="21"/>
                <w:highlight w:val="none"/>
              </w:rPr>
              <w:t>对项目实施内容的关键点、难点的理解分析及对策（得0-</w:t>
            </w:r>
            <w:r>
              <w:rPr>
                <w:rFonts w:hint="eastAsia"/>
                <w:color w:val="auto"/>
                <w:szCs w:val="21"/>
                <w:highlight w:val="none"/>
                <w:lang w:val="en-US" w:eastAsia="zh-CN"/>
              </w:rPr>
              <w:t>5</w:t>
            </w:r>
            <w:r>
              <w:rPr>
                <w:color w:val="auto"/>
                <w:szCs w:val="21"/>
                <w:highlight w:val="none"/>
              </w:rPr>
              <w:t>分）。</w:t>
            </w:r>
          </w:p>
          <w:p w14:paraId="3CAF4276">
            <w:pPr>
              <w:spacing w:line="360" w:lineRule="auto"/>
              <w:jc w:val="left"/>
              <w:rPr>
                <w:rFonts w:hint="eastAsia" w:ascii="宋体" w:hAnsi="宋体" w:cs="宋体fal"/>
                <w:color w:val="auto"/>
                <w:szCs w:val="21"/>
                <w:highlight w:val="none"/>
                <w:lang w:val="en-US" w:eastAsia="zh-CN"/>
              </w:rPr>
            </w:pPr>
            <w:r>
              <w:rPr>
                <w:color w:val="auto"/>
                <w:szCs w:val="21"/>
                <w:highlight w:val="none"/>
              </w:rPr>
              <w:t>项目实施内容的关键点、难点的理解分析及对策</w:t>
            </w:r>
            <w:r>
              <w:rPr>
                <w:rFonts w:hint="eastAsia" w:ascii="宋体" w:hAnsi="宋体" w:cs="宋体fal"/>
                <w:color w:val="auto"/>
                <w:szCs w:val="21"/>
                <w:highlight w:val="none"/>
                <w:lang w:val="en-US" w:eastAsia="zh-CN"/>
              </w:rPr>
              <w:t>非常全面、对策非常完善、方式非常合理的得5分；</w:t>
            </w:r>
          </w:p>
          <w:p w14:paraId="5C79E4EA">
            <w:pPr>
              <w:spacing w:line="360" w:lineRule="auto"/>
              <w:jc w:val="left"/>
              <w:rPr>
                <w:rFonts w:hint="eastAsia" w:ascii="宋体" w:hAnsi="宋体" w:cs="宋体fal"/>
                <w:color w:val="auto"/>
                <w:szCs w:val="21"/>
                <w:highlight w:val="none"/>
                <w:lang w:val="en-US" w:eastAsia="zh-CN"/>
              </w:rPr>
            </w:pPr>
            <w:r>
              <w:rPr>
                <w:color w:val="auto"/>
                <w:szCs w:val="21"/>
                <w:highlight w:val="none"/>
              </w:rPr>
              <w:t>项目实施内容的关键点、难点的理解分析及对策</w:t>
            </w:r>
            <w:r>
              <w:rPr>
                <w:rFonts w:hint="eastAsia" w:ascii="宋体" w:hAnsi="宋体" w:cs="宋体fal"/>
                <w:color w:val="auto"/>
                <w:szCs w:val="21"/>
                <w:highlight w:val="none"/>
                <w:lang w:val="en-US" w:eastAsia="zh-CN"/>
              </w:rPr>
              <w:t>比较全面、对策比较完善、方式比较合理的得3分；</w:t>
            </w:r>
          </w:p>
          <w:p w14:paraId="62ED7932">
            <w:pPr>
              <w:spacing w:line="360" w:lineRule="auto"/>
              <w:jc w:val="left"/>
              <w:rPr>
                <w:rFonts w:hint="eastAsia" w:ascii="宋体" w:hAnsi="宋体" w:cs="宋体fal"/>
                <w:color w:val="auto"/>
                <w:szCs w:val="21"/>
                <w:highlight w:val="none"/>
                <w:lang w:val="en-US" w:eastAsia="zh-CN"/>
              </w:rPr>
            </w:pPr>
            <w:r>
              <w:rPr>
                <w:color w:val="auto"/>
                <w:szCs w:val="21"/>
                <w:highlight w:val="none"/>
              </w:rPr>
              <w:t>项目实施内容的关键点、难点的理解分析及对策</w:t>
            </w:r>
            <w:r>
              <w:rPr>
                <w:rFonts w:hint="eastAsia" w:ascii="宋体" w:hAnsi="宋体" w:cs="宋体fal"/>
                <w:color w:val="auto"/>
                <w:szCs w:val="21"/>
                <w:highlight w:val="none"/>
                <w:lang w:val="en-US" w:eastAsia="zh-CN"/>
              </w:rPr>
              <w:t>不够全面、对策不够完善、方式不够合理的得1.5分；</w:t>
            </w:r>
          </w:p>
          <w:p w14:paraId="557AF932">
            <w:pPr>
              <w:pStyle w:val="2"/>
              <w:ind w:left="0" w:leftChars="0" w:firstLine="0" w:firstLineChars="0"/>
              <w:rPr>
                <w:rFonts w:hint="eastAsia"/>
                <w:color w:val="auto"/>
                <w:highlight w:val="none"/>
                <w:lang w:val="en-US" w:eastAsia="zh-CN"/>
              </w:rPr>
            </w:pPr>
            <w:r>
              <w:rPr>
                <w:rFonts w:hint="eastAsia" w:ascii="宋体" w:hAnsi="宋体" w:cs="宋体fal"/>
                <w:color w:val="auto"/>
                <w:szCs w:val="21"/>
                <w:highlight w:val="none"/>
                <w:lang w:val="en-US" w:eastAsia="zh-CN"/>
              </w:rPr>
              <w:t>缺项的得0分。</w:t>
            </w:r>
          </w:p>
        </w:tc>
      </w:tr>
      <w:tr w14:paraId="4C76E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614" w:type="dxa"/>
            <w:vMerge w:val="restart"/>
            <w:vAlign w:val="center"/>
          </w:tcPr>
          <w:p w14:paraId="58D9D712">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2.2.2（2）</w:t>
            </w:r>
            <w:r>
              <w:rPr>
                <w:rFonts w:hint="eastAsia"/>
                <w:color w:val="auto"/>
                <w:highlight w:val="none"/>
              </w:rPr>
              <w:t>综合标评分</w:t>
            </w:r>
            <w:r>
              <w:rPr>
                <w:rFonts w:hint="eastAsia"/>
                <w:color w:val="auto"/>
                <w:highlight w:val="none"/>
                <w:lang w:eastAsia="zh-CN"/>
              </w:rPr>
              <w:t>（</w:t>
            </w:r>
            <w:r>
              <w:rPr>
                <w:rFonts w:hint="eastAsia"/>
                <w:color w:val="auto"/>
                <w:highlight w:val="none"/>
                <w:lang w:val="en-US" w:eastAsia="zh-CN"/>
              </w:rPr>
              <w:t>25</w:t>
            </w:r>
            <w:r>
              <w:rPr>
                <w:rFonts w:hint="eastAsia"/>
                <w:color w:val="auto"/>
                <w:highlight w:val="none"/>
              </w:rPr>
              <w:t>分</w:t>
            </w:r>
            <w:r>
              <w:rPr>
                <w:rFonts w:hint="eastAsia"/>
                <w:color w:val="auto"/>
                <w:highlight w:val="none"/>
                <w:lang w:eastAsia="zh-CN"/>
              </w:rPr>
              <w:t>）</w:t>
            </w:r>
          </w:p>
        </w:tc>
        <w:tc>
          <w:tcPr>
            <w:tcW w:w="1324" w:type="dxa"/>
            <w:vMerge w:val="restart"/>
            <w:vAlign w:val="center"/>
          </w:tcPr>
          <w:p w14:paraId="270BB3DC">
            <w:pPr>
              <w:spacing w:line="360" w:lineRule="auto"/>
              <w:jc w:val="center"/>
              <w:rPr>
                <w:rFonts w:hint="eastAsia"/>
                <w:color w:val="auto"/>
                <w:highlight w:val="none"/>
              </w:rPr>
            </w:pPr>
            <w:r>
              <w:rPr>
                <w:color w:val="auto"/>
                <w:highlight w:val="none"/>
              </w:rPr>
              <w:t>资信业绩</w:t>
            </w:r>
          </w:p>
          <w:p w14:paraId="7A99DADB">
            <w:pPr>
              <w:pStyle w:val="32"/>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w:t>
            </w:r>
          </w:p>
          <w:p w14:paraId="5B21E705">
            <w:pPr>
              <w:rPr>
                <w:rFonts w:hint="eastAsia"/>
                <w:color w:val="auto"/>
                <w:highlight w:val="none"/>
                <w:lang w:val="en-US" w:eastAsia="zh-CN"/>
              </w:rPr>
            </w:pPr>
          </w:p>
        </w:tc>
        <w:tc>
          <w:tcPr>
            <w:tcW w:w="6574" w:type="dxa"/>
            <w:vAlign w:val="center"/>
          </w:tcPr>
          <w:p w14:paraId="0B73A720">
            <w:pPr>
              <w:spacing w:line="360" w:lineRule="auto"/>
              <w:jc w:val="left"/>
              <w:rPr>
                <w:color w:val="auto"/>
                <w:spacing w:val="1"/>
                <w:kern w:val="0"/>
                <w:szCs w:val="21"/>
                <w:highlight w:val="none"/>
              </w:rPr>
            </w:pPr>
            <w:r>
              <w:rPr>
                <w:rFonts w:hint="eastAsia"/>
                <w:color w:val="auto"/>
                <w:spacing w:val="1"/>
                <w:kern w:val="0"/>
                <w:szCs w:val="21"/>
                <w:highlight w:val="none"/>
                <w:lang w:val="en-US" w:eastAsia="zh-CN"/>
              </w:rPr>
              <w:t>1.</w:t>
            </w:r>
            <w:r>
              <w:rPr>
                <w:color w:val="auto"/>
                <w:spacing w:val="1"/>
                <w:kern w:val="0"/>
                <w:szCs w:val="21"/>
                <w:highlight w:val="none"/>
              </w:rPr>
              <w:t>投标人每提供一份</w:t>
            </w:r>
            <w:r>
              <w:rPr>
                <w:rFonts w:hint="eastAsia"/>
                <w:color w:val="auto"/>
                <w:spacing w:val="1"/>
                <w:kern w:val="0"/>
                <w:szCs w:val="21"/>
                <w:highlight w:val="none"/>
                <w:lang w:val="en-US" w:eastAsia="zh-CN"/>
              </w:rPr>
              <w:t>2023</w:t>
            </w:r>
            <w:r>
              <w:rPr>
                <w:color w:val="auto"/>
                <w:spacing w:val="1"/>
                <w:kern w:val="0"/>
                <w:szCs w:val="21"/>
                <w:highlight w:val="none"/>
              </w:rPr>
              <w:t>年1月1日以来</w:t>
            </w:r>
            <w:r>
              <w:rPr>
                <w:rFonts w:hint="eastAsia"/>
                <w:color w:val="auto"/>
                <w:spacing w:val="1"/>
                <w:kern w:val="0"/>
                <w:szCs w:val="21"/>
                <w:highlight w:val="none"/>
                <w:lang w:eastAsia="zh-CN"/>
              </w:rPr>
              <w:t>项目</w:t>
            </w:r>
            <w:r>
              <w:rPr>
                <w:color w:val="auto"/>
                <w:spacing w:val="1"/>
                <w:kern w:val="0"/>
                <w:szCs w:val="21"/>
                <w:highlight w:val="none"/>
              </w:rPr>
              <w:t>类似业绩，</w:t>
            </w:r>
            <w:r>
              <w:rPr>
                <w:rFonts w:hint="eastAsia"/>
                <w:color w:val="auto"/>
                <w:spacing w:val="1"/>
                <w:kern w:val="0"/>
                <w:szCs w:val="21"/>
                <w:highlight w:val="none"/>
                <w:lang w:eastAsia="zh-CN"/>
              </w:rPr>
              <w:t>每有一份</w:t>
            </w:r>
            <w:r>
              <w:rPr>
                <w:color w:val="auto"/>
                <w:spacing w:val="1"/>
                <w:kern w:val="0"/>
                <w:szCs w:val="21"/>
                <w:highlight w:val="none"/>
              </w:rPr>
              <w:t>得</w:t>
            </w:r>
            <w:r>
              <w:rPr>
                <w:rFonts w:hint="eastAsia"/>
                <w:color w:val="auto"/>
                <w:spacing w:val="1"/>
                <w:kern w:val="0"/>
                <w:szCs w:val="21"/>
                <w:highlight w:val="none"/>
                <w:lang w:val="en-US" w:eastAsia="zh-CN"/>
              </w:rPr>
              <w:t>3</w:t>
            </w:r>
            <w:r>
              <w:rPr>
                <w:color w:val="auto"/>
                <w:spacing w:val="1"/>
                <w:kern w:val="0"/>
                <w:szCs w:val="21"/>
                <w:highlight w:val="none"/>
              </w:rPr>
              <w:t>分，本项最多得</w:t>
            </w:r>
            <w:r>
              <w:rPr>
                <w:rFonts w:hint="eastAsia"/>
                <w:color w:val="auto"/>
                <w:spacing w:val="1"/>
                <w:kern w:val="0"/>
                <w:szCs w:val="21"/>
                <w:highlight w:val="none"/>
                <w:lang w:val="en-US" w:eastAsia="zh-CN"/>
              </w:rPr>
              <w:t>9</w:t>
            </w:r>
            <w:r>
              <w:rPr>
                <w:color w:val="auto"/>
                <w:spacing w:val="1"/>
                <w:kern w:val="0"/>
                <w:szCs w:val="21"/>
                <w:highlight w:val="none"/>
              </w:rPr>
              <w:t>分。</w:t>
            </w:r>
          </w:p>
          <w:p w14:paraId="1DDB1425">
            <w:pPr>
              <w:pStyle w:val="32"/>
              <w:spacing w:after="0" w:line="360" w:lineRule="auto"/>
              <w:ind w:firstLine="0" w:firstLineChars="0"/>
              <w:rPr>
                <w:rFonts w:hint="eastAsia" w:ascii="宋体" w:hAnsi="宋体" w:eastAsia="宋体" w:cs="Times New Roman"/>
                <w:color w:val="auto"/>
                <w:kern w:val="2"/>
                <w:sz w:val="21"/>
                <w:szCs w:val="21"/>
                <w:highlight w:val="none"/>
                <w:lang w:val="en-US" w:eastAsia="zh-CN" w:bidi="ar-SA"/>
              </w:rPr>
            </w:pPr>
            <w:r>
              <w:rPr>
                <w:rFonts w:ascii="Times New Roman" w:hAnsi="Times New Roman" w:cs="Times New Roman"/>
                <w:color w:val="auto"/>
                <w:spacing w:val="1"/>
                <w:kern w:val="0"/>
                <w:sz w:val="21"/>
                <w:szCs w:val="21"/>
                <w:highlight w:val="none"/>
              </w:rPr>
              <w:t>注：需提供中标通知书或合同扫描件，不提供不得分。</w:t>
            </w:r>
            <w:r>
              <w:rPr>
                <w:rFonts w:hint="eastAsia" w:ascii="Times New Roman" w:hAnsi="Times New Roman" w:cs="Times New Roman"/>
                <w:color w:val="auto"/>
                <w:spacing w:val="1"/>
                <w:kern w:val="0"/>
                <w:sz w:val="21"/>
                <w:szCs w:val="21"/>
                <w:highlight w:val="none"/>
                <w:lang w:eastAsia="zh-CN"/>
              </w:rPr>
              <w:t>（投标人对所提供中标通知书或合同扫描件的真伪进行负责，如有虚假，需承担一切法律责任。）</w:t>
            </w:r>
          </w:p>
        </w:tc>
      </w:tr>
      <w:tr w14:paraId="1FE45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614" w:type="dxa"/>
            <w:vMerge w:val="continue"/>
            <w:vAlign w:val="center"/>
          </w:tcPr>
          <w:p w14:paraId="4B1BA250">
            <w:pPr>
              <w:spacing w:line="360" w:lineRule="auto"/>
              <w:jc w:val="left"/>
              <w:rPr>
                <w:rFonts w:hint="eastAsia" w:ascii="宋体" w:hAnsi="宋体" w:cs="宋体"/>
                <w:color w:val="auto"/>
                <w:szCs w:val="21"/>
                <w:highlight w:val="none"/>
              </w:rPr>
            </w:pPr>
          </w:p>
        </w:tc>
        <w:tc>
          <w:tcPr>
            <w:tcW w:w="1324" w:type="dxa"/>
            <w:vMerge w:val="continue"/>
            <w:vAlign w:val="center"/>
          </w:tcPr>
          <w:p w14:paraId="7682381A">
            <w:pPr>
              <w:spacing w:line="360" w:lineRule="auto"/>
              <w:jc w:val="center"/>
              <w:rPr>
                <w:rFonts w:hint="eastAsia" w:ascii="宋体" w:hAnsi="宋体" w:cs="宋体"/>
                <w:color w:val="auto"/>
                <w:szCs w:val="21"/>
                <w:highlight w:val="none"/>
                <w:lang w:val="en-US" w:eastAsia="zh-CN"/>
              </w:rPr>
            </w:pPr>
          </w:p>
        </w:tc>
        <w:tc>
          <w:tcPr>
            <w:tcW w:w="6574" w:type="dxa"/>
            <w:vAlign w:val="center"/>
          </w:tcPr>
          <w:p w14:paraId="29A63E8E">
            <w:pPr>
              <w:spacing w:before="0" w:beforeAutospacing="0" w:after="0" w:afterAutospacing="0" w:line="440" w:lineRule="exact"/>
              <w:ind w:left="0" w:leftChars="0" w:right="0" w:right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2.具备测绘专业或相关专业中级职称证书的1人得2分，最多得6 分。（提供相关证书原件扫描件和近三个月内任意一个月的社保证明，否则不得分）</w:t>
            </w:r>
          </w:p>
        </w:tc>
      </w:tr>
      <w:tr w14:paraId="467B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614" w:type="dxa"/>
            <w:vMerge w:val="continue"/>
            <w:vAlign w:val="center"/>
          </w:tcPr>
          <w:p w14:paraId="49602840">
            <w:pPr>
              <w:spacing w:line="360" w:lineRule="auto"/>
              <w:jc w:val="left"/>
              <w:rPr>
                <w:rFonts w:hint="eastAsia" w:ascii="宋体" w:hAnsi="宋体" w:cs="宋体"/>
                <w:color w:val="auto"/>
                <w:szCs w:val="21"/>
                <w:highlight w:val="none"/>
              </w:rPr>
            </w:pPr>
          </w:p>
        </w:tc>
        <w:tc>
          <w:tcPr>
            <w:tcW w:w="1324" w:type="dxa"/>
            <w:vAlign w:val="center"/>
          </w:tcPr>
          <w:p w14:paraId="4297AE81">
            <w:pPr>
              <w:pStyle w:val="32"/>
              <w:spacing w:line="360" w:lineRule="auto"/>
              <w:ind w:left="0" w:leftChars="0" w:firstLine="0" w:firstLineChars="0"/>
              <w:jc w:val="both"/>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售后服务</w:t>
            </w:r>
            <w:r>
              <w:rPr>
                <w:rFonts w:hint="eastAsia" w:ascii="Times New Roman" w:hAnsi="Times New Roman" w:cs="Times New Roman"/>
                <w:color w:val="auto"/>
                <w:kern w:val="2"/>
                <w:sz w:val="21"/>
                <w:szCs w:val="21"/>
                <w:highlight w:val="none"/>
                <w:lang w:val="en-US" w:eastAsia="zh-CN" w:bidi="ar-SA"/>
              </w:rPr>
              <w:t>1</w:t>
            </w:r>
          </w:p>
          <w:p w14:paraId="14CDC179">
            <w:pPr>
              <w:pStyle w:val="32"/>
              <w:spacing w:line="360" w:lineRule="auto"/>
              <w:ind w:left="0" w:leftChars="0" w:firstLine="0" w:firstLineChars="0"/>
              <w:jc w:val="both"/>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hint="eastAsia" w:ascii="Times New Roman" w:hAnsi="Times New Roman" w:cs="Times New Roman"/>
                <w:color w:val="auto"/>
                <w:kern w:val="2"/>
                <w:sz w:val="21"/>
                <w:szCs w:val="21"/>
                <w:highlight w:val="none"/>
                <w:lang w:val="en-US" w:eastAsia="zh-CN" w:bidi="ar-SA"/>
              </w:rPr>
              <w:t>3</w:t>
            </w:r>
            <w:r>
              <w:rPr>
                <w:rFonts w:hint="eastAsia" w:ascii="Times New Roman" w:hAnsi="Times New Roman" w:eastAsia="宋体" w:cs="Times New Roman"/>
                <w:color w:val="auto"/>
                <w:kern w:val="2"/>
                <w:sz w:val="21"/>
                <w:szCs w:val="21"/>
                <w:highlight w:val="none"/>
                <w:lang w:val="en-US" w:eastAsia="zh-CN" w:bidi="ar-SA"/>
              </w:rPr>
              <w:t>分）</w:t>
            </w:r>
          </w:p>
        </w:tc>
        <w:tc>
          <w:tcPr>
            <w:tcW w:w="6574" w:type="dxa"/>
            <w:vAlign w:val="center"/>
          </w:tcPr>
          <w:p w14:paraId="1ACE6E8D">
            <w:pPr>
              <w:numPr>
                <w:ilvl w:val="0"/>
                <w:numId w:val="3"/>
              </w:numPr>
              <w:topLinePunct/>
              <w:spacing w:line="360" w:lineRule="auto"/>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售后服务方案（</w:t>
            </w:r>
            <w:r>
              <w:rPr>
                <w:rFonts w:hint="eastAsia" w:ascii="宋体" w:hAnsi="宋体" w:eastAsia="宋体" w:cs="宋体"/>
                <w:b/>
                <w:bCs/>
                <w:color w:val="auto"/>
                <w:kern w:val="0"/>
                <w:sz w:val="21"/>
                <w:szCs w:val="21"/>
                <w:highlight w:val="none"/>
                <w:lang w:val="en-US" w:eastAsia="zh-CN"/>
              </w:rPr>
              <w:t>3</w:t>
            </w:r>
            <w:r>
              <w:rPr>
                <w:rFonts w:hint="eastAsia" w:ascii="宋体" w:hAnsi="宋体" w:eastAsia="宋体" w:cs="宋体"/>
                <w:b/>
                <w:bCs/>
                <w:color w:val="auto"/>
                <w:kern w:val="0"/>
                <w:sz w:val="21"/>
                <w:szCs w:val="21"/>
                <w:highlight w:val="none"/>
              </w:rPr>
              <w:t>分）</w:t>
            </w:r>
          </w:p>
          <w:p w14:paraId="00D0ED36">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根据投标人提供的售后服务方案综合评定：</w:t>
            </w:r>
          </w:p>
          <w:p w14:paraId="032E3F56">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售后服务内容非常全面，服务方式、服务流程非常合理的得</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分；</w:t>
            </w:r>
          </w:p>
          <w:p w14:paraId="4D90D2E2">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售后服务内容比较全面，服务方式、服务流程比较合理的得2分；</w:t>
            </w:r>
          </w:p>
          <w:p w14:paraId="20C2381A">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售后服务内容不够全面，服务方式、服务流程不够合理的得1分；</w:t>
            </w:r>
          </w:p>
          <w:p w14:paraId="0B72A508">
            <w:pPr>
              <w:spacing w:line="360" w:lineRule="auto"/>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缺项的得0分。</w:t>
            </w:r>
          </w:p>
        </w:tc>
      </w:tr>
      <w:tr w14:paraId="5CE4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614" w:type="dxa"/>
            <w:vMerge w:val="continue"/>
            <w:vAlign w:val="center"/>
          </w:tcPr>
          <w:p w14:paraId="250A94D8">
            <w:pPr>
              <w:spacing w:line="360" w:lineRule="auto"/>
              <w:jc w:val="left"/>
              <w:rPr>
                <w:rFonts w:hint="eastAsia" w:ascii="宋体" w:hAnsi="宋体" w:cs="宋体"/>
                <w:color w:val="auto"/>
                <w:szCs w:val="21"/>
                <w:highlight w:val="none"/>
              </w:rPr>
            </w:pPr>
          </w:p>
        </w:tc>
        <w:tc>
          <w:tcPr>
            <w:tcW w:w="1324" w:type="dxa"/>
            <w:vAlign w:val="center"/>
          </w:tcPr>
          <w:p w14:paraId="41503010">
            <w:pPr>
              <w:pStyle w:val="32"/>
              <w:spacing w:line="360" w:lineRule="auto"/>
              <w:ind w:left="0" w:leftChars="0" w:firstLine="0" w:firstLineChars="0"/>
              <w:jc w:val="both"/>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售后服务</w:t>
            </w:r>
            <w:r>
              <w:rPr>
                <w:rFonts w:hint="eastAsia" w:ascii="Times New Roman" w:hAnsi="Times New Roman" w:cs="Times New Roman"/>
                <w:color w:val="auto"/>
                <w:kern w:val="2"/>
                <w:sz w:val="21"/>
                <w:szCs w:val="21"/>
                <w:highlight w:val="none"/>
                <w:lang w:val="en-US" w:eastAsia="zh-CN" w:bidi="ar-SA"/>
              </w:rPr>
              <w:t>2</w:t>
            </w:r>
          </w:p>
          <w:p w14:paraId="5AA22944">
            <w:pPr>
              <w:pStyle w:val="32"/>
              <w:spacing w:line="360" w:lineRule="auto"/>
              <w:ind w:left="0" w:leftChars="0" w:firstLine="0" w:firstLineChars="0"/>
              <w:jc w:val="both"/>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hint="eastAsia" w:ascii="Times New Roman" w:hAnsi="Times New Roman" w:cs="Times New Roman"/>
                <w:color w:val="auto"/>
                <w:kern w:val="2"/>
                <w:sz w:val="21"/>
                <w:szCs w:val="21"/>
                <w:highlight w:val="none"/>
                <w:lang w:val="en-US" w:eastAsia="zh-CN" w:bidi="ar-SA"/>
              </w:rPr>
              <w:t>3</w:t>
            </w:r>
            <w:r>
              <w:rPr>
                <w:rFonts w:hint="eastAsia" w:ascii="Times New Roman" w:hAnsi="Times New Roman" w:eastAsia="宋体" w:cs="Times New Roman"/>
                <w:color w:val="auto"/>
                <w:kern w:val="2"/>
                <w:sz w:val="21"/>
                <w:szCs w:val="21"/>
                <w:highlight w:val="none"/>
                <w:lang w:val="en-US" w:eastAsia="zh-CN" w:bidi="ar-SA"/>
              </w:rPr>
              <w:t>分）</w:t>
            </w:r>
          </w:p>
        </w:tc>
        <w:tc>
          <w:tcPr>
            <w:tcW w:w="6574" w:type="dxa"/>
            <w:vAlign w:val="center"/>
          </w:tcPr>
          <w:p w14:paraId="473EEC60">
            <w:pPr>
              <w:numPr>
                <w:ilvl w:val="0"/>
                <w:numId w:val="3"/>
              </w:numPr>
              <w:topLinePunct/>
              <w:spacing w:line="360" w:lineRule="auto"/>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需求变更响应方案（</w:t>
            </w:r>
            <w:r>
              <w:rPr>
                <w:rFonts w:hint="eastAsia" w:ascii="宋体" w:hAnsi="宋体" w:eastAsia="宋体" w:cs="宋体"/>
                <w:b/>
                <w:bCs/>
                <w:color w:val="auto"/>
                <w:kern w:val="0"/>
                <w:sz w:val="21"/>
                <w:szCs w:val="21"/>
                <w:highlight w:val="none"/>
                <w:lang w:val="en-US" w:eastAsia="zh-CN"/>
              </w:rPr>
              <w:t>3</w:t>
            </w:r>
            <w:r>
              <w:rPr>
                <w:rFonts w:hint="eastAsia" w:ascii="宋体" w:hAnsi="宋体" w:eastAsia="宋体" w:cs="宋体"/>
                <w:b/>
                <w:bCs/>
                <w:color w:val="auto"/>
                <w:kern w:val="0"/>
                <w:sz w:val="21"/>
                <w:szCs w:val="21"/>
                <w:highlight w:val="none"/>
              </w:rPr>
              <w:t>分）</w:t>
            </w:r>
          </w:p>
          <w:p w14:paraId="18CA8371">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根据投标人提供的需求变更响应方案综合评定：</w:t>
            </w:r>
          </w:p>
          <w:p w14:paraId="01296144">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对采购人需求变更响应非常及时、响应措施切实可行的得</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分；</w:t>
            </w:r>
          </w:p>
          <w:p w14:paraId="5A8427EB">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对采购人需求变更响应比较及时、响应措施比较可行的得2分；</w:t>
            </w:r>
          </w:p>
          <w:p w14:paraId="7910E5A6">
            <w:pPr>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对采购人需求变更响应不够及时、响应措施不够可行的得1分；</w:t>
            </w:r>
          </w:p>
          <w:p w14:paraId="65C88EF3">
            <w:pPr>
              <w:spacing w:line="360" w:lineRule="auto"/>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缺项的得0分。</w:t>
            </w:r>
          </w:p>
        </w:tc>
      </w:tr>
      <w:tr w14:paraId="39405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614" w:type="dxa"/>
            <w:vMerge w:val="continue"/>
            <w:vAlign w:val="center"/>
          </w:tcPr>
          <w:p w14:paraId="59B1D6E3">
            <w:pPr>
              <w:spacing w:line="360" w:lineRule="auto"/>
              <w:jc w:val="left"/>
              <w:rPr>
                <w:rFonts w:hint="eastAsia" w:ascii="宋体" w:hAnsi="宋体" w:cs="宋体"/>
                <w:color w:val="auto"/>
                <w:szCs w:val="21"/>
                <w:highlight w:val="none"/>
              </w:rPr>
            </w:pPr>
          </w:p>
        </w:tc>
        <w:tc>
          <w:tcPr>
            <w:tcW w:w="1324" w:type="dxa"/>
            <w:vAlign w:val="center"/>
          </w:tcPr>
          <w:p w14:paraId="28BAA1D0">
            <w:pPr>
              <w:spacing w:before="0" w:beforeAutospacing="0" w:after="0" w:afterAutospacing="0" w:line="360" w:lineRule="auto"/>
              <w:ind w:left="0" w:right="0"/>
              <w:jc w:val="center"/>
              <w:rPr>
                <w:rFonts w:ascii="Times New Roman" w:hAnsi="Times New Roman" w:eastAsia="Times New Roman" w:cs="Times New Roman"/>
                <w:color w:val="auto"/>
                <w:spacing w:val="1"/>
                <w:kern w:val="0"/>
                <w:sz w:val="21"/>
                <w:szCs w:val="21"/>
                <w:highlight w:val="none"/>
              </w:rPr>
            </w:pPr>
            <w:r>
              <w:rPr>
                <w:rFonts w:ascii="Times New Roman" w:hAnsi="Times New Roman" w:eastAsia="Times New Roman" w:cs="Times New Roman"/>
                <w:color w:val="auto"/>
                <w:spacing w:val="1"/>
                <w:kern w:val="0"/>
                <w:sz w:val="21"/>
                <w:szCs w:val="21"/>
                <w:highlight w:val="none"/>
              </w:rPr>
              <w:t>服务承诺</w:t>
            </w:r>
          </w:p>
          <w:p w14:paraId="694C13F8">
            <w:pPr>
              <w:pStyle w:val="32"/>
              <w:spacing w:before="0" w:beforeAutospacing="0" w:after="0" w:afterAutospacing="0" w:line="360" w:lineRule="auto"/>
              <w:ind w:left="0" w:leftChars="0" w:right="0" w:rightChars="0" w:firstLine="212" w:firstLineChars="10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pacing w:val="1"/>
                <w:kern w:val="0"/>
                <w:sz w:val="21"/>
                <w:szCs w:val="21"/>
                <w:highlight w:val="none"/>
                <w:lang w:eastAsia="zh-CN"/>
              </w:rPr>
              <w:t>（</w:t>
            </w:r>
            <w:r>
              <w:rPr>
                <w:rFonts w:hint="eastAsia" w:ascii="Times New Roman" w:hAnsi="Times New Roman" w:cs="Times New Roman"/>
                <w:color w:val="auto"/>
                <w:spacing w:val="1"/>
                <w:kern w:val="0"/>
                <w:sz w:val="21"/>
                <w:szCs w:val="21"/>
                <w:highlight w:val="none"/>
                <w:lang w:val="en-US" w:eastAsia="zh-CN"/>
              </w:rPr>
              <w:t>4</w:t>
            </w:r>
            <w:r>
              <w:rPr>
                <w:rFonts w:ascii="Times New Roman" w:hAnsi="Times New Roman" w:eastAsia="Times New Roman" w:cs="Times New Roman"/>
                <w:color w:val="auto"/>
                <w:spacing w:val="1"/>
                <w:kern w:val="0"/>
                <w:sz w:val="21"/>
                <w:szCs w:val="21"/>
                <w:highlight w:val="none"/>
              </w:rPr>
              <w:t>分</w:t>
            </w:r>
            <w:r>
              <w:rPr>
                <w:rFonts w:hint="eastAsia" w:ascii="Times New Roman" w:hAnsi="Times New Roman" w:eastAsia="宋体" w:cs="Times New Roman"/>
                <w:color w:val="auto"/>
                <w:spacing w:val="1"/>
                <w:kern w:val="0"/>
                <w:sz w:val="21"/>
                <w:szCs w:val="21"/>
                <w:highlight w:val="none"/>
                <w:lang w:eastAsia="zh-CN"/>
              </w:rPr>
              <w:t>）</w:t>
            </w:r>
          </w:p>
        </w:tc>
        <w:tc>
          <w:tcPr>
            <w:tcW w:w="6574" w:type="dxa"/>
            <w:vAlign w:val="center"/>
          </w:tcPr>
          <w:p w14:paraId="4F2F908A">
            <w:pPr>
              <w:spacing w:before="0" w:beforeAutospacing="0" w:after="0" w:afterAutospacing="0" w:line="360" w:lineRule="auto"/>
              <w:ind w:left="0" w:leftChars="0" w:right="0" w:rightChars="0"/>
              <w:jc w:val="left"/>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根据服务承诺细致程度，包括服务内容、服务期限、服务响应时间、解决问题时间等情况进行横向对比、量化评分</w:t>
            </w:r>
          </w:p>
          <w:p w14:paraId="00DE07CC">
            <w:pPr>
              <w:spacing w:line="360" w:lineRule="auto"/>
              <w:jc w:val="left"/>
              <w:rPr>
                <w:rFonts w:hint="eastAsia" w:ascii="宋体" w:hAnsi="宋体" w:eastAsia="宋体" w:cs="宋体"/>
                <w:color w:val="auto"/>
                <w:kern w:val="0"/>
                <w:sz w:val="21"/>
                <w:szCs w:val="21"/>
                <w:highlight w:val="none"/>
              </w:rPr>
            </w:pPr>
            <w:r>
              <w:rPr>
                <w:rFonts w:hint="eastAsia" w:ascii="Times New Roman" w:hAnsi="Times New Roman" w:eastAsia="宋体" w:cs="Times New Roman"/>
                <w:color w:val="auto"/>
                <w:kern w:val="2"/>
                <w:sz w:val="21"/>
                <w:szCs w:val="21"/>
                <w:highlight w:val="none"/>
                <w:lang w:val="en-US" w:eastAsia="zh-CN" w:bidi="ar-SA"/>
              </w:rPr>
              <w:t>根据服务承诺细致程度</w:t>
            </w:r>
            <w:r>
              <w:rPr>
                <w:rFonts w:hint="eastAsia" w:ascii="宋体" w:hAnsi="宋体" w:eastAsia="宋体" w:cs="宋体"/>
                <w:color w:val="auto"/>
                <w:kern w:val="0"/>
                <w:sz w:val="21"/>
                <w:szCs w:val="21"/>
                <w:highlight w:val="none"/>
              </w:rPr>
              <w:t>施切实可行的得</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分；</w:t>
            </w:r>
          </w:p>
          <w:p w14:paraId="021E00CD">
            <w:pPr>
              <w:spacing w:line="360" w:lineRule="auto"/>
              <w:jc w:val="left"/>
              <w:rPr>
                <w:rFonts w:hint="eastAsia" w:ascii="宋体" w:hAnsi="宋体" w:eastAsia="宋体" w:cs="宋体"/>
                <w:color w:val="auto"/>
                <w:kern w:val="0"/>
                <w:sz w:val="21"/>
                <w:szCs w:val="21"/>
                <w:highlight w:val="none"/>
              </w:rPr>
            </w:pPr>
            <w:r>
              <w:rPr>
                <w:rFonts w:hint="eastAsia" w:ascii="Times New Roman" w:hAnsi="Times New Roman" w:eastAsia="宋体" w:cs="Times New Roman"/>
                <w:color w:val="auto"/>
                <w:kern w:val="2"/>
                <w:sz w:val="21"/>
                <w:szCs w:val="21"/>
                <w:highlight w:val="none"/>
                <w:lang w:val="en-US" w:eastAsia="zh-CN" w:bidi="ar-SA"/>
              </w:rPr>
              <w:t>根据服务承诺细致程度</w:t>
            </w:r>
            <w:r>
              <w:rPr>
                <w:rFonts w:hint="eastAsia" w:cs="Times New Roman"/>
                <w:color w:val="auto"/>
                <w:kern w:val="2"/>
                <w:sz w:val="21"/>
                <w:szCs w:val="21"/>
                <w:highlight w:val="none"/>
                <w:lang w:val="en-US" w:eastAsia="zh-CN" w:bidi="ar-SA"/>
              </w:rPr>
              <w:t>一般可行的</w:t>
            </w:r>
            <w:r>
              <w:rPr>
                <w:rFonts w:hint="eastAsia" w:ascii="宋体" w:hAnsi="宋体" w:eastAsia="宋体" w:cs="宋体"/>
                <w:color w:val="auto"/>
                <w:kern w:val="0"/>
                <w:sz w:val="21"/>
                <w:szCs w:val="21"/>
                <w:highlight w:val="none"/>
              </w:rPr>
              <w:t>得</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分；</w:t>
            </w:r>
          </w:p>
          <w:p w14:paraId="46D3738F">
            <w:pPr>
              <w:spacing w:before="0" w:beforeAutospacing="0" w:after="0" w:afterAutospacing="0" w:line="360" w:lineRule="auto"/>
              <w:ind w:left="0" w:leftChars="0" w:right="0" w:rightChars="0"/>
              <w:jc w:val="left"/>
              <w:rPr>
                <w:rFonts w:hint="eastAsia" w:ascii="宋体" w:hAnsi="宋体" w:eastAsia="宋体" w:cs="宋体"/>
                <w:color w:val="auto"/>
                <w:kern w:val="0"/>
                <w:sz w:val="21"/>
                <w:szCs w:val="21"/>
                <w:highlight w:val="none"/>
              </w:rPr>
            </w:pPr>
            <w:r>
              <w:rPr>
                <w:rFonts w:hint="eastAsia" w:ascii="Times New Roman" w:hAnsi="Times New Roman" w:eastAsia="宋体" w:cs="Times New Roman"/>
                <w:color w:val="auto"/>
                <w:kern w:val="2"/>
                <w:sz w:val="21"/>
                <w:szCs w:val="21"/>
                <w:highlight w:val="none"/>
                <w:lang w:val="en-US" w:eastAsia="zh-CN" w:bidi="ar-SA"/>
              </w:rPr>
              <w:t>根据服务承诺细致程度</w:t>
            </w:r>
            <w:r>
              <w:rPr>
                <w:rFonts w:hint="eastAsia" w:cs="Times New Roman"/>
                <w:color w:val="auto"/>
                <w:kern w:val="2"/>
                <w:sz w:val="21"/>
                <w:szCs w:val="21"/>
                <w:highlight w:val="none"/>
                <w:lang w:val="en-US" w:eastAsia="zh-CN" w:bidi="ar-SA"/>
              </w:rPr>
              <w:t>不可行或不详细的</w:t>
            </w:r>
            <w:r>
              <w:rPr>
                <w:rFonts w:hint="eastAsia" w:ascii="宋体" w:hAnsi="宋体" w:eastAsia="宋体" w:cs="宋体"/>
                <w:color w:val="auto"/>
                <w:kern w:val="0"/>
                <w:sz w:val="21"/>
                <w:szCs w:val="21"/>
                <w:highlight w:val="none"/>
              </w:rPr>
              <w:t>得</w:t>
            </w:r>
            <w:r>
              <w:rPr>
                <w:rFonts w:hint="eastAsia" w:ascii="宋体" w:hAnsi="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分；</w:t>
            </w:r>
          </w:p>
          <w:p w14:paraId="1F33A645">
            <w:pPr>
              <w:spacing w:before="0" w:beforeAutospacing="0" w:after="0" w:afterAutospacing="0" w:line="360" w:lineRule="auto"/>
              <w:ind w:left="0" w:leftChars="0" w:right="0" w:rightChars="0"/>
              <w:jc w:val="left"/>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color w:val="auto"/>
                <w:kern w:val="0"/>
                <w:sz w:val="21"/>
                <w:szCs w:val="21"/>
                <w:highlight w:val="none"/>
              </w:rPr>
              <w:t>缺项的得0分。</w:t>
            </w:r>
          </w:p>
        </w:tc>
      </w:tr>
      <w:tr w14:paraId="296A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614" w:type="dxa"/>
            <w:vMerge w:val="restart"/>
            <w:vAlign w:val="center"/>
          </w:tcPr>
          <w:p w14:paraId="440D0271">
            <w:pPr>
              <w:spacing w:line="360" w:lineRule="auto"/>
              <w:jc w:val="center"/>
              <w:rPr>
                <w:rFonts w:hint="eastAsia" w:ascii="宋体" w:hAnsi="宋体" w:eastAsia="宋体" w:cs="宋体"/>
                <w:color w:val="auto"/>
                <w:spacing w:val="1"/>
                <w:kern w:val="0"/>
                <w:sz w:val="21"/>
                <w:szCs w:val="21"/>
                <w:highlight w:val="none"/>
                <w:lang w:eastAsia="zh-CN"/>
              </w:rPr>
            </w:pPr>
            <w:r>
              <w:rPr>
                <w:rFonts w:hint="eastAsia" w:ascii="宋体" w:hAnsi="宋体" w:cs="宋体"/>
                <w:color w:val="auto"/>
                <w:spacing w:val="1"/>
                <w:kern w:val="0"/>
                <w:sz w:val="21"/>
                <w:szCs w:val="21"/>
                <w:highlight w:val="none"/>
                <w:lang w:eastAsia="zh-CN"/>
              </w:rPr>
              <w:t>废标条款</w:t>
            </w:r>
          </w:p>
        </w:tc>
        <w:tc>
          <w:tcPr>
            <w:tcW w:w="7898" w:type="dxa"/>
            <w:gridSpan w:val="2"/>
            <w:vAlign w:val="center"/>
          </w:tcPr>
          <w:p w14:paraId="62BA3C3C">
            <w:pPr>
              <w:spacing w:line="360" w:lineRule="auto"/>
              <w:jc w:val="left"/>
              <w:rPr>
                <w:rFonts w:hint="eastAsia" w:ascii="宋体" w:hAnsi="宋体" w:eastAsia="宋体" w:cs="宋体"/>
                <w:color w:val="auto"/>
                <w:spacing w:val="1"/>
                <w:kern w:val="0"/>
                <w:sz w:val="21"/>
                <w:szCs w:val="21"/>
                <w:highlight w:val="none"/>
                <w:lang w:val="en-US" w:eastAsia="zh-CN" w:bidi="ar-SA"/>
              </w:rPr>
            </w:pPr>
            <w:r>
              <w:rPr>
                <w:rFonts w:hint="eastAsia" w:ascii="宋体" w:hAnsi="宋体" w:eastAsia="宋体" w:cs="宋体"/>
                <w:color w:val="auto"/>
                <w:sz w:val="21"/>
                <w:szCs w:val="21"/>
                <w:highlight w:val="none"/>
              </w:rPr>
              <w:t>投标截止时间止，投标人少于3个的</w:t>
            </w:r>
            <w:r>
              <w:rPr>
                <w:rFonts w:hint="eastAsia" w:ascii="宋体" w:hAnsi="宋体" w:cs="宋体"/>
                <w:color w:val="auto"/>
                <w:sz w:val="21"/>
                <w:szCs w:val="21"/>
                <w:highlight w:val="none"/>
                <w:lang w:eastAsia="zh-CN"/>
              </w:rPr>
              <w:t>。</w:t>
            </w:r>
          </w:p>
        </w:tc>
      </w:tr>
      <w:tr w14:paraId="43DB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14" w:type="dxa"/>
            <w:vMerge w:val="continue"/>
            <w:vAlign w:val="center"/>
          </w:tcPr>
          <w:p w14:paraId="7EF797B6">
            <w:pPr>
              <w:spacing w:line="360" w:lineRule="auto"/>
              <w:jc w:val="left"/>
              <w:rPr>
                <w:rFonts w:hint="eastAsia" w:ascii="宋体" w:hAnsi="宋体" w:eastAsia="宋体" w:cs="宋体"/>
                <w:color w:val="auto"/>
                <w:spacing w:val="1"/>
                <w:kern w:val="0"/>
                <w:sz w:val="21"/>
                <w:szCs w:val="21"/>
                <w:highlight w:val="none"/>
              </w:rPr>
            </w:pPr>
          </w:p>
        </w:tc>
        <w:tc>
          <w:tcPr>
            <w:tcW w:w="7898" w:type="dxa"/>
            <w:gridSpan w:val="2"/>
            <w:vAlign w:val="center"/>
          </w:tcPr>
          <w:p w14:paraId="73D37A36">
            <w:pPr>
              <w:spacing w:line="360" w:lineRule="auto"/>
              <w:jc w:val="left"/>
              <w:rPr>
                <w:rFonts w:hint="eastAsia" w:ascii="宋体" w:hAnsi="宋体" w:eastAsia="宋体" w:cs="宋体"/>
                <w:color w:val="auto"/>
                <w:spacing w:val="1"/>
                <w:kern w:val="0"/>
                <w:sz w:val="21"/>
                <w:szCs w:val="21"/>
                <w:highlight w:val="none"/>
                <w:lang w:val="en-US" w:eastAsia="zh-CN" w:bidi="ar-SA"/>
              </w:rPr>
            </w:pPr>
            <w:r>
              <w:rPr>
                <w:rFonts w:hint="eastAsia" w:ascii="宋体" w:hAnsi="宋体" w:eastAsia="宋体" w:cs="宋体"/>
                <w:bCs/>
                <w:color w:val="auto"/>
                <w:sz w:val="21"/>
                <w:szCs w:val="21"/>
                <w:highlight w:val="none"/>
              </w:rPr>
              <w:t>投标人的投标报价高于最高投标限价。</w:t>
            </w:r>
          </w:p>
        </w:tc>
      </w:tr>
      <w:tr w14:paraId="1F38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14" w:type="dxa"/>
            <w:vMerge w:val="continue"/>
            <w:vAlign w:val="center"/>
          </w:tcPr>
          <w:p w14:paraId="522C991F">
            <w:pPr>
              <w:spacing w:line="360" w:lineRule="auto"/>
              <w:jc w:val="left"/>
              <w:rPr>
                <w:rFonts w:hint="eastAsia" w:ascii="宋体" w:hAnsi="宋体" w:cs="宋体"/>
                <w:bCs/>
                <w:color w:val="auto"/>
                <w:szCs w:val="21"/>
                <w:highlight w:val="none"/>
              </w:rPr>
            </w:pPr>
          </w:p>
        </w:tc>
        <w:tc>
          <w:tcPr>
            <w:tcW w:w="7898" w:type="dxa"/>
            <w:gridSpan w:val="2"/>
            <w:vAlign w:val="center"/>
          </w:tcPr>
          <w:p w14:paraId="060EF28D">
            <w:pPr>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cs="宋体"/>
                <w:bCs/>
                <w:color w:val="auto"/>
                <w:szCs w:val="21"/>
                <w:highlight w:val="none"/>
              </w:rPr>
              <w:t>投标人投标文件制作机器码一致的。</w:t>
            </w:r>
          </w:p>
        </w:tc>
      </w:tr>
      <w:tr w14:paraId="7933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14" w:type="dxa"/>
            <w:vMerge w:val="continue"/>
            <w:vAlign w:val="center"/>
          </w:tcPr>
          <w:p w14:paraId="6B7DB8DA">
            <w:pPr>
              <w:spacing w:line="360" w:lineRule="auto"/>
              <w:jc w:val="left"/>
              <w:rPr>
                <w:rFonts w:hint="eastAsia" w:ascii="宋体" w:hAnsi="宋体" w:cs="宋体"/>
                <w:bCs/>
                <w:color w:val="auto"/>
                <w:szCs w:val="21"/>
                <w:highlight w:val="none"/>
              </w:rPr>
            </w:pPr>
          </w:p>
        </w:tc>
        <w:tc>
          <w:tcPr>
            <w:tcW w:w="7898" w:type="dxa"/>
            <w:gridSpan w:val="2"/>
            <w:vAlign w:val="center"/>
          </w:tcPr>
          <w:p w14:paraId="268AF45F">
            <w:pPr>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cs="宋体"/>
                <w:color w:val="auto"/>
                <w:spacing w:val="1"/>
                <w:kern w:val="0"/>
                <w:szCs w:val="21"/>
                <w:highlight w:val="none"/>
              </w:rPr>
              <w:t>法律法规规定的其他内容。</w:t>
            </w:r>
          </w:p>
        </w:tc>
      </w:tr>
    </w:tbl>
    <w:p w14:paraId="6F2B90F3">
      <w:pPr>
        <w:spacing w:line="360" w:lineRule="auto"/>
        <w:outlineLvl w:val="1"/>
        <w:rPr>
          <w:rFonts w:hint="eastAsia" w:ascii="宋体" w:hAnsi="宋体" w:cs="宋体"/>
          <w:b/>
          <w:color w:val="auto"/>
          <w:highlight w:val="none"/>
        </w:rPr>
      </w:pPr>
    </w:p>
    <w:p w14:paraId="5B97507B">
      <w:pPr>
        <w:spacing w:line="360" w:lineRule="auto"/>
        <w:outlineLvl w:val="1"/>
        <w:rPr>
          <w:rFonts w:hint="eastAsia" w:ascii="宋体" w:hAnsi="宋体" w:cs="宋体"/>
          <w:b/>
          <w:color w:val="auto"/>
          <w:highlight w:val="none"/>
        </w:rPr>
      </w:pPr>
    </w:p>
    <w:p w14:paraId="38B59279">
      <w:pPr>
        <w:spacing w:line="360" w:lineRule="auto"/>
        <w:outlineLvl w:val="1"/>
        <w:rPr>
          <w:rFonts w:ascii="宋体" w:hAnsi="宋体" w:cs="宋体"/>
          <w:b/>
          <w:color w:val="auto"/>
          <w:highlight w:val="none"/>
        </w:rPr>
      </w:pPr>
      <w:r>
        <w:rPr>
          <w:rFonts w:hint="eastAsia" w:ascii="宋体" w:hAnsi="宋体" w:cs="宋体"/>
          <w:b/>
          <w:color w:val="auto"/>
          <w:highlight w:val="none"/>
        </w:rPr>
        <w:t>1. 评标方法</w:t>
      </w:r>
      <w:bookmarkEnd w:id="128"/>
      <w:bookmarkEnd w:id="129"/>
    </w:p>
    <w:p w14:paraId="6D0F80DA">
      <w:pPr>
        <w:autoSpaceDE w:val="0"/>
        <w:autoSpaceDN w:val="0"/>
        <w:adjustRightIn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本次评标采用综合评估法。评标委员会对满足招标文件实质性要求的投标文件，按照本章第2.2 款规定的评分标准进行打分，并按得分由高到低顺序推荐中标候选人，但投标报价低于其成本的除外。综合评分相等时，以投标报价低的优先；投标报价也相等的，由招标人摇号确定。</w:t>
      </w:r>
    </w:p>
    <w:p w14:paraId="0E45228F">
      <w:pPr>
        <w:spacing w:line="360" w:lineRule="auto"/>
        <w:outlineLvl w:val="1"/>
        <w:rPr>
          <w:rFonts w:ascii="宋体" w:hAnsi="宋体" w:cs="宋体"/>
          <w:b/>
          <w:color w:val="auto"/>
          <w:highlight w:val="none"/>
        </w:rPr>
      </w:pPr>
      <w:bookmarkStart w:id="130" w:name="_Toc8196"/>
      <w:bookmarkStart w:id="131" w:name="_Toc5723"/>
      <w:bookmarkStart w:id="132" w:name="_Toc24847"/>
      <w:r>
        <w:rPr>
          <w:rFonts w:hint="eastAsia" w:ascii="宋体" w:hAnsi="宋体" w:cs="宋体"/>
          <w:b/>
          <w:color w:val="auto"/>
          <w:highlight w:val="none"/>
        </w:rPr>
        <w:t>2. 评审标准</w:t>
      </w:r>
      <w:bookmarkEnd w:id="121"/>
      <w:bookmarkEnd w:id="122"/>
      <w:bookmarkEnd w:id="123"/>
      <w:bookmarkEnd w:id="124"/>
      <w:bookmarkEnd w:id="125"/>
      <w:bookmarkEnd w:id="126"/>
      <w:bookmarkEnd w:id="127"/>
      <w:bookmarkEnd w:id="130"/>
      <w:bookmarkEnd w:id="131"/>
      <w:bookmarkEnd w:id="132"/>
    </w:p>
    <w:p w14:paraId="59652A53">
      <w:pPr>
        <w:pStyle w:val="6"/>
        <w:spacing w:line="360" w:lineRule="auto"/>
        <w:rPr>
          <w:rFonts w:ascii="宋体" w:hAnsi="宋体" w:cs="宋体"/>
          <w:color w:val="auto"/>
          <w:sz w:val="21"/>
          <w:szCs w:val="21"/>
          <w:highlight w:val="none"/>
        </w:rPr>
      </w:pPr>
      <w:bookmarkStart w:id="133" w:name="_Toc3423"/>
      <w:bookmarkStart w:id="134" w:name="_Toc633"/>
      <w:bookmarkStart w:id="135" w:name="_Toc179632620"/>
      <w:bookmarkStart w:id="136" w:name="_Toc246996245"/>
      <w:bookmarkStart w:id="137" w:name="_Toc152042379"/>
      <w:bookmarkStart w:id="138" w:name="_Toc246996988"/>
      <w:bookmarkStart w:id="139" w:name="_Toc144974569"/>
      <w:bookmarkStart w:id="140" w:name="_Toc339890729"/>
      <w:bookmarkStart w:id="141" w:name="_Toc152045602"/>
      <w:bookmarkStart w:id="142" w:name="_Toc247085760"/>
      <w:bookmarkStart w:id="143" w:name="_Toc19717"/>
      <w:r>
        <w:rPr>
          <w:rFonts w:hint="eastAsia" w:ascii="宋体" w:hAnsi="宋体" w:cs="宋体"/>
          <w:color w:val="auto"/>
          <w:sz w:val="21"/>
          <w:szCs w:val="21"/>
          <w:highlight w:val="none"/>
        </w:rPr>
        <w:t>2.1 初步评审标准</w:t>
      </w:r>
      <w:bookmarkEnd w:id="133"/>
      <w:bookmarkEnd w:id="134"/>
      <w:bookmarkEnd w:id="135"/>
      <w:bookmarkEnd w:id="136"/>
      <w:bookmarkEnd w:id="137"/>
      <w:bookmarkEnd w:id="138"/>
      <w:bookmarkEnd w:id="139"/>
      <w:bookmarkEnd w:id="140"/>
      <w:bookmarkEnd w:id="141"/>
      <w:bookmarkEnd w:id="142"/>
      <w:bookmarkEnd w:id="143"/>
    </w:p>
    <w:p w14:paraId="71E9A78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2.1.1 形式评审标准：见评标办法前附表</w:t>
      </w:r>
      <w:r>
        <w:rPr>
          <w:rFonts w:hint="eastAsia" w:ascii="宋体" w:hAnsi="宋体" w:cs="宋体"/>
          <w:color w:val="auto"/>
          <w:highlight w:val="none"/>
          <w:lang w:eastAsia="zh-CN"/>
        </w:rPr>
        <w:t>（</w:t>
      </w:r>
      <w:r>
        <w:rPr>
          <w:rFonts w:hint="eastAsia" w:ascii="宋体" w:hAnsi="宋体" w:cs="宋体"/>
          <w:color w:val="auto"/>
          <w:highlight w:val="none"/>
          <w:lang w:val="en-US" w:eastAsia="zh-CN"/>
        </w:rPr>
        <w:t>评标委员会审查</w:t>
      </w:r>
      <w:r>
        <w:rPr>
          <w:rFonts w:hint="eastAsia" w:ascii="宋体" w:hAnsi="宋体" w:cs="宋体"/>
          <w:color w:val="auto"/>
          <w:highlight w:val="none"/>
          <w:lang w:eastAsia="zh-CN"/>
        </w:rPr>
        <w:t>）</w:t>
      </w:r>
      <w:r>
        <w:rPr>
          <w:rFonts w:hint="eastAsia" w:ascii="宋体" w:hAnsi="宋体" w:cs="宋体"/>
          <w:color w:val="auto"/>
          <w:highlight w:val="none"/>
        </w:rPr>
        <w:t>。</w:t>
      </w:r>
    </w:p>
    <w:p w14:paraId="7DC0D6F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2.1.2 资格评审标准：见评标办法前附表</w:t>
      </w:r>
      <w:r>
        <w:rPr>
          <w:rFonts w:hint="eastAsia" w:ascii="宋体" w:hAnsi="宋体" w:cs="宋体"/>
          <w:color w:val="auto"/>
          <w:highlight w:val="none"/>
          <w:lang w:eastAsia="zh-CN"/>
        </w:rPr>
        <w:t>（</w:t>
      </w:r>
      <w:r>
        <w:rPr>
          <w:rFonts w:hint="eastAsia" w:ascii="宋体" w:hAnsi="宋体" w:cs="宋体"/>
          <w:color w:val="auto"/>
          <w:highlight w:val="none"/>
          <w:lang w:val="en-US" w:eastAsia="zh-CN"/>
        </w:rPr>
        <w:t>资格审查小组审查</w:t>
      </w:r>
      <w:r>
        <w:rPr>
          <w:rFonts w:hint="eastAsia" w:ascii="宋体" w:hAnsi="宋体" w:cs="宋体"/>
          <w:color w:val="auto"/>
          <w:highlight w:val="none"/>
          <w:lang w:eastAsia="zh-CN"/>
        </w:rPr>
        <w:t>）</w:t>
      </w:r>
      <w:r>
        <w:rPr>
          <w:rFonts w:hint="eastAsia" w:ascii="宋体" w:hAnsi="宋体" w:cs="宋体"/>
          <w:color w:val="auto"/>
          <w:highlight w:val="none"/>
        </w:rPr>
        <w:t>。</w:t>
      </w:r>
    </w:p>
    <w:p w14:paraId="479DBA8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2.1.3 响应性评审标准：见评标办法前附表</w:t>
      </w:r>
      <w:r>
        <w:rPr>
          <w:rFonts w:hint="eastAsia" w:ascii="宋体" w:hAnsi="宋体" w:cs="宋体"/>
          <w:color w:val="auto"/>
          <w:highlight w:val="none"/>
          <w:lang w:eastAsia="zh-CN"/>
        </w:rPr>
        <w:t>（</w:t>
      </w:r>
      <w:r>
        <w:rPr>
          <w:rFonts w:hint="eastAsia" w:ascii="宋体" w:hAnsi="宋体" w:cs="宋体"/>
          <w:color w:val="auto"/>
          <w:highlight w:val="none"/>
          <w:lang w:val="en-US" w:eastAsia="zh-CN"/>
        </w:rPr>
        <w:t>评标委员会审查</w:t>
      </w:r>
      <w:r>
        <w:rPr>
          <w:rFonts w:hint="eastAsia" w:ascii="宋体" w:hAnsi="宋体" w:cs="宋体"/>
          <w:color w:val="auto"/>
          <w:highlight w:val="none"/>
          <w:lang w:eastAsia="zh-CN"/>
        </w:rPr>
        <w:t>）</w:t>
      </w:r>
      <w:r>
        <w:rPr>
          <w:rFonts w:hint="eastAsia" w:ascii="宋体" w:hAnsi="宋体" w:cs="宋体"/>
          <w:color w:val="auto"/>
          <w:highlight w:val="none"/>
        </w:rPr>
        <w:t>。</w:t>
      </w:r>
    </w:p>
    <w:p w14:paraId="1EB57701">
      <w:pPr>
        <w:pStyle w:val="6"/>
        <w:spacing w:line="360" w:lineRule="auto"/>
        <w:rPr>
          <w:rFonts w:ascii="宋体" w:hAnsi="宋体" w:cs="宋体"/>
          <w:color w:val="auto"/>
          <w:sz w:val="21"/>
          <w:szCs w:val="21"/>
          <w:highlight w:val="none"/>
        </w:rPr>
      </w:pPr>
      <w:bookmarkStart w:id="144" w:name="_Toc179632621"/>
      <w:bookmarkStart w:id="145" w:name="_Toc152042380"/>
      <w:bookmarkStart w:id="146" w:name="_Toc12720"/>
      <w:bookmarkStart w:id="147" w:name="_Toc247085761"/>
      <w:bookmarkStart w:id="148" w:name="_Toc8336"/>
      <w:bookmarkStart w:id="149" w:name="_Toc339890730"/>
      <w:bookmarkStart w:id="150" w:name="_Toc144974570"/>
      <w:bookmarkStart w:id="151" w:name="_Toc246996989"/>
      <w:bookmarkStart w:id="152" w:name="_Toc152045603"/>
      <w:bookmarkStart w:id="153" w:name="_Toc246996246"/>
      <w:bookmarkStart w:id="154" w:name="_Toc30044"/>
      <w:r>
        <w:rPr>
          <w:rFonts w:hint="eastAsia" w:ascii="宋体" w:hAnsi="宋体" w:cs="宋体"/>
          <w:color w:val="auto"/>
          <w:sz w:val="21"/>
          <w:szCs w:val="21"/>
          <w:highlight w:val="none"/>
        </w:rPr>
        <w:t>2.2 分值构成与评分标准</w:t>
      </w:r>
      <w:bookmarkEnd w:id="144"/>
      <w:bookmarkEnd w:id="145"/>
      <w:bookmarkEnd w:id="146"/>
      <w:bookmarkEnd w:id="147"/>
      <w:bookmarkEnd w:id="148"/>
      <w:bookmarkEnd w:id="149"/>
      <w:bookmarkEnd w:id="150"/>
      <w:bookmarkEnd w:id="151"/>
      <w:bookmarkEnd w:id="152"/>
      <w:bookmarkEnd w:id="153"/>
      <w:bookmarkEnd w:id="154"/>
    </w:p>
    <w:p w14:paraId="645A3F0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2.2.1 分值构成</w:t>
      </w:r>
    </w:p>
    <w:p w14:paraId="090AE846">
      <w:pPr>
        <w:spacing w:line="360" w:lineRule="auto"/>
        <w:ind w:firstLine="718" w:firstLineChars="342"/>
        <w:rPr>
          <w:rFonts w:ascii="宋体" w:hAnsi="宋体" w:cs="宋体"/>
          <w:color w:val="auto"/>
          <w:highlight w:val="none"/>
        </w:rPr>
      </w:pPr>
      <w:r>
        <w:rPr>
          <w:rFonts w:hint="eastAsia" w:ascii="宋体" w:hAnsi="宋体" w:cs="宋体"/>
          <w:color w:val="auto"/>
          <w:highlight w:val="none"/>
        </w:rPr>
        <w:t>（1）</w:t>
      </w:r>
      <w:r>
        <w:rPr>
          <w:rFonts w:hint="eastAsia"/>
          <w:color w:val="auto"/>
          <w:highlight w:val="none"/>
        </w:rPr>
        <w:t>经济标</w:t>
      </w:r>
      <w:r>
        <w:rPr>
          <w:rFonts w:hint="eastAsia" w:ascii="宋体" w:hAnsi="宋体" w:cs="宋体"/>
          <w:color w:val="auto"/>
          <w:highlight w:val="none"/>
        </w:rPr>
        <w:t>：见评标办法前附表；</w:t>
      </w:r>
    </w:p>
    <w:p w14:paraId="45A73434">
      <w:pPr>
        <w:spacing w:line="360" w:lineRule="auto"/>
        <w:ind w:firstLine="718" w:firstLineChars="342"/>
        <w:rPr>
          <w:rFonts w:ascii="宋体" w:hAnsi="宋体" w:cs="宋体"/>
          <w:color w:val="auto"/>
          <w:highlight w:val="none"/>
        </w:rPr>
      </w:pPr>
      <w:r>
        <w:rPr>
          <w:rFonts w:hint="eastAsia" w:ascii="宋体" w:hAnsi="宋体" w:cs="宋体"/>
          <w:color w:val="auto"/>
          <w:highlight w:val="none"/>
        </w:rPr>
        <w:t>（2）</w:t>
      </w:r>
      <w:r>
        <w:rPr>
          <w:rFonts w:hint="eastAsia"/>
          <w:color w:val="auto"/>
          <w:highlight w:val="none"/>
        </w:rPr>
        <w:t>技术标</w:t>
      </w:r>
      <w:r>
        <w:rPr>
          <w:rFonts w:hint="eastAsia" w:ascii="宋体" w:hAnsi="宋体" w:cs="宋体"/>
          <w:color w:val="auto"/>
          <w:highlight w:val="none"/>
        </w:rPr>
        <w:t>：见评标办法前附表；</w:t>
      </w:r>
    </w:p>
    <w:p w14:paraId="3F5506EA">
      <w:pPr>
        <w:spacing w:line="360" w:lineRule="auto"/>
        <w:ind w:firstLine="718" w:firstLineChars="342"/>
        <w:rPr>
          <w:rFonts w:hint="eastAsia" w:ascii="宋体" w:hAnsi="宋体" w:eastAsia="宋体" w:cs="宋体"/>
          <w:color w:val="auto"/>
          <w:highlight w:val="none"/>
          <w:lang w:eastAsia="zh-CN"/>
        </w:rPr>
      </w:pPr>
      <w:r>
        <w:rPr>
          <w:rFonts w:hint="eastAsia" w:ascii="宋体" w:hAnsi="宋体" w:cs="宋体"/>
          <w:color w:val="auto"/>
          <w:highlight w:val="none"/>
        </w:rPr>
        <w:t>（3）</w:t>
      </w:r>
      <w:r>
        <w:rPr>
          <w:rFonts w:hint="eastAsia"/>
          <w:color w:val="auto"/>
          <w:highlight w:val="none"/>
        </w:rPr>
        <w:t>综合标</w:t>
      </w:r>
      <w:r>
        <w:rPr>
          <w:rFonts w:hint="eastAsia" w:ascii="宋体" w:hAnsi="宋体" w:cs="宋体"/>
          <w:color w:val="auto"/>
          <w:highlight w:val="none"/>
        </w:rPr>
        <w:t>：见评标办法前附表</w:t>
      </w:r>
      <w:r>
        <w:rPr>
          <w:rFonts w:hint="eastAsia" w:ascii="宋体" w:hAnsi="宋体" w:cs="宋体"/>
          <w:color w:val="auto"/>
          <w:highlight w:val="none"/>
          <w:lang w:eastAsia="zh-CN"/>
        </w:rPr>
        <w:t>。</w:t>
      </w:r>
    </w:p>
    <w:p w14:paraId="2D6E852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2.2.2 评标基准价计算</w:t>
      </w:r>
    </w:p>
    <w:p w14:paraId="63B88810">
      <w:pPr>
        <w:spacing w:line="360" w:lineRule="auto"/>
        <w:ind w:firstLine="840" w:firstLineChars="400"/>
        <w:rPr>
          <w:rFonts w:ascii="宋体" w:hAnsi="宋体" w:cs="宋体"/>
          <w:color w:val="auto"/>
          <w:highlight w:val="none"/>
        </w:rPr>
      </w:pPr>
      <w:r>
        <w:rPr>
          <w:rFonts w:hint="eastAsia" w:ascii="宋体" w:hAnsi="宋体" w:cs="宋体"/>
          <w:color w:val="auto"/>
          <w:highlight w:val="none"/>
        </w:rPr>
        <w:t>评标基准价计算方法：见评标办法前附表。</w:t>
      </w:r>
    </w:p>
    <w:p w14:paraId="062132A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2.2.3 投标报价的偏差率计算</w:t>
      </w:r>
    </w:p>
    <w:p w14:paraId="59CDB74E">
      <w:pPr>
        <w:spacing w:line="360" w:lineRule="auto"/>
        <w:ind w:firstLine="840" w:firstLineChars="400"/>
        <w:rPr>
          <w:rFonts w:ascii="宋体" w:hAnsi="宋体" w:cs="宋体"/>
          <w:color w:val="auto"/>
          <w:highlight w:val="none"/>
        </w:rPr>
      </w:pPr>
      <w:r>
        <w:rPr>
          <w:rFonts w:hint="eastAsia" w:ascii="宋体" w:hAnsi="宋体" w:cs="宋体"/>
          <w:color w:val="auto"/>
          <w:highlight w:val="none"/>
        </w:rPr>
        <w:t>投标报价的偏差率计算公式：见评标办法前附表。</w:t>
      </w:r>
    </w:p>
    <w:p w14:paraId="6B10FB7F">
      <w:pPr>
        <w:spacing w:line="360" w:lineRule="auto"/>
        <w:outlineLvl w:val="1"/>
        <w:rPr>
          <w:rFonts w:ascii="宋体" w:hAnsi="宋体" w:cs="宋体"/>
          <w:b/>
          <w:color w:val="auto"/>
          <w:highlight w:val="none"/>
        </w:rPr>
      </w:pPr>
      <w:bookmarkStart w:id="155" w:name="_Toc179632622"/>
      <w:bookmarkStart w:id="156" w:name="_Toc247085762"/>
      <w:bookmarkStart w:id="157" w:name="_Toc246996247"/>
      <w:bookmarkStart w:id="158" w:name="_Toc25312"/>
      <w:bookmarkStart w:id="159" w:name="_Toc246996990"/>
      <w:bookmarkStart w:id="160" w:name="_Toc152045604"/>
      <w:bookmarkStart w:id="161" w:name="_Toc15541"/>
      <w:bookmarkStart w:id="162" w:name="_Toc144974571"/>
      <w:bookmarkStart w:id="163" w:name="_Toc2811"/>
      <w:bookmarkStart w:id="164" w:name="_Toc152042381"/>
      <w:r>
        <w:rPr>
          <w:rFonts w:hint="eastAsia" w:ascii="宋体" w:hAnsi="宋体" w:cs="宋体"/>
          <w:b/>
          <w:color w:val="auto"/>
          <w:highlight w:val="none"/>
        </w:rPr>
        <w:t>3. 评标程序</w:t>
      </w:r>
      <w:bookmarkEnd w:id="155"/>
      <w:bookmarkEnd w:id="156"/>
      <w:bookmarkEnd w:id="157"/>
      <w:bookmarkEnd w:id="158"/>
      <w:bookmarkEnd w:id="159"/>
      <w:bookmarkEnd w:id="160"/>
      <w:bookmarkEnd w:id="161"/>
      <w:bookmarkEnd w:id="162"/>
      <w:bookmarkEnd w:id="163"/>
      <w:bookmarkEnd w:id="164"/>
      <w:bookmarkStart w:id="165" w:name="_Toc246996991"/>
      <w:bookmarkStart w:id="166" w:name="_Toc339890732"/>
      <w:bookmarkStart w:id="167" w:name="_Toc246996248"/>
      <w:bookmarkStart w:id="168" w:name="_Toc152042382"/>
      <w:bookmarkStart w:id="169" w:name="_Toc247085763"/>
      <w:bookmarkStart w:id="170" w:name="_Toc152045605"/>
      <w:bookmarkStart w:id="171" w:name="_Toc179632623"/>
      <w:bookmarkStart w:id="172" w:name="_Toc144974572"/>
    </w:p>
    <w:p w14:paraId="2E5D72A2">
      <w:pPr>
        <w:pStyle w:val="6"/>
        <w:spacing w:line="360" w:lineRule="auto"/>
        <w:rPr>
          <w:rFonts w:ascii="宋体" w:hAnsi="宋体" w:cs="宋体"/>
          <w:color w:val="auto"/>
          <w:sz w:val="21"/>
          <w:szCs w:val="21"/>
          <w:highlight w:val="none"/>
        </w:rPr>
      </w:pPr>
      <w:bookmarkStart w:id="173" w:name="_Toc27593"/>
      <w:bookmarkStart w:id="174" w:name="_Toc9825"/>
      <w:bookmarkStart w:id="175" w:name="_Toc18682"/>
      <w:r>
        <w:rPr>
          <w:rFonts w:hint="eastAsia" w:ascii="宋体" w:hAnsi="宋体" w:cs="宋体"/>
          <w:color w:val="auto"/>
          <w:sz w:val="21"/>
          <w:szCs w:val="21"/>
          <w:highlight w:val="none"/>
        </w:rPr>
        <w:t>3.1 初步评审</w:t>
      </w:r>
      <w:bookmarkEnd w:id="165"/>
      <w:bookmarkEnd w:id="166"/>
      <w:bookmarkEnd w:id="167"/>
      <w:bookmarkEnd w:id="168"/>
      <w:bookmarkEnd w:id="169"/>
      <w:bookmarkEnd w:id="170"/>
      <w:bookmarkEnd w:id="171"/>
      <w:bookmarkEnd w:id="172"/>
      <w:bookmarkEnd w:id="173"/>
      <w:bookmarkEnd w:id="174"/>
      <w:bookmarkEnd w:id="175"/>
    </w:p>
    <w:p w14:paraId="35A4904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3.1.1评标委员会依据本章第2.1款规定的标准对投标文件进行初步评审。有一项不符合评审标准的，评标委员会应当否决其投标。</w:t>
      </w:r>
    </w:p>
    <w:p w14:paraId="1589F3A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3.1.2 投标人有以下情形之一的，评标委员会应当否决其投标：</w:t>
      </w:r>
    </w:p>
    <w:p w14:paraId="7C15E463">
      <w:pPr>
        <w:spacing w:line="360" w:lineRule="auto"/>
        <w:ind w:firstLine="718" w:firstLineChars="342"/>
        <w:rPr>
          <w:rFonts w:ascii="宋体" w:hAnsi="宋体" w:cs="宋体"/>
          <w:color w:val="auto"/>
          <w:highlight w:val="none"/>
        </w:rPr>
      </w:pPr>
      <w:r>
        <w:rPr>
          <w:rFonts w:hint="eastAsia" w:ascii="宋体" w:hAnsi="宋体" w:cs="宋体"/>
          <w:color w:val="auto"/>
          <w:highlight w:val="none"/>
        </w:rPr>
        <w:t>（1）第二章“投标人须知”第1.4.2项、第1.4.3项规定的任何一种情形的；</w:t>
      </w:r>
    </w:p>
    <w:p w14:paraId="65BAEBF7">
      <w:pPr>
        <w:spacing w:line="360" w:lineRule="auto"/>
        <w:ind w:firstLine="718" w:firstLineChars="342"/>
        <w:rPr>
          <w:rFonts w:ascii="宋体" w:hAnsi="宋体" w:cs="宋体"/>
          <w:color w:val="auto"/>
          <w:highlight w:val="none"/>
        </w:rPr>
      </w:pPr>
      <w:r>
        <w:rPr>
          <w:rFonts w:hint="eastAsia" w:ascii="宋体" w:hAnsi="宋体" w:cs="宋体"/>
          <w:color w:val="auto"/>
          <w:highlight w:val="none"/>
        </w:rPr>
        <w:t>（2）串通投标或弄虚作假或有其他违法行为的；</w:t>
      </w:r>
    </w:p>
    <w:p w14:paraId="064EF901">
      <w:pPr>
        <w:spacing w:line="360" w:lineRule="auto"/>
        <w:ind w:firstLine="718" w:firstLineChars="342"/>
        <w:rPr>
          <w:rFonts w:ascii="宋体" w:hAnsi="宋体" w:cs="宋体"/>
          <w:color w:val="auto"/>
          <w:highlight w:val="none"/>
        </w:rPr>
      </w:pPr>
      <w:r>
        <w:rPr>
          <w:rFonts w:hint="eastAsia" w:ascii="宋体" w:hAnsi="宋体" w:cs="宋体"/>
          <w:color w:val="auto"/>
          <w:highlight w:val="none"/>
        </w:rPr>
        <w:t>（3）不按评标委员会要求澄清、说明或补正的。</w:t>
      </w:r>
    </w:p>
    <w:p w14:paraId="4EFF242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3.1.3投标报价有算术错误的，评标委员会按以下原则对投标报价进行修正，修正的价格经投标人书面确认后具有约束力。投标人不接受修正价格的，评标委员会应当否决其投标。</w:t>
      </w:r>
    </w:p>
    <w:p w14:paraId="579D288D">
      <w:pPr>
        <w:spacing w:line="360" w:lineRule="auto"/>
        <w:ind w:firstLine="718" w:firstLineChars="342"/>
        <w:rPr>
          <w:rFonts w:ascii="宋体" w:hAnsi="宋体" w:cs="宋体"/>
          <w:color w:val="auto"/>
          <w:highlight w:val="none"/>
        </w:rPr>
      </w:pPr>
      <w:bookmarkStart w:id="176" w:name="_Toc152042383"/>
      <w:r>
        <w:rPr>
          <w:rFonts w:hint="eastAsia" w:ascii="宋体" w:hAnsi="宋体" w:cs="宋体"/>
          <w:color w:val="auto"/>
          <w:highlight w:val="none"/>
        </w:rPr>
        <w:t>（1）投标文件中的大写金额与小写金额不一致的，以大写金额为准；</w:t>
      </w:r>
      <w:bookmarkEnd w:id="176"/>
    </w:p>
    <w:p w14:paraId="1A523DDA">
      <w:pPr>
        <w:spacing w:line="360" w:lineRule="auto"/>
        <w:ind w:firstLine="718" w:firstLineChars="342"/>
        <w:rPr>
          <w:rFonts w:ascii="宋体" w:hAnsi="宋体" w:cs="宋体"/>
          <w:color w:val="auto"/>
          <w:highlight w:val="none"/>
        </w:rPr>
      </w:pPr>
      <w:r>
        <w:rPr>
          <w:rFonts w:hint="eastAsia" w:ascii="宋体" w:hAnsi="宋体" w:cs="宋体"/>
          <w:color w:val="auto"/>
          <w:highlight w:val="none"/>
        </w:rPr>
        <w:t>（2）总价金额与依据单价计算出的结果不一致的，以单价金额为准修正总价，但单价金额小数点有明显错误的除外。</w:t>
      </w:r>
    </w:p>
    <w:p w14:paraId="3653FBBC">
      <w:pPr>
        <w:pStyle w:val="6"/>
        <w:spacing w:line="360" w:lineRule="auto"/>
        <w:rPr>
          <w:rFonts w:ascii="宋体" w:hAnsi="宋体" w:cs="宋体"/>
          <w:color w:val="auto"/>
          <w:sz w:val="21"/>
          <w:szCs w:val="21"/>
          <w:highlight w:val="none"/>
        </w:rPr>
      </w:pPr>
      <w:bookmarkStart w:id="177" w:name="_Toc339890733"/>
      <w:bookmarkStart w:id="178" w:name="_Toc144974573"/>
      <w:bookmarkStart w:id="179" w:name="_Toc247085764"/>
      <w:bookmarkStart w:id="180" w:name="_Toc1522"/>
      <w:bookmarkStart w:id="181" w:name="_Toc18221"/>
      <w:bookmarkStart w:id="182" w:name="_Toc152045606"/>
      <w:bookmarkStart w:id="183" w:name="_Toc179632624"/>
      <w:bookmarkStart w:id="184" w:name="_Toc246996992"/>
      <w:bookmarkStart w:id="185" w:name="_Toc246996249"/>
      <w:bookmarkStart w:id="186" w:name="_Toc26313"/>
      <w:bookmarkStart w:id="187" w:name="_Toc152042384"/>
      <w:r>
        <w:rPr>
          <w:rFonts w:hint="eastAsia" w:ascii="宋体" w:hAnsi="宋体" w:cs="宋体"/>
          <w:color w:val="auto"/>
          <w:sz w:val="21"/>
          <w:szCs w:val="21"/>
          <w:highlight w:val="none"/>
        </w:rPr>
        <w:t>3.2 详细评审</w:t>
      </w:r>
      <w:bookmarkEnd w:id="177"/>
      <w:bookmarkEnd w:id="178"/>
      <w:bookmarkEnd w:id="179"/>
      <w:bookmarkEnd w:id="180"/>
      <w:bookmarkEnd w:id="181"/>
      <w:bookmarkEnd w:id="182"/>
      <w:bookmarkEnd w:id="183"/>
      <w:bookmarkEnd w:id="184"/>
      <w:bookmarkEnd w:id="185"/>
      <w:bookmarkEnd w:id="186"/>
      <w:bookmarkEnd w:id="187"/>
    </w:p>
    <w:p w14:paraId="79B65A7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3.2.1 评标委员会按本章第2.2款规定的量化因素和分值进行打分，并计算出综合评估得分。</w:t>
      </w:r>
    </w:p>
    <w:p w14:paraId="0400CAA6">
      <w:pPr>
        <w:spacing w:line="360" w:lineRule="auto"/>
        <w:ind w:firstLine="718" w:firstLineChars="342"/>
        <w:rPr>
          <w:rFonts w:ascii="宋体" w:hAnsi="宋体" w:cs="宋体"/>
          <w:color w:val="auto"/>
          <w:highlight w:val="none"/>
        </w:rPr>
      </w:pPr>
      <w:r>
        <w:rPr>
          <w:rFonts w:hint="eastAsia" w:ascii="宋体" w:hAnsi="宋体" w:cs="宋体"/>
          <w:color w:val="auto"/>
          <w:highlight w:val="none"/>
        </w:rPr>
        <w:t>（1）按本章第2.2.2（1）目规定的评审因素和分值对经济标计算出得分A；</w:t>
      </w:r>
    </w:p>
    <w:p w14:paraId="232E0388">
      <w:pPr>
        <w:spacing w:line="360" w:lineRule="auto"/>
        <w:ind w:firstLine="718" w:firstLineChars="342"/>
        <w:rPr>
          <w:rFonts w:ascii="宋体" w:hAnsi="宋体" w:cs="宋体"/>
          <w:color w:val="auto"/>
          <w:highlight w:val="none"/>
        </w:rPr>
      </w:pPr>
      <w:r>
        <w:rPr>
          <w:rFonts w:hint="eastAsia" w:ascii="宋体" w:hAnsi="宋体" w:cs="宋体"/>
          <w:color w:val="auto"/>
          <w:highlight w:val="none"/>
        </w:rPr>
        <w:t>（2）按本章第2.2.2（2）目规定的评审因素和分值对</w:t>
      </w:r>
      <w:r>
        <w:rPr>
          <w:rFonts w:hint="eastAsia"/>
          <w:color w:val="auto"/>
          <w:highlight w:val="none"/>
        </w:rPr>
        <w:t>技术标</w:t>
      </w:r>
      <w:r>
        <w:rPr>
          <w:rFonts w:hint="eastAsia" w:ascii="宋体" w:hAnsi="宋体" w:cs="宋体"/>
          <w:color w:val="auto"/>
          <w:highlight w:val="none"/>
        </w:rPr>
        <w:t>计算出得分B；</w:t>
      </w:r>
    </w:p>
    <w:p w14:paraId="1C654201">
      <w:pPr>
        <w:spacing w:line="360" w:lineRule="auto"/>
        <w:ind w:firstLine="718" w:firstLineChars="342"/>
        <w:rPr>
          <w:rFonts w:hint="eastAsia" w:ascii="宋体" w:hAnsi="宋体" w:eastAsia="宋体" w:cs="宋体"/>
          <w:color w:val="auto"/>
          <w:highlight w:val="none"/>
          <w:lang w:eastAsia="zh-CN"/>
        </w:rPr>
      </w:pPr>
      <w:r>
        <w:rPr>
          <w:rFonts w:hint="eastAsia" w:ascii="宋体" w:hAnsi="宋体" w:cs="宋体"/>
          <w:color w:val="auto"/>
          <w:highlight w:val="none"/>
        </w:rPr>
        <w:t>（3）按本章第2.2.2（3）目规定的评审因素和分值对</w:t>
      </w:r>
      <w:r>
        <w:rPr>
          <w:rFonts w:hint="eastAsia"/>
          <w:color w:val="auto"/>
          <w:highlight w:val="none"/>
        </w:rPr>
        <w:t>综合标</w:t>
      </w:r>
      <w:r>
        <w:rPr>
          <w:rFonts w:hint="eastAsia" w:ascii="宋体" w:hAnsi="宋体" w:cs="宋体"/>
          <w:color w:val="auto"/>
          <w:highlight w:val="none"/>
        </w:rPr>
        <w:t>计算出得分C</w:t>
      </w:r>
      <w:r>
        <w:rPr>
          <w:rFonts w:hint="eastAsia" w:ascii="宋体" w:hAnsi="宋体" w:cs="宋体"/>
          <w:color w:val="auto"/>
          <w:highlight w:val="none"/>
          <w:lang w:eastAsia="zh-CN"/>
        </w:rPr>
        <w:t>。</w:t>
      </w:r>
    </w:p>
    <w:p w14:paraId="6444AE8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3.2.2 评分分值计算保留小数点后两位，小数点后第三位“四舍五入”。</w:t>
      </w:r>
    </w:p>
    <w:p w14:paraId="7B0217D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3.2.3 投标人得分=A+B+C。</w:t>
      </w:r>
    </w:p>
    <w:p w14:paraId="3C6564C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3.2.4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评标委员会应当认定该投标人以低于成本报价竞标，否决其投标。</w:t>
      </w:r>
    </w:p>
    <w:p w14:paraId="03A2CE25">
      <w:pPr>
        <w:pStyle w:val="6"/>
        <w:spacing w:line="360" w:lineRule="auto"/>
        <w:rPr>
          <w:rFonts w:ascii="宋体" w:hAnsi="宋体" w:cs="宋体"/>
          <w:color w:val="auto"/>
          <w:sz w:val="21"/>
          <w:szCs w:val="21"/>
          <w:highlight w:val="none"/>
        </w:rPr>
      </w:pPr>
      <w:bookmarkStart w:id="188" w:name="_Toc144974575"/>
      <w:bookmarkStart w:id="189" w:name="_Toc246996250"/>
      <w:bookmarkStart w:id="190" w:name="_Toc339890734"/>
      <w:bookmarkStart w:id="191" w:name="_Toc27514"/>
      <w:bookmarkStart w:id="192" w:name="_Toc17851"/>
      <w:bookmarkStart w:id="193" w:name="_Toc179632625"/>
      <w:bookmarkStart w:id="194" w:name="_Toc247085765"/>
      <w:bookmarkStart w:id="195" w:name="_Toc5237"/>
      <w:bookmarkStart w:id="196" w:name="_Toc152045607"/>
      <w:bookmarkStart w:id="197" w:name="_Toc152042385"/>
      <w:bookmarkStart w:id="198" w:name="_Toc246996993"/>
      <w:r>
        <w:rPr>
          <w:rFonts w:hint="eastAsia" w:ascii="宋体" w:hAnsi="宋体" w:cs="宋体"/>
          <w:color w:val="auto"/>
          <w:sz w:val="21"/>
          <w:szCs w:val="21"/>
          <w:highlight w:val="none"/>
        </w:rPr>
        <w:t>3.3 投标文件的澄清</w:t>
      </w:r>
      <w:bookmarkEnd w:id="188"/>
      <w:r>
        <w:rPr>
          <w:rFonts w:hint="eastAsia" w:ascii="宋体" w:hAnsi="宋体" w:cs="宋体"/>
          <w:color w:val="auto"/>
          <w:sz w:val="21"/>
          <w:szCs w:val="21"/>
          <w:highlight w:val="none"/>
        </w:rPr>
        <w:t>和补正</w:t>
      </w:r>
      <w:bookmarkEnd w:id="189"/>
      <w:bookmarkEnd w:id="190"/>
      <w:bookmarkEnd w:id="191"/>
      <w:bookmarkEnd w:id="192"/>
      <w:bookmarkEnd w:id="193"/>
      <w:bookmarkEnd w:id="194"/>
      <w:bookmarkEnd w:id="195"/>
      <w:bookmarkEnd w:id="196"/>
      <w:bookmarkEnd w:id="197"/>
      <w:bookmarkEnd w:id="198"/>
    </w:p>
    <w:p w14:paraId="60205C51">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3.3.1在评标过程中，评标委员会可</w:t>
      </w:r>
      <w:r>
        <w:rPr>
          <w:rFonts w:hint="eastAsia" w:ascii="宋体" w:hAnsi="宋体" w:cs="宋体"/>
          <w:color w:val="auto"/>
          <w:highlight w:val="none"/>
          <w:lang w:eastAsia="zh-CN"/>
        </w:rPr>
        <w:t>以电子平台形式</w:t>
      </w:r>
      <w:r>
        <w:rPr>
          <w:rFonts w:hint="eastAsia" w:ascii="宋体" w:hAnsi="宋体" w:cs="宋体"/>
          <w:color w:val="auto"/>
          <w:highlight w:val="none"/>
        </w:rPr>
        <w:t>要求投标人对所提交投标文件中不明确的内容进行书面澄清或说明，或者对细微偏差进行补正。评标委员会不接受投标人主动提出的澄清、说明或补正。</w:t>
      </w:r>
    </w:p>
    <w:p w14:paraId="25C7A351">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3.3.2 澄清、说明和补正不得改变投标文件的实质性内容。投标人的书面澄清、说明和补正属于投标文件的组成部分。</w:t>
      </w:r>
    </w:p>
    <w:p w14:paraId="6247F5E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3.3.3 评标委员会对投标人提交的澄清、说明或补正有疑问的，可以要求投标人进一步澄清、说明或补正，直至满足评标委员会的要求。</w:t>
      </w:r>
    </w:p>
    <w:p w14:paraId="17912324">
      <w:pPr>
        <w:pStyle w:val="6"/>
        <w:spacing w:line="360" w:lineRule="auto"/>
        <w:rPr>
          <w:rFonts w:ascii="宋体" w:hAnsi="宋体" w:cs="宋体"/>
          <w:color w:val="auto"/>
          <w:sz w:val="21"/>
          <w:szCs w:val="21"/>
          <w:highlight w:val="none"/>
        </w:rPr>
      </w:pPr>
      <w:bookmarkStart w:id="199" w:name="_Toc179632626"/>
      <w:bookmarkStart w:id="200" w:name="_Toc2747"/>
      <w:bookmarkStart w:id="201" w:name="_Toc246996994"/>
      <w:bookmarkStart w:id="202" w:name="_Toc247085766"/>
      <w:bookmarkStart w:id="203" w:name="_Toc152045608"/>
      <w:bookmarkStart w:id="204" w:name="_Toc32397"/>
      <w:bookmarkStart w:id="205" w:name="_Toc246996251"/>
      <w:bookmarkStart w:id="206" w:name="_Toc24653"/>
      <w:bookmarkStart w:id="207" w:name="_Toc152042386"/>
      <w:bookmarkStart w:id="208" w:name="_Toc144974576"/>
      <w:bookmarkStart w:id="209" w:name="_Toc339890735"/>
      <w:r>
        <w:rPr>
          <w:rFonts w:hint="eastAsia" w:ascii="宋体" w:hAnsi="宋体" w:cs="宋体"/>
          <w:color w:val="auto"/>
          <w:sz w:val="21"/>
          <w:szCs w:val="21"/>
          <w:highlight w:val="none"/>
        </w:rPr>
        <w:t>3.4 评标结果</w:t>
      </w:r>
      <w:bookmarkEnd w:id="199"/>
      <w:bookmarkEnd w:id="200"/>
      <w:bookmarkEnd w:id="201"/>
      <w:bookmarkEnd w:id="202"/>
      <w:bookmarkEnd w:id="203"/>
      <w:bookmarkEnd w:id="204"/>
      <w:bookmarkEnd w:id="205"/>
      <w:bookmarkEnd w:id="206"/>
      <w:bookmarkEnd w:id="207"/>
      <w:bookmarkEnd w:id="208"/>
      <w:bookmarkEnd w:id="209"/>
    </w:p>
    <w:p w14:paraId="377F31D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3.4.1除第二章“投标人须知”前附表授权直接确定中标人外，评标委员会按照得分由高到低的顺序推荐中标候选人。</w:t>
      </w:r>
    </w:p>
    <w:p w14:paraId="48FA6FE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3.4.2 评标委员会完成评标后，应当向招标人提交书面评标报告。</w:t>
      </w:r>
    </w:p>
    <w:p w14:paraId="79C27D95">
      <w:pPr>
        <w:pStyle w:val="4"/>
        <w:spacing w:line="360" w:lineRule="auto"/>
        <w:jc w:val="center"/>
        <w:rPr>
          <w:rFonts w:hint="eastAsia" w:ascii="宋体" w:hAnsi="宋体" w:cs="宋体"/>
          <w:color w:val="auto"/>
          <w:sz w:val="32"/>
          <w:szCs w:val="32"/>
          <w:highlight w:val="none"/>
          <w:lang w:eastAsia="zh-CN"/>
        </w:rPr>
      </w:pPr>
      <w:r>
        <w:rPr>
          <w:rFonts w:hint="eastAsia" w:ascii="宋体" w:hAnsi="宋体" w:cs="宋体"/>
          <w:color w:val="auto"/>
          <w:szCs w:val="21"/>
          <w:highlight w:val="none"/>
        </w:rPr>
        <w:br w:type="page"/>
      </w:r>
      <w:bookmarkStart w:id="210" w:name="_Toc5848"/>
      <w:r>
        <w:rPr>
          <w:rFonts w:hint="eastAsia" w:ascii="宋体" w:hAnsi="宋体" w:cs="宋体"/>
          <w:color w:val="auto"/>
          <w:sz w:val="32"/>
          <w:szCs w:val="32"/>
          <w:highlight w:val="none"/>
        </w:rPr>
        <w:t>第四章 合同条款及格式</w:t>
      </w:r>
      <w:bookmarkEnd w:id="118"/>
      <w:bookmarkEnd w:id="210"/>
    </w:p>
    <w:p w14:paraId="0BB2F281">
      <w:pPr>
        <w:pStyle w:val="30"/>
        <w:jc w:val="center"/>
        <w:rPr>
          <w:rFonts w:hint="eastAsia" w:cs="宋体"/>
          <w:b/>
          <w:bCs/>
          <w:i w:val="0"/>
          <w:iCs w:val="0"/>
          <w:color w:val="auto"/>
          <w:sz w:val="24"/>
          <w:szCs w:val="24"/>
          <w:highlight w:val="none"/>
          <w:lang w:eastAsia="zh-CN"/>
        </w:rPr>
      </w:pPr>
      <w:r>
        <w:rPr>
          <w:rFonts w:hint="eastAsia" w:cs="宋体"/>
          <w:b/>
          <w:bCs/>
          <w:i w:val="0"/>
          <w:iCs w:val="0"/>
          <w:color w:val="auto"/>
          <w:sz w:val="24"/>
          <w:szCs w:val="24"/>
          <w:highlight w:val="none"/>
          <w:lang w:eastAsia="zh-CN"/>
        </w:rPr>
        <w:t>（注：合格格式仅供参考，不计入评审，以实际签订合同为准。）</w:t>
      </w:r>
    </w:p>
    <w:p w14:paraId="7E83404F">
      <w:pPr>
        <w:jc w:val="center"/>
        <w:rPr>
          <w:rFonts w:hint="eastAsia" w:asciiTheme="minorEastAsia" w:hAnsiTheme="minorEastAsia" w:eastAsiaTheme="minorEastAsia" w:cstheme="minorEastAsia"/>
          <w:b/>
          <w:bCs/>
          <w:color w:val="auto"/>
          <w:sz w:val="44"/>
          <w:szCs w:val="44"/>
          <w:highlight w:val="none"/>
        </w:rPr>
      </w:pPr>
    </w:p>
    <w:p w14:paraId="4B720887">
      <w:pPr>
        <w:jc w:val="center"/>
        <w:rPr>
          <w:rFonts w:hint="eastAsia" w:asciiTheme="minorEastAsia" w:hAnsiTheme="minorEastAsia" w:eastAsiaTheme="minorEastAsia" w:cstheme="minorEastAsia"/>
          <w:b/>
          <w:bCs/>
          <w:color w:val="auto"/>
          <w:sz w:val="44"/>
          <w:szCs w:val="44"/>
          <w:highlight w:val="none"/>
        </w:rPr>
      </w:pPr>
      <w:r>
        <w:rPr>
          <w:rFonts w:hint="eastAsia" w:asciiTheme="minorEastAsia" w:hAnsiTheme="minorEastAsia" w:eastAsiaTheme="minorEastAsia" w:cstheme="minorEastAsia"/>
          <w:b/>
          <w:bCs/>
          <w:color w:val="auto"/>
          <w:sz w:val="44"/>
          <w:szCs w:val="44"/>
          <w:highlight w:val="none"/>
        </w:rPr>
        <w:t>政府采购合同</w:t>
      </w:r>
    </w:p>
    <w:p w14:paraId="5191AE2D">
      <w:pPr>
        <w:rPr>
          <w:rFonts w:hint="eastAsia" w:asciiTheme="minorEastAsia" w:hAnsiTheme="minorEastAsia" w:eastAsiaTheme="minorEastAsia" w:cstheme="minorEastAsia"/>
          <w:color w:val="auto"/>
          <w:sz w:val="44"/>
          <w:szCs w:val="44"/>
          <w:highlight w:val="none"/>
        </w:rPr>
      </w:pPr>
    </w:p>
    <w:p w14:paraId="2CC325FE">
      <w:pPr>
        <w:rPr>
          <w:rFonts w:hint="eastAsia" w:asciiTheme="minorEastAsia" w:hAnsiTheme="minorEastAsia" w:eastAsiaTheme="minorEastAsia" w:cstheme="minorEastAsia"/>
          <w:color w:val="auto"/>
          <w:sz w:val="24"/>
          <w:szCs w:val="24"/>
          <w:highlight w:val="none"/>
        </w:rPr>
      </w:pPr>
    </w:p>
    <w:p w14:paraId="40A80642">
      <w:pPr>
        <w:rPr>
          <w:rFonts w:hint="eastAsia" w:asciiTheme="minorEastAsia" w:hAnsiTheme="minorEastAsia" w:eastAsiaTheme="minorEastAsia" w:cstheme="minorEastAsia"/>
          <w:color w:val="auto"/>
          <w:sz w:val="24"/>
          <w:szCs w:val="24"/>
          <w:highlight w:val="none"/>
        </w:rPr>
      </w:pPr>
    </w:p>
    <w:p w14:paraId="0AEBC1F9">
      <w:pPr>
        <w:pStyle w:val="15"/>
        <w:rPr>
          <w:rFonts w:hint="eastAsia" w:asciiTheme="minorEastAsia" w:hAnsiTheme="minorEastAsia" w:eastAsiaTheme="minorEastAsia" w:cstheme="minorEastAsia"/>
          <w:color w:val="auto"/>
          <w:sz w:val="24"/>
          <w:szCs w:val="24"/>
          <w:highlight w:val="none"/>
        </w:rPr>
      </w:pPr>
    </w:p>
    <w:p w14:paraId="70EA3FD9">
      <w:pPr>
        <w:pStyle w:val="15"/>
        <w:rPr>
          <w:rFonts w:hint="eastAsia" w:asciiTheme="minorEastAsia" w:hAnsiTheme="minorEastAsia" w:eastAsiaTheme="minorEastAsia" w:cstheme="minorEastAsia"/>
          <w:color w:val="auto"/>
          <w:sz w:val="24"/>
          <w:szCs w:val="24"/>
          <w:highlight w:val="none"/>
        </w:rPr>
      </w:pPr>
    </w:p>
    <w:p w14:paraId="09D64EDC">
      <w:pPr>
        <w:pStyle w:val="15"/>
        <w:rPr>
          <w:rFonts w:hint="eastAsia" w:asciiTheme="minorEastAsia" w:hAnsiTheme="minorEastAsia" w:eastAsiaTheme="minorEastAsia" w:cstheme="minorEastAsia"/>
          <w:color w:val="auto"/>
          <w:sz w:val="24"/>
          <w:szCs w:val="24"/>
          <w:highlight w:val="none"/>
        </w:rPr>
      </w:pPr>
    </w:p>
    <w:p w14:paraId="2E0C9847">
      <w:pPr>
        <w:pStyle w:val="15"/>
        <w:rPr>
          <w:rFonts w:hint="eastAsia" w:asciiTheme="minorEastAsia" w:hAnsiTheme="minorEastAsia" w:eastAsiaTheme="minorEastAsia" w:cstheme="minorEastAsia"/>
          <w:color w:val="auto"/>
          <w:sz w:val="24"/>
          <w:szCs w:val="24"/>
          <w:highlight w:val="none"/>
        </w:rPr>
      </w:pPr>
    </w:p>
    <w:p w14:paraId="4E75F943">
      <w:pPr>
        <w:pStyle w:val="15"/>
        <w:rPr>
          <w:rFonts w:hint="eastAsia" w:asciiTheme="minorEastAsia" w:hAnsiTheme="minorEastAsia" w:eastAsiaTheme="minorEastAsia" w:cstheme="minorEastAsia"/>
          <w:color w:val="auto"/>
          <w:sz w:val="24"/>
          <w:szCs w:val="24"/>
          <w:highlight w:val="none"/>
        </w:rPr>
      </w:pPr>
    </w:p>
    <w:p w14:paraId="483C9BD9">
      <w:pPr>
        <w:pStyle w:val="15"/>
        <w:rPr>
          <w:rFonts w:hint="eastAsia" w:asciiTheme="minorEastAsia" w:hAnsiTheme="minorEastAsia" w:eastAsiaTheme="minorEastAsia" w:cstheme="minorEastAsia"/>
          <w:color w:val="auto"/>
          <w:sz w:val="24"/>
          <w:szCs w:val="24"/>
          <w:highlight w:val="none"/>
        </w:rPr>
      </w:pPr>
    </w:p>
    <w:p w14:paraId="1E76E8C9">
      <w:pPr>
        <w:pStyle w:val="15"/>
        <w:rPr>
          <w:rFonts w:hint="eastAsia" w:asciiTheme="minorEastAsia" w:hAnsiTheme="minorEastAsia" w:eastAsiaTheme="minorEastAsia" w:cstheme="minorEastAsia"/>
          <w:color w:val="auto"/>
          <w:sz w:val="24"/>
          <w:szCs w:val="24"/>
          <w:highlight w:val="none"/>
        </w:rPr>
      </w:pPr>
    </w:p>
    <w:p w14:paraId="3600DB98">
      <w:pPr>
        <w:pStyle w:val="15"/>
        <w:rPr>
          <w:rFonts w:hint="eastAsia" w:asciiTheme="minorEastAsia" w:hAnsiTheme="minorEastAsia" w:eastAsiaTheme="minorEastAsia" w:cstheme="minorEastAsia"/>
          <w:color w:val="auto"/>
          <w:sz w:val="24"/>
          <w:szCs w:val="24"/>
          <w:highlight w:val="none"/>
        </w:rPr>
      </w:pPr>
    </w:p>
    <w:p w14:paraId="04EC65E6">
      <w:pPr>
        <w:pStyle w:val="15"/>
        <w:rPr>
          <w:rFonts w:hint="eastAsia" w:asciiTheme="minorEastAsia" w:hAnsiTheme="minorEastAsia" w:eastAsiaTheme="minorEastAsia" w:cstheme="minorEastAsia"/>
          <w:color w:val="auto"/>
          <w:sz w:val="24"/>
          <w:szCs w:val="24"/>
          <w:highlight w:val="none"/>
        </w:rPr>
      </w:pPr>
    </w:p>
    <w:p w14:paraId="38DD6A1C">
      <w:pPr>
        <w:pStyle w:val="15"/>
        <w:rPr>
          <w:rFonts w:hint="eastAsia" w:asciiTheme="minorEastAsia" w:hAnsiTheme="minorEastAsia" w:eastAsiaTheme="minorEastAsia" w:cstheme="minorEastAsia"/>
          <w:color w:val="auto"/>
          <w:sz w:val="24"/>
          <w:szCs w:val="24"/>
          <w:highlight w:val="none"/>
        </w:rPr>
      </w:pPr>
    </w:p>
    <w:p w14:paraId="76D96BFF">
      <w:pPr>
        <w:pStyle w:val="15"/>
        <w:rPr>
          <w:rFonts w:hint="eastAsia" w:asciiTheme="minorEastAsia" w:hAnsiTheme="minorEastAsia" w:eastAsiaTheme="minorEastAsia" w:cstheme="minorEastAsia"/>
          <w:color w:val="auto"/>
          <w:sz w:val="24"/>
          <w:szCs w:val="24"/>
          <w:highlight w:val="none"/>
        </w:rPr>
      </w:pPr>
    </w:p>
    <w:p w14:paraId="338A4134">
      <w:pPr>
        <w:pStyle w:val="15"/>
        <w:rPr>
          <w:rFonts w:hint="eastAsia" w:asciiTheme="minorEastAsia" w:hAnsiTheme="minorEastAsia" w:eastAsiaTheme="minorEastAsia" w:cstheme="minorEastAsia"/>
          <w:color w:val="auto"/>
          <w:sz w:val="24"/>
          <w:szCs w:val="24"/>
          <w:highlight w:val="none"/>
        </w:rPr>
      </w:pPr>
    </w:p>
    <w:p w14:paraId="6A312255">
      <w:pPr>
        <w:pStyle w:val="15"/>
        <w:rPr>
          <w:rFonts w:hint="eastAsia" w:asciiTheme="minorEastAsia" w:hAnsiTheme="minorEastAsia" w:eastAsiaTheme="minorEastAsia" w:cstheme="minorEastAsia"/>
          <w:color w:val="auto"/>
          <w:sz w:val="24"/>
          <w:szCs w:val="24"/>
          <w:highlight w:val="none"/>
        </w:rPr>
      </w:pPr>
    </w:p>
    <w:p w14:paraId="17D6BB40">
      <w:pPr>
        <w:rPr>
          <w:rFonts w:hint="eastAsia" w:asciiTheme="minorEastAsia" w:hAnsiTheme="minorEastAsia" w:eastAsiaTheme="minorEastAsia" w:cstheme="minorEastAsia"/>
          <w:color w:val="auto"/>
          <w:sz w:val="24"/>
          <w:szCs w:val="24"/>
          <w:highlight w:val="none"/>
        </w:rPr>
      </w:pPr>
    </w:p>
    <w:p w14:paraId="18CC79F0">
      <w:pPr>
        <w:spacing w:line="480" w:lineRule="auto"/>
        <w:jc w:val="left"/>
        <w:rPr>
          <w:rFonts w:hint="eastAsia" w:asciiTheme="minorEastAsia" w:hAnsiTheme="minorEastAsia" w:eastAsiaTheme="minorEastAsia" w:cstheme="minorEastAsia"/>
          <w:b/>
          <w:bCs/>
          <w:color w:val="auto"/>
          <w:sz w:val="24"/>
          <w:szCs w:val="24"/>
          <w:highlight w:val="none"/>
          <w:u w:val="single"/>
        </w:rPr>
      </w:pPr>
      <w:r>
        <w:rPr>
          <w:rFonts w:hint="eastAsia" w:asciiTheme="minorEastAsia" w:hAnsiTheme="minorEastAsia" w:eastAsiaTheme="minorEastAsia" w:cstheme="minorEastAsia"/>
          <w:b/>
          <w:bCs/>
          <w:color w:val="auto"/>
          <w:spacing w:val="80"/>
          <w:kern w:val="0"/>
          <w:sz w:val="24"/>
          <w:szCs w:val="24"/>
          <w:highlight w:val="none"/>
          <w:fitText w:val="1440" w:id="1723540505"/>
        </w:rPr>
        <w:t>项目编</w:t>
      </w:r>
      <w:r>
        <w:rPr>
          <w:rFonts w:hint="eastAsia" w:asciiTheme="minorEastAsia" w:hAnsiTheme="minorEastAsia" w:eastAsiaTheme="minorEastAsia" w:cstheme="minorEastAsia"/>
          <w:b/>
          <w:bCs/>
          <w:color w:val="auto"/>
          <w:spacing w:val="0"/>
          <w:kern w:val="0"/>
          <w:sz w:val="24"/>
          <w:szCs w:val="24"/>
          <w:highlight w:val="none"/>
          <w:fitText w:val="1440" w:id="1723540505"/>
        </w:rPr>
        <w:t>号</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u w:val="single"/>
        </w:rPr>
        <w:t xml:space="preserve"> </w:t>
      </w:r>
      <w:r>
        <w:rPr>
          <w:rFonts w:hint="eastAsia" w:asciiTheme="minorEastAsia" w:hAnsiTheme="minorEastAsia" w:eastAsiaTheme="minorEastAsia" w:cstheme="minorEastAsia"/>
          <w:b/>
          <w:bCs/>
          <w:color w:val="auto"/>
          <w:sz w:val="24"/>
          <w:szCs w:val="24"/>
          <w:highlight w:val="none"/>
          <w:u w:val="single"/>
          <w:lang w:val="en-US" w:eastAsia="zh-CN"/>
        </w:rPr>
        <w:t xml:space="preserve">                      </w:t>
      </w:r>
      <w:r>
        <w:rPr>
          <w:rFonts w:hint="eastAsia" w:asciiTheme="minorEastAsia" w:hAnsiTheme="minorEastAsia" w:eastAsiaTheme="minorEastAsia" w:cstheme="minorEastAsia"/>
          <w:b/>
          <w:bCs/>
          <w:color w:val="auto"/>
          <w:sz w:val="24"/>
          <w:szCs w:val="24"/>
          <w:highlight w:val="none"/>
          <w:u w:val="single"/>
        </w:rPr>
        <w:t xml:space="preserve"> </w:t>
      </w:r>
    </w:p>
    <w:p w14:paraId="7A676F87">
      <w:pPr>
        <w:spacing w:line="480" w:lineRule="auto"/>
        <w:ind w:left="1808" w:leftChars="0" w:hanging="1808" w:hangingChars="451"/>
        <w:jc w:val="left"/>
        <w:rPr>
          <w:rFonts w:hint="eastAsia" w:asciiTheme="minorEastAsia" w:hAnsiTheme="minorEastAsia" w:eastAsiaTheme="minorEastAsia" w:cstheme="minorEastAsia"/>
          <w:b/>
          <w:bCs/>
          <w:color w:val="auto"/>
          <w:sz w:val="24"/>
          <w:szCs w:val="24"/>
          <w:highlight w:val="none"/>
          <w:u w:val="single"/>
        </w:rPr>
      </w:pPr>
      <w:r>
        <w:rPr>
          <w:rFonts w:hint="eastAsia" w:asciiTheme="minorEastAsia" w:hAnsiTheme="minorEastAsia" w:eastAsiaTheme="minorEastAsia" w:cstheme="minorEastAsia"/>
          <w:b/>
          <w:bCs/>
          <w:color w:val="auto"/>
          <w:spacing w:val="80"/>
          <w:kern w:val="0"/>
          <w:sz w:val="24"/>
          <w:szCs w:val="24"/>
          <w:highlight w:val="none"/>
          <w:fitText w:val="1440" w:id="1439370245"/>
        </w:rPr>
        <w:t>项目名</w:t>
      </w:r>
      <w:r>
        <w:rPr>
          <w:rFonts w:hint="eastAsia" w:asciiTheme="minorEastAsia" w:hAnsiTheme="minorEastAsia" w:eastAsiaTheme="minorEastAsia" w:cstheme="minorEastAsia"/>
          <w:b/>
          <w:bCs/>
          <w:color w:val="auto"/>
          <w:spacing w:val="0"/>
          <w:kern w:val="0"/>
          <w:sz w:val="24"/>
          <w:szCs w:val="24"/>
          <w:highlight w:val="none"/>
          <w:fitText w:val="1440" w:id="1439370245"/>
        </w:rPr>
        <w:t>称</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u w:val="single"/>
          <w:lang w:val="en-US" w:eastAsia="zh-CN"/>
        </w:rPr>
        <w:t xml:space="preserve"> </w:t>
      </w:r>
      <w:r>
        <w:rPr>
          <w:rFonts w:hint="eastAsia" w:ascii="宋体" w:hAnsi="宋体" w:cs="宋体"/>
          <w:b/>
          <w:bCs/>
          <w:color w:val="auto"/>
          <w:sz w:val="24"/>
          <w:szCs w:val="24"/>
          <w:highlight w:val="none"/>
          <w:u w:val="single"/>
          <w:lang w:val="en-US" w:eastAsia="zh-CN"/>
        </w:rPr>
        <w:t>荥阳市自然资源和规划局荥阳市地籍成果入库汇交工作项目</w:t>
      </w:r>
      <w:r>
        <w:rPr>
          <w:rFonts w:hint="eastAsia" w:asciiTheme="minorEastAsia" w:hAnsiTheme="minorEastAsia" w:eastAsiaTheme="minorEastAsia" w:cstheme="minorEastAsia"/>
          <w:b/>
          <w:bCs/>
          <w:color w:val="auto"/>
          <w:sz w:val="24"/>
          <w:szCs w:val="24"/>
          <w:highlight w:val="none"/>
          <w:u w:val="single"/>
          <w:lang w:val="en-US" w:eastAsia="zh-CN"/>
        </w:rPr>
        <w:t xml:space="preserve">  </w:t>
      </w:r>
      <w:r>
        <w:rPr>
          <w:rFonts w:hint="eastAsia" w:asciiTheme="minorEastAsia" w:hAnsiTheme="minorEastAsia" w:eastAsiaTheme="minorEastAsia" w:cstheme="minorEastAsia"/>
          <w:b/>
          <w:bCs/>
          <w:color w:val="auto"/>
          <w:sz w:val="24"/>
          <w:szCs w:val="24"/>
          <w:highlight w:val="none"/>
          <w:u w:val="single"/>
        </w:rPr>
        <w:t xml:space="preserve"> </w:t>
      </w:r>
    </w:p>
    <w:p w14:paraId="007667BB">
      <w:pPr>
        <w:spacing w:line="480" w:lineRule="auto"/>
        <w:jc w:val="left"/>
        <w:rPr>
          <w:rFonts w:hint="eastAsia" w:asciiTheme="minorEastAsia" w:hAnsiTheme="minorEastAsia" w:eastAsiaTheme="minorEastAsia" w:cstheme="minorEastAsia"/>
          <w:b/>
          <w:bCs/>
          <w:color w:val="auto"/>
          <w:sz w:val="24"/>
          <w:szCs w:val="24"/>
          <w:highlight w:val="none"/>
          <w:u w:val="single"/>
        </w:rPr>
      </w:pPr>
      <w:r>
        <w:rPr>
          <w:rFonts w:hint="eastAsia" w:asciiTheme="minorEastAsia" w:hAnsiTheme="minorEastAsia" w:eastAsiaTheme="minorEastAsia" w:cstheme="minorEastAsia"/>
          <w:b/>
          <w:bCs/>
          <w:color w:val="auto"/>
          <w:spacing w:val="480"/>
          <w:kern w:val="0"/>
          <w:sz w:val="24"/>
          <w:szCs w:val="24"/>
          <w:highlight w:val="none"/>
          <w:fitText w:val="1440" w:id="1301415931"/>
        </w:rPr>
        <w:t>甲</w:t>
      </w:r>
      <w:r>
        <w:rPr>
          <w:rFonts w:hint="eastAsia" w:asciiTheme="minorEastAsia" w:hAnsiTheme="minorEastAsia" w:eastAsiaTheme="minorEastAsia" w:cstheme="minorEastAsia"/>
          <w:b/>
          <w:bCs/>
          <w:color w:val="auto"/>
          <w:spacing w:val="0"/>
          <w:kern w:val="0"/>
          <w:sz w:val="24"/>
          <w:szCs w:val="24"/>
          <w:highlight w:val="none"/>
          <w:fitText w:val="1440" w:id="1301415931"/>
        </w:rPr>
        <w:t>方</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u w:val="single"/>
          <w:lang w:val="en-US" w:eastAsia="zh-CN"/>
        </w:rPr>
        <w:t xml:space="preserve">                       </w:t>
      </w:r>
      <w:r>
        <w:rPr>
          <w:rFonts w:hint="eastAsia" w:asciiTheme="minorEastAsia" w:hAnsiTheme="minorEastAsia" w:eastAsiaTheme="minorEastAsia" w:cstheme="minorEastAsia"/>
          <w:b/>
          <w:bCs/>
          <w:color w:val="auto"/>
          <w:sz w:val="24"/>
          <w:szCs w:val="24"/>
          <w:highlight w:val="none"/>
          <w:u w:val="single"/>
        </w:rPr>
        <w:t xml:space="preserve"> </w:t>
      </w:r>
    </w:p>
    <w:p w14:paraId="46939C96">
      <w:pPr>
        <w:spacing w:line="480" w:lineRule="auto"/>
        <w:jc w:val="left"/>
        <w:rPr>
          <w:rFonts w:hint="eastAsia" w:asciiTheme="minorEastAsia" w:hAnsiTheme="minorEastAsia" w:eastAsiaTheme="minorEastAsia" w:cstheme="minorEastAsia"/>
          <w:b/>
          <w:bCs/>
          <w:color w:val="auto"/>
          <w:sz w:val="24"/>
          <w:szCs w:val="24"/>
          <w:highlight w:val="none"/>
          <w:u w:val="single"/>
          <w:lang w:val="en-US"/>
        </w:rPr>
      </w:pPr>
      <w:r>
        <w:rPr>
          <w:rFonts w:hint="eastAsia" w:asciiTheme="minorEastAsia" w:hAnsiTheme="minorEastAsia" w:eastAsiaTheme="minorEastAsia" w:cstheme="minorEastAsia"/>
          <w:b/>
          <w:bCs/>
          <w:color w:val="auto"/>
          <w:spacing w:val="480"/>
          <w:kern w:val="0"/>
          <w:sz w:val="24"/>
          <w:szCs w:val="24"/>
          <w:highlight w:val="none"/>
          <w:fitText w:val="1440" w:id="367593543"/>
        </w:rPr>
        <w:t>乙</w:t>
      </w:r>
      <w:r>
        <w:rPr>
          <w:rFonts w:hint="eastAsia" w:asciiTheme="minorEastAsia" w:hAnsiTheme="minorEastAsia" w:eastAsiaTheme="minorEastAsia" w:cstheme="minorEastAsia"/>
          <w:b/>
          <w:bCs/>
          <w:color w:val="auto"/>
          <w:spacing w:val="0"/>
          <w:kern w:val="0"/>
          <w:sz w:val="24"/>
          <w:szCs w:val="24"/>
          <w:highlight w:val="none"/>
          <w:fitText w:val="1440" w:id="367593543"/>
        </w:rPr>
        <w:t>方</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u w:val="single"/>
        </w:rPr>
        <w:t xml:space="preserve"> </w:t>
      </w:r>
      <w:r>
        <w:rPr>
          <w:rFonts w:hint="eastAsia" w:asciiTheme="minorEastAsia" w:hAnsiTheme="minorEastAsia" w:eastAsiaTheme="minorEastAsia" w:cstheme="minorEastAsia"/>
          <w:b/>
          <w:bCs/>
          <w:color w:val="auto"/>
          <w:sz w:val="24"/>
          <w:szCs w:val="24"/>
          <w:highlight w:val="none"/>
          <w:u w:val="single"/>
          <w:lang w:val="en-US" w:eastAsia="zh-CN"/>
        </w:rPr>
        <w:t xml:space="preserve">                       </w:t>
      </w:r>
    </w:p>
    <w:p w14:paraId="55CD1A89">
      <w:pPr>
        <w:spacing w:line="480" w:lineRule="auto"/>
        <w:jc w:val="left"/>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b/>
          <w:bCs/>
          <w:color w:val="auto"/>
          <w:spacing w:val="80"/>
          <w:kern w:val="0"/>
          <w:sz w:val="24"/>
          <w:szCs w:val="24"/>
          <w:highlight w:val="none"/>
          <w:fitText w:val="1440" w:id="1250513711"/>
        </w:rPr>
        <w:t>签约时</w:t>
      </w:r>
      <w:r>
        <w:rPr>
          <w:rFonts w:hint="eastAsia" w:asciiTheme="minorEastAsia" w:hAnsiTheme="minorEastAsia" w:eastAsiaTheme="minorEastAsia" w:cstheme="minorEastAsia"/>
          <w:b/>
          <w:bCs/>
          <w:color w:val="auto"/>
          <w:spacing w:val="0"/>
          <w:kern w:val="0"/>
          <w:sz w:val="24"/>
          <w:szCs w:val="24"/>
          <w:highlight w:val="none"/>
          <w:fitText w:val="1440" w:id="1250513711"/>
        </w:rPr>
        <w:t>间</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u w:val="single"/>
          <w:lang w:val="en-US" w:eastAsia="zh-CN"/>
        </w:rPr>
        <w:t xml:space="preserve">     </w:t>
      </w:r>
      <w:r>
        <w:rPr>
          <w:rFonts w:hint="eastAsia" w:asciiTheme="minorEastAsia" w:hAnsiTheme="minorEastAsia" w:eastAsiaTheme="minorEastAsia" w:cstheme="minorEastAsia"/>
          <w:b/>
          <w:bCs/>
          <w:color w:val="auto"/>
          <w:sz w:val="24"/>
          <w:szCs w:val="24"/>
          <w:highlight w:val="none"/>
          <w:u w:val="single"/>
        </w:rPr>
        <w:t>年</w:t>
      </w:r>
      <w:r>
        <w:rPr>
          <w:rFonts w:hint="eastAsia" w:asciiTheme="minorEastAsia" w:hAnsiTheme="minorEastAsia" w:eastAsiaTheme="minorEastAsia" w:cstheme="minorEastAsia"/>
          <w:b/>
          <w:bCs/>
          <w:color w:val="auto"/>
          <w:sz w:val="24"/>
          <w:szCs w:val="24"/>
          <w:highlight w:val="none"/>
          <w:u w:val="single"/>
          <w:lang w:val="en-US" w:eastAsia="zh-CN"/>
        </w:rPr>
        <w:t xml:space="preserve">    </w:t>
      </w:r>
      <w:r>
        <w:rPr>
          <w:rFonts w:hint="eastAsia" w:asciiTheme="minorEastAsia" w:hAnsiTheme="minorEastAsia" w:eastAsiaTheme="minorEastAsia" w:cstheme="minorEastAsia"/>
          <w:b/>
          <w:bCs/>
          <w:color w:val="auto"/>
          <w:sz w:val="24"/>
          <w:szCs w:val="24"/>
          <w:highlight w:val="none"/>
          <w:u w:val="single"/>
        </w:rPr>
        <w:t>月</w:t>
      </w:r>
      <w:r>
        <w:rPr>
          <w:rFonts w:hint="eastAsia" w:asciiTheme="minorEastAsia" w:hAnsiTheme="minorEastAsia" w:eastAsiaTheme="minorEastAsia" w:cstheme="minorEastAsia"/>
          <w:b/>
          <w:bCs/>
          <w:color w:val="auto"/>
          <w:sz w:val="24"/>
          <w:szCs w:val="24"/>
          <w:highlight w:val="none"/>
          <w:u w:val="single"/>
          <w:lang w:val="en-US" w:eastAsia="zh-CN"/>
        </w:rPr>
        <w:t xml:space="preserve">    </w:t>
      </w:r>
      <w:r>
        <w:rPr>
          <w:rFonts w:hint="eastAsia" w:asciiTheme="minorEastAsia" w:hAnsiTheme="minorEastAsia" w:eastAsiaTheme="minorEastAsia" w:cstheme="minorEastAsia"/>
          <w:b/>
          <w:bCs/>
          <w:color w:val="auto"/>
          <w:sz w:val="24"/>
          <w:szCs w:val="24"/>
          <w:highlight w:val="none"/>
          <w:u w:val="single"/>
        </w:rPr>
        <w:t>日</w:t>
      </w:r>
    </w:p>
    <w:p w14:paraId="3EB65732">
      <w:pPr>
        <w:pStyle w:val="5"/>
        <w:numPr>
          <w:ilvl w:val="0"/>
          <w:numId w:val="0"/>
        </w:numPr>
        <w:rPr>
          <w:rStyle w:val="44"/>
          <w:rFonts w:hint="eastAsia" w:asciiTheme="minorEastAsia" w:hAnsiTheme="minorEastAsia" w:eastAsiaTheme="minorEastAsia" w:cstheme="minorEastAsia"/>
          <w:color w:val="auto"/>
          <w:sz w:val="24"/>
          <w:szCs w:val="24"/>
          <w:highlight w:val="none"/>
          <w:u w:val="none"/>
        </w:rPr>
      </w:pPr>
    </w:p>
    <w:p w14:paraId="5F6B2575">
      <w:pPr>
        <w:keepNext w:val="0"/>
        <w:keepLines w:val="0"/>
        <w:pageBreakBefore w:val="0"/>
        <w:widowControl w:val="0"/>
        <w:kinsoku/>
        <w:wordWrap/>
        <w:overflowPunct w:val="0"/>
        <w:topLinePunct w:val="0"/>
        <w:autoSpaceDE/>
        <w:autoSpaceDN/>
        <w:bidi w:val="0"/>
        <w:adjustRightInd w:val="0"/>
        <w:snapToGrid w:val="0"/>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Style w:val="44"/>
          <w:rFonts w:hint="eastAsia" w:asciiTheme="minorEastAsia" w:hAnsiTheme="minorEastAsia" w:eastAsiaTheme="minorEastAsia" w:cstheme="minorEastAsia"/>
          <w:color w:val="auto"/>
          <w:sz w:val="24"/>
          <w:szCs w:val="24"/>
          <w:highlight w:val="none"/>
          <w:u w:val="none"/>
        </w:rPr>
        <w:br w:type="page"/>
      </w:r>
      <w:r>
        <w:rPr>
          <w:rFonts w:hint="eastAsia" w:asciiTheme="minorEastAsia" w:hAnsiTheme="minorEastAsia" w:eastAsiaTheme="minorEastAsia" w:cstheme="minorEastAsia"/>
          <w:color w:val="auto"/>
          <w:sz w:val="24"/>
          <w:szCs w:val="24"/>
          <w:highlight w:val="none"/>
        </w:rPr>
        <w:t>甲、乙双方依据《中华人民共和国政府采购法》、《中华人民共和国民法典》，在平等自愿的基础上，同意按照下面的条款和条件，签署本合同。</w:t>
      </w:r>
    </w:p>
    <w:p w14:paraId="3B540AFD">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服务内容</w:t>
      </w:r>
    </w:p>
    <w:p w14:paraId="22D9B543">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项目名称</w:t>
      </w:r>
      <w:r>
        <w:rPr>
          <w:rFonts w:hint="eastAsia" w:asciiTheme="minorEastAsia" w:hAnsiTheme="minorEastAsia" w:eastAsiaTheme="minorEastAsia" w:cstheme="minorEastAsia"/>
          <w:color w:val="auto"/>
          <w:kern w:val="0"/>
          <w:sz w:val="24"/>
          <w:szCs w:val="24"/>
          <w:highlight w:val="none"/>
          <w:lang w:val="en-US" w:eastAsia="zh-CN"/>
        </w:rPr>
        <w:t>:荥阳市自然资源和规划局荥阳市地籍成果入库汇交工作项目（项目编号：           ）。</w:t>
      </w:r>
    </w:p>
    <w:p w14:paraId="0DB55C7C">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依据《地籍调查规程》（GB/T42547-2023）、《地籍数据库第1部分：不动产》（TD/T1015.1-2024）对地籍数据库的内容、要素分类与代码、数据库结构、数据库更新和元数据等要求，构建本项目建设所需的地籍数据库基底，对自然资源统一确权登记数据、农房、集体建设用地、国有建设用地、国有农用地、林权及农村土地承包经营权数据进行数据类型分析、完整性分析、有效性分析、现势性分析、统一性分析、差异性分析以及空间参考性分析。</w:t>
      </w:r>
    </w:p>
    <w:p w14:paraId="5D1E0FFD">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清理整合主要包括对已导入不动产库中数据的成果整理、已形成电子数据的成果整合、已有资料数据格式整理及数据合并、已有资料属性清理等。将整合后的数据区分登记情况，按属性数据、空间数据进行初步整合入库。</w:t>
      </w:r>
    </w:p>
    <w:p w14:paraId="0C7527FC">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入库完成后，对数据库进行全面质量检查，采用人工和专业软件结合的方式，对数据进行目录规范性、图层完整性、数据基础、属性结构一致性检查并完善提交。</w:t>
      </w:r>
    </w:p>
    <w:p w14:paraId="5618F0EB">
      <w:pPr>
        <w:keepNext w:val="0"/>
        <w:keepLines w:val="0"/>
        <w:pageBreakBefore w:val="0"/>
        <w:widowControl w:val="0"/>
        <w:kinsoku/>
        <w:wordWrap/>
        <w:topLinePunct w:val="0"/>
        <w:autoSpaceDE/>
        <w:autoSpaceDN/>
        <w:bidi w:val="0"/>
        <w:adjustRightInd w:val="0"/>
        <w:snapToGrid w:val="0"/>
        <w:spacing w:line="520" w:lineRule="exact"/>
        <w:ind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按照应交尽交的基本原则，以县(市、区)为单位有序推进地籍数据汇交。2026年汇交宅基地、集体建设用地、国有建设用地和自然资源地籍数据。2027年汇交林权、土地承包经营权等地籍数据。</w:t>
      </w:r>
    </w:p>
    <w:p w14:paraId="199CA3EA">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服务依据</w:t>
      </w:r>
    </w:p>
    <w:p w14:paraId="5BAA050D">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（1）采购文件；</w:t>
      </w:r>
    </w:p>
    <w:p w14:paraId="41A01FA4">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（2）投标文件；</w:t>
      </w:r>
    </w:p>
    <w:p w14:paraId="297ABBBB">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（3）成交通知书；</w:t>
      </w:r>
    </w:p>
    <w:p w14:paraId="1FEE9CCF">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（4）国家、省市相关法律法规等。</w:t>
      </w:r>
    </w:p>
    <w:p w14:paraId="1507621B">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合同金额及付款方式</w:t>
      </w:r>
    </w:p>
    <w:p w14:paraId="1A2B2FC6">
      <w:pPr>
        <w:pStyle w:val="15"/>
        <w:keepNext w:val="0"/>
        <w:keepLines w:val="0"/>
        <w:pageBreakBefore w:val="0"/>
        <w:widowControl w:val="0"/>
        <w:kinsoku/>
        <w:wordWrap/>
        <w:topLinePunct w:val="0"/>
        <w:autoSpaceDE/>
        <w:autoSpaceDN/>
        <w:bidi w:val="0"/>
        <w:adjustRightInd w:val="0"/>
        <w:snapToGrid w:val="0"/>
        <w:spacing w:line="520" w:lineRule="exact"/>
        <w:ind w:left="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总金额为人民币（大写）</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lang w:eastAsia="zh-CN"/>
        </w:rPr>
        <w:t>元整，（小写）</w:t>
      </w:r>
      <w:r>
        <w:rPr>
          <w:rFonts w:hint="eastAsia" w:asciiTheme="minorEastAsia" w:hAnsiTheme="minorEastAsia" w:eastAsiaTheme="minorEastAsia" w:cstheme="minorEastAsia"/>
          <w:color w:val="auto"/>
          <w:sz w:val="24"/>
          <w:szCs w:val="24"/>
          <w:highlight w:val="none"/>
          <w:u w:val="single"/>
          <w:lang w:eastAsia="zh-CN"/>
        </w:rPr>
        <w:t>¥</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lang w:eastAsia="zh-CN"/>
        </w:rPr>
        <w:t>元整。</w:t>
      </w:r>
    </w:p>
    <w:p w14:paraId="26D5E4F4">
      <w:pPr>
        <w:pStyle w:val="11"/>
        <w:keepNext w:val="0"/>
        <w:keepLines w:val="0"/>
        <w:pageBreakBefore w:val="0"/>
        <w:widowControl w:val="0"/>
        <w:kinsoku/>
        <w:wordWrap/>
        <w:topLinePunct w:val="0"/>
        <w:autoSpaceDE/>
        <w:autoSpaceDN/>
        <w:bidi w:val="0"/>
        <w:adjustRightInd w:val="0"/>
        <w:snapToGrid w:val="0"/>
        <w:spacing w:line="520" w:lineRule="exact"/>
        <w:ind w:firstLine="560"/>
        <w:jc w:val="both"/>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付款方式：成果验收合格后支付合同款</w:t>
      </w:r>
      <w:r>
        <w:rPr>
          <w:rFonts w:hint="eastAsia" w:asciiTheme="minorEastAsia" w:hAnsiTheme="minorEastAsia" w:eastAsiaTheme="minorEastAsia" w:cstheme="minorEastAsia"/>
          <w:color w:val="auto"/>
          <w:kern w:val="0"/>
          <w:sz w:val="24"/>
          <w:szCs w:val="24"/>
          <w:highlight w:val="none"/>
          <w:lang w:eastAsia="zh-CN"/>
        </w:rPr>
        <w:t>。</w:t>
      </w:r>
    </w:p>
    <w:p w14:paraId="55385D90">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服务期、服务地点</w:t>
      </w:r>
    </w:p>
    <w:p w14:paraId="64EB7CC1">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eastAsia="zh-CN"/>
        </w:rPr>
        <w:t>1、本合同服务期限为：</w:t>
      </w:r>
      <w:r>
        <w:rPr>
          <w:rFonts w:hint="eastAsia" w:asciiTheme="minorEastAsia" w:hAnsiTheme="minorEastAsia" w:eastAsiaTheme="minorEastAsia" w:cstheme="minorEastAsia"/>
          <w:color w:val="auto"/>
          <w:kern w:val="0"/>
          <w:sz w:val="24"/>
          <w:szCs w:val="24"/>
          <w:highlight w:val="none"/>
          <w:lang w:val="en-US" w:eastAsia="zh-CN"/>
        </w:rPr>
        <w:t>通过省级验收合格为止 。</w:t>
      </w:r>
    </w:p>
    <w:p w14:paraId="61A94258">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2、服务地点：</w:t>
      </w:r>
      <w:r>
        <w:rPr>
          <w:rFonts w:hint="eastAsia" w:asciiTheme="minorEastAsia" w:hAnsiTheme="minorEastAsia" w:eastAsiaTheme="minorEastAsia" w:cstheme="minorEastAsia"/>
          <w:color w:val="auto"/>
          <w:kern w:val="0"/>
          <w:sz w:val="24"/>
          <w:szCs w:val="24"/>
          <w:highlight w:val="none"/>
          <w:lang w:val="en-US" w:eastAsia="zh-CN"/>
        </w:rPr>
        <w:t>采购人指定地点</w:t>
      </w:r>
      <w:r>
        <w:rPr>
          <w:rFonts w:hint="eastAsia" w:asciiTheme="minorEastAsia" w:hAnsiTheme="minorEastAsia" w:eastAsiaTheme="minorEastAsia" w:cstheme="minorEastAsia"/>
          <w:color w:val="auto"/>
          <w:kern w:val="0"/>
          <w:sz w:val="24"/>
          <w:szCs w:val="24"/>
          <w:highlight w:val="none"/>
          <w:lang w:eastAsia="zh-CN"/>
        </w:rPr>
        <w:t>。</w:t>
      </w:r>
    </w:p>
    <w:p w14:paraId="64862A4F">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乙方应严格按照合同要求，完成服务计划。乙方将服务成果按合同规定的时间递交至甲方指定的地点。</w:t>
      </w:r>
    </w:p>
    <w:p w14:paraId="552CBDC1">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质量保证</w:t>
      </w:r>
    </w:p>
    <w:p w14:paraId="3357D10B">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按照国家统一标准提供技术成果。</w:t>
      </w:r>
    </w:p>
    <w:p w14:paraId="5E0C68B3">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验收要求</w:t>
      </w:r>
    </w:p>
    <w:p w14:paraId="3C16963B">
      <w:pPr>
        <w:pStyle w:val="11"/>
        <w:keepNext w:val="0"/>
        <w:keepLines w:val="0"/>
        <w:pageBreakBefore w:val="0"/>
        <w:widowControl w:val="0"/>
        <w:kinsoku/>
        <w:wordWrap/>
        <w:topLinePunct w:val="0"/>
        <w:autoSpaceDE/>
        <w:autoSpaceDN/>
        <w:bidi w:val="0"/>
        <w:adjustRightInd w:val="0"/>
        <w:snapToGrid w:val="0"/>
        <w:spacing w:line="520" w:lineRule="exact"/>
        <w:ind w:firstLine="560"/>
        <w:jc w:val="left"/>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eastAsia="zh-CN"/>
        </w:rPr>
        <w:t>全部成果提交给甲方，由甲方组织对项目进行验收，甲方对成果审定通过后，验收通过，如甲方不组织验收，由甲方出具交付单或工作确认单视为验收通过。如无正当理由不进行验收，视为验收合格。</w:t>
      </w:r>
    </w:p>
    <w:p w14:paraId="16415565">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知识产权</w:t>
      </w:r>
    </w:p>
    <w:p w14:paraId="23B5F646">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rPr>
      </w:pPr>
      <w:r>
        <w:rPr>
          <w:rFonts w:hint="eastAsia" w:asciiTheme="minorEastAsia" w:hAnsiTheme="minorEastAsia" w:eastAsiaTheme="minorEastAsia" w:cstheme="minorEastAsia"/>
          <w:color w:val="auto"/>
          <w:spacing w:val="11"/>
          <w:sz w:val="24"/>
          <w:szCs w:val="24"/>
          <w:highlight w:val="none"/>
        </w:rPr>
        <w:t>乙方应保证甲方使用该技术成果或其任何一部分时不受第三方提出的侵犯专利权、著作权、商标权和工业设计权等的起诉。如任何第三方提出侵权指控，乙方须与第三方交涉并承担由此发生的一切责任、费用和经济赔偿。</w:t>
      </w:r>
    </w:p>
    <w:p w14:paraId="39EA98F8">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保密条款</w:t>
      </w:r>
    </w:p>
    <w:p w14:paraId="2EE1ED54">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1、甲、乙双方对本合同和双方相互提供的资料、信息（包括但不限于商业秘密、资料、文案以及与业务有关的信息及其他信息等）负保密责任。</w:t>
      </w:r>
    </w:p>
    <w:p w14:paraId="18505FAA">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2、甲、乙双方应采取一切合理的措施，以使其所接受的资料免于散发、传播、披露、复制、滥用及被无关人员接触，但正常履行本合同项下义务的除外。</w:t>
      </w:r>
    </w:p>
    <w:p w14:paraId="5D0BB11A">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3、任何一方泄密导致合同另一方遭受损失的，泄密方应向另一方赔付因泄密造成的损失。</w:t>
      </w:r>
    </w:p>
    <w:p w14:paraId="7B182770">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甲方的义务和责任</w:t>
      </w:r>
    </w:p>
    <w:p w14:paraId="0FD5CEFB">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1、甲方应指定具体项目负责人，配合乙方工作的沟通衔接，保障合作顺利进行。</w:t>
      </w:r>
    </w:p>
    <w:p w14:paraId="2B99CDC1">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2、甲方须保证所涉及的资金配合到位，甲方应在职权范围内全力配合乙方进行与本合同相关的工作。</w:t>
      </w:r>
    </w:p>
    <w:p w14:paraId="23844488">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3、甲方负责基础数据完整地提供给乙方，确保乙方后续工作能够顺利完成，因甲方提供数据的质量问题导致乙方后期工作延期，乙方不承担任何责任。</w:t>
      </w:r>
    </w:p>
    <w:p w14:paraId="0A1A2AAF">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4、甲方保障基础信息数据内容的真实性、一致性、完整性。如因基础信息数据内容的质量问题导致乙方后期工作返工，甲方需按乙方的实际返工工作量另行协商解决。</w:t>
      </w:r>
    </w:p>
    <w:p w14:paraId="67BF069C">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乙方的义务和责任</w:t>
      </w:r>
    </w:p>
    <w:p w14:paraId="34B39DF6">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1、乙方需要确认的一切工作计划和相关信息均以书面形式向甲方提出，甲方及时给予回复。</w:t>
      </w:r>
    </w:p>
    <w:p w14:paraId="5ED8FDF8">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2、乙方应当委派具有丰富经验和专业知识的工作人员组成项目组，根据本合同规定的服务内容为甲方提供各项服务，并对提供服务的质量和效果向甲方负责。在合同有效期内，除不可抗力外，乙方不得以任何理由无故停止或延迟工作。</w:t>
      </w:r>
    </w:p>
    <w:p w14:paraId="791D4DC7">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3、乙方承诺并保证，乙方在履行本合同规定的义务时所提供或使用的数据、文章、报告等所有材料文件为乙方合法拥有或合法使用，不存在任何侵犯第三方权益的情况。</w:t>
      </w:r>
    </w:p>
    <w:p w14:paraId="6BAB2C39">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4、乙方应对调查服务期间内的安全负全部责任。</w:t>
      </w:r>
    </w:p>
    <w:p w14:paraId="0BA21AD1">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违约责任</w:t>
      </w:r>
    </w:p>
    <w:p w14:paraId="3F4564F0">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rPr>
      </w:pPr>
      <w:r>
        <w:rPr>
          <w:rFonts w:hint="eastAsia" w:asciiTheme="minorEastAsia" w:hAnsiTheme="minorEastAsia" w:eastAsiaTheme="minorEastAsia" w:cstheme="minorEastAsia"/>
          <w:color w:val="auto"/>
          <w:spacing w:val="11"/>
          <w:sz w:val="24"/>
          <w:szCs w:val="24"/>
          <w:highlight w:val="none"/>
        </w:rPr>
        <w:t>1、乙方未按本合同之规定执行项目的，甲方有权将交付费用的时间相应顺延。</w:t>
      </w:r>
    </w:p>
    <w:p w14:paraId="4E8A13EC">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rPr>
      </w:pPr>
      <w:r>
        <w:rPr>
          <w:rFonts w:hint="eastAsia" w:asciiTheme="minorEastAsia" w:hAnsiTheme="minorEastAsia" w:eastAsiaTheme="minorEastAsia" w:cstheme="minorEastAsia"/>
          <w:color w:val="auto"/>
          <w:spacing w:val="11"/>
          <w:sz w:val="24"/>
          <w:szCs w:val="24"/>
          <w:highlight w:val="none"/>
        </w:rPr>
        <w:t>2、在合同履行期间，甲方擅自要求终止或解除合同的，乙方未执行工作的，不退回预付款；已开始实施工作的，甲方应根据乙方该阶段实际完成工作量支付费用。</w:t>
      </w:r>
    </w:p>
    <w:p w14:paraId="77782FA0">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rPr>
      </w:pPr>
      <w:r>
        <w:rPr>
          <w:rFonts w:hint="eastAsia" w:asciiTheme="minorEastAsia" w:hAnsiTheme="minorEastAsia" w:eastAsiaTheme="minorEastAsia" w:cstheme="minorEastAsia"/>
          <w:color w:val="auto"/>
          <w:spacing w:val="11"/>
          <w:sz w:val="24"/>
          <w:szCs w:val="24"/>
          <w:highlight w:val="none"/>
        </w:rPr>
        <w:t>3、在合同履行期间，乙方要求终止或解除合同，乙方应返还甲方已支付的费用，还应赔偿甲方由此造成的损失。</w:t>
      </w:r>
    </w:p>
    <w:p w14:paraId="1A63AF20">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rPr>
      </w:pPr>
      <w:r>
        <w:rPr>
          <w:rFonts w:hint="eastAsia" w:asciiTheme="minorEastAsia" w:hAnsiTheme="minorEastAsia" w:eastAsiaTheme="minorEastAsia" w:cstheme="minorEastAsia"/>
          <w:color w:val="auto"/>
          <w:spacing w:val="11"/>
          <w:sz w:val="24"/>
          <w:szCs w:val="24"/>
          <w:highlight w:val="none"/>
        </w:rPr>
        <w:t>4、甲方无正当理由拒收技术成果的，甲方向乙方赔付合同款的5%违约金。</w:t>
      </w:r>
    </w:p>
    <w:p w14:paraId="0AAA1113">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rPr>
      </w:pPr>
      <w:r>
        <w:rPr>
          <w:rFonts w:hint="eastAsia" w:asciiTheme="minorEastAsia" w:hAnsiTheme="minorEastAsia" w:eastAsiaTheme="minorEastAsia" w:cstheme="minorEastAsia"/>
          <w:color w:val="auto"/>
          <w:spacing w:val="11"/>
          <w:sz w:val="24"/>
          <w:szCs w:val="24"/>
          <w:highlight w:val="none"/>
        </w:rPr>
        <w:t>5、乙方按规定不能交付技术成果</w:t>
      </w:r>
      <w:r>
        <w:rPr>
          <w:rFonts w:hint="eastAsia" w:asciiTheme="minorEastAsia" w:hAnsiTheme="minorEastAsia" w:eastAsiaTheme="minorEastAsia" w:cstheme="minorEastAsia"/>
          <w:color w:val="auto"/>
          <w:spacing w:val="11"/>
          <w:sz w:val="24"/>
          <w:szCs w:val="24"/>
          <w:highlight w:val="none"/>
          <w:lang w:val="en-US" w:eastAsia="zh-CN"/>
        </w:rPr>
        <w:t>或成果未通过省市验收</w:t>
      </w:r>
      <w:r>
        <w:rPr>
          <w:rFonts w:hint="eastAsia" w:asciiTheme="minorEastAsia" w:hAnsiTheme="minorEastAsia" w:eastAsiaTheme="minorEastAsia" w:cstheme="minorEastAsia"/>
          <w:color w:val="auto"/>
          <w:spacing w:val="11"/>
          <w:sz w:val="24"/>
          <w:szCs w:val="24"/>
          <w:highlight w:val="none"/>
        </w:rPr>
        <w:t>的，乙方应承担违约责任，</w:t>
      </w:r>
      <w:r>
        <w:rPr>
          <w:rFonts w:hint="eastAsia" w:asciiTheme="minorEastAsia" w:hAnsiTheme="minorEastAsia" w:eastAsiaTheme="minorEastAsia" w:cstheme="minorEastAsia"/>
          <w:color w:val="auto"/>
          <w:spacing w:val="11"/>
          <w:sz w:val="24"/>
          <w:szCs w:val="24"/>
          <w:highlight w:val="none"/>
          <w:lang w:val="en-US" w:eastAsia="zh-CN"/>
        </w:rPr>
        <w:t>同时甲方有权扣留</w:t>
      </w:r>
      <w:r>
        <w:rPr>
          <w:rFonts w:hint="eastAsia" w:asciiTheme="minorEastAsia" w:hAnsiTheme="minorEastAsia" w:eastAsiaTheme="minorEastAsia" w:cstheme="minorEastAsia"/>
          <w:color w:val="auto"/>
          <w:spacing w:val="11"/>
          <w:sz w:val="24"/>
          <w:szCs w:val="24"/>
          <w:highlight w:val="none"/>
        </w:rPr>
        <w:t>合同价款的</w:t>
      </w:r>
      <w:r>
        <w:rPr>
          <w:rFonts w:hint="eastAsia" w:asciiTheme="minorEastAsia" w:hAnsiTheme="minorEastAsia" w:eastAsiaTheme="minorEastAsia" w:cstheme="minorEastAsia"/>
          <w:color w:val="auto"/>
          <w:spacing w:val="11"/>
          <w:sz w:val="24"/>
          <w:szCs w:val="24"/>
          <w:highlight w:val="none"/>
          <w:u w:val="single"/>
          <w:lang w:val="en-US" w:eastAsia="zh-CN"/>
        </w:rPr>
        <w:t xml:space="preserve">   </w:t>
      </w:r>
      <w:r>
        <w:rPr>
          <w:rFonts w:hint="eastAsia" w:asciiTheme="minorEastAsia" w:hAnsiTheme="minorEastAsia" w:eastAsiaTheme="minorEastAsia" w:cstheme="minorEastAsia"/>
          <w:color w:val="auto"/>
          <w:spacing w:val="11"/>
          <w:sz w:val="24"/>
          <w:szCs w:val="24"/>
          <w:highlight w:val="none"/>
          <w:lang w:val="en-US" w:eastAsia="zh-CN"/>
        </w:rPr>
        <w:t>至乙方交付技术成果或通过验收</w:t>
      </w:r>
      <w:r>
        <w:rPr>
          <w:rFonts w:hint="eastAsia" w:asciiTheme="minorEastAsia" w:hAnsiTheme="minorEastAsia" w:eastAsiaTheme="minorEastAsia" w:cstheme="minorEastAsia"/>
          <w:color w:val="auto"/>
          <w:spacing w:val="11"/>
          <w:sz w:val="24"/>
          <w:szCs w:val="24"/>
          <w:highlight w:val="none"/>
        </w:rPr>
        <w:t>。</w:t>
      </w:r>
    </w:p>
    <w:p w14:paraId="326A863A">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不可抗力</w:t>
      </w:r>
    </w:p>
    <w:p w14:paraId="07C1C6DE">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1、在执行合同期限内，任何一方因不可抗力事件所致不能履行合同，则合同履行期可延长，延长期与不可抗力影响期相同。</w:t>
      </w:r>
    </w:p>
    <w:p w14:paraId="072E7BB1">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2、不可抗力事件发生后，应立即通知对方，并寄送有关权威机构出具的证明。</w:t>
      </w:r>
    </w:p>
    <w:p w14:paraId="41DE7B9F">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3、不可抗力事件延续30天以上，双方应通过友好协商，确定是否继续履行合同。</w:t>
      </w:r>
    </w:p>
    <w:p w14:paraId="55C9C802">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争议的解决</w:t>
      </w:r>
    </w:p>
    <w:p w14:paraId="0D4E31C0">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1、本合同仅限于“</w:t>
      </w:r>
      <w:r>
        <w:rPr>
          <w:rFonts w:hint="eastAsia" w:asciiTheme="minorEastAsia" w:hAnsiTheme="minorEastAsia" w:eastAsiaTheme="minorEastAsia" w:cstheme="minorEastAsia"/>
          <w:color w:val="auto"/>
          <w:spacing w:val="11"/>
          <w:sz w:val="24"/>
          <w:szCs w:val="24"/>
          <w:highlight w:val="none"/>
          <w:lang w:val="en-US" w:eastAsia="zh-CN"/>
        </w:rPr>
        <w:t xml:space="preserve"> 荥阳市自然资源和规划局荥阳市地籍成果入库汇交工作项目（项目编号：          ）</w:t>
      </w:r>
      <w:r>
        <w:rPr>
          <w:rFonts w:hint="eastAsia" w:asciiTheme="minorEastAsia" w:hAnsiTheme="minorEastAsia" w:eastAsiaTheme="minorEastAsia" w:cstheme="minorEastAsia"/>
          <w:color w:val="auto"/>
          <w:spacing w:val="11"/>
          <w:sz w:val="24"/>
          <w:szCs w:val="24"/>
          <w:highlight w:val="none"/>
          <w:lang w:eastAsia="zh-CN"/>
        </w:rPr>
        <w:t>”合作之约定；如果甲方需乙方提供本合同规定之外的服务，乙方将和甲方协商，另行签订补充合同；本合同未尽事宜，双方可签订补充合同作为附件，补充合同与本合同具有同等法律效力。</w:t>
      </w:r>
    </w:p>
    <w:p w14:paraId="546FE155">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2、本合同在履行过程中出现争议，由甲、乙双方协商解决，协商不成时，可向项目所在地人民法院起诉。</w:t>
      </w:r>
    </w:p>
    <w:p w14:paraId="065891A2">
      <w:pPr>
        <w:pStyle w:val="15"/>
        <w:keepNext w:val="0"/>
        <w:keepLines w:val="0"/>
        <w:pageBreakBefore w:val="0"/>
        <w:widowControl w:val="0"/>
        <w:numPr>
          <w:ilvl w:val="0"/>
          <w:numId w:val="4"/>
        </w:numPr>
        <w:kinsoku/>
        <w:wordWrap/>
        <w:topLinePunct w:val="0"/>
        <w:autoSpaceDE/>
        <w:autoSpaceDN/>
        <w:bidi w:val="0"/>
        <w:adjustRightInd w:val="0"/>
        <w:snapToGrid w:val="0"/>
        <w:spacing w:line="520" w:lineRule="exact"/>
        <w:ind w:left="0" w:firstLine="482" w:firstLineChars="200"/>
        <w:textAlignment w:val="auto"/>
        <w:outlineLvl w:val="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合同的生效</w:t>
      </w:r>
    </w:p>
    <w:p w14:paraId="20C17406">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1、本合同经甲方、乙方法定代表人或其委托代理人签字并加盖公章后生效。</w:t>
      </w:r>
    </w:p>
    <w:p w14:paraId="0DC7DFD4">
      <w:pPr>
        <w:keepNext w:val="0"/>
        <w:keepLines w:val="0"/>
        <w:pageBreakBefore w:val="0"/>
        <w:widowControl w:val="0"/>
        <w:suppressAutoHyphens/>
        <w:kinsoku/>
        <w:wordWrap/>
        <w:topLinePunct w:val="0"/>
        <w:autoSpaceDE/>
        <w:autoSpaceDN/>
        <w:bidi w:val="0"/>
        <w:adjustRightInd w:val="0"/>
        <w:snapToGrid w:val="0"/>
        <w:spacing w:line="520" w:lineRule="exact"/>
        <w:ind w:firstLine="524" w:firstLineChars="200"/>
        <w:jc w:val="left"/>
        <w:textAlignment w:val="auto"/>
        <w:rPr>
          <w:rFonts w:hint="eastAsia" w:asciiTheme="minorEastAsia" w:hAnsiTheme="minorEastAsia" w:eastAsiaTheme="minorEastAsia" w:cstheme="minorEastAsia"/>
          <w:color w:val="auto"/>
          <w:spacing w:val="11"/>
          <w:sz w:val="24"/>
          <w:szCs w:val="24"/>
          <w:highlight w:val="none"/>
          <w:lang w:eastAsia="zh-CN"/>
        </w:rPr>
      </w:pPr>
      <w:r>
        <w:rPr>
          <w:rFonts w:hint="eastAsia" w:asciiTheme="minorEastAsia" w:hAnsiTheme="minorEastAsia" w:eastAsiaTheme="minorEastAsia" w:cstheme="minorEastAsia"/>
          <w:color w:val="auto"/>
          <w:spacing w:val="11"/>
          <w:sz w:val="24"/>
          <w:szCs w:val="24"/>
          <w:highlight w:val="none"/>
          <w:lang w:eastAsia="zh-CN"/>
        </w:rPr>
        <w:t>2、本合同壹式陆份，甲方执贰份，乙方执肆份。</w:t>
      </w:r>
    </w:p>
    <w:p w14:paraId="51E6FA65">
      <w:pPr>
        <w:suppressAutoHyphens/>
        <w:spacing w:line="520" w:lineRule="exact"/>
        <w:jc w:val="left"/>
        <w:rPr>
          <w:rFonts w:hint="eastAsia" w:asciiTheme="minorEastAsia" w:hAnsiTheme="minorEastAsia" w:eastAsiaTheme="minorEastAsia" w:cstheme="minorEastAsia"/>
          <w:color w:val="auto"/>
          <w:spacing w:val="11"/>
          <w:sz w:val="24"/>
          <w:szCs w:val="24"/>
          <w:highlight w:val="none"/>
          <w:lang w:val="en-US" w:eastAsia="zh-CN"/>
        </w:rPr>
      </w:pPr>
      <w:r>
        <w:rPr>
          <w:rFonts w:hint="eastAsia" w:asciiTheme="minorEastAsia" w:hAnsiTheme="minorEastAsia" w:eastAsiaTheme="minorEastAsia" w:cstheme="minorEastAsia"/>
          <w:color w:val="auto"/>
          <w:spacing w:val="11"/>
          <w:sz w:val="24"/>
          <w:szCs w:val="24"/>
          <w:highlight w:val="none"/>
          <w:lang w:val="en-US" w:eastAsia="zh-CN"/>
        </w:rPr>
        <w:t>甲方（公章）：                 乙方（公章）：</w:t>
      </w:r>
    </w:p>
    <w:p w14:paraId="35CAB6CD">
      <w:pPr>
        <w:pStyle w:val="15"/>
        <w:rPr>
          <w:rFonts w:hint="eastAsia" w:asciiTheme="minorEastAsia" w:hAnsiTheme="minorEastAsia" w:eastAsiaTheme="minorEastAsia" w:cstheme="minorEastAsia"/>
          <w:color w:val="auto"/>
          <w:sz w:val="24"/>
          <w:szCs w:val="24"/>
          <w:highlight w:val="none"/>
          <w:lang w:val="en-US" w:eastAsia="zh-CN"/>
        </w:rPr>
      </w:pPr>
    </w:p>
    <w:p w14:paraId="2396B4EA">
      <w:pPr>
        <w:pStyle w:val="15"/>
        <w:rPr>
          <w:rFonts w:hint="eastAsia" w:asciiTheme="minorEastAsia" w:hAnsiTheme="minorEastAsia" w:eastAsiaTheme="minorEastAsia" w:cstheme="minorEastAsia"/>
          <w:color w:val="auto"/>
          <w:sz w:val="24"/>
          <w:szCs w:val="24"/>
          <w:highlight w:val="none"/>
          <w:lang w:val="en-US" w:eastAsia="zh-CN"/>
        </w:rPr>
      </w:pPr>
    </w:p>
    <w:p w14:paraId="475D9A12">
      <w:pPr>
        <w:suppressAutoHyphens/>
        <w:spacing w:line="520" w:lineRule="exact"/>
        <w:jc w:val="left"/>
        <w:rPr>
          <w:rFonts w:hint="eastAsia" w:asciiTheme="minorEastAsia" w:hAnsiTheme="minorEastAsia" w:eastAsiaTheme="minorEastAsia" w:cstheme="minorEastAsia"/>
          <w:b/>
          <w:bCs/>
          <w:color w:val="auto"/>
          <w:spacing w:val="11"/>
          <w:sz w:val="24"/>
          <w:szCs w:val="24"/>
          <w:highlight w:val="none"/>
          <w:lang w:val="en-US" w:eastAsia="zh-CN"/>
        </w:rPr>
      </w:pPr>
      <w:r>
        <w:rPr>
          <w:rFonts w:hint="eastAsia" w:asciiTheme="minorEastAsia" w:hAnsiTheme="minorEastAsia" w:eastAsiaTheme="minorEastAsia" w:cstheme="minorEastAsia"/>
          <w:color w:val="auto"/>
          <w:spacing w:val="11"/>
          <w:sz w:val="24"/>
          <w:szCs w:val="24"/>
          <w:highlight w:val="none"/>
          <w:lang w:val="en-US" w:eastAsia="zh-CN"/>
        </w:rPr>
        <w:t>法人或委托代理人：            法人或委托代理人：</w:t>
      </w:r>
    </w:p>
    <w:p w14:paraId="1B9AA8C8">
      <w:pPr>
        <w:pStyle w:val="15"/>
        <w:rPr>
          <w:rFonts w:hint="eastAsia" w:asciiTheme="minorEastAsia" w:hAnsiTheme="minorEastAsia" w:eastAsiaTheme="minorEastAsia" w:cstheme="minorEastAsia"/>
          <w:color w:val="auto"/>
          <w:sz w:val="24"/>
          <w:szCs w:val="24"/>
          <w:highlight w:val="none"/>
          <w:lang w:val="en-US" w:eastAsia="zh-CN"/>
        </w:rPr>
      </w:pPr>
    </w:p>
    <w:p w14:paraId="3192090F">
      <w:pPr>
        <w:suppressAutoHyphens/>
        <w:spacing w:line="520" w:lineRule="exact"/>
        <w:jc w:val="left"/>
        <w:rPr>
          <w:rFonts w:hint="eastAsia" w:asciiTheme="minorEastAsia" w:hAnsiTheme="minorEastAsia" w:eastAsiaTheme="minorEastAsia" w:cstheme="minorEastAsia"/>
          <w:color w:val="auto"/>
          <w:spacing w:val="11"/>
          <w:sz w:val="24"/>
          <w:szCs w:val="24"/>
          <w:highlight w:val="none"/>
          <w:lang w:val="en-US" w:eastAsia="zh-CN"/>
        </w:rPr>
      </w:pPr>
    </w:p>
    <w:p w14:paraId="4A0B1D54">
      <w:pPr>
        <w:pStyle w:val="15"/>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Cs w:val="0"/>
          <w:color w:val="auto"/>
          <w:spacing w:val="11"/>
          <w:kern w:val="2"/>
          <w:sz w:val="24"/>
          <w:szCs w:val="24"/>
          <w:highlight w:val="none"/>
          <w:lang w:val="en-US" w:eastAsia="zh-CN" w:bidi="ar-SA"/>
        </w:rPr>
        <w:t>电话：</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Cs w:val="0"/>
          <w:color w:val="auto"/>
          <w:spacing w:val="11"/>
          <w:kern w:val="2"/>
          <w:sz w:val="24"/>
          <w:szCs w:val="24"/>
          <w:highlight w:val="none"/>
          <w:lang w:val="en-US" w:eastAsia="zh-CN" w:bidi="ar-SA"/>
        </w:rPr>
        <w:t>电话：</w:t>
      </w:r>
    </w:p>
    <w:p w14:paraId="363BFC87">
      <w:pPr>
        <w:suppressAutoHyphens/>
        <w:spacing w:line="520" w:lineRule="exact"/>
        <w:jc w:val="left"/>
        <w:rPr>
          <w:rFonts w:hint="eastAsia" w:asciiTheme="minorEastAsia" w:hAnsiTheme="minorEastAsia" w:eastAsiaTheme="minorEastAsia" w:cstheme="minorEastAsia"/>
          <w:color w:val="auto"/>
          <w:spacing w:val="11"/>
          <w:sz w:val="24"/>
          <w:szCs w:val="24"/>
          <w:highlight w:val="none"/>
          <w:lang w:val="en-US" w:eastAsia="zh-CN"/>
        </w:rPr>
      </w:pPr>
    </w:p>
    <w:p w14:paraId="59A925C8">
      <w:pPr>
        <w:suppressAutoHyphens/>
        <w:spacing w:line="520" w:lineRule="exact"/>
        <w:ind w:firstLine="3930" w:firstLineChars="1500"/>
        <w:jc w:val="left"/>
        <w:rPr>
          <w:rFonts w:hint="eastAsia" w:asciiTheme="minorEastAsia" w:hAnsiTheme="minorEastAsia" w:eastAsiaTheme="minorEastAsia" w:cstheme="minorEastAsia"/>
          <w:color w:val="auto"/>
          <w:spacing w:val="11"/>
          <w:sz w:val="24"/>
          <w:szCs w:val="24"/>
          <w:highlight w:val="none"/>
          <w:lang w:val="en-US" w:eastAsia="zh-CN"/>
        </w:rPr>
      </w:pPr>
      <w:r>
        <w:rPr>
          <w:rFonts w:hint="eastAsia" w:asciiTheme="minorEastAsia" w:hAnsiTheme="minorEastAsia" w:eastAsiaTheme="minorEastAsia" w:cstheme="minorEastAsia"/>
          <w:color w:val="auto"/>
          <w:spacing w:val="11"/>
          <w:sz w:val="24"/>
          <w:szCs w:val="24"/>
          <w:highlight w:val="none"/>
          <w:lang w:val="en-US" w:eastAsia="zh-CN"/>
        </w:rPr>
        <w:t>年   月   日</w:t>
      </w:r>
    </w:p>
    <w:p w14:paraId="5BE3AE3C">
      <w:pPr>
        <w:pStyle w:val="5"/>
        <w:rPr>
          <w:rFonts w:hint="eastAsia"/>
          <w:color w:val="auto"/>
          <w:sz w:val="21"/>
          <w:szCs w:val="21"/>
          <w:highlight w:val="none"/>
          <w:lang w:eastAsia="zh-CN"/>
        </w:rPr>
      </w:pPr>
    </w:p>
    <w:p w14:paraId="418A82B6">
      <w:pPr>
        <w:pStyle w:val="4"/>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 w:val="32"/>
          <w:szCs w:val="32"/>
          <w:highlight w:val="none"/>
        </w:rPr>
      </w:pPr>
      <w:bookmarkStart w:id="211" w:name="_Toc184635134"/>
      <w:bookmarkStart w:id="212" w:name="_Toc11850"/>
      <w:bookmarkStart w:id="213" w:name="_Toc9508"/>
    </w:p>
    <w:p w14:paraId="321ED220">
      <w:pPr>
        <w:pStyle w:val="4"/>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color w:val="auto"/>
          <w:highlight w:val="none"/>
          <w:lang w:val="en-US" w:eastAsia="zh-CN"/>
        </w:rPr>
      </w:pPr>
      <w:r>
        <w:rPr>
          <w:rFonts w:hint="eastAsia" w:ascii="宋体" w:hAnsi="宋体" w:cs="宋体"/>
          <w:color w:val="auto"/>
          <w:sz w:val="32"/>
          <w:szCs w:val="32"/>
          <w:highlight w:val="none"/>
        </w:rPr>
        <w:t xml:space="preserve">第五章  </w:t>
      </w:r>
      <w:bookmarkEnd w:id="211"/>
      <w:bookmarkEnd w:id="212"/>
      <w:r>
        <w:rPr>
          <w:rFonts w:hint="eastAsia" w:ascii="宋体" w:hAnsi="宋体" w:cs="宋体"/>
          <w:color w:val="auto"/>
          <w:sz w:val="32"/>
          <w:szCs w:val="32"/>
          <w:highlight w:val="none"/>
          <w:lang w:val="en-US" w:eastAsia="zh-CN"/>
        </w:rPr>
        <w:t>服务内容及要求</w:t>
      </w:r>
      <w:bookmarkEnd w:id="213"/>
      <w:bookmarkStart w:id="214" w:name="_Toc184635136"/>
    </w:p>
    <w:tbl>
      <w:tblPr>
        <w:tblStyle w:val="3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8"/>
        <w:gridCol w:w="616"/>
        <w:gridCol w:w="922"/>
        <w:gridCol w:w="4423"/>
        <w:gridCol w:w="1162"/>
        <w:gridCol w:w="1743"/>
      </w:tblGrid>
      <w:tr w14:paraId="4763A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A47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36"/>
                <w:szCs w:val="36"/>
                <w:highlight w:val="none"/>
                <w:u w:val="none"/>
              </w:rPr>
            </w:pPr>
            <w:r>
              <w:rPr>
                <w:rFonts w:hint="eastAsia" w:asciiTheme="minorEastAsia" w:hAnsiTheme="minorEastAsia" w:eastAsiaTheme="minorEastAsia" w:cstheme="minorEastAsia"/>
                <w:b/>
                <w:bCs/>
                <w:i w:val="0"/>
                <w:iCs w:val="0"/>
                <w:color w:val="auto"/>
                <w:kern w:val="0"/>
                <w:sz w:val="36"/>
                <w:szCs w:val="36"/>
                <w:highlight w:val="none"/>
                <w:u w:val="none"/>
                <w:lang w:val="en-US" w:eastAsia="zh-CN" w:bidi="ar"/>
              </w:rPr>
              <w:t>荥阳市自然资源和规划局荥阳市地籍成果入库汇交工作项目</w:t>
            </w:r>
          </w:p>
        </w:tc>
      </w:tr>
      <w:tr w14:paraId="574E9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490B2">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2"/>
                <w:szCs w:val="22"/>
                <w:highlight w:val="none"/>
                <w:u w:val="none"/>
              </w:rPr>
            </w:pPr>
            <w:r>
              <w:rPr>
                <w:rFonts w:hint="eastAsia" w:asciiTheme="minorEastAsia" w:hAnsiTheme="minorEastAsia" w:eastAsiaTheme="minorEastAsia" w:cstheme="minorEastAsia"/>
                <w:b/>
                <w:bCs/>
                <w:i w:val="0"/>
                <w:iCs w:val="0"/>
                <w:color w:val="auto"/>
                <w:kern w:val="0"/>
                <w:sz w:val="22"/>
                <w:szCs w:val="22"/>
                <w:highlight w:val="none"/>
                <w:u w:val="none"/>
                <w:lang w:val="en-US" w:eastAsia="zh-CN" w:bidi="ar"/>
              </w:rPr>
              <w:t>工作任务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07A4B">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2"/>
                <w:szCs w:val="22"/>
                <w:highlight w:val="none"/>
                <w:u w:val="none"/>
              </w:rPr>
            </w:pPr>
            <w:r>
              <w:rPr>
                <w:rFonts w:hint="eastAsia" w:asciiTheme="minorEastAsia" w:hAnsiTheme="minorEastAsia" w:eastAsiaTheme="minorEastAsia" w:cstheme="minorEastAsia"/>
                <w:b/>
                <w:bCs/>
                <w:i w:val="0"/>
                <w:iCs w:val="0"/>
                <w:color w:val="auto"/>
                <w:kern w:val="0"/>
                <w:sz w:val="22"/>
                <w:szCs w:val="22"/>
                <w:highlight w:val="none"/>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5F58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2"/>
                <w:szCs w:val="22"/>
                <w:highlight w:val="none"/>
                <w:u w:val="none"/>
              </w:rPr>
            </w:pPr>
            <w:r>
              <w:rPr>
                <w:rFonts w:hint="eastAsia" w:asciiTheme="minorEastAsia" w:hAnsiTheme="minorEastAsia" w:eastAsiaTheme="minorEastAsia" w:cstheme="minorEastAsia"/>
                <w:b/>
                <w:bCs/>
                <w:i w:val="0"/>
                <w:iCs w:val="0"/>
                <w:color w:val="auto"/>
                <w:kern w:val="0"/>
                <w:sz w:val="22"/>
                <w:szCs w:val="22"/>
                <w:highlight w:val="none"/>
                <w:u w:val="none"/>
                <w:lang w:val="en-US" w:eastAsia="zh-CN" w:bidi="ar"/>
              </w:rPr>
              <w:t>工作内容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744977">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2"/>
                <w:szCs w:val="22"/>
                <w:highlight w:val="none"/>
                <w:u w:val="none"/>
              </w:rPr>
            </w:pPr>
            <w:r>
              <w:rPr>
                <w:rFonts w:hint="eastAsia" w:asciiTheme="minorEastAsia" w:hAnsiTheme="minorEastAsia" w:eastAsiaTheme="minorEastAsia" w:cstheme="minorEastAsia"/>
                <w:b/>
                <w:bCs/>
                <w:i w:val="0"/>
                <w:iCs w:val="0"/>
                <w:color w:val="auto"/>
                <w:kern w:val="0"/>
                <w:sz w:val="22"/>
                <w:szCs w:val="22"/>
                <w:highlight w:val="none"/>
                <w:u w:val="none"/>
                <w:lang w:val="en-US" w:eastAsia="zh-CN" w:bidi="ar"/>
              </w:rPr>
              <w:t>收费依据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50903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auto"/>
                <w:sz w:val="22"/>
                <w:szCs w:val="22"/>
                <w:highlight w:val="none"/>
                <w:u w:val="none"/>
              </w:rPr>
            </w:pPr>
            <w:r>
              <w:rPr>
                <w:rFonts w:hint="eastAsia" w:asciiTheme="minorEastAsia" w:hAnsiTheme="minorEastAsia" w:eastAsiaTheme="minorEastAsia" w:cstheme="minorEastAsia"/>
                <w:b/>
                <w:bCs/>
                <w:i w:val="0"/>
                <w:iCs w:val="0"/>
                <w:color w:val="auto"/>
                <w:kern w:val="0"/>
                <w:sz w:val="22"/>
                <w:szCs w:val="22"/>
                <w:highlight w:val="none"/>
                <w:u w:val="none"/>
                <w:lang w:val="en-US" w:eastAsia="zh-CN" w:bidi="ar"/>
              </w:rPr>
              <w:t>收费依据说明</w:t>
            </w:r>
          </w:p>
        </w:tc>
      </w:tr>
      <w:tr w14:paraId="7894E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C86D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2026年12月前：汇交宅基地、集体建设用地数据</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780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资料搜集、整理、分析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B71E9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准备工作主要包括不动产登记数据库、集体土地所有权更新数据库、农村房地一体登记数据库、城镇地籍数据、用地报批数据、土地整治数据、农经权、林权等数据情况现状调研，收集现有地籍调查成果资料，对现有数据分析检查，并与地籍调查数据库标准逐项对比分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FE3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AB36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“数据处理与建库” 章节，农村地籍资料分析按 “面积 + 宗数” 复合计费，宗数占比 70%</w:t>
            </w:r>
          </w:p>
        </w:tc>
      </w:tr>
      <w:tr w14:paraId="58222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25428">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088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数据库设计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3EDA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地籍调查规程》（GB/T42547-2023）、《地籍数据库第1部分：不动产》（TD/T1015.1-2024）对地籍数据库的内容、要素分类与代码、数据库结构、数据库更新和元数据等要求，构建本项目建设所需的地籍数据库基底，为后期整合入库做准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2F77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511B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“数据库设计与开发” 子目，农村地籍库按 “宗地单元数” 计费，标准模板可复用降低成本</w:t>
            </w:r>
          </w:p>
        </w:tc>
      </w:tr>
      <w:tr w14:paraId="19BC1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19C46">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0F0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数据整合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FBE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数据分析、清理整合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AE21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对农房、集体建设用地数据进行数据类型分析、完整性分析、有效性分析、现势性分析、统一性分析、差异性分析以及空间参考性分析。清理整合主要包括对已导入不动产库中数据的成果整理、已形成电子数据的成果整合、已形成档案资料但未入库的成果整合、已有资料数据格式整理及数据合并、已有资料属性清理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0F5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814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“数据清洗与标准化” 子目，农村地籍数据清理以 “宗数” 为主要计费基数，占比 99.9%</w:t>
            </w:r>
          </w:p>
        </w:tc>
      </w:tr>
      <w:tr w14:paraId="4012C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7497E">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85B08">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37D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数据整合关联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699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将农房、集体建设用地收集资料整理后的空间数据和非空间数据，根据汇交要求整理完善属性信息，用不动产单元代码建立整合关联，形成历史和现状、空间、属性和登记关系清晰完整的地籍数据。首先，将各类纸质档案数据、电子档案数据、簿册数据以及空间数据等存量地籍数据进行数据清洗、入库前规范化整理和标准化转换等处理，使其能满足成果提交要求；其次，按照数据汇交要求，对信息缺失部分通过查找纸质、电子、簿册等档案信息，补录信息缺失部分；最后，将各类成果数据进行融合，形成融合后的档案数据库、业务数据库和空间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C83E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FDE8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“数据关联与融合” 子目，宗地代码关联按 “宗数” 计费，每宗含 1 次关联校验</w:t>
            </w:r>
          </w:p>
        </w:tc>
      </w:tr>
      <w:tr w14:paraId="64575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9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E8F46">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17AC4">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6D21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数据质检提交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C0A1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构建的地籍数据库作为基底，根据存量地籍数据整合关联结果，将整合后的数据区分登记情况，按属性数据、空间数据进行初步整合入库。入库完成后，对数据库进行全面质量检查，采用人工和专业软件结合的方式，对数据进行目录规范性、图层完整性、数据基础、属性结构一致性检查并完善提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8B61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7569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“数据质量检查” 子目，农村地籍质检按 “宗数” 批量计费，全量检查可享优惠</w:t>
            </w:r>
          </w:p>
        </w:tc>
      </w:tr>
      <w:tr w14:paraId="655E0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399CF">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CD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补充地籍调查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A6D9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采用内业勾绘方式（不开展主城区范围内补充地籍调查）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425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2D59F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“城镇地籍调查 - 内业处理” 子目，内业勾绘按 “宗数” 计费，复用影像降低成本</w:t>
            </w:r>
          </w:p>
        </w:tc>
      </w:tr>
      <w:tr w14:paraId="1A29D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D42E0">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FF9D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地籍图编制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998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地籍分幅图、宗地图、地籍索引图的编制等工作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211B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64B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“地籍图内业编制” 子目，农村地籍图按 “面积” 计费，1:500 比例尺一类区单价 3173 元 /km²</w:t>
            </w:r>
          </w:p>
        </w:tc>
      </w:tr>
      <w:tr w14:paraId="74456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E83CA">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C36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地籍调查成果整理汇交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10DE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地籍更新成果的汇总、质检、提交等收尾工作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65D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FCB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“成果整理与提交” 子目，农村地籍成果汇交按 “宗数” 批量计费，每宗含 1 份电子档案</w:t>
            </w:r>
          </w:p>
        </w:tc>
      </w:tr>
      <w:tr w14:paraId="75BA1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0F1B9">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A0E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31D5C7">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FB3032">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4CA1E">
            <w:pPr>
              <w:jc w:val="center"/>
              <w:rPr>
                <w:rFonts w:hint="eastAsia" w:asciiTheme="minorEastAsia" w:hAnsiTheme="minorEastAsia" w:eastAsiaTheme="minorEastAsia" w:cstheme="minorEastAsia"/>
                <w:i w:val="0"/>
                <w:iCs w:val="0"/>
                <w:color w:val="auto"/>
                <w:sz w:val="22"/>
                <w:szCs w:val="22"/>
                <w:highlight w:val="none"/>
                <w:u w:val="none"/>
              </w:rPr>
            </w:pPr>
          </w:p>
        </w:tc>
      </w:tr>
      <w:tr w14:paraId="28AED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83E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2026年12月前：汇交国有建设用地数据</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7CF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资料搜集、整理、分析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382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国有建设用地数据，最新地籍调查成果、近年来建设用地审批、供应、征收等土地管理的数据等，并对现有数据分析检查，并与地籍调查数据库标准逐项对比分析。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9475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F49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“数据处理与建库” 章节，国有地籍资料分析按 “面积 + 宗数” 复合计费，面积占比 40%</w:t>
            </w:r>
          </w:p>
        </w:tc>
      </w:tr>
      <w:tr w14:paraId="6F199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CFDB0">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E9D2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数据库设计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FCF2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依据成果汇交要求对地籍数据库的内容、要素分类与代码、数据库结构、数据库更新和元数据等要求，构建本项目建设所需的地籍数据库基底，为后期整合入库做准备。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4CA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FF6E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“数据库设计与开发” 子目，国有地籍库按 “宗地单元数” 计费，标准模板复用率 90%</w:t>
            </w:r>
          </w:p>
        </w:tc>
      </w:tr>
      <w:tr w14:paraId="6BA24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4CA7A">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1A2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数据融合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9294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数据分析、清理整合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011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对国有建设用地数据进行数据类型分析、完整性分析、有效性分析、现势性分析、统一性分析、差异性分析以及空间参考性分析，对数据进行整理及合并。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8896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206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“数据清洗与标准化” 子目，国有地籍数据清理按 “宗数” 计费，审批信息清理占比 60%</w:t>
            </w:r>
          </w:p>
        </w:tc>
      </w:tr>
      <w:tr w14:paraId="03D45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8D556">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1B095">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97B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数据整合关联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2F6A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将国有建设用地收集资料整理后的空间数据和非空间数据，根据汇交要求整理完善属性信息，用不动产单元代码建立整合关联，形成历史和现状、空间、属性和登记关系清晰完整的地籍数据。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6E4D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E6F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“数据关联与融合” 子目，国有地籍关联按 “宗数” 计费，多维度关联加费 100%</w:t>
            </w:r>
          </w:p>
        </w:tc>
      </w:tr>
      <w:tr w14:paraId="0F3C2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75D54">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2379D">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E4CE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数据质检提交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46EF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构建的地籍数据库作为基底，根据存量地籍数据整合关联结果，将整合后的数据区分登记情况，按属性数据、空间数据进行初步整合入库。入库完成后，对数据库进行全面质量检查，采用人工和专业软件结合的方式，对数据进行目录规范性、图层完整性、数据基础、属性结构一致性检查并完善提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575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286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“数据质量检查” 子目，国有地籍质检按 “宗数” 计费，质检项比农村多 10 项</w:t>
            </w:r>
          </w:p>
        </w:tc>
      </w:tr>
      <w:tr w14:paraId="361B6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4CAD6">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017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补充地籍调查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AC1B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对地籍图空白区分类推进地籍调查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8B24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2BD1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“城镇地籍测绘” 子目，实测调查按 “面积” 计费，比例尺 1:500 对应最高单价</w:t>
            </w:r>
          </w:p>
        </w:tc>
      </w:tr>
      <w:tr w14:paraId="1A01A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51583">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5C7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地籍图编制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710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地籍分幅图、宗地图、地籍索引图的编制等工作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A1F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065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“地籍图内业编制” 子目，国有地籍图按 “面积” 计费，1:1000 比例尺单价 627 元 /km²</w:t>
            </w:r>
          </w:p>
        </w:tc>
      </w:tr>
      <w:tr w14:paraId="7D1BC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BFD8F">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252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地籍调查成果整理汇交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41CC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地籍更新成果的汇总、质检、提交等收尾工作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207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9FF6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“成果整理与提交” 子目，国有地籍成果汇交按 “宗数” 计费，每宗含 3 份审批档案</w:t>
            </w:r>
          </w:p>
        </w:tc>
      </w:tr>
      <w:tr w14:paraId="222C1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F6E72">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8A6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E45E86">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F663F4">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99668B">
            <w:pPr>
              <w:jc w:val="center"/>
              <w:rPr>
                <w:rFonts w:hint="eastAsia" w:asciiTheme="minorEastAsia" w:hAnsiTheme="minorEastAsia" w:eastAsiaTheme="minorEastAsia" w:cstheme="minorEastAsia"/>
                <w:i w:val="0"/>
                <w:iCs w:val="0"/>
                <w:color w:val="auto"/>
                <w:sz w:val="22"/>
                <w:szCs w:val="22"/>
                <w:highlight w:val="none"/>
                <w:u w:val="none"/>
              </w:rPr>
            </w:pPr>
          </w:p>
        </w:tc>
      </w:tr>
      <w:tr w14:paraId="2B047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2D4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2027年12月前：汇交林权、土地承包经营权数据</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C4B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资料搜集、整理、分析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766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林权、土地承包经营权数据等并对现有数据分析检查，并对比数据库标准逐项对比分析。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ABB1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357A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“数据处理与建库” 章节，林权 / 承包经营权资料分析按 “面积” 计费，地块单元以面积划分</w:t>
            </w:r>
          </w:p>
        </w:tc>
      </w:tr>
      <w:tr w14:paraId="316C0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C012E">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8C2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数据库设计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FF3E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依据成果汇交要求对地籍数据库的内容、要素分类与代码、数据库结构、数据库更新和元数据等要求，构建本项目建设所需的地籍数据库基底，为后期整合入库做准备。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96E6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B149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“数据库设计与开发” 子目，林权 / 承包经营权库按 “面积” 计费，地块单元按面积划分</w:t>
            </w:r>
          </w:p>
        </w:tc>
      </w:tr>
      <w:tr w14:paraId="6C8CA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78CC6">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546F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数据融合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F727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数据分析、清理整合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7CAD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对林权、土地承包经营权数据进行数据分析、清理整合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1937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2A8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“数据清洗与标准化” 子目，林权 / 承包经营权清理按 “面积” 计费，地块面积校验为核心</w:t>
            </w:r>
          </w:p>
        </w:tc>
      </w:tr>
      <w:tr w14:paraId="562DD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6F24C">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D49BD">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B57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数据整合关联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67EE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将整理好的数据进行整合和关联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7A0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B663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“数据关联与融合” 子目，林权 / 承包经营权关联按 “面积” 计费，双证书关联加费 100%</w:t>
            </w:r>
          </w:p>
        </w:tc>
      </w:tr>
      <w:tr w14:paraId="736B0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187F1">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83ACB">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173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数据质检提交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165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对整合好的数据进行质检，然后提交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9176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297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“数据质量检查” 子目，林权 / 承包经营权质检按 “面积” 计费，含面积精度 ±0.1 亩校验</w:t>
            </w:r>
          </w:p>
        </w:tc>
      </w:tr>
      <w:tr w14:paraId="63875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24182">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B58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补充调查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F027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对地籍图空白区分类推进地籍调查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BC5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E84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“地籍测绘” 子目，山地实测按 “面积” 计费，1:1000 比例尺单价低于城镇</w:t>
            </w:r>
          </w:p>
        </w:tc>
      </w:tr>
      <w:tr w14:paraId="726A0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91CD9">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21C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地籍图编制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414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地籍分幅图、宗地图、地籍索引图的编制等工作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715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6792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“地籍图内业编制” 子目，林权 / 承包经营权图按 “面积” 计费，1:2000 比例尺单价 341.6 元 /km²，批量优惠 30%</w:t>
            </w:r>
          </w:p>
        </w:tc>
      </w:tr>
      <w:tr w14:paraId="5396C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27BBC">
            <w:pPr>
              <w:jc w:val="center"/>
              <w:rPr>
                <w:rFonts w:hint="eastAsia" w:asciiTheme="minorEastAsia" w:hAnsiTheme="minorEastAsia" w:eastAsiaTheme="minorEastAsia" w:cstheme="minorEastAsia"/>
                <w:i w:val="0"/>
                <w:iCs w:val="0"/>
                <w:color w:val="auto"/>
                <w:sz w:val="22"/>
                <w:szCs w:val="22"/>
                <w:highlight w:val="none"/>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47E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地籍调查成果整理汇交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2201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地籍更新成果的汇总、质检、提交等收尾工作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E16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《测绘生产成本费用定额》（2009版）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AEE3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auto"/>
                <w:sz w:val="22"/>
                <w:szCs w:val="22"/>
                <w:highlight w:val="none"/>
                <w:u w:val="none"/>
              </w:rPr>
            </w:pPr>
            <w:r>
              <w:rPr>
                <w:rFonts w:hint="eastAsia" w:asciiTheme="minorEastAsia" w:hAnsiTheme="minorEastAsia" w:eastAsiaTheme="minorEastAsia" w:cstheme="minorEastAsia"/>
                <w:i w:val="0"/>
                <w:iCs w:val="0"/>
                <w:color w:val="auto"/>
                <w:kern w:val="0"/>
                <w:sz w:val="22"/>
                <w:szCs w:val="22"/>
                <w:highlight w:val="none"/>
                <w:u w:val="none"/>
                <w:lang w:val="en-US" w:eastAsia="zh-CN" w:bidi="ar"/>
              </w:rPr>
              <w:t>依据 2009 版定额 “成果整理与提交” 子目，林权 / 承包经营权成果按 “面积” 计费，每平方公里含 10 份地块档案</w:t>
            </w:r>
          </w:p>
        </w:tc>
      </w:tr>
    </w:tbl>
    <w:p w14:paraId="14154866">
      <w:pPr>
        <w:pStyle w:val="15"/>
        <w:spacing w:line="360" w:lineRule="auto"/>
        <w:ind w:firstLine="840" w:firstLineChars="400"/>
        <w:rPr>
          <w:rFonts w:hint="eastAsia"/>
          <w:color w:val="auto"/>
          <w:highlight w:val="none"/>
          <w:lang w:val="en-US" w:eastAsia="zh-CN"/>
        </w:rPr>
      </w:pPr>
    </w:p>
    <w:p w14:paraId="2DCACBCE">
      <w:pPr>
        <w:spacing w:line="254" w:lineRule="auto"/>
        <w:rPr>
          <w:rFonts w:hint="eastAsia" w:ascii="Arial" w:eastAsia="宋体"/>
          <w:b/>
          <w:bCs/>
          <w:color w:val="auto"/>
          <w:sz w:val="21"/>
          <w:highlight w:val="none"/>
          <w:lang w:eastAsia="zh-CN"/>
        </w:rPr>
      </w:pPr>
      <w:r>
        <w:rPr>
          <w:rFonts w:hint="eastAsia" w:ascii="Arial"/>
          <w:b/>
          <w:bCs/>
          <w:color w:val="auto"/>
          <w:sz w:val="21"/>
          <w:highlight w:val="none"/>
          <w:lang w:eastAsia="zh-CN"/>
        </w:rPr>
        <w:t>注：以上内容为项目主要内容，如有其他要求，按甲方规定执行。</w:t>
      </w:r>
    </w:p>
    <w:p w14:paraId="0CD1FD17">
      <w:pPr>
        <w:pStyle w:val="15"/>
        <w:spacing w:line="360" w:lineRule="auto"/>
        <w:ind w:firstLine="840" w:firstLineChars="400"/>
        <w:rPr>
          <w:rFonts w:hint="eastAsia"/>
          <w:color w:val="auto"/>
          <w:highlight w:val="none"/>
          <w:lang w:val="en-US" w:eastAsia="zh-CN"/>
        </w:rPr>
        <w:sectPr>
          <w:pgSz w:w="11906" w:h="16838"/>
          <w:pgMar w:top="1418" w:right="1134" w:bottom="1418" w:left="1134" w:header="851" w:footer="992" w:gutter="0"/>
          <w:pgBorders>
            <w:top w:val="none" w:sz="0" w:space="0"/>
            <w:left w:val="none" w:sz="0" w:space="0"/>
            <w:bottom w:val="none" w:sz="0" w:space="0"/>
            <w:right w:val="none" w:sz="0" w:space="0"/>
          </w:pgBorders>
          <w:cols w:space="720" w:num="1"/>
          <w:docGrid w:type="lines" w:linePitch="312" w:charSpace="0"/>
        </w:sectPr>
      </w:pPr>
    </w:p>
    <w:p w14:paraId="0A86ADEE">
      <w:pPr>
        <w:pStyle w:val="4"/>
        <w:keepNext w:val="0"/>
        <w:keepLines/>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color w:val="auto"/>
          <w:sz w:val="32"/>
          <w:szCs w:val="32"/>
          <w:highlight w:val="none"/>
        </w:rPr>
      </w:pPr>
      <w:bookmarkStart w:id="215" w:name="_Toc22120"/>
      <w:r>
        <w:rPr>
          <w:rFonts w:hint="eastAsia" w:ascii="宋体" w:hAnsi="宋体" w:cs="宋体"/>
          <w:color w:val="auto"/>
          <w:sz w:val="32"/>
          <w:szCs w:val="32"/>
          <w:highlight w:val="none"/>
        </w:rPr>
        <w:t>第六章  投标文件格式</w:t>
      </w:r>
      <w:bookmarkEnd w:id="214"/>
      <w:bookmarkEnd w:id="215"/>
    </w:p>
    <w:p w14:paraId="043BFF7C">
      <w:pPr>
        <w:spacing w:line="360" w:lineRule="auto"/>
        <w:ind w:firstLine="723" w:firstLineChars="200"/>
        <w:jc w:val="center"/>
        <w:rPr>
          <w:rFonts w:ascii="宋体" w:hAnsi="宋体" w:cs="宋体"/>
          <w:color w:val="auto"/>
          <w:sz w:val="66"/>
          <w:szCs w:val="66"/>
          <w:highlight w:val="none"/>
        </w:rPr>
      </w:pPr>
      <w:r>
        <w:rPr>
          <w:rFonts w:hint="eastAsia" w:ascii="宋体" w:hAnsi="宋体" w:cs="宋体"/>
          <w:b/>
          <w:color w:val="auto"/>
          <w:sz w:val="36"/>
          <w:szCs w:val="36"/>
          <w:highlight w:val="none"/>
          <w:u w:val="single"/>
          <w:lang w:val="en-US" w:eastAsia="zh-CN"/>
        </w:rPr>
        <w:t xml:space="preserve">            </w:t>
      </w:r>
      <w:r>
        <w:rPr>
          <w:rFonts w:hint="eastAsia" w:ascii="宋体" w:hAnsi="宋体" w:cs="宋体"/>
          <w:b/>
          <w:color w:val="auto"/>
          <w:sz w:val="36"/>
          <w:szCs w:val="36"/>
          <w:highlight w:val="none"/>
          <w:u w:val="single"/>
        </w:rPr>
        <w:t>（项目名称）</w:t>
      </w:r>
      <w:r>
        <w:rPr>
          <w:rFonts w:hint="eastAsia" w:ascii="宋体" w:hAnsi="宋体" w:cs="宋体"/>
          <w:b/>
          <w:color w:val="auto"/>
          <w:sz w:val="36"/>
          <w:szCs w:val="36"/>
          <w:highlight w:val="none"/>
          <w:u w:val="single"/>
          <w:lang w:val="en-US" w:eastAsia="zh-CN"/>
        </w:rPr>
        <w:t xml:space="preserve">  </w:t>
      </w:r>
    </w:p>
    <w:p w14:paraId="7E00E6D1">
      <w:pPr>
        <w:spacing w:line="360" w:lineRule="auto"/>
        <w:jc w:val="center"/>
        <w:rPr>
          <w:rFonts w:hint="eastAsia" w:ascii="宋体" w:hAnsi="宋体" w:cs="宋体"/>
          <w:b/>
          <w:bCs/>
          <w:color w:val="auto"/>
          <w:sz w:val="96"/>
          <w:szCs w:val="96"/>
          <w:highlight w:val="none"/>
        </w:rPr>
      </w:pPr>
    </w:p>
    <w:p w14:paraId="18F98078">
      <w:pPr>
        <w:spacing w:line="360" w:lineRule="auto"/>
        <w:jc w:val="center"/>
        <w:rPr>
          <w:rFonts w:ascii="宋体" w:hAnsi="宋体" w:cs="宋体"/>
          <w:color w:val="auto"/>
          <w:sz w:val="96"/>
          <w:szCs w:val="96"/>
          <w:highlight w:val="none"/>
        </w:rPr>
      </w:pPr>
      <w:r>
        <w:rPr>
          <w:rFonts w:hint="eastAsia" w:ascii="宋体" w:hAnsi="宋体" w:cs="宋体"/>
          <w:b/>
          <w:bCs/>
          <w:color w:val="auto"/>
          <w:sz w:val="96"/>
          <w:szCs w:val="96"/>
          <w:highlight w:val="none"/>
        </w:rPr>
        <w:t>投 标 文 件</w:t>
      </w:r>
    </w:p>
    <w:p w14:paraId="20D555AE">
      <w:pPr>
        <w:spacing w:line="360" w:lineRule="auto"/>
        <w:ind w:firstLine="3213" w:firstLineChars="1000"/>
        <w:rPr>
          <w:rFonts w:hint="eastAsia" w:ascii="宋体" w:hAnsi="宋体" w:cs="宋体"/>
          <w:b/>
          <w:bCs/>
          <w:color w:val="auto"/>
          <w:sz w:val="32"/>
          <w:szCs w:val="32"/>
          <w:highlight w:val="none"/>
          <w:lang w:eastAsia="zh-CN"/>
        </w:rPr>
      </w:pPr>
    </w:p>
    <w:p w14:paraId="2314BA9B">
      <w:pPr>
        <w:spacing w:line="360" w:lineRule="auto"/>
        <w:ind w:firstLine="3213" w:firstLineChars="1000"/>
        <w:rPr>
          <w:rFonts w:hint="eastAsia" w:ascii="宋体" w:hAnsi="宋体" w:cs="宋体"/>
          <w:b/>
          <w:bCs/>
          <w:color w:val="auto"/>
          <w:sz w:val="32"/>
          <w:szCs w:val="32"/>
          <w:highlight w:val="none"/>
          <w:lang w:eastAsia="zh-CN"/>
        </w:rPr>
      </w:pPr>
    </w:p>
    <w:p w14:paraId="7C28EB9D">
      <w:pPr>
        <w:spacing w:line="360" w:lineRule="auto"/>
        <w:ind w:firstLine="3855" w:firstLineChars="1200"/>
        <w:rPr>
          <w:rFonts w:ascii="宋体" w:hAnsi="宋体" w:cs="宋体"/>
          <w:b/>
          <w:bCs/>
          <w:color w:val="auto"/>
          <w:sz w:val="32"/>
          <w:szCs w:val="32"/>
          <w:highlight w:val="none"/>
        </w:rPr>
      </w:pPr>
      <w:r>
        <w:rPr>
          <w:rFonts w:hint="eastAsia" w:ascii="宋体" w:hAnsi="宋体" w:cs="宋体"/>
          <w:b/>
          <w:bCs/>
          <w:color w:val="auto"/>
          <w:sz w:val="32"/>
          <w:szCs w:val="32"/>
          <w:highlight w:val="none"/>
          <w:lang w:eastAsia="zh-CN"/>
        </w:rPr>
        <w:t>项目</w:t>
      </w:r>
      <w:r>
        <w:rPr>
          <w:rFonts w:hint="eastAsia" w:ascii="宋体" w:hAnsi="宋体" w:cs="宋体"/>
          <w:b/>
          <w:bCs/>
          <w:color w:val="auto"/>
          <w:sz w:val="32"/>
          <w:szCs w:val="32"/>
          <w:highlight w:val="none"/>
        </w:rPr>
        <w:t>编号：</w:t>
      </w:r>
    </w:p>
    <w:p w14:paraId="778C567A">
      <w:pPr>
        <w:spacing w:line="360" w:lineRule="auto"/>
        <w:ind w:firstLine="380" w:firstLineChars="200"/>
        <w:rPr>
          <w:rFonts w:ascii="宋体" w:hAnsi="宋体" w:cs="宋体"/>
          <w:color w:val="auto"/>
          <w:sz w:val="19"/>
          <w:szCs w:val="19"/>
          <w:highlight w:val="none"/>
        </w:rPr>
      </w:pPr>
    </w:p>
    <w:p w14:paraId="33D240BA">
      <w:pPr>
        <w:spacing w:line="360" w:lineRule="auto"/>
        <w:ind w:firstLine="380" w:firstLineChars="200"/>
        <w:rPr>
          <w:rFonts w:ascii="宋体" w:hAnsi="宋体" w:cs="宋体"/>
          <w:color w:val="auto"/>
          <w:sz w:val="19"/>
          <w:szCs w:val="19"/>
          <w:highlight w:val="none"/>
        </w:rPr>
      </w:pPr>
    </w:p>
    <w:p w14:paraId="040BA546">
      <w:pPr>
        <w:spacing w:line="360" w:lineRule="auto"/>
        <w:ind w:firstLine="380" w:firstLineChars="200"/>
        <w:rPr>
          <w:rFonts w:ascii="宋体" w:hAnsi="宋体" w:cs="宋体"/>
          <w:color w:val="auto"/>
          <w:sz w:val="19"/>
          <w:szCs w:val="19"/>
          <w:highlight w:val="none"/>
        </w:rPr>
      </w:pPr>
    </w:p>
    <w:p w14:paraId="149ADC6B">
      <w:pPr>
        <w:spacing w:line="360" w:lineRule="auto"/>
        <w:ind w:firstLine="380" w:firstLineChars="200"/>
        <w:rPr>
          <w:rFonts w:ascii="宋体" w:hAnsi="宋体" w:cs="宋体"/>
          <w:color w:val="auto"/>
          <w:sz w:val="19"/>
          <w:szCs w:val="19"/>
          <w:highlight w:val="none"/>
        </w:rPr>
      </w:pPr>
    </w:p>
    <w:p w14:paraId="13F9FDAC">
      <w:pPr>
        <w:spacing w:line="360" w:lineRule="auto"/>
        <w:jc w:val="center"/>
        <w:rPr>
          <w:rFonts w:ascii="宋体" w:hAnsi="宋体" w:cs="宋体"/>
          <w:color w:val="auto"/>
          <w:sz w:val="19"/>
          <w:szCs w:val="19"/>
          <w:highlight w:val="none"/>
        </w:rPr>
      </w:pPr>
    </w:p>
    <w:p w14:paraId="19A2ABC1">
      <w:pPr>
        <w:spacing w:line="360" w:lineRule="auto"/>
        <w:jc w:val="center"/>
        <w:rPr>
          <w:rFonts w:ascii="宋体" w:hAnsi="宋体" w:cs="宋体"/>
          <w:color w:val="auto"/>
          <w:sz w:val="19"/>
          <w:szCs w:val="19"/>
          <w:highlight w:val="none"/>
        </w:rPr>
      </w:pPr>
    </w:p>
    <w:p w14:paraId="17F575AA">
      <w:pPr>
        <w:pStyle w:val="32"/>
        <w:ind w:firstLine="190"/>
        <w:rPr>
          <w:rFonts w:ascii="宋体" w:hAnsi="宋体" w:cs="宋体"/>
          <w:color w:val="auto"/>
          <w:sz w:val="19"/>
          <w:szCs w:val="19"/>
          <w:highlight w:val="none"/>
        </w:rPr>
      </w:pPr>
    </w:p>
    <w:p w14:paraId="6FE25425">
      <w:pPr>
        <w:pStyle w:val="32"/>
        <w:ind w:firstLine="190"/>
        <w:rPr>
          <w:rFonts w:ascii="宋体" w:hAnsi="宋体" w:cs="宋体"/>
          <w:color w:val="auto"/>
          <w:sz w:val="19"/>
          <w:szCs w:val="19"/>
          <w:highlight w:val="none"/>
        </w:rPr>
      </w:pPr>
    </w:p>
    <w:p w14:paraId="039856CB">
      <w:pPr>
        <w:pStyle w:val="32"/>
        <w:ind w:firstLine="190"/>
        <w:rPr>
          <w:rFonts w:ascii="宋体" w:hAnsi="宋体" w:cs="宋体"/>
          <w:color w:val="auto"/>
          <w:sz w:val="19"/>
          <w:szCs w:val="19"/>
          <w:highlight w:val="none"/>
        </w:rPr>
      </w:pPr>
    </w:p>
    <w:p w14:paraId="34AAE809">
      <w:pPr>
        <w:pStyle w:val="32"/>
        <w:ind w:firstLine="190"/>
        <w:rPr>
          <w:rFonts w:ascii="宋体" w:hAnsi="宋体" w:cs="宋体"/>
          <w:color w:val="auto"/>
          <w:sz w:val="19"/>
          <w:szCs w:val="19"/>
          <w:highlight w:val="none"/>
        </w:rPr>
      </w:pPr>
    </w:p>
    <w:p w14:paraId="308152DE">
      <w:pPr>
        <w:pStyle w:val="32"/>
        <w:ind w:firstLine="190"/>
        <w:rPr>
          <w:rFonts w:ascii="宋体" w:hAnsi="宋体" w:cs="宋体"/>
          <w:color w:val="auto"/>
          <w:sz w:val="19"/>
          <w:szCs w:val="19"/>
          <w:highlight w:val="none"/>
        </w:rPr>
      </w:pPr>
    </w:p>
    <w:p w14:paraId="05072359">
      <w:pPr>
        <w:spacing w:line="360" w:lineRule="auto"/>
        <w:ind w:firstLine="1285" w:firstLineChars="400"/>
        <w:rPr>
          <w:rFonts w:ascii="宋体" w:hAnsi="宋体" w:cs="宋体"/>
          <w:b/>
          <w:bCs/>
          <w:color w:val="auto"/>
          <w:sz w:val="32"/>
          <w:szCs w:val="32"/>
          <w:highlight w:val="none"/>
        </w:rPr>
      </w:pPr>
      <w:r>
        <w:rPr>
          <w:rFonts w:hint="eastAsia" w:ascii="宋体" w:hAnsi="宋体" w:cs="宋体"/>
          <w:b/>
          <w:bCs/>
          <w:color w:val="auto"/>
          <w:sz w:val="32"/>
          <w:szCs w:val="32"/>
          <w:highlight w:val="none"/>
        </w:rPr>
        <w:t>投标人：</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rPr>
        <w:t>（</w:t>
      </w:r>
      <w:r>
        <w:rPr>
          <w:rFonts w:hint="eastAsia" w:ascii="宋体" w:hAnsi="宋体" w:cs="宋体"/>
          <w:b/>
          <w:bCs/>
          <w:color w:val="auto"/>
          <w:sz w:val="32"/>
          <w:szCs w:val="32"/>
          <w:highlight w:val="none"/>
          <w:lang w:eastAsia="zh-CN"/>
        </w:rPr>
        <w:t>盖单位章或电子签章</w:t>
      </w:r>
      <w:r>
        <w:rPr>
          <w:rFonts w:hint="eastAsia" w:ascii="宋体" w:hAnsi="宋体" w:cs="宋体"/>
          <w:b/>
          <w:bCs/>
          <w:color w:val="auto"/>
          <w:sz w:val="32"/>
          <w:szCs w:val="32"/>
          <w:highlight w:val="none"/>
        </w:rPr>
        <w:t>）</w:t>
      </w:r>
    </w:p>
    <w:p w14:paraId="4C71634E">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 xml:space="preserve">  法定代表人或其委托代理人：</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rPr>
        <w:t>（签字</w:t>
      </w:r>
      <w:r>
        <w:rPr>
          <w:rFonts w:hint="eastAsia" w:ascii="宋体" w:hAnsi="宋体" w:cs="宋体"/>
          <w:b/>
          <w:bCs/>
          <w:color w:val="auto"/>
          <w:sz w:val="32"/>
          <w:szCs w:val="32"/>
          <w:highlight w:val="none"/>
          <w:lang w:eastAsia="zh-CN"/>
        </w:rPr>
        <w:t>或电子签章</w:t>
      </w:r>
      <w:r>
        <w:rPr>
          <w:rFonts w:hint="eastAsia" w:ascii="宋体" w:hAnsi="宋体" w:cs="宋体"/>
          <w:b/>
          <w:bCs/>
          <w:color w:val="auto"/>
          <w:sz w:val="32"/>
          <w:szCs w:val="32"/>
          <w:highlight w:val="none"/>
        </w:rPr>
        <w:t>）</w:t>
      </w:r>
    </w:p>
    <w:p w14:paraId="3280FA4E">
      <w:pPr>
        <w:spacing w:line="360" w:lineRule="auto"/>
        <w:jc w:val="center"/>
        <w:rPr>
          <w:rFonts w:ascii="宋体" w:hAnsi="宋体" w:cs="宋体"/>
          <w:b/>
          <w:bCs/>
          <w:color w:val="auto"/>
          <w:sz w:val="32"/>
          <w:szCs w:val="32"/>
          <w:highlight w:val="none"/>
        </w:rPr>
        <w:sectPr>
          <w:pgSz w:w="11906" w:h="16838"/>
          <w:pgMar w:top="1418" w:right="1134" w:bottom="1418" w:left="1134"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rPr>
        <w:t>年</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rPr>
        <w:t>月</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rPr>
        <w:t>日</w:t>
      </w:r>
    </w:p>
    <w:p w14:paraId="584753D1">
      <w:pPr>
        <w:spacing w:line="360" w:lineRule="auto"/>
        <w:jc w:val="center"/>
        <w:rPr>
          <w:rFonts w:ascii="宋体" w:hAnsi="宋体" w:cs="宋体"/>
          <w:b/>
          <w:bCs/>
          <w:color w:val="auto"/>
          <w:sz w:val="32"/>
          <w:szCs w:val="32"/>
          <w:highlight w:val="none"/>
        </w:rPr>
      </w:pPr>
      <w:bookmarkStart w:id="216" w:name="_Toc184635137"/>
      <w:r>
        <w:rPr>
          <w:rFonts w:hint="eastAsia" w:ascii="宋体" w:hAnsi="宋体" w:cs="宋体"/>
          <w:b/>
          <w:bCs/>
          <w:color w:val="auto"/>
          <w:sz w:val="32"/>
          <w:szCs w:val="32"/>
          <w:highlight w:val="none"/>
        </w:rPr>
        <w:t>目  录</w:t>
      </w:r>
      <w:bookmarkEnd w:id="216"/>
    </w:p>
    <w:p w14:paraId="39163C2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一、投标函及投标函附录</w:t>
      </w:r>
    </w:p>
    <w:p w14:paraId="11E9C78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二、法定代表人身份证明</w:t>
      </w:r>
    </w:p>
    <w:p w14:paraId="3C5F6BD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三、授权委托书</w:t>
      </w:r>
    </w:p>
    <w:p w14:paraId="0FA80A6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四、报价明细表</w:t>
      </w:r>
    </w:p>
    <w:p w14:paraId="30CAD997">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投标承诺函</w:t>
      </w:r>
    </w:p>
    <w:p w14:paraId="63E8F99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六</w:t>
      </w:r>
      <w:r>
        <w:rPr>
          <w:rFonts w:hint="eastAsia" w:ascii="宋体" w:hAnsi="宋体" w:cs="宋体"/>
          <w:color w:val="auto"/>
          <w:szCs w:val="21"/>
          <w:highlight w:val="none"/>
        </w:rPr>
        <w:t>、招标代理服务费承诺函</w:t>
      </w:r>
    </w:p>
    <w:p w14:paraId="6BBD631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七</w:t>
      </w:r>
      <w:r>
        <w:rPr>
          <w:rFonts w:hint="eastAsia" w:ascii="宋体" w:hAnsi="宋体" w:cs="宋体"/>
          <w:color w:val="auto"/>
          <w:szCs w:val="21"/>
          <w:highlight w:val="none"/>
          <w:lang w:eastAsia="zh-CN"/>
        </w:rPr>
        <w:t>、资格审查资料</w:t>
      </w:r>
    </w:p>
    <w:p w14:paraId="5CE85527">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八、商务响应/偏离表</w:t>
      </w:r>
    </w:p>
    <w:p w14:paraId="0764372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九、项目实施方案</w:t>
      </w:r>
    </w:p>
    <w:p w14:paraId="68EA4F6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十、售后服务</w:t>
      </w:r>
    </w:p>
    <w:p w14:paraId="357769C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十一、供应商及投标产品实力</w:t>
      </w:r>
    </w:p>
    <w:p w14:paraId="4231B177">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十二、反商业贿赂承诺书</w:t>
      </w:r>
    </w:p>
    <w:p w14:paraId="23460ABB">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十三、中小企业声明函</w:t>
      </w:r>
    </w:p>
    <w:p w14:paraId="5F6BB1D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十四、残疾人福利性单位声明函</w:t>
      </w:r>
    </w:p>
    <w:p w14:paraId="6F3300F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十五、其他材料    </w:t>
      </w:r>
    </w:p>
    <w:p w14:paraId="4DB7E0BD">
      <w:pPr>
        <w:spacing w:line="360" w:lineRule="auto"/>
        <w:ind w:left="378" w:leftChars="180"/>
        <w:rPr>
          <w:rFonts w:hint="eastAsia" w:ascii="宋体" w:hAnsi="宋体" w:eastAsia="宋体" w:cs="宋体"/>
          <w:color w:val="auto"/>
          <w:szCs w:val="21"/>
          <w:highlight w:val="none"/>
          <w:lang w:eastAsia="zh-CN"/>
        </w:rPr>
      </w:pPr>
    </w:p>
    <w:p w14:paraId="503DDA8E">
      <w:pPr>
        <w:pStyle w:val="10"/>
        <w:rPr>
          <w:rFonts w:hint="eastAsia"/>
          <w:color w:val="auto"/>
          <w:highlight w:val="none"/>
          <w:lang w:eastAsia="zh-CN"/>
        </w:rPr>
      </w:pPr>
    </w:p>
    <w:p w14:paraId="648AF7B2">
      <w:pPr>
        <w:spacing w:line="360" w:lineRule="auto"/>
        <w:ind w:firstLine="380" w:firstLineChars="200"/>
        <w:rPr>
          <w:rFonts w:ascii="宋体" w:hAnsi="宋体" w:cs="宋体"/>
          <w:color w:val="auto"/>
          <w:sz w:val="19"/>
          <w:szCs w:val="19"/>
          <w:highlight w:val="none"/>
        </w:rPr>
      </w:pPr>
    </w:p>
    <w:p w14:paraId="6D099A00">
      <w:pPr>
        <w:spacing w:line="360" w:lineRule="auto"/>
        <w:ind w:firstLine="380" w:firstLineChars="200"/>
        <w:rPr>
          <w:rFonts w:ascii="宋体" w:hAnsi="宋体" w:cs="宋体"/>
          <w:color w:val="auto"/>
          <w:sz w:val="19"/>
          <w:szCs w:val="19"/>
          <w:highlight w:val="none"/>
        </w:rPr>
      </w:pPr>
    </w:p>
    <w:p w14:paraId="551F3151">
      <w:pPr>
        <w:spacing w:line="360" w:lineRule="auto"/>
        <w:ind w:firstLine="380" w:firstLineChars="200"/>
        <w:rPr>
          <w:rFonts w:ascii="宋体" w:hAnsi="宋体" w:cs="宋体"/>
          <w:color w:val="auto"/>
          <w:sz w:val="19"/>
          <w:szCs w:val="19"/>
          <w:highlight w:val="none"/>
        </w:rPr>
      </w:pPr>
    </w:p>
    <w:p w14:paraId="18A2BE5B">
      <w:pPr>
        <w:spacing w:line="360" w:lineRule="auto"/>
        <w:ind w:firstLine="380" w:firstLineChars="200"/>
        <w:rPr>
          <w:rFonts w:ascii="宋体" w:hAnsi="宋体" w:cs="宋体"/>
          <w:color w:val="auto"/>
          <w:sz w:val="19"/>
          <w:szCs w:val="19"/>
          <w:highlight w:val="none"/>
        </w:rPr>
      </w:pPr>
    </w:p>
    <w:p w14:paraId="2682A0AB">
      <w:pPr>
        <w:spacing w:line="360" w:lineRule="auto"/>
        <w:ind w:firstLine="380" w:firstLineChars="200"/>
        <w:rPr>
          <w:rFonts w:ascii="宋体" w:hAnsi="宋体" w:cs="宋体"/>
          <w:color w:val="auto"/>
          <w:sz w:val="19"/>
          <w:szCs w:val="19"/>
          <w:highlight w:val="none"/>
        </w:rPr>
      </w:pPr>
    </w:p>
    <w:p w14:paraId="70E8A01B">
      <w:pPr>
        <w:spacing w:line="360" w:lineRule="auto"/>
        <w:ind w:firstLine="380" w:firstLineChars="200"/>
        <w:rPr>
          <w:rFonts w:ascii="宋体" w:hAnsi="宋体" w:cs="宋体"/>
          <w:color w:val="auto"/>
          <w:sz w:val="19"/>
          <w:szCs w:val="19"/>
          <w:highlight w:val="none"/>
        </w:rPr>
      </w:pPr>
    </w:p>
    <w:p w14:paraId="7F19EE94">
      <w:pPr>
        <w:spacing w:line="360" w:lineRule="auto"/>
        <w:ind w:firstLine="380" w:firstLineChars="200"/>
        <w:rPr>
          <w:rFonts w:ascii="宋体" w:hAnsi="宋体" w:cs="宋体"/>
          <w:color w:val="auto"/>
          <w:sz w:val="19"/>
          <w:szCs w:val="19"/>
          <w:highlight w:val="none"/>
        </w:rPr>
      </w:pPr>
    </w:p>
    <w:p w14:paraId="523B8E5F">
      <w:pPr>
        <w:spacing w:line="360" w:lineRule="auto"/>
        <w:ind w:firstLine="380" w:firstLineChars="200"/>
        <w:rPr>
          <w:rFonts w:ascii="宋体" w:hAnsi="宋体" w:cs="宋体"/>
          <w:color w:val="auto"/>
          <w:sz w:val="19"/>
          <w:szCs w:val="19"/>
          <w:highlight w:val="none"/>
        </w:rPr>
      </w:pPr>
    </w:p>
    <w:p w14:paraId="13980575">
      <w:pPr>
        <w:spacing w:line="360" w:lineRule="auto"/>
        <w:ind w:firstLine="380" w:firstLineChars="200"/>
        <w:rPr>
          <w:rFonts w:ascii="宋体" w:hAnsi="宋体" w:cs="宋体"/>
          <w:color w:val="auto"/>
          <w:sz w:val="19"/>
          <w:szCs w:val="19"/>
          <w:highlight w:val="none"/>
        </w:rPr>
      </w:pPr>
    </w:p>
    <w:p w14:paraId="70C8AFC5">
      <w:pPr>
        <w:pStyle w:val="6"/>
        <w:spacing w:line="360" w:lineRule="auto"/>
        <w:jc w:val="center"/>
        <w:rPr>
          <w:rFonts w:ascii="宋体" w:hAnsi="宋体" w:cs="宋体"/>
          <w:color w:val="auto"/>
          <w:highlight w:val="none"/>
        </w:rPr>
      </w:pPr>
      <w:bookmarkStart w:id="217" w:name="_Toc12151"/>
      <w:bookmarkStart w:id="218" w:name="_Toc184635138"/>
      <w:bookmarkStart w:id="219" w:name="_Toc24719"/>
      <w:bookmarkStart w:id="220" w:name="_Toc18702"/>
      <w:r>
        <w:rPr>
          <w:rFonts w:hint="eastAsia" w:ascii="宋体" w:hAnsi="宋体" w:cs="宋体"/>
          <w:color w:val="auto"/>
          <w:highlight w:val="none"/>
        </w:rPr>
        <w:t>一、投标函及投标函附录</w:t>
      </w:r>
      <w:bookmarkEnd w:id="217"/>
      <w:bookmarkEnd w:id="218"/>
      <w:bookmarkEnd w:id="219"/>
      <w:bookmarkEnd w:id="220"/>
    </w:p>
    <w:p w14:paraId="6FBA35F8">
      <w:pPr>
        <w:pStyle w:val="7"/>
        <w:spacing w:line="360" w:lineRule="auto"/>
        <w:jc w:val="center"/>
        <w:rPr>
          <w:rFonts w:ascii="宋体" w:hAnsi="宋体" w:eastAsia="宋体" w:cs="宋体"/>
          <w:color w:val="auto"/>
          <w:sz w:val="22"/>
          <w:szCs w:val="22"/>
          <w:highlight w:val="none"/>
        </w:rPr>
      </w:pPr>
      <w:bookmarkStart w:id="221" w:name="_Toc21686"/>
      <w:bookmarkStart w:id="222" w:name="_Toc19702"/>
      <w:bookmarkStart w:id="223" w:name="_Toc18866"/>
      <w:r>
        <w:rPr>
          <w:rFonts w:hint="eastAsia" w:ascii="宋体" w:hAnsi="宋体" w:eastAsia="宋体" w:cs="宋体"/>
          <w:color w:val="auto"/>
          <w:sz w:val="22"/>
          <w:szCs w:val="22"/>
          <w:highlight w:val="none"/>
        </w:rPr>
        <w:t>（一）投标函</w:t>
      </w:r>
      <w:bookmarkEnd w:id="221"/>
      <w:bookmarkEnd w:id="222"/>
      <w:bookmarkEnd w:id="223"/>
    </w:p>
    <w:p w14:paraId="11B34332">
      <w:pPr>
        <w:spacing w:line="360" w:lineRule="auto"/>
        <w:rPr>
          <w:rFonts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 xml:space="preserve">人名称）: </w:t>
      </w:r>
    </w:p>
    <w:p w14:paraId="3D715A1A">
      <w:pPr>
        <w:spacing w:line="360" w:lineRule="auto"/>
        <w:ind w:left="210" w:leftChars="100" w:firstLine="210" w:firstLineChars="100"/>
        <w:rPr>
          <w:rFonts w:ascii="宋体" w:hAnsi="宋体" w:cs="宋体"/>
          <w:color w:val="auto"/>
          <w:szCs w:val="21"/>
          <w:highlight w:val="none"/>
        </w:rPr>
      </w:pPr>
      <w:r>
        <w:rPr>
          <w:rFonts w:hint="eastAsia" w:ascii="宋体" w:hAnsi="宋体" w:cs="宋体"/>
          <w:color w:val="auto"/>
          <w:szCs w:val="21"/>
          <w:highlight w:val="none"/>
        </w:rPr>
        <w:t>1．我方己仔细研究了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文件的全部内容，愿意以人民币（大写）</w:t>
      </w:r>
      <w:r>
        <w:rPr>
          <w:rFonts w:hint="eastAsia" w:ascii="宋体" w:hAnsi="宋体" w:cs="宋体"/>
          <w:color w:val="auto"/>
          <w:szCs w:val="21"/>
          <w:highlight w:val="none"/>
          <w:u w:val="single"/>
        </w:rPr>
        <w:t xml:space="preserve">         元</w:t>
      </w:r>
      <w:r>
        <w:rPr>
          <w:rFonts w:hint="eastAsia" w:ascii="宋体" w:hAnsi="宋体" w:cs="宋体"/>
          <w:color w:val="auto"/>
          <w:szCs w:val="21"/>
          <w:highlight w:val="none"/>
        </w:rPr>
        <w:t>（</w:t>
      </w:r>
      <w:r>
        <w:rPr>
          <w:rFonts w:ascii="Arial" w:hAnsi="Arial" w:cs="Arial"/>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）的投标报价，</w:t>
      </w:r>
      <w:r>
        <w:rPr>
          <w:rFonts w:hint="eastAsia" w:ascii="宋体" w:hAnsi="宋体" w:cs="宋体"/>
          <w:color w:val="auto"/>
          <w:szCs w:val="21"/>
          <w:highlight w:val="none"/>
          <w:lang w:val="en-US" w:eastAsia="zh-CN"/>
        </w:rPr>
        <w:t>服务周期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，按合同约定实施和完成</w:t>
      </w:r>
      <w:r>
        <w:rPr>
          <w:rFonts w:hint="eastAsia" w:ascii="宋体" w:hAnsi="宋体" w:cs="宋体"/>
          <w:color w:val="auto"/>
          <w:szCs w:val="21"/>
          <w:highlight w:val="none"/>
          <w:lang w:val="en-US" w:eastAsia="zh-CN"/>
        </w:rPr>
        <w:t>项目内容</w:t>
      </w:r>
      <w:r>
        <w:rPr>
          <w:rFonts w:hint="eastAsia" w:ascii="宋体" w:hAnsi="宋体" w:cs="宋体"/>
          <w:color w:val="auto"/>
          <w:szCs w:val="21"/>
          <w:highlight w:val="none"/>
        </w:rPr>
        <w:t>，质量达到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A15AAD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2．我方承诺在投标有效期内不修改、撤销投标文件。</w:t>
      </w:r>
    </w:p>
    <w:p w14:paraId="5A97CE0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．如我方中标：</w:t>
      </w:r>
    </w:p>
    <w:p w14:paraId="7AB02B7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(l）我方承诺在收到中标通知书后，在中标通知书规定的期限内与你方签订合同。</w:t>
      </w:r>
    </w:p>
    <w:p w14:paraId="56D494D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(2）随同本投标函递交的投标函附录属于合同文件的组成部分。</w:t>
      </w:r>
    </w:p>
    <w:p w14:paraId="2D45D0B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(3）我方承诺按照招标文件规定向你方递交履约担保（现金或转账形式之一）。</w:t>
      </w:r>
    </w:p>
    <w:p w14:paraId="1D65B4C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(4）我方承诺在合同约定的期限内完成并移交全部合同工程。</w:t>
      </w:r>
    </w:p>
    <w:p w14:paraId="4690577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．我方在此声明，所递交的投标文件及有关资料内容完整、真实和准确，且不存在第二章“投标人须知”第1.4.3 项规定的任何一种情形。</w:t>
      </w:r>
    </w:p>
    <w:p w14:paraId="6903B1E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如果我方中标,我方将按照招标文件规定一次性交纳中标服务费。</w:t>
      </w:r>
    </w:p>
    <w:p w14:paraId="6EE9706C">
      <w:pPr>
        <w:spacing w:line="360" w:lineRule="auto"/>
        <w:ind w:firstLine="4305" w:firstLineChars="2050"/>
        <w:rPr>
          <w:rFonts w:ascii="宋体" w:hAnsi="宋体" w:cs="宋体"/>
          <w:color w:val="auto"/>
          <w:szCs w:val="21"/>
          <w:highlight w:val="none"/>
        </w:rPr>
      </w:pPr>
    </w:p>
    <w:p w14:paraId="13E1D117">
      <w:pPr>
        <w:spacing w:line="360" w:lineRule="auto"/>
        <w:ind w:right="380"/>
        <w:rPr>
          <w:rFonts w:ascii="宋体" w:hAnsi="宋体" w:cs="宋体"/>
          <w:color w:val="auto"/>
          <w:szCs w:val="21"/>
          <w:highlight w:val="none"/>
        </w:rPr>
      </w:pPr>
      <w:r>
        <w:rPr>
          <w:rFonts w:hint="eastAsia" w:ascii="宋体" w:hAnsi="宋体" w:cs="宋体"/>
          <w:color w:val="auto"/>
          <w:szCs w:val="21"/>
          <w:highlight w:val="none"/>
        </w:rPr>
        <w:t xml:space="preserve">                                    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lang w:eastAsia="zh-CN"/>
        </w:rPr>
        <w:t>盖单位章或电子签章</w:t>
      </w:r>
      <w:r>
        <w:rPr>
          <w:rFonts w:hint="eastAsia" w:ascii="宋体" w:hAnsi="宋体" w:cs="宋体"/>
          <w:color w:val="auto"/>
          <w:szCs w:val="21"/>
          <w:highlight w:val="none"/>
        </w:rPr>
        <w:t>）</w:t>
      </w:r>
    </w:p>
    <w:p w14:paraId="680FDD4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 xml:space="preserve">                        法定代表人或其委托代理人：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lang w:eastAsia="zh-CN"/>
        </w:rPr>
        <w:t>签字或盖章或电子签章</w:t>
      </w:r>
      <w:r>
        <w:rPr>
          <w:rFonts w:hint="eastAsia" w:ascii="宋体" w:hAnsi="宋体" w:cs="宋体"/>
          <w:color w:val="auto"/>
          <w:szCs w:val="21"/>
          <w:highlight w:val="none"/>
        </w:rPr>
        <w:t>）</w:t>
      </w:r>
    </w:p>
    <w:p w14:paraId="75142D80">
      <w:pPr>
        <w:spacing w:line="360" w:lineRule="auto"/>
        <w:ind w:right="380"/>
        <w:rPr>
          <w:rFonts w:ascii="宋体" w:hAnsi="宋体" w:cs="宋体"/>
          <w:color w:val="auto"/>
          <w:szCs w:val="21"/>
          <w:highlight w:val="none"/>
        </w:rPr>
      </w:pPr>
      <w:r>
        <w:rPr>
          <w:rFonts w:hint="eastAsia" w:ascii="宋体" w:hAnsi="宋体" w:cs="宋体"/>
          <w:color w:val="auto"/>
          <w:szCs w:val="21"/>
          <w:highlight w:val="none"/>
        </w:rPr>
        <w:t xml:space="preserve">                                    地址：</w:t>
      </w:r>
      <w:r>
        <w:rPr>
          <w:rFonts w:hint="eastAsia" w:ascii="宋体" w:hAnsi="宋体" w:cs="宋体"/>
          <w:color w:val="auto"/>
          <w:szCs w:val="21"/>
          <w:highlight w:val="none"/>
          <w:u w:val="single"/>
        </w:rPr>
        <w:t xml:space="preserve">                                 </w:t>
      </w:r>
    </w:p>
    <w:p w14:paraId="165A1695">
      <w:pPr>
        <w:spacing w:line="360" w:lineRule="auto"/>
        <w:ind w:right="380"/>
        <w:rPr>
          <w:rFonts w:ascii="宋体" w:hAnsi="宋体" w:cs="宋体"/>
          <w:color w:val="auto"/>
          <w:szCs w:val="21"/>
          <w:highlight w:val="none"/>
        </w:rPr>
      </w:pPr>
      <w:r>
        <w:rPr>
          <w:rFonts w:hint="eastAsia" w:ascii="宋体" w:hAnsi="宋体" w:cs="宋体"/>
          <w:color w:val="auto"/>
          <w:szCs w:val="21"/>
          <w:highlight w:val="none"/>
        </w:rPr>
        <w:t xml:space="preserve">                                    网址：</w:t>
      </w:r>
      <w:r>
        <w:rPr>
          <w:rFonts w:hint="eastAsia" w:ascii="宋体" w:hAnsi="宋体" w:cs="宋体"/>
          <w:color w:val="auto"/>
          <w:szCs w:val="21"/>
          <w:highlight w:val="none"/>
          <w:u w:val="single"/>
        </w:rPr>
        <w:t xml:space="preserve">                                 </w:t>
      </w:r>
    </w:p>
    <w:p w14:paraId="709B549D">
      <w:pPr>
        <w:spacing w:line="360" w:lineRule="auto"/>
        <w:ind w:right="380"/>
        <w:rPr>
          <w:rFonts w:ascii="宋体" w:hAnsi="宋体" w:cs="宋体"/>
          <w:color w:val="auto"/>
          <w:szCs w:val="21"/>
          <w:highlight w:val="none"/>
          <w:u w:val="single"/>
        </w:rPr>
      </w:pPr>
      <w:r>
        <w:rPr>
          <w:rFonts w:hint="eastAsia" w:ascii="宋体" w:hAnsi="宋体" w:cs="宋体"/>
          <w:color w:val="auto"/>
          <w:szCs w:val="21"/>
          <w:highlight w:val="none"/>
        </w:rPr>
        <w:t xml:space="preserve">                                    电话：</w:t>
      </w:r>
      <w:r>
        <w:rPr>
          <w:rFonts w:hint="eastAsia" w:ascii="宋体" w:hAnsi="宋体" w:cs="宋体"/>
          <w:color w:val="auto"/>
          <w:szCs w:val="21"/>
          <w:highlight w:val="none"/>
          <w:u w:val="single"/>
        </w:rPr>
        <w:t xml:space="preserve">                                 </w:t>
      </w:r>
    </w:p>
    <w:p w14:paraId="4A949ACC">
      <w:pPr>
        <w:spacing w:line="360" w:lineRule="auto"/>
        <w:ind w:right="380"/>
        <w:rPr>
          <w:rFonts w:ascii="宋体" w:hAnsi="宋体" w:cs="宋体"/>
          <w:color w:val="auto"/>
          <w:szCs w:val="21"/>
          <w:highlight w:val="none"/>
        </w:rPr>
      </w:pPr>
      <w:r>
        <w:rPr>
          <w:rFonts w:hint="eastAsia" w:ascii="宋体" w:hAnsi="宋体" w:cs="宋体"/>
          <w:color w:val="auto"/>
          <w:szCs w:val="21"/>
          <w:highlight w:val="none"/>
        </w:rPr>
        <w:t xml:space="preserve">                                    传真：</w:t>
      </w:r>
      <w:r>
        <w:rPr>
          <w:rFonts w:hint="eastAsia" w:ascii="宋体" w:hAnsi="宋体" w:cs="宋体"/>
          <w:color w:val="auto"/>
          <w:szCs w:val="21"/>
          <w:highlight w:val="none"/>
          <w:u w:val="single"/>
        </w:rPr>
        <w:t xml:space="preserve">                                 </w:t>
      </w:r>
    </w:p>
    <w:p w14:paraId="2168103A">
      <w:pPr>
        <w:spacing w:line="360" w:lineRule="auto"/>
        <w:ind w:right="380"/>
        <w:rPr>
          <w:rFonts w:ascii="宋体" w:hAnsi="宋体" w:cs="宋体"/>
          <w:color w:val="auto"/>
          <w:szCs w:val="21"/>
          <w:highlight w:val="none"/>
        </w:rPr>
      </w:pP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14:paraId="6157DED1">
      <w:pPr>
        <w:spacing w:line="360" w:lineRule="auto"/>
        <w:ind w:right="380"/>
        <w:rPr>
          <w:rFonts w:ascii="宋体" w:hAnsi="宋体" w:cs="宋体"/>
          <w:color w:val="auto"/>
          <w:szCs w:val="21"/>
          <w:highlight w:val="none"/>
        </w:rPr>
      </w:pPr>
      <w:r>
        <w:rPr>
          <w:rFonts w:hint="eastAsia" w:ascii="宋体" w:hAnsi="宋体" w:cs="宋体"/>
          <w:color w:val="auto"/>
          <w:szCs w:val="21"/>
          <w:highlight w:val="none"/>
        </w:rPr>
        <w:t xml:space="preserve">                                    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20017145">
      <w:pPr>
        <w:spacing w:line="360" w:lineRule="auto"/>
        <w:ind w:firstLine="420" w:firstLineChars="200"/>
        <w:rPr>
          <w:rFonts w:ascii="宋体" w:hAnsi="宋体" w:cs="宋体"/>
          <w:color w:val="auto"/>
          <w:szCs w:val="21"/>
          <w:highlight w:val="none"/>
        </w:rPr>
        <w:sectPr>
          <w:pgSz w:w="11906" w:h="16838"/>
          <w:pgMar w:top="1418" w:right="1134" w:bottom="1418" w:left="1134" w:header="851" w:footer="992" w:gutter="0"/>
          <w:pgBorders>
            <w:top w:val="none" w:sz="0" w:space="0"/>
            <w:left w:val="none" w:sz="0" w:space="0"/>
            <w:bottom w:val="none" w:sz="0" w:space="0"/>
            <w:right w:val="none" w:sz="0" w:space="0"/>
          </w:pgBorders>
          <w:cols w:space="720" w:num="1"/>
          <w:docGrid w:type="lines" w:linePitch="312" w:charSpace="0"/>
        </w:sectPr>
      </w:pPr>
    </w:p>
    <w:p w14:paraId="5DD31F96">
      <w:pPr>
        <w:pStyle w:val="7"/>
        <w:spacing w:line="360" w:lineRule="auto"/>
        <w:jc w:val="center"/>
        <w:rPr>
          <w:rFonts w:ascii="宋体" w:hAnsi="宋体" w:eastAsia="宋体" w:cs="宋体"/>
          <w:color w:val="auto"/>
          <w:sz w:val="24"/>
          <w:szCs w:val="24"/>
          <w:highlight w:val="none"/>
        </w:rPr>
      </w:pPr>
      <w:bookmarkStart w:id="224" w:name="_Toc11903"/>
      <w:bookmarkStart w:id="225" w:name="_Toc8226"/>
      <w:bookmarkStart w:id="226" w:name="_Toc18386"/>
      <w:r>
        <w:rPr>
          <w:rFonts w:hint="eastAsia" w:ascii="宋体" w:hAnsi="宋体" w:eastAsia="宋体" w:cs="宋体"/>
          <w:color w:val="auto"/>
          <w:sz w:val="24"/>
          <w:szCs w:val="24"/>
          <w:highlight w:val="none"/>
        </w:rPr>
        <w:t>（二）投标函附录</w:t>
      </w:r>
      <w:bookmarkEnd w:id="224"/>
      <w:bookmarkEnd w:id="225"/>
      <w:bookmarkEnd w:id="226"/>
    </w:p>
    <w:tbl>
      <w:tblPr>
        <w:tblStyle w:val="33"/>
        <w:tblW w:w="9030" w:type="dxa"/>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2730"/>
        <w:gridCol w:w="2828"/>
      </w:tblGrid>
      <w:tr w14:paraId="7E0F5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3472" w:type="dxa"/>
            <w:vAlign w:val="center"/>
          </w:tcPr>
          <w:p w14:paraId="4A66824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项目名称</w:t>
            </w:r>
          </w:p>
        </w:tc>
        <w:tc>
          <w:tcPr>
            <w:tcW w:w="5558" w:type="dxa"/>
            <w:gridSpan w:val="2"/>
            <w:vAlign w:val="center"/>
          </w:tcPr>
          <w:p w14:paraId="57927A49">
            <w:pPr>
              <w:spacing w:line="360" w:lineRule="auto"/>
              <w:jc w:val="center"/>
              <w:rPr>
                <w:rFonts w:ascii="宋体" w:hAnsi="宋体" w:cs="宋体"/>
                <w:color w:val="auto"/>
                <w:szCs w:val="21"/>
                <w:highlight w:val="none"/>
                <w:u w:val="single"/>
              </w:rPr>
            </w:pPr>
          </w:p>
        </w:tc>
      </w:tr>
      <w:tr w14:paraId="0C17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3472" w:type="dxa"/>
            <w:vAlign w:val="center"/>
          </w:tcPr>
          <w:p w14:paraId="39F540CE">
            <w:pPr>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投标</w:t>
            </w:r>
            <w:r>
              <w:rPr>
                <w:rFonts w:hint="eastAsia" w:ascii="宋体" w:hAnsi="宋体" w:cs="宋体"/>
                <w:color w:val="auto"/>
                <w:szCs w:val="21"/>
                <w:highlight w:val="none"/>
                <w:lang w:val="en-US" w:eastAsia="zh-CN"/>
              </w:rPr>
              <w:t>单位</w:t>
            </w:r>
          </w:p>
        </w:tc>
        <w:tc>
          <w:tcPr>
            <w:tcW w:w="5558" w:type="dxa"/>
            <w:gridSpan w:val="2"/>
            <w:vAlign w:val="center"/>
          </w:tcPr>
          <w:p w14:paraId="3512112E">
            <w:pPr>
              <w:spacing w:line="360" w:lineRule="auto"/>
              <w:jc w:val="center"/>
              <w:rPr>
                <w:rFonts w:ascii="宋体" w:hAnsi="宋体" w:cs="宋体"/>
                <w:color w:val="auto"/>
                <w:szCs w:val="21"/>
                <w:highlight w:val="none"/>
                <w:u w:val="single"/>
              </w:rPr>
            </w:pPr>
          </w:p>
        </w:tc>
      </w:tr>
      <w:tr w14:paraId="4A0C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472" w:type="dxa"/>
            <w:vAlign w:val="center"/>
          </w:tcPr>
          <w:p w14:paraId="6C7D6AC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投标范围</w:t>
            </w:r>
          </w:p>
        </w:tc>
        <w:tc>
          <w:tcPr>
            <w:tcW w:w="5558" w:type="dxa"/>
            <w:gridSpan w:val="2"/>
            <w:vAlign w:val="center"/>
          </w:tcPr>
          <w:p w14:paraId="5ADCE3DF">
            <w:pPr>
              <w:spacing w:line="360" w:lineRule="auto"/>
              <w:jc w:val="center"/>
              <w:rPr>
                <w:rFonts w:ascii="宋体" w:hAnsi="宋体" w:cs="宋体"/>
                <w:color w:val="auto"/>
                <w:szCs w:val="21"/>
                <w:highlight w:val="none"/>
              </w:rPr>
            </w:pPr>
          </w:p>
        </w:tc>
      </w:tr>
      <w:tr w14:paraId="6007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472" w:type="dxa"/>
            <w:vAlign w:val="center"/>
          </w:tcPr>
          <w:p w14:paraId="2FD9A3F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投标报价（元）</w:t>
            </w:r>
          </w:p>
        </w:tc>
        <w:tc>
          <w:tcPr>
            <w:tcW w:w="2730" w:type="dxa"/>
            <w:vAlign w:val="center"/>
          </w:tcPr>
          <w:p w14:paraId="029AE9DB">
            <w:pPr>
              <w:spacing w:line="360" w:lineRule="auto"/>
              <w:ind w:firstLine="105" w:firstLineChars="50"/>
              <w:jc w:val="center"/>
              <w:rPr>
                <w:rFonts w:ascii="宋体" w:hAnsi="宋体" w:cs="宋体"/>
                <w:bCs/>
                <w:color w:val="auto"/>
                <w:szCs w:val="21"/>
                <w:highlight w:val="none"/>
              </w:rPr>
            </w:pPr>
            <w:r>
              <w:rPr>
                <w:rFonts w:hint="eastAsia" w:ascii="宋体" w:hAnsi="宋体" w:cs="宋体"/>
                <w:color w:val="auto"/>
                <w:szCs w:val="21"/>
                <w:highlight w:val="none"/>
              </w:rPr>
              <w:t>大写：</w:t>
            </w:r>
          </w:p>
        </w:tc>
        <w:tc>
          <w:tcPr>
            <w:tcW w:w="2828" w:type="dxa"/>
            <w:vAlign w:val="center"/>
          </w:tcPr>
          <w:p w14:paraId="1DF906FD">
            <w:pPr>
              <w:spacing w:line="360" w:lineRule="auto"/>
              <w:ind w:firstLine="105" w:firstLineChars="50"/>
              <w:jc w:val="center"/>
              <w:rPr>
                <w:rFonts w:ascii="宋体" w:hAnsi="宋体" w:cs="宋体"/>
                <w:bCs/>
                <w:color w:val="auto"/>
                <w:szCs w:val="21"/>
                <w:highlight w:val="none"/>
              </w:rPr>
            </w:pPr>
            <w:r>
              <w:rPr>
                <w:rFonts w:hint="eastAsia" w:ascii="宋体" w:hAnsi="宋体" w:cs="宋体"/>
                <w:color w:val="auto"/>
                <w:szCs w:val="21"/>
                <w:highlight w:val="none"/>
              </w:rPr>
              <w:t>小写：</w:t>
            </w:r>
          </w:p>
        </w:tc>
      </w:tr>
      <w:tr w14:paraId="4AFD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472" w:type="dxa"/>
            <w:vAlign w:val="center"/>
          </w:tcPr>
          <w:p w14:paraId="4FD77E65">
            <w:pPr>
              <w:spacing w:line="360" w:lineRule="auto"/>
              <w:jc w:val="center"/>
              <w:rPr>
                <w:rFonts w:ascii="宋体" w:hAnsi="宋体" w:cs="宋体"/>
                <w:color w:val="auto"/>
                <w:szCs w:val="21"/>
                <w:highlight w:val="none"/>
              </w:rPr>
            </w:pPr>
            <w:r>
              <w:rPr>
                <w:rFonts w:hint="eastAsia" w:ascii="宋体" w:hAnsi="宋体" w:cs="宋体"/>
                <w:color w:val="auto"/>
                <w:szCs w:val="21"/>
                <w:highlight w:val="none"/>
                <w:lang w:val="en-US" w:eastAsia="zh-CN"/>
              </w:rPr>
              <w:t>服务周期</w:t>
            </w:r>
          </w:p>
        </w:tc>
        <w:tc>
          <w:tcPr>
            <w:tcW w:w="5558" w:type="dxa"/>
            <w:gridSpan w:val="2"/>
            <w:vAlign w:val="center"/>
          </w:tcPr>
          <w:p w14:paraId="517CF4CE">
            <w:pPr>
              <w:spacing w:line="360" w:lineRule="auto"/>
              <w:ind w:firstLine="105" w:firstLineChars="50"/>
              <w:jc w:val="center"/>
              <w:rPr>
                <w:rFonts w:ascii="宋体" w:hAnsi="宋体" w:cs="宋体"/>
                <w:color w:val="auto"/>
                <w:szCs w:val="21"/>
                <w:highlight w:val="none"/>
              </w:rPr>
            </w:pPr>
          </w:p>
        </w:tc>
      </w:tr>
      <w:tr w14:paraId="6785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472" w:type="dxa"/>
            <w:vAlign w:val="center"/>
          </w:tcPr>
          <w:p w14:paraId="11D914F5">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质量</w:t>
            </w:r>
            <w:r>
              <w:rPr>
                <w:rFonts w:hint="eastAsia" w:ascii="宋体" w:hAnsi="宋体" w:cs="宋体"/>
                <w:color w:val="auto"/>
                <w:szCs w:val="21"/>
                <w:highlight w:val="none"/>
                <w:lang w:eastAsia="zh-CN"/>
              </w:rPr>
              <w:t>要求</w:t>
            </w:r>
          </w:p>
        </w:tc>
        <w:tc>
          <w:tcPr>
            <w:tcW w:w="5558" w:type="dxa"/>
            <w:gridSpan w:val="2"/>
            <w:vAlign w:val="center"/>
          </w:tcPr>
          <w:p w14:paraId="2533C4ED">
            <w:pPr>
              <w:spacing w:line="360" w:lineRule="auto"/>
              <w:ind w:firstLine="1543" w:firstLineChars="732"/>
              <w:jc w:val="center"/>
              <w:rPr>
                <w:rFonts w:ascii="宋体" w:hAnsi="宋体" w:cs="宋体"/>
                <w:b/>
                <w:bCs/>
                <w:color w:val="auto"/>
                <w:szCs w:val="21"/>
                <w:highlight w:val="none"/>
                <w:u w:val="single"/>
              </w:rPr>
            </w:pPr>
          </w:p>
        </w:tc>
      </w:tr>
      <w:tr w14:paraId="4BCF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472" w:type="dxa"/>
            <w:vAlign w:val="center"/>
          </w:tcPr>
          <w:p w14:paraId="5157C73D">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项目负责人</w:t>
            </w:r>
          </w:p>
        </w:tc>
        <w:tc>
          <w:tcPr>
            <w:tcW w:w="5558" w:type="dxa"/>
            <w:gridSpan w:val="2"/>
            <w:vAlign w:val="center"/>
          </w:tcPr>
          <w:p w14:paraId="20AF9586">
            <w:pPr>
              <w:spacing w:line="360" w:lineRule="auto"/>
              <w:ind w:firstLine="1543" w:firstLineChars="732"/>
              <w:jc w:val="center"/>
              <w:rPr>
                <w:rFonts w:ascii="宋体" w:hAnsi="宋体" w:cs="宋体"/>
                <w:b/>
                <w:bCs/>
                <w:color w:val="auto"/>
                <w:szCs w:val="21"/>
                <w:highlight w:val="none"/>
                <w:u w:val="single"/>
              </w:rPr>
            </w:pPr>
          </w:p>
        </w:tc>
      </w:tr>
      <w:tr w14:paraId="5C2C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472" w:type="dxa"/>
            <w:vAlign w:val="center"/>
          </w:tcPr>
          <w:p w14:paraId="78EB98EE">
            <w:pPr>
              <w:spacing w:line="360" w:lineRule="auto"/>
              <w:jc w:val="center"/>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联系方式</w:t>
            </w:r>
          </w:p>
        </w:tc>
        <w:tc>
          <w:tcPr>
            <w:tcW w:w="5558" w:type="dxa"/>
            <w:gridSpan w:val="2"/>
            <w:vAlign w:val="center"/>
          </w:tcPr>
          <w:p w14:paraId="2FF03136">
            <w:pPr>
              <w:spacing w:line="360" w:lineRule="auto"/>
              <w:ind w:firstLine="1543" w:firstLineChars="732"/>
              <w:jc w:val="center"/>
              <w:rPr>
                <w:rFonts w:ascii="宋体" w:hAnsi="宋体" w:cs="宋体"/>
                <w:b/>
                <w:bCs/>
                <w:color w:val="auto"/>
                <w:szCs w:val="21"/>
                <w:highlight w:val="none"/>
                <w:u w:val="single"/>
              </w:rPr>
            </w:pPr>
          </w:p>
        </w:tc>
      </w:tr>
      <w:tr w14:paraId="7A90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472" w:type="dxa"/>
            <w:vAlign w:val="center"/>
          </w:tcPr>
          <w:p w14:paraId="2F59715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投标有效期</w:t>
            </w:r>
          </w:p>
        </w:tc>
        <w:tc>
          <w:tcPr>
            <w:tcW w:w="5558" w:type="dxa"/>
            <w:gridSpan w:val="2"/>
            <w:vAlign w:val="center"/>
          </w:tcPr>
          <w:p w14:paraId="60112757">
            <w:pPr>
              <w:spacing w:line="360" w:lineRule="auto"/>
              <w:ind w:firstLine="1543" w:firstLineChars="732"/>
              <w:jc w:val="center"/>
              <w:rPr>
                <w:rFonts w:ascii="宋体" w:hAnsi="宋体" w:cs="宋体"/>
                <w:b/>
                <w:bCs/>
                <w:color w:val="auto"/>
                <w:szCs w:val="21"/>
                <w:highlight w:val="none"/>
                <w:u w:val="single"/>
              </w:rPr>
            </w:pPr>
          </w:p>
        </w:tc>
      </w:tr>
      <w:tr w14:paraId="511C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30" w:type="dxa"/>
            <w:gridSpan w:val="3"/>
            <w:vAlign w:val="center"/>
          </w:tcPr>
          <w:p w14:paraId="46D9BC0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优惠条件及其他承诺（不够可另附页）</w:t>
            </w:r>
          </w:p>
          <w:p w14:paraId="3534240C">
            <w:pPr>
              <w:spacing w:line="360" w:lineRule="auto"/>
              <w:jc w:val="center"/>
              <w:rPr>
                <w:rFonts w:ascii="宋体" w:hAnsi="宋体" w:cs="宋体"/>
                <w:color w:val="auto"/>
                <w:szCs w:val="21"/>
                <w:highlight w:val="none"/>
              </w:rPr>
            </w:pPr>
          </w:p>
          <w:p w14:paraId="3EB9939A">
            <w:pPr>
              <w:spacing w:line="360" w:lineRule="auto"/>
              <w:jc w:val="center"/>
              <w:rPr>
                <w:rFonts w:ascii="宋体" w:hAnsi="宋体" w:cs="宋体"/>
                <w:b/>
                <w:bCs/>
                <w:color w:val="auto"/>
                <w:szCs w:val="21"/>
                <w:highlight w:val="none"/>
                <w:u w:val="single"/>
              </w:rPr>
            </w:pPr>
          </w:p>
        </w:tc>
      </w:tr>
    </w:tbl>
    <w:p w14:paraId="1F0FB757">
      <w:pPr>
        <w:spacing w:line="360" w:lineRule="auto"/>
        <w:ind w:right="380"/>
        <w:rPr>
          <w:rFonts w:ascii="宋体" w:hAnsi="宋体" w:cs="宋体"/>
          <w:color w:val="auto"/>
          <w:szCs w:val="21"/>
          <w:highlight w:val="none"/>
        </w:rPr>
      </w:pPr>
      <w:r>
        <w:rPr>
          <w:rFonts w:hint="eastAsia" w:ascii="宋体" w:hAnsi="宋体" w:cs="宋体"/>
          <w:color w:val="auto"/>
          <w:szCs w:val="21"/>
          <w:highlight w:val="none"/>
        </w:rPr>
        <w:t xml:space="preserve">                                        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lang w:eastAsia="zh-CN"/>
        </w:rPr>
        <w:t>盖单位章或电子签章</w:t>
      </w:r>
      <w:r>
        <w:rPr>
          <w:rFonts w:hint="eastAsia" w:ascii="宋体" w:hAnsi="宋体" w:cs="宋体"/>
          <w:color w:val="auto"/>
          <w:szCs w:val="21"/>
          <w:highlight w:val="none"/>
        </w:rPr>
        <w:t>）</w:t>
      </w:r>
    </w:p>
    <w:p w14:paraId="2FB6FDB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 xml:space="preserve">                                        法定代表人或其委托代理人：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lang w:eastAsia="zh-CN"/>
        </w:rPr>
        <w:t>签字或盖章或电子签章</w:t>
      </w:r>
      <w:r>
        <w:rPr>
          <w:rFonts w:hint="eastAsia" w:ascii="宋体" w:hAnsi="宋体" w:cs="宋体"/>
          <w:color w:val="auto"/>
          <w:szCs w:val="21"/>
          <w:highlight w:val="none"/>
        </w:rPr>
        <w:t>）</w:t>
      </w:r>
    </w:p>
    <w:p w14:paraId="042C20F1">
      <w:pPr>
        <w:autoSpaceDE w:val="0"/>
        <w:autoSpaceDN w:val="0"/>
        <w:adjustRightInd w:val="0"/>
        <w:spacing w:line="360" w:lineRule="auto"/>
        <w:ind w:right="380"/>
        <w:rPr>
          <w:rFonts w:ascii="宋体" w:hAnsi="宋体" w:cs="宋体"/>
          <w:color w:val="auto"/>
          <w:szCs w:val="21"/>
          <w:highlight w:val="none"/>
        </w:rPr>
      </w:pPr>
      <w:r>
        <w:rPr>
          <w:rFonts w:hint="eastAsia" w:ascii="宋体" w:hAnsi="宋体" w:cs="宋体"/>
          <w:color w:val="auto"/>
          <w:szCs w:val="21"/>
          <w:highlight w:val="none"/>
        </w:rPr>
        <w:t xml:space="preserve">                                            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5D19339">
      <w:pPr>
        <w:spacing w:line="360" w:lineRule="auto"/>
        <w:jc w:val="center"/>
        <w:rPr>
          <w:rFonts w:ascii="宋体" w:hAnsi="宋体" w:cs="宋体"/>
          <w:color w:val="auto"/>
          <w:szCs w:val="21"/>
          <w:highlight w:val="none"/>
        </w:rPr>
        <w:sectPr>
          <w:pgSz w:w="11906" w:h="16838"/>
          <w:pgMar w:top="1418" w:right="1134" w:bottom="1418" w:left="1134" w:header="851" w:footer="992" w:gutter="0"/>
          <w:pgBorders>
            <w:top w:val="none" w:sz="0" w:space="0"/>
            <w:left w:val="none" w:sz="0" w:space="0"/>
            <w:bottom w:val="none" w:sz="0" w:space="0"/>
            <w:right w:val="none" w:sz="0" w:space="0"/>
          </w:pgBorders>
          <w:cols w:space="720" w:num="1"/>
          <w:docGrid w:type="lines" w:linePitch="312" w:charSpace="0"/>
        </w:sectPr>
      </w:pPr>
    </w:p>
    <w:p w14:paraId="79070614">
      <w:pPr>
        <w:pStyle w:val="6"/>
        <w:spacing w:line="360" w:lineRule="auto"/>
        <w:jc w:val="center"/>
        <w:rPr>
          <w:rFonts w:ascii="宋体" w:hAnsi="宋体" w:cs="宋体"/>
          <w:color w:val="auto"/>
          <w:highlight w:val="none"/>
        </w:rPr>
      </w:pPr>
      <w:bookmarkStart w:id="227" w:name="_Toc29352"/>
      <w:bookmarkStart w:id="228" w:name="_Toc184635139"/>
      <w:bookmarkStart w:id="229" w:name="_Toc3818"/>
      <w:bookmarkStart w:id="230" w:name="_Toc28453"/>
      <w:r>
        <w:rPr>
          <w:rFonts w:hint="eastAsia" w:ascii="宋体" w:hAnsi="宋体" w:cs="宋体"/>
          <w:color w:val="auto"/>
          <w:highlight w:val="none"/>
        </w:rPr>
        <w:t>二、法定代表人身份证明</w:t>
      </w:r>
      <w:bookmarkEnd w:id="227"/>
      <w:bookmarkEnd w:id="228"/>
      <w:bookmarkEnd w:id="229"/>
      <w:bookmarkEnd w:id="230"/>
    </w:p>
    <w:p w14:paraId="571D2819">
      <w:pPr>
        <w:spacing w:line="360" w:lineRule="auto"/>
        <w:ind w:firstLine="420" w:firstLineChars="200"/>
        <w:rPr>
          <w:rFonts w:ascii="宋体" w:hAnsi="宋体" w:cs="宋体"/>
          <w:color w:val="auto"/>
          <w:szCs w:val="21"/>
          <w:highlight w:val="none"/>
        </w:rPr>
      </w:pPr>
    </w:p>
    <w:p w14:paraId="4B1D0B3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D405DB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618A00E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33FE878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360B035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483C81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_</w:t>
      </w:r>
    </w:p>
    <w:p w14:paraId="37530E4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（投标人名称）的法定代表人。</w:t>
      </w:r>
    </w:p>
    <w:p w14:paraId="665DACE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特此证明。</w:t>
      </w:r>
    </w:p>
    <w:p w14:paraId="78A99971">
      <w:pPr>
        <w:spacing w:line="360" w:lineRule="auto"/>
        <w:ind w:firstLine="420" w:firstLineChars="200"/>
        <w:rPr>
          <w:rFonts w:ascii="宋体" w:hAnsi="宋体" w:cs="宋体"/>
          <w:color w:val="auto"/>
          <w:szCs w:val="21"/>
          <w:highlight w:val="none"/>
        </w:rPr>
      </w:pPr>
    </w:p>
    <w:p w14:paraId="14E1B6D2">
      <w:pPr>
        <w:spacing w:line="360" w:lineRule="auto"/>
        <w:ind w:firstLine="420" w:firstLineChars="200"/>
        <w:rPr>
          <w:rFonts w:ascii="宋体" w:hAnsi="宋体" w:cs="宋体"/>
          <w:color w:val="auto"/>
          <w:szCs w:val="21"/>
          <w:highlight w:val="none"/>
        </w:rPr>
      </w:pPr>
    </w:p>
    <w:p w14:paraId="000D8DF3">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lang w:eastAsia="zh-CN"/>
        </w:rPr>
        <w:t>盖单位章或电子签章</w:t>
      </w:r>
      <w:r>
        <w:rPr>
          <w:rFonts w:hint="eastAsia" w:ascii="宋体" w:hAnsi="宋体" w:cs="宋体"/>
          <w:color w:val="auto"/>
          <w:szCs w:val="21"/>
          <w:highlight w:val="none"/>
        </w:rPr>
        <w:t>）</w:t>
      </w:r>
    </w:p>
    <w:p w14:paraId="040B9BCC">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日期：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5BCEA7E3">
      <w:pPr>
        <w:spacing w:line="360" w:lineRule="auto"/>
        <w:ind w:firstLine="420" w:firstLineChars="200"/>
        <w:rPr>
          <w:rFonts w:ascii="宋体" w:hAnsi="宋体" w:cs="宋体"/>
          <w:color w:val="auto"/>
          <w:szCs w:val="21"/>
          <w:highlight w:val="none"/>
        </w:rPr>
        <w:sectPr>
          <w:pgSz w:w="11906" w:h="16838"/>
          <w:pgMar w:top="1418" w:right="1134" w:bottom="1418" w:left="1134" w:header="851" w:footer="992" w:gutter="0"/>
          <w:pgBorders>
            <w:top w:val="none" w:sz="0" w:space="0"/>
            <w:left w:val="none" w:sz="0" w:space="0"/>
            <w:bottom w:val="none" w:sz="0" w:space="0"/>
            <w:right w:val="none" w:sz="0" w:space="0"/>
          </w:pgBorders>
          <w:cols w:space="720" w:num="1"/>
          <w:docGrid w:type="lines" w:linePitch="312" w:charSpace="0"/>
        </w:sectPr>
      </w:pPr>
    </w:p>
    <w:p w14:paraId="630F8675">
      <w:pPr>
        <w:pStyle w:val="6"/>
        <w:spacing w:line="360" w:lineRule="auto"/>
        <w:jc w:val="center"/>
        <w:rPr>
          <w:rFonts w:ascii="宋体" w:hAnsi="宋体" w:cs="宋体"/>
          <w:color w:val="auto"/>
          <w:highlight w:val="none"/>
        </w:rPr>
      </w:pPr>
      <w:bookmarkStart w:id="231" w:name="_Toc7403"/>
      <w:bookmarkStart w:id="232" w:name="_Toc184635140"/>
      <w:bookmarkStart w:id="233" w:name="_Toc15273"/>
      <w:bookmarkStart w:id="234" w:name="_Toc13029"/>
      <w:r>
        <w:rPr>
          <w:rFonts w:hint="eastAsia" w:ascii="宋体" w:hAnsi="宋体" w:cs="宋体"/>
          <w:color w:val="auto"/>
          <w:highlight w:val="none"/>
        </w:rPr>
        <w:t>三、授权委托书</w:t>
      </w:r>
      <w:bookmarkEnd w:id="231"/>
      <w:bookmarkEnd w:id="232"/>
      <w:bookmarkEnd w:id="233"/>
      <w:bookmarkEnd w:id="234"/>
    </w:p>
    <w:p w14:paraId="2B77D550">
      <w:pPr>
        <w:spacing w:line="360" w:lineRule="auto"/>
        <w:ind w:firstLine="480" w:firstLineChars="200"/>
        <w:rPr>
          <w:rFonts w:ascii="宋体" w:hAnsi="宋体" w:cs="宋体"/>
          <w:color w:val="auto"/>
          <w:sz w:val="24"/>
          <w:highlight w:val="none"/>
        </w:rPr>
      </w:pPr>
    </w:p>
    <w:p w14:paraId="33692EF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（姓名）为我方代理人。代理人根据授权，以我方名义签署、澄清、说明、补正、递交、撤回、修改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w:t>
      </w:r>
      <w:r>
        <w:rPr>
          <w:rFonts w:hint="eastAsia" w:ascii="宋体" w:hAnsi="宋体" w:cs="宋体"/>
          <w:color w:val="auto"/>
          <w:szCs w:val="21"/>
          <w:highlight w:val="none"/>
          <w:u w:val="none"/>
        </w:rPr>
        <w:t>）</w:t>
      </w:r>
      <w:r>
        <w:rPr>
          <w:rFonts w:hint="eastAsia" w:ascii="宋体" w:hAnsi="宋体" w:cs="宋体"/>
          <w:color w:val="auto"/>
          <w:szCs w:val="21"/>
          <w:highlight w:val="none"/>
        </w:rPr>
        <w:t>投标文件、签订合同和处理有关事宜，其法律后果由我方承担。</w:t>
      </w:r>
    </w:p>
    <w:p w14:paraId="3951807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p>
    <w:p w14:paraId="42253D6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代理人无转委托权。</w:t>
      </w:r>
    </w:p>
    <w:p w14:paraId="70B6F07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附：法定代表人身份证复印件、委托代理人身份证复印件</w:t>
      </w:r>
    </w:p>
    <w:p w14:paraId="7EDFDF57">
      <w:pPr>
        <w:spacing w:line="360" w:lineRule="auto"/>
        <w:ind w:firstLine="420" w:firstLineChars="200"/>
        <w:rPr>
          <w:rFonts w:ascii="宋体" w:hAnsi="宋体" w:cs="宋体"/>
          <w:color w:val="auto"/>
          <w:szCs w:val="21"/>
          <w:highlight w:val="none"/>
        </w:rPr>
      </w:pPr>
    </w:p>
    <w:p w14:paraId="6817226A">
      <w:pPr>
        <w:spacing w:line="360" w:lineRule="auto"/>
        <w:ind w:firstLine="420" w:firstLineChars="200"/>
        <w:rPr>
          <w:rFonts w:ascii="宋体" w:hAnsi="宋体" w:cs="宋体"/>
          <w:color w:val="auto"/>
          <w:szCs w:val="21"/>
          <w:highlight w:val="none"/>
        </w:rPr>
      </w:pPr>
    </w:p>
    <w:p w14:paraId="6FF17158">
      <w:pPr>
        <w:wordWrap w:val="0"/>
        <w:spacing w:line="360" w:lineRule="auto"/>
        <w:jc w:val="right"/>
        <w:rPr>
          <w:rFonts w:ascii="宋体" w:hAnsi="宋体" w:cs="宋体"/>
          <w:color w:val="auto"/>
          <w:szCs w:val="21"/>
          <w:highlight w:val="none"/>
        </w:rPr>
      </w:pPr>
      <w:r>
        <w:rPr>
          <w:rFonts w:hint="eastAsia" w:ascii="宋体" w:hAnsi="宋体" w:cs="宋体"/>
          <w:color w:val="auto"/>
          <w:szCs w:val="21"/>
          <w:highlight w:val="none"/>
        </w:rPr>
        <w:t xml:space="preserve">     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lang w:eastAsia="zh-CN"/>
        </w:rPr>
        <w:t>盖单位章或电子签章</w:t>
      </w:r>
      <w:r>
        <w:rPr>
          <w:rFonts w:hint="eastAsia" w:ascii="宋体" w:hAnsi="宋体" w:cs="宋体"/>
          <w:color w:val="auto"/>
          <w:szCs w:val="21"/>
          <w:highlight w:val="none"/>
        </w:rPr>
        <w:t>）</w:t>
      </w:r>
    </w:p>
    <w:p w14:paraId="57231FC7">
      <w:pPr>
        <w:spacing w:line="360" w:lineRule="auto"/>
        <w:ind w:right="190"/>
        <w:jc w:val="center"/>
        <w:rPr>
          <w:rFonts w:ascii="宋体" w:hAnsi="宋体" w:cs="宋体"/>
          <w:color w:val="auto"/>
          <w:szCs w:val="21"/>
          <w:highlight w:val="none"/>
        </w:rPr>
      </w:pP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r>
        <w:rPr>
          <w:rFonts w:hint="eastAsia" w:ascii="宋体" w:hAnsi="宋体" w:cs="宋体"/>
          <w:color w:val="auto"/>
          <w:szCs w:val="21"/>
          <w:highlight w:val="none"/>
          <w:lang w:eastAsia="zh-CN"/>
        </w:rPr>
        <w:t>或电子签章</w:t>
      </w:r>
      <w:r>
        <w:rPr>
          <w:rFonts w:hint="eastAsia" w:ascii="宋体" w:hAnsi="宋体" w:cs="宋体"/>
          <w:color w:val="auto"/>
          <w:szCs w:val="21"/>
          <w:highlight w:val="none"/>
        </w:rPr>
        <w:t>）</w:t>
      </w:r>
    </w:p>
    <w:p w14:paraId="14B59AFC">
      <w:pPr>
        <w:spacing w:line="360" w:lineRule="auto"/>
        <w:ind w:right="380"/>
        <w:rPr>
          <w:rFonts w:ascii="宋体" w:hAnsi="宋体" w:cs="宋体"/>
          <w:color w:val="auto"/>
          <w:szCs w:val="21"/>
          <w:highlight w:val="none"/>
          <w:u w:val="single"/>
        </w:rPr>
      </w:pPr>
      <w:r>
        <w:rPr>
          <w:rFonts w:hint="eastAsia" w:ascii="宋体" w:hAnsi="宋体" w:cs="宋体"/>
          <w:color w:val="auto"/>
          <w:szCs w:val="21"/>
          <w:highlight w:val="none"/>
        </w:rPr>
        <w:t xml:space="preserve">                                       身份证号码：</w:t>
      </w:r>
    </w:p>
    <w:p w14:paraId="34D29FC9">
      <w:pPr>
        <w:spacing w:line="360" w:lineRule="auto"/>
        <w:ind w:right="95"/>
        <w:jc w:val="center"/>
        <w:rPr>
          <w:rFonts w:ascii="宋体" w:hAnsi="宋体" w:cs="宋体"/>
          <w:color w:val="auto"/>
          <w:szCs w:val="21"/>
          <w:highlight w:val="none"/>
        </w:rPr>
      </w:pPr>
      <w:r>
        <w:rPr>
          <w:rFonts w:hint="eastAsia" w:ascii="宋体" w:hAnsi="宋体" w:cs="宋体"/>
          <w:color w:val="auto"/>
          <w:szCs w:val="21"/>
          <w:highlight w:val="none"/>
        </w:rPr>
        <w:t xml:space="preserve">                                       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r>
        <w:rPr>
          <w:rFonts w:hint="eastAsia" w:ascii="宋体" w:hAnsi="宋体" w:cs="宋体"/>
          <w:color w:val="auto"/>
          <w:szCs w:val="21"/>
          <w:highlight w:val="none"/>
          <w:lang w:eastAsia="zh-CN"/>
        </w:rPr>
        <w:t>或电子签章</w:t>
      </w:r>
      <w:r>
        <w:rPr>
          <w:rFonts w:hint="eastAsia" w:ascii="宋体" w:hAnsi="宋体" w:cs="宋体"/>
          <w:color w:val="auto"/>
          <w:szCs w:val="21"/>
          <w:highlight w:val="none"/>
        </w:rPr>
        <w:t>）</w:t>
      </w:r>
    </w:p>
    <w:p w14:paraId="1DBEBAD7">
      <w:pPr>
        <w:spacing w:line="360" w:lineRule="auto"/>
        <w:ind w:right="380"/>
        <w:jc w:val="center"/>
        <w:rPr>
          <w:rFonts w:ascii="宋体" w:hAnsi="宋体" w:cs="宋体"/>
          <w:color w:val="auto"/>
          <w:szCs w:val="21"/>
          <w:highlight w:val="none"/>
          <w:u w:val="single"/>
        </w:rPr>
      </w:pPr>
      <w:r>
        <w:rPr>
          <w:rFonts w:hint="eastAsia" w:ascii="宋体" w:hAnsi="宋体" w:cs="宋体"/>
          <w:color w:val="auto"/>
          <w:szCs w:val="21"/>
          <w:highlight w:val="none"/>
        </w:rPr>
        <w:t xml:space="preserve">  身份证号码：</w:t>
      </w:r>
      <w:r>
        <w:rPr>
          <w:rFonts w:hint="eastAsia" w:ascii="宋体" w:hAnsi="宋体" w:cs="宋体"/>
          <w:color w:val="auto"/>
          <w:szCs w:val="21"/>
          <w:highlight w:val="none"/>
          <w:u w:val="single"/>
        </w:rPr>
        <w:t xml:space="preserve">                                     </w:t>
      </w:r>
    </w:p>
    <w:p w14:paraId="2A060091">
      <w:pPr>
        <w:spacing w:line="360" w:lineRule="auto"/>
        <w:ind w:right="380"/>
        <w:jc w:val="center"/>
        <w:rPr>
          <w:rFonts w:ascii="宋体" w:hAnsi="宋体" w:cs="宋体"/>
          <w:color w:val="auto"/>
          <w:szCs w:val="21"/>
          <w:highlight w:val="none"/>
        </w:rPr>
      </w:pPr>
      <w:r>
        <w:rPr>
          <w:rFonts w:hint="eastAsia" w:ascii="宋体" w:hAnsi="宋体" w:cs="宋体"/>
          <w:color w:val="auto"/>
          <w:szCs w:val="21"/>
          <w:highlight w:val="none"/>
        </w:rPr>
        <w:t xml:space="preserve">                                         日期：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5622010B">
      <w:pPr>
        <w:spacing w:line="360" w:lineRule="auto"/>
        <w:ind w:firstLine="420" w:firstLineChars="200"/>
        <w:rPr>
          <w:rFonts w:ascii="宋体" w:hAnsi="宋体" w:cs="宋体"/>
          <w:color w:val="auto"/>
          <w:szCs w:val="21"/>
          <w:highlight w:val="none"/>
        </w:rPr>
      </w:pPr>
    </w:p>
    <w:p w14:paraId="3E0D7313">
      <w:pPr>
        <w:spacing w:line="360" w:lineRule="auto"/>
        <w:ind w:firstLine="420" w:firstLineChars="200"/>
        <w:rPr>
          <w:rFonts w:ascii="宋体" w:hAnsi="宋体" w:cs="宋体"/>
          <w:color w:val="auto"/>
          <w:szCs w:val="21"/>
          <w:highlight w:val="none"/>
        </w:rPr>
      </w:pPr>
    </w:p>
    <w:p w14:paraId="6B8D8724">
      <w:pPr>
        <w:spacing w:line="360" w:lineRule="auto"/>
        <w:rPr>
          <w:rFonts w:ascii="宋体" w:hAnsi="宋体" w:cs="宋体"/>
          <w:color w:val="auto"/>
          <w:szCs w:val="21"/>
          <w:highlight w:val="none"/>
        </w:rPr>
        <w:sectPr>
          <w:pgSz w:w="11906" w:h="16838"/>
          <w:pgMar w:top="1418" w:right="1134" w:bottom="1418" w:left="1134" w:header="851" w:footer="992" w:gutter="0"/>
          <w:pgBorders>
            <w:top w:val="none" w:sz="0" w:space="0"/>
            <w:left w:val="none" w:sz="0" w:space="0"/>
            <w:bottom w:val="none" w:sz="0" w:space="0"/>
            <w:right w:val="none" w:sz="0" w:space="0"/>
          </w:pgBorders>
          <w:cols w:space="720" w:num="1"/>
          <w:docGrid w:type="lines" w:linePitch="312" w:charSpace="0"/>
        </w:sectPr>
      </w:pPr>
    </w:p>
    <w:p w14:paraId="798979E4">
      <w:pPr>
        <w:pStyle w:val="6"/>
        <w:spacing w:line="360" w:lineRule="auto"/>
        <w:jc w:val="center"/>
        <w:rPr>
          <w:rFonts w:hint="eastAsia" w:ascii="宋体" w:hAnsi="宋体" w:cs="宋体"/>
          <w:color w:val="auto"/>
          <w:highlight w:val="none"/>
        </w:rPr>
      </w:pPr>
      <w:bookmarkStart w:id="235" w:name="_Toc26319"/>
      <w:bookmarkStart w:id="236" w:name="_Toc184635142"/>
      <w:bookmarkStart w:id="237" w:name="_Toc341"/>
      <w:bookmarkStart w:id="238" w:name="_Toc25132"/>
      <w:r>
        <w:rPr>
          <w:rFonts w:hint="eastAsia" w:ascii="宋体" w:hAnsi="宋体" w:cs="宋体"/>
          <w:color w:val="auto"/>
          <w:highlight w:val="none"/>
          <w:lang w:val="en-US" w:eastAsia="zh-CN"/>
        </w:rPr>
        <w:t>四、</w:t>
      </w:r>
      <w:r>
        <w:rPr>
          <w:rFonts w:hint="eastAsia" w:ascii="宋体" w:hAnsi="宋体" w:cs="宋体"/>
          <w:color w:val="auto"/>
          <w:highlight w:val="none"/>
        </w:rPr>
        <w:t>报价明细表</w:t>
      </w:r>
      <w:bookmarkEnd w:id="235"/>
    </w:p>
    <w:tbl>
      <w:tblPr>
        <w:tblStyle w:val="33"/>
        <w:tblW w:w="7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2238"/>
        <w:gridCol w:w="992"/>
        <w:gridCol w:w="1237"/>
        <w:gridCol w:w="1031"/>
        <w:gridCol w:w="1007"/>
      </w:tblGrid>
      <w:tr w14:paraId="729D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1362" w:type="dxa"/>
            <w:noWrap w:val="0"/>
            <w:vAlign w:val="center"/>
          </w:tcPr>
          <w:p w14:paraId="25261AA1">
            <w:pPr>
              <w:adjustRightInd w:val="0"/>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238" w:type="dxa"/>
            <w:noWrap w:val="0"/>
            <w:vAlign w:val="center"/>
          </w:tcPr>
          <w:p w14:paraId="37B43C0E">
            <w:pPr>
              <w:adjustRightInd w:val="0"/>
              <w:snapToGrid w:val="0"/>
              <w:spacing w:line="440" w:lineRule="exact"/>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服务内容</w:t>
            </w:r>
          </w:p>
        </w:tc>
        <w:tc>
          <w:tcPr>
            <w:tcW w:w="992" w:type="dxa"/>
            <w:noWrap w:val="0"/>
            <w:vAlign w:val="center"/>
          </w:tcPr>
          <w:p w14:paraId="015DC933">
            <w:pPr>
              <w:adjustRightInd w:val="0"/>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237" w:type="dxa"/>
            <w:noWrap w:val="0"/>
            <w:vAlign w:val="center"/>
          </w:tcPr>
          <w:p w14:paraId="350C406A">
            <w:pPr>
              <w:adjustRightInd w:val="0"/>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w:t>
            </w:r>
          </w:p>
        </w:tc>
        <w:tc>
          <w:tcPr>
            <w:tcW w:w="1031" w:type="dxa"/>
            <w:noWrap w:val="0"/>
            <w:vAlign w:val="center"/>
          </w:tcPr>
          <w:p w14:paraId="279AE257">
            <w:pPr>
              <w:adjustRightInd w:val="0"/>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007" w:type="dxa"/>
            <w:noWrap w:val="0"/>
            <w:vAlign w:val="center"/>
          </w:tcPr>
          <w:p w14:paraId="6474C701">
            <w:pPr>
              <w:adjustRightInd w:val="0"/>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245F1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1362" w:type="dxa"/>
            <w:noWrap w:val="0"/>
            <w:vAlign w:val="center"/>
          </w:tcPr>
          <w:p w14:paraId="67082303">
            <w:pPr>
              <w:adjustRightInd w:val="0"/>
              <w:snapToGrid w:val="0"/>
              <w:spacing w:line="440" w:lineRule="exact"/>
              <w:jc w:val="center"/>
              <w:rPr>
                <w:rFonts w:hint="eastAsia" w:ascii="宋体" w:hAnsi="宋体" w:eastAsia="宋体" w:cs="宋体"/>
                <w:color w:val="auto"/>
                <w:sz w:val="24"/>
                <w:szCs w:val="24"/>
                <w:highlight w:val="none"/>
              </w:rPr>
            </w:pPr>
          </w:p>
        </w:tc>
        <w:tc>
          <w:tcPr>
            <w:tcW w:w="2238" w:type="dxa"/>
            <w:noWrap w:val="0"/>
            <w:vAlign w:val="center"/>
          </w:tcPr>
          <w:p w14:paraId="5B10FFFB">
            <w:pPr>
              <w:adjustRightInd w:val="0"/>
              <w:snapToGrid w:val="0"/>
              <w:spacing w:line="440" w:lineRule="exact"/>
              <w:jc w:val="center"/>
              <w:rPr>
                <w:rFonts w:hint="eastAsia" w:ascii="宋体" w:hAnsi="宋体" w:eastAsia="宋体" w:cs="宋体"/>
                <w:color w:val="auto"/>
                <w:sz w:val="24"/>
                <w:szCs w:val="24"/>
                <w:highlight w:val="none"/>
              </w:rPr>
            </w:pPr>
          </w:p>
        </w:tc>
        <w:tc>
          <w:tcPr>
            <w:tcW w:w="992" w:type="dxa"/>
            <w:noWrap w:val="0"/>
            <w:vAlign w:val="top"/>
          </w:tcPr>
          <w:p w14:paraId="500E9696">
            <w:pPr>
              <w:adjustRightInd w:val="0"/>
              <w:snapToGrid w:val="0"/>
              <w:spacing w:line="440" w:lineRule="exact"/>
              <w:jc w:val="center"/>
              <w:rPr>
                <w:rFonts w:hint="eastAsia" w:ascii="宋体" w:hAnsi="宋体" w:eastAsia="宋体" w:cs="宋体"/>
                <w:color w:val="auto"/>
                <w:sz w:val="24"/>
                <w:szCs w:val="24"/>
                <w:highlight w:val="none"/>
              </w:rPr>
            </w:pPr>
          </w:p>
        </w:tc>
        <w:tc>
          <w:tcPr>
            <w:tcW w:w="1237" w:type="dxa"/>
            <w:noWrap w:val="0"/>
            <w:vAlign w:val="center"/>
          </w:tcPr>
          <w:p w14:paraId="6F7CC1A8">
            <w:pPr>
              <w:adjustRightInd w:val="0"/>
              <w:snapToGrid w:val="0"/>
              <w:spacing w:line="440" w:lineRule="exact"/>
              <w:jc w:val="center"/>
              <w:rPr>
                <w:rFonts w:hint="eastAsia" w:ascii="宋体" w:hAnsi="宋体" w:eastAsia="宋体" w:cs="宋体"/>
                <w:color w:val="auto"/>
                <w:sz w:val="24"/>
                <w:szCs w:val="24"/>
                <w:highlight w:val="none"/>
              </w:rPr>
            </w:pPr>
          </w:p>
        </w:tc>
        <w:tc>
          <w:tcPr>
            <w:tcW w:w="1031" w:type="dxa"/>
            <w:noWrap w:val="0"/>
            <w:vAlign w:val="top"/>
          </w:tcPr>
          <w:p w14:paraId="2D470B60">
            <w:pPr>
              <w:adjustRightInd w:val="0"/>
              <w:snapToGrid w:val="0"/>
              <w:spacing w:line="440" w:lineRule="exact"/>
              <w:jc w:val="center"/>
              <w:rPr>
                <w:rFonts w:hint="eastAsia" w:ascii="宋体" w:hAnsi="宋体" w:eastAsia="宋体" w:cs="宋体"/>
                <w:color w:val="auto"/>
                <w:sz w:val="24"/>
                <w:szCs w:val="24"/>
                <w:highlight w:val="none"/>
              </w:rPr>
            </w:pPr>
          </w:p>
        </w:tc>
        <w:tc>
          <w:tcPr>
            <w:tcW w:w="1007" w:type="dxa"/>
            <w:noWrap w:val="0"/>
            <w:vAlign w:val="top"/>
          </w:tcPr>
          <w:p w14:paraId="6C93101C">
            <w:pPr>
              <w:adjustRightInd w:val="0"/>
              <w:snapToGrid w:val="0"/>
              <w:spacing w:line="440" w:lineRule="exact"/>
              <w:jc w:val="center"/>
              <w:rPr>
                <w:rFonts w:hint="eastAsia" w:ascii="宋体" w:hAnsi="宋体" w:eastAsia="宋体" w:cs="宋体"/>
                <w:color w:val="auto"/>
                <w:sz w:val="24"/>
                <w:szCs w:val="24"/>
                <w:highlight w:val="none"/>
              </w:rPr>
            </w:pPr>
          </w:p>
        </w:tc>
      </w:tr>
      <w:tr w14:paraId="054B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1362" w:type="dxa"/>
            <w:noWrap w:val="0"/>
            <w:vAlign w:val="center"/>
          </w:tcPr>
          <w:p w14:paraId="76E6756D">
            <w:pPr>
              <w:adjustRightInd w:val="0"/>
              <w:snapToGrid w:val="0"/>
              <w:spacing w:line="440" w:lineRule="exact"/>
              <w:jc w:val="center"/>
              <w:rPr>
                <w:rFonts w:hint="eastAsia" w:ascii="宋体" w:hAnsi="宋体" w:eastAsia="宋体" w:cs="宋体"/>
                <w:color w:val="auto"/>
                <w:sz w:val="24"/>
                <w:szCs w:val="24"/>
                <w:highlight w:val="none"/>
              </w:rPr>
            </w:pPr>
          </w:p>
        </w:tc>
        <w:tc>
          <w:tcPr>
            <w:tcW w:w="2238" w:type="dxa"/>
            <w:noWrap w:val="0"/>
            <w:vAlign w:val="center"/>
          </w:tcPr>
          <w:p w14:paraId="6D395405">
            <w:pPr>
              <w:adjustRightInd w:val="0"/>
              <w:snapToGrid w:val="0"/>
              <w:spacing w:line="440" w:lineRule="exact"/>
              <w:jc w:val="center"/>
              <w:rPr>
                <w:rFonts w:hint="eastAsia" w:ascii="宋体" w:hAnsi="宋体" w:eastAsia="宋体" w:cs="宋体"/>
                <w:color w:val="auto"/>
                <w:sz w:val="24"/>
                <w:szCs w:val="24"/>
                <w:highlight w:val="none"/>
              </w:rPr>
            </w:pPr>
          </w:p>
        </w:tc>
        <w:tc>
          <w:tcPr>
            <w:tcW w:w="992" w:type="dxa"/>
            <w:noWrap w:val="0"/>
            <w:vAlign w:val="top"/>
          </w:tcPr>
          <w:p w14:paraId="1F0B42E1">
            <w:pPr>
              <w:adjustRightInd w:val="0"/>
              <w:snapToGrid w:val="0"/>
              <w:spacing w:line="440" w:lineRule="exact"/>
              <w:jc w:val="center"/>
              <w:rPr>
                <w:rFonts w:hint="eastAsia" w:ascii="宋体" w:hAnsi="宋体" w:eastAsia="宋体" w:cs="宋体"/>
                <w:color w:val="auto"/>
                <w:sz w:val="24"/>
                <w:szCs w:val="24"/>
                <w:highlight w:val="none"/>
              </w:rPr>
            </w:pPr>
          </w:p>
        </w:tc>
        <w:tc>
          <w:tcPr>
            <w:tcW w:w="1237" w:type="dxa"/>
            <w:noWrap w:val="0"/>
            <w:vAlign w:val="center"/>
          </w:tcPr>
          <w:p w14:paraId="23257A9A">
            <w:pPr>
              <w:adjustRightInd w:val="0"/>
              <w:snapToGrid w:val="0"/>
              <w:spacing w:line="440" w:lineRule="exact"/>
              <w:jc w:val="center"/>
              <w:rPr>
                <w:rFonts w:hint="eastAsia" w:ascii="宋体" w:hAnsi="宋体" w:eastAsia="宋体" w:cs="宋体"/>
                <w:color w:val="auto"/>
                <w:sz w:val="24"/>
                <w:szCs w:val="24"/>
                <w:highlight w:val="none"/>
              </w:rPr>
            </w:pPr>
          </w:p>
        </w:tc>
        <w:tc>
          <w:tcPr>
            <w:tcW w:w="1031" w:type="dxa"/>
            <w:noWrap w:val="0"/>
            <w:vAlign w:val="top"/>
          </w:tcPr>
          <w:p w14:paraId="74FD21A5">
            <w:pPr>
              <w:adjustRightInd w:val="0"/>
              <w:snapToGrid w:val="0"/>
              <w:spacing w:line="440" w:lineRule="exact"/>
              <w:jc w:val="center"/>
              <w:rPr>
                <w:rFonts w:hint="eastAsia" w:ascii="宋体" w:hAnsi="宋体" w:eastAsia="宋体" w:cs="宋体"/>
                <w:color w:val="auto"/>
                <w:sz w:val="24"/>
                <w:szCs w:val="24"/>
                <w:highlight w:val="none"/>
              </w:rPr>
            </w:pPr>
          </w:p>
        </w:tc>
        <w:tc>
          <w:tcPr>
            <w:tcW w:w="1007" w:type="dxa"/>
            <w:noWrap w:val="0"/>
            <w:vAlign w:val="top"/>
          </w:tcPr>
          <w:p w14:paraId="44057B42">
            <w:pPr>
              <w:adjustRightInd w:val="0"/>
              <w:snapToGrid w:val="0"/>
              <w:spacing w:line="440" w:lineRule="exact"/>
              <w:jc w:val="center"/>
              <w:rPr>
                <w:rFonts w:hint="eastAsia" w:ascii="宋体" w:hAnsi="宋体" w:eastAsia="宋体" w:cs="宋体"/>
                <w:color w:val="auto"/>
                <w:sz w:val="24"/>
                <w:szCs w:val="24"/>
                <w:highlight w:val="none"/>
              </w:rPr>
            </w:pPr>
          </w:p>
        </w:tc>
      </w:tr>
      <w:tr w14:paraId="2AF6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1362" w:type="dxa"/>
            <w:noWrap w:val="0"/>
            <w:vAlign w:val="center"/>
          </w:tcPr>
          <w:p w14:paraId="12960A34">
            <w:pPr>
              <w:adjustRightInd w:val="0"/>
              <w:snapToGrid w:val="0"/>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2238" w:type="dxa"/>
            <w:noWrap w:val="0"/>
            <w:vAlign w:val="center"/>
          </w:tcPr>
          <w:p w14:paraId="74128EAA">
            <w:pPr>
              <w:adjustRightInd w:val="0"/>
              <w:snapToGrid w:val="0"/>
              <w:spacing w:line="440" w:lineRule="exact"/>
              <w:jc w:val="center"/>
              <w:rPr>
                <w:rFonts w:hint="eastAsia" w:ascii="宋体" w:hAnsi="宋体" w:eastAsia="宋体" w:cs="宋体"/>
                <w:color w:val="auto"/>
                <w:sz w:val="24"/>
                <w:szCs w:val="24"/>
                <w:highlight w:val="none"/>
              </w:rPr>
            </w:pPr>
          </w:p>
        </w:tc>
        <w:tc>
          <w:tcPr>
            <w:tcW w:w="992" w:type="dxa"/>
            <w:noWrap w:val="0"/>
            <w:vAlign w:val="top"/>
          </w:tcPr>
          <w:p w14:paraId="424068A9">
            <w:pPr>
              <w:adjustRightInd w:val="0"/>
              <w:snapToGrid w:val="0"/>
              <w:spacing w:line="440" w:lineRule="exact"/>
              <w:jc w:val="center"/>
              <w:rPr>
                <w:rFonts w:hint="eastAsia" w:ascii="宋体" w:hAnsi="宋体" w:eastAsia="宋体" w:cs="宋体"/>
                <w:color w:val="auto"/>
                <w:sz w:val="24"/>
                <w:szCs w:val="24"/>
                <w:highlight w:val="none"/>
              </w:rPr>
            </w:pPr>
          </w:p>
        </w:tc>
        <w:tc>
          <w:tcPr>
            <w:tcW w:w="1237" w:type="dxa"/>
            <w:noWrap w:val="0"/>
            <w:vAlign w:val="center"/>
          </w:tcPr>
          <w:p w14:paraId="34813D22">
            <w:pPr>
              <w:adjustRightInd w:val="0"/>
              <w:snapToGrid w:val="0"/>
              <w:spacing w:line="440" w:lineRule="exact"/>
              <w:jc w:val="center"/>
              <w:rPr>
                <w:rFonts w:hint="eastAsia" w:ascii="宋体" w:hAnsi="宋体" w:eastAsia="宋体" w:cs="宋体"/>
                <w:color w:val="auto"/>
                <w:sz w:val="24"/>
                <w:szCs w:val="24"/>
                <w:highlight w:val="none"/>
              </w:rPr>
            </w:pPr>
          </w:p>
        </w:tc>
        <w:tc>
          <w:tcPr>
            <w:tcW w:w="1031" w:type="dxa"/>
            <w:noWrap w:val="0"/>
            <w:vAlign w:val="top"/>
          </w:tcPr>
          <w:p w14:paraId="216CF57E">
            <w:pPr>
              <w:adjustRightInd w:val="0"/>
              <w:snapToGrid w:val="0"/>
              <w:spacing w:line="440" w:lineRule="exact"/>
              <w:jc w:val="center"/>
              <w:rPr>
                <w:rFonts w:hint="eastAsia" w:ascii="宋体" w:hAnsi="宋体" w:eastAsia="宋体" w:cs="宋体"/>
                <w:color w:val="auto"/>
                <w:sz w:val="24"/>
                <w:szCs w:val="24"/>
                <w:highlight w:val="none"/>
              </w:rPr>
            </w:pPr>
          </w:p>
        </w:tc>
        <w:tc>
          <w:tcPr>
            <w:tcW w:w="1007" w:type="dxa"/>
            <w:noWrap w:val="0"/>
            <w:vAlign w:val="top"/>
          </w:tcPr>
          <w:p w14:paraId="356E37B0">
            <w:pPr>
              <w:adjustRightInd w:val="0"/>
              <w:snapToGrid w:val="0"/>
              <w:spacing w:line="440" w:lineRule="exact"/>
              <w:jc w:val="center"/>
              <w:rPr>
                <w:rFonts w:hint="eastAsia" w:ascii="宋体" w:hAnsi="宋体" w:eastAsia="宋体" w:cs="宋体"/>
                <w:color w:val="auto"/>
                <w:sz w:val="24"/>
                <w:szCs w:val="24"/>
                <w:highlight w:val="none"/>
              </w:rPr>
            </w:pPr>
          </w:p>
        </w:tc>
      </w:tr>
      <w:tr w14:paraId="5E3E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3600" w:type="dxa"/>
            <w:gridSpan w:val="2"/>
            <w:noWrap w:val="0"/>
            <w:vAlign w:val="center"/>
          </w:tcPr>
          <w:p w14:paraId="5083FC87">
            <w:pPr>
              <w:adjustRightInd w:val="0"/>
              <w:snapToGrid w:val="0"/>
              <w:spacing w:line="440" w:lineRule="exact"/>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总计</w:t>
            </w:r>
          </w:p>
        </w:tc>
        <w:tc>
          <w:tcPr>
            <w:tcW w:w="4267" w:type="dxa"/>
            <w:gridSpan w:val="4"/>
            <w:noWrap w:val="0"/>
            <w:vAlign w:val="top"/>
          </w:tcPr>
          <w:p w14:paraId="7EBD0B10">
            <w:pPr>
              <w:adjustRightInd w:val="0"/>
              <w:snapToGrid w:val="0"/>
              <w:spacing w:line="440" w:lineRule="exact"/>
              <w:jc w:val="center"/>
              <w:rPr>
                <w:rFonts w:hint="eastAsia" w:ascii="宋体" w:hAnsi="宋体" w:eastAsia="宋体" w:cs="宋体"/>
                <w:color w:val="auto"/>
                <w:sz w:val="24"/>
                <w:szCs w:val="24"/>
                <w:highlight w:val="none"/>
              </w:rPr>
            </w:pPr>
          </w:p>
        </w:tc>
      </w:tr>
    </w:tbl>
    <w:p w14:paraId="322F1A62">
      <w:pPr>
        <w:adjustRightInd w:val="0"/>
        <w:snapToGrid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可根据实际情况自行添加</w:t>
      </w:r>
      <w:r>
        <w:rPr>
          <w:rFonts w:hint="eastAsia" w:ascii="宋体" w:hAnsi="宋体" w:cs="宋体"/>
          <w:color w:val="auto"/>
          <w:sz w:val="24"/>
          <w:szCs w:val="24"/>
          <w:highlight w:val="none"/>
          <w:lang w:eastAsia="zh-CN"/>
        </w:rPr>
        <w:t>删减</w:t>
      </w:r>
      <w:r>
        <w:rPr>
          <w:rFonts w:hint="eastAsia" w:ascii="宋体" w:hAnsi="宋体" w:eastAsia="宋体" w:cs="宋体"/>
          <w:color w:val="auto"/>
          <w:sz w:val="24"/>
          <w:szCs w:val="24"/>
          <w:highlight w:val="none"/>
        </w:rPr>
        <w:t>表格内容。</w:t>
      </w:r>
    </w:p>
    <w:p w14:paraId="69574D4C">
      <w:pPr>
        <w:adjustRightInd w:val="0"/>
        <w:snapToGrid w:val="0"/>
        <w:spacing w:line="440" w:lineRule="exact"/>
        <w:rPr>
          <w:rFonts w:hint="eastAsia" w:ascii="宋体" w:hAnsi="宋体" w:eastAsia="宋体" w:cs="宋体"/>
          <w:color w:val="auto"/>
          <w:sz w:val="24"/>
          <w:szCs w:val="24"/>
          <w:highlight w:val="none"/>
        </w:rPr>
      </w:pPr>
    </w:p>
    <w:p w14:paraId="57A6374D">
      <w:pPr>
        <w:adjustRightInd w:val="0"/>
        <w:snapToGrid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（盖章）</w:t>
      </w:r>
    </w:p>
    <w:p w14:paraId="5DB44942">
      <w:pPr>
        <w:adjustRightInd w:val="0"/>
        <w:snapToGrid w:val="0"/>
        <w:spacing w:line="440" w:lineRule="exac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cs="宋体"/>
          <w:color w:val="auto"/>
          <w:sz w:val="24"/>
          <w:szCs w:val="24"/>
          <w:highlight w:val="none"/>
          <w:lang w:eastAsia="zh-CN"/>
        </w:rPr>
        <w:t>签字或盖章或电子签章</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p>
    <w:p w14:paraId="7F4FE9C9">
      <w:pPr>
        <w:adjustRightInd w:val="0"/>
        <w:snapToGrid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318EF73F">
      <w:pPr>
        <w:pStyle w:val="17"/>
        <w:rPr>
          <w:rFonts w:hint="eastAsia" w:ascii="宋体" w:hAnsi="宋体" w:eastAsia="宋体" w:cs="宋体"/>
          <w:color w:val="auto"/>
          <w:sz w:val="24"/>
          <w:szCs w:val="24"/>
          <w:highlight w:val="none"/>
        </w:rPr>
      </w:pPr>
    </w:p>
    <w:p w14:paraId="51198043">
      <w:pPr>
        <w:pStyle w:val="17"/>
        <w:rPr>
          <w:rFonts w:hint="eastAsia" w:ascii="宋体" w:hAnsi="宋体" w:eastAsia="宋体" w:cs="宋体"/>
          <w:color w:val="auto"/>
          <w:sz w:val="24"/>
          <w:szCs w:val="24"/>
          <w:highlight w:val="none"/>
        </w:rPr>
      </w:pPr>
    </w:p>
    <w:p w14:paraId="208EAEBB">
      <w:pPr>
        <w:pStyle w:val="17"/>
        <w:rPr>
          <w:rFonts w:hint="eastAsia" w:ascii="宋体" w:hAnsi="宋体" w:eastAsia="宋体" w:cs="宋体"/>
          <w:color w:val="auto"/>
          <w:sz w:val="24"/>
          <w:szCs w:val="24"/>
          <w:highlight w:val="none"/>
        </w:rPr>
      </w:pPr>
    </w:p>
    <w:p w14:paraId="38815950">
      <w:pPr>
        <w:pStyle w:val="17"/>
        <w:rPr>
          <w:rFonts w:hint="eastAsia" w:ascii="宋体" w:hAnsi="宋体" w:eastAsia="宋体" w:cs="宋体"/>
          <w:color w:val="auto"/>
          <w:sz w:val="24"/>
          <w:szCs w:val="24"/>
          <w:highlight w:val="none"/>
        </w:rPr>
      </w:pPr>
    </w:p>
    <w:p w14:paraId="0FA66C80">
      <w:pPr>
        <w:pStyle w:val="17"/>
        <w:rPr>
          <w:rFonts w:hint="eastAsia" w:ascii="宋体" w:hAnsi="宋体" w:eastAsia="宋体" w:cs="宋体"/>
          <w:color w:val="auto"/>
          <w:sz w:val="24"/>
          <w:szCs w:val="24"/>
          <w:highlight w:val="none"/>
        </w:rPr>
      </w:pPr>
    </w:p>
    <w:p w14:paraId="36054FC5">
      <w:pPr>
        <w:pStyle w:val="17"/>
        <w:rPr>
          <w:rFonts w:hint="eastAsia" w:ascii="宋体" w:hAnsi="宋体" w:eastAsia="宋体" w:cs="宋体"/>
          <w:color w:val="auto"/>
          <w:sz w:val="24"/>
          <w:szCs w:val="24"/>
          <w:highlight w:val="none"/>
        </w:rPr>
      </w:pPr>
    </w:p>
    <w:p w14:paraId="36CA19AE">
      <w:pPr>
        <w:pStyle w:val="17"/>
        <w:rPr>
          <w:rFonts w:hint="eastAsia" w:ascii="宋体" w:hAnsi="宋体" w:eastAsia="宋体" w:cs="宋体"/>
          <w:color w:val="auto"/>
          <w:sz w:val="24"/>
          <w:szCs w:val="24"/>
          <w:highlight w:val="none"/>
        </w:rPr>
      </w:pPr>
    </w:p>
    <w:p w14:paraId="7C5C8B3D">
      <w:pPr>
        <w:pStyle w:val="17"/>
        <w:rPr>
          <w:rFonts w:hint="eastAsia" w:ascii="宋体" w:hAnsi="宋体" w:eastAsia="宋体" w:cs="宋体"/>
          <w:color w:val="auto"/>
          <w:sz w:val="24"/>
          <w:szCs w:val="24"/>
          <w:highlight w:val="none"/>
        </w:rPr>
      </w:pPr>
    </w:p>
    <w:p w14:paraId="51008D31">
      <w:pPr>
        <w:pStyle w:val="17"/>
        <w:rPr>
          <w:rFonts w:hint="eastAsia" w:ascii="宋体" w:hAnsi="宋体" w:eastAsia="宋体" w:cs="宋体"/>
          <w:color w:val="auto"/>
          <w:sz w:val="24"/>
          <w:szCs w:val="24"/>
          <w:highlight w:val="none"/>
        </w:rPr>
      </w:pPr>
    </w:p>
    <w:p w14:paraId="7E826FCE">
      <w:pPr>
        <w:pStyle w:val="17"/>
        <w:rPr>
          <w:rFonts w:hint="eastAsia" w:ascii="宋体" w:hAnsi="宋体" w:eastAsia="宋体" w:cs="宋体"/>
          <w:color w:val="auto"/>
          <w:sz w:val="24"/>
          <w:szCs w:val="24"/>
          <w:highlight w:val="none"/>
        </w:rPr>
      </w:pPr>
    </w:p>
    <w:p w14:paraId="27D555AA">
      <w:pPr>
        <w:pStyle w:val="17"/>
        <w:rPr>
          <w:rFonts w:hint="eastAsia" w:ascii="宋体" w:hAnsi="宋体" w:eastAsia="宋体" w:cs="宋体"/>
          <w:color w:val="auto"/>
          <w:sz w:val="24"/>
          <w:szCs w:val="24"/>
          <w:highlight w:val="none"/>
        </w:rPr>
      </w:pPr>
    </w:p>
    <w:p w14:paraId="4C3058EB">
      <w:pPr>
        <w:pStyle w:val="17"/>
        <w:rPr>
          <w:rFonts w:hint="eastAsia" w:ascii="宋体" w:hAnsi="宋体" w:eastAsia="宋体" w:cs="宋体"/>
          <w:color w:val="auto"/>
          <w:sz w:val="24"/>
          <w:szCs w:val="24"/>
          <w:highlight w:val="none"/>
        </w:rPr>
      </w:pPr>
    </w:p>
    <w:p w14:paraId="3E566EF6">
      <w:pPr>
        <w:pStyle w:val="17"/>
        <w:rPr>
          <w:rFonts w:hint="eastAsia" w:ascii="宋体" w:hAnsi="宋体" w:eastAsia="宋体" w:cs="宋体"/>
          <w:color w:val="auto"/>
          <w:sz w:val="24"/>
          <w:szCs w:val="24"/>
          <w:highlight w:val="none"/>
        </w:rPr>
      </w:pPr>
    </w:p>
    <w:p w14:paraId="2C56A53F">
      <w:pPr>
        <w:rPr>
          <w:rFonts w:hint="eastAsia"/>
          <w:color w:val="auto"/>
          <w:highlight w:val="none"/>
        </w:rPr>
      </w:pPr>
    </w:p>
    <w:p w14:paraId="7226B6CC">
      <w:pPr>
        <w:pStyle w:val="6"/>
        <w:spacing w:line="360" w:lineRule="auto"/>
        <w:jc w:val="center"/>
        <w:rPr>
          <w:rFonts w:hint="eastAsia" w:ascii="宋体" w:hAnsi="宋体" w:cs="宋体"/>
          <w:color w:val="auto"/>
          <w:highlight w:val="none"/>
        </w:rPr>
      </w:pPr>
      <w:bookmarkStart w:id="239" w:name="_Toc25737"/>
      <w:r>
        <w:rPr>
          <w:rFonts w:hint="eastAsia" w:ascii="宋体" w:hAnsi="宋体" w:cs="宋体"/>
          <w:color w:val="auto"/>
          <w:highlight w:val="none"/>
          <w:lang w:val="en-US" w:eastAsia="zh-CN"/>
        </w:rPr>
        <w:t>五、</w:t>
      </w:r>
      <w:r>
        <w:rPr>
          <w:rFonts w:hint="eastAsia" w:ascii="宋体" w:hAnsi="宋体" w:cs="宋体"/>
          <w:color w:val="auto"/>
          <w:highlight w:val="none"/>
        </w:rPr>
        <w:t>投标</w:t>
      </w:r>
      <w:bookmarkEnd w:id="236"/>
      <w:bookmarkEnd w:id="237"/>
      <w:bookmarkEnd w:id="238"/>
      <w:r>
        <w:rPr>
          <w:rFonts w:hint="eastAsia" w:ascii="宋体" w:hAnsi="宋体" w:cs="宋体"/>
          <w:color w:val="auto"/>
          <w:highlight w:val="none"/>
          <w:lang w:val="en-US" w:eastAsia="zh-CN"/>
        </w:rPr>
        <w:t>承诺函</w:t>
      </w:r>
      <w:bookmarkEnd w:id="239"/>
    </w:p>
    <w:p w14:paraId="4ACC0784">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0"/>
          <w:sz w:val="21"/>
          <w:szCs w:val="21"/>
          <w:highlight w:val="none"/>
          <w:shd w:val="clear" w:fill="FFFFFF"/>
        </w:rPr>
        <w:t>致（采购人及采购代理机构）</w:t>
      </w:r>
      <w:r>
        <w:rPr>
          <w:rFonts w:hint="eastAsia" w:ascii="宋体" w:hAnsi="宋体" w:eastAsia="宋体" w:cs="宋体"/>
          <w:b w:val="0"/>
          <w:i w:val="0"/>
          <w:caps w:val="0"/>
          <w:color w:val="auto"/>
          <w:spacing w:val="7"/>
          <w:sz w:val="21"/>
          <w:szCs w:val="21"/>
          <w:highlight w:val="none"/>
          <w:shd w:val="clear" w:fill="FFFFFF"/>
        </w:rPr>
        <w:t>：</w:t>
      </w:r>
    </w:p>
    <w:p w14:paraId="6AF018C9">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我公司作为本次采购项目的投标人，根据招标文件要求，现郑重承诺如下：</w:t>
      </w:r>
    </w:p>
    <w:p w14:paraId="0CE5D14B">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一、具备《中华人民共和国政府采购法》第二十二条第一款和本项目规定的条件：</w:t>
      </w:r>
    </w:p>
    <w:p w14:paraId="54ADB2F8">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（一）具有独立承担民事责任的能力； 　　</w:t>
      </w:r>
    </w:p>
    <w:p w14:paraId="5618D7E0">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（二）具有良好的商业信誉和健全的财务会计制度； 　</w:t>
      </w:r>
    </w:p>
    <w:p w14:paraId="23766F39">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（三）具有履行合同所必需的设备和专业技术能力； 　　</w:t>
      </w:r>
    </w:p>
    <w:p w14:paraId="11BFB51E">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（四）有依法缴纳税收和社会保障资金的良好记录； 　　</w:t>
      </w:r>
    </w:p>
    <w:p w14:paraId="5BD000C4">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（五）参加政府采购活动前三年内，在经营活动中没有重大违法记录；</w:t>
      </w:r>
    </w:p>
    <w:p w14:paraId="779DD64C">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（六）法律、行政法规规定的其他条件；</w:t>
      </w:r>
    </w:p>
    <w:p w14:paraId="15AF6A36">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（七）根据采购项目提出的特殊条件。</w:t>
      </w:r>
    </w:p>
    <w:p w14:paraId="75EF6EAD">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二、完全接受和满足本项目招标文件中规定的实质性要求，如对招标文件有异议，已经在投标截止时间届满前依法进行维权救济，不存在对招标文件有异议的同时又参加投标以求侥幸中标或者为实现其他非法目的的行为。</w:t>
      </w:r>
    </w:p>
    <w:p w14:paraId="310A24E7">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三、参加本次招标采购活动，不存在与单位负责人为同一人或者存在直接控股、管理关系的其他供应商参与同一合同项下的政府采购活动的行为。    </w:t>
      </w:r>
    </w:p>
    <w:p w14:paraId="755AB8A8">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四、参加本次招标采购活动，不存在为采购项目提供整体设计、规范编制或者项目管理、监理、检测等服务的行为。</w:t>
      </w:r>
    </w:p>
    <w:p w14:paraId="7154D26C">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五、参加本次招标采购活动，不存在和其他供应商在同一合同项下的采购项目中，同时委托同一个自然人、同一家庭的人员、同一单位的人员作为代理人的行为。</w:t>
      </w:r>
    </w:p>
    <w:p w14:paraId="7BA77176">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六、投标人参加本次政府采购活动要求在近三年内投标人和其法定代表人没有行贿犯罪行为。</w:t>
      </w:r>
    </w:p>
    <w:p w14:paraId="079151C5">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七、参加本次招标采购活动，不存在联合体投标。</w:t>
      </w:r>
    </w:p>
    <w:p w14:paraId="22B43EE7">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八、投标文件中提供的能够给予我公司带来优惠、好处的任何材料资料和技术、服务、商务等响应承诺情况都是真实的、有效的、合法的。</w:t>
      </w:r>
    </w:p>
    <w:p w14:paraId="527174C8">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    九、如本项目评标过程中需要提供样品，则我公司提供的样品即为中标后将要提供的中标产品，我公司对提供样品的性能和质量负责，因样品存在缺陷或者不符合招标文件要求导致未能中标的，我公司愿意承担相应不利后果。（如提供样品）    </w:t>
      </w:r>
    </w:p>
    <w:p w14:paraId="1D3D9ADE">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    十、存在以下行为之一的愿意接受相关部门的处理：</w:t>
      </w:r>
    </w:p>
    <w:p w14:paraId="48039DF3">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   （一）投标有效期内撤销投标文件的；</w:t>
      </w:r>
    </w:p>
    <w:p w14:paraId="1F8BF999">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   （二）在采购人确定中标人以前放弃中标候选资格的；</w:t>
      </w:r>
    </w:p>
    <w:p w14:paraId="5940847A">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   （三）由于中标人的原因未能按照招标文件的规定与采购人签订合同；</w:t>
      </w:r>
    </w:p>
    <w:p w14:paraId="3A44E642">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   （四）由于中标人的原因未能按照招标文件的规定交纳履约保证金；</w:t>
      </w:r>
    </w:p>
    <w:p w14:paraId="015D99FE">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   （五）在投标文件中提供虚假材料谋取中标；</w:t>
      </w:r>
    </w:p>
    <w:p w14:paraId="2E511B72">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   （六）与采购人、其他供应商或者采购代理机构恶意串通的；</w:t>
      </w:r>
    </w:p>
    <w:p w14:paraId="37E71D79">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   （七）投标有效期内，投标人在政府采购活动中有违法、违规、违纪行为。</w:t>
      </w:r>
    </w:p>
    <w:p w14:paraId="3F93847D">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 由此产生的一切法律后果和责任由我公司承担。我公司声明放弃对此提出任何异议和追索的权利。</w:t>
      </w:r>
    </w:p>
    <w:p w14:paraId="63790A56">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690"/>
        <w:jc w:val="both"/>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本公司对上述承诺的内容事项真实性负责。如经查实上述承诺的内容事项存在虚假，我公司愿意接受以提供虚假材料谋取中标追究法律责任。</w:t>
      </w:r>
    </w:p>
    <w:p w14:paraId="45AF4560">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       </w:t>
      </w:r>
    </w:p>
    <w:p w14:paraId="2F9F66FB">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65"/>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投标人名称：</w:t>
      </w:r>
      <w:r>
        <w:rPr>
          <w:rFonts w:hint="eastAsia" w:ascii="宋体" w:hAnsi="宋体" w:eastAsia="宋体" w:cs="宋体"/>
          <w:b w:val="0"/>
          <w:i w:val="0"/>
          <w:caps w:val="0"/>
          <w:color w:val="auto"/>
          <w:spacing w:val="7"/>
          <w:sz w:val="21"/>
          <w:szCs w:val="21"/>
          <w:highlight w:val="none"/>
          <w:u w:val="single"/>
          <w:shd w:val="clear" w:fill="FFFFFF"/>
        </w:rPr>
        <w:t>                  </w:t>
      </w:r>
      <w:r>
        <w:rPr>
          <w:rFonts w:hint="eastAsia" w:ascii="宋体" w:hAnsi="宋体" w:eastAsia="宋体" w:cs="宋体"/>
          <w:b w:val="0"/>
          <w:i w:val="0"/>
          <w:caps w:val="0"/>
          <w:color w:val="auto"/>
          <w:spacing w:val="7"/>
          <w:sz w:val="21"/>
          <w:szCs w:val="21"/>
          <w:highlight w:val="none"/>
          <w:shd w:val="clear" w:fill="FFFFFF"/>
        </w:rPr>
        <w:t>（盖章</w:t>
      </w:r>
      <w:r>
        <w:rPr>
          <w:rFonts w:hint="eastAsia" w:cs="宋体"/>
          <w:b w:val="0"/>
          <w:i w:val="0"/>
          <w:caps w:val="0"/>
          <w:color w:val="auto"/>
          <w:spacing w:val="7"/>
          <w:sz w:val="21"/>
          <w:szCs w:val="21"/>
          <w:highlight w:val="none"/>
          <w:shd w:val="clear" w:fill="FFFFFF"/>
          <w:lang w:eastAsia="zh-CN"/>
        </w:rPr>
        <w:t>或电子签章</w:t>
      </w:r>
      <w:r>
        <w:rPr>
          <w:rFonts w:hint="eastAsia" w:ascii="宋体" w:hAnsi="宋体" w:eastAsia="宋体" w:cs="宋体"/>
          <w:b w:val="0"/>
          <w:i w:val="0"/>
          <w:caps w:val="0"/>
          <w:color w:val="auto"/>
          <w:spacing w:val="7"/>
          <w:sz w:val="21"/>
          <w:szCs w:val="21"/>
          <w:highlight w:val="none"/>
          <w:shd w:val="clear" w:fill="FFFFFF"/>
        </w:rPr>
        <w:t>）</w:t>
      </w:r>
    </w:p>
    <w:p w14:paraId="37CC23C4">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65"/>
        <w:jc w:val="left"/>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法定代表人或授权代表：</w:t>
      </w:r>
      <w:r>
        <w:rPr>
          <w:rFonts w:hint="eastAsia" w:ascii="宋体" w:hAnsi="宋体" w:eastAsia="宋体" w:cs="宋体"/>
          <w:b w:val="0"/>
          <w:i w:val="0"/>
          <w:caps w:val="0"/>
          <w:color w:val="auto"/>
          <w:spacing w:val="7"/>
          <w:sz w:val="21"/>
          <w:szCs w:val="21"/>
          <w:highlight w:val="none"/>
          <w:u w:val="single"/>
          <w:shd w:val="clear" w:fill="FFFFFF"/>
        </w:rPr>
        <w:t>                </w:t>
      </w:r>
      <w:r>
        <w:rPr>
          <w:rFonts w:hint="eastAsia" w:ascii="宋体" w:hAnsi="宋体" w:eastAsia="宋体" w:cs="宋体"/>
          <w:b w:val="0"/>
          <w:i w:val="0"/>
          <w:caps w:val="0"/>
          <w:color w:val="auto"/>
          <w:spacing w:val="7"/>
          <w:sz w:val="21"/>
          <w:szCs w:val="21"/>
          <w:highlight w:val="none"/>
          <w:shd w:val="clear" w:fill="FFFFFF"/>
        </w:rPr>
        <w:t>（</w:t>
      </w:r>
      <w:r>
        <w:rPr>
          <w:rFonts w:hint="eastAsia" w:cs="宋体"/>
          <w:b w:val="0"/>
          <w:i w:val="0"/>
          <w:caps w:val="0"/>
          <w:color w:val="auto"/>
          <w:spacing w:val="7"/>
          <w:sz w:val="21"/>
          <w:szCs w:val="21"/>
          <w:highlight w:val="none"/>
          <w:shd w:val="clear" w:fill="FFFFFF"/>
          <w:lang w:eastAsia="zh-CN"/>
        </w:rPr>
        <w:t>签字或盖章或电子签章</w:t>
      </w:r>
      <w:r>
        <w:rPr>
          <w:rFonts w:hint="eastAsia" w:ascii="宋体" w:hAnsi="宋体" w:eastAsia="宋体" w:cs="宋体"/>
          <w:b w:val="0"/>
          <w:i w:val="0"/>
          <w:caps w:val="0"/>
          <w:color w:val="auto"/>
          <w:spacing w:val="7"/>
          <w:sz w:val="21"/>
          <w:szCs w:val="21"/>
          <w:highlight w:val="none"/>
          <w:shd w:val="clear" w:fill="FFFFFF"/>
        </w:rPr>
        <w:t>）</w:t>
      </w:r>
    </w:p>
    <w:p w14:paraId="7D51EB49">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both"/>
        <w:rPr>
          <w:rFonts w:hint="eastAsia" w:ascii="Microsoft YaHei UI" w:hAnsi="Microsoft YaHei UI" w:eastAsia="Microsoft YaHei UI" w:cs="Microsoft YaHei UI"/>
          <w:b w:val="0"/>
          <w:i w:val="0"/>
          <w:caps w:val="0"/>
          <w:color w:val="auto"/>
          <w:spacing w:val="7"/>
          <w:sz w:val="21"/>
          <w:szCs w:val="21"/>
          <w:highlight w:val="none"/>
        </w:rPr>
      </w:pPr>
      <w:r>
        <w:rPr>
          <w:rFonts w:hint="eastAsia" w:ascii="宋体" w:hAnsi="宋体" w:eastAsia="宋体" w:cs="宋体"/>
          <w:b w:val="0"/>
          <w:i w:val="0"/>
          <w:caps w:val="0"/>
          <w:color w:val="auto"/>
          <w:spacing w:val="7"/>
          <w:sz w:val="21"/>
          <w:szCs w:val="21"/>
          <w:highlight w:val="none"/>
          <w:shd w:val="clear" w:fill="FFFFFF"/>
        </w:rPr>
        <w:t>日期：</w:t>
      </w:r>
      <w:r>
        <w:rPr>
          <w:rFonts w:hint="eastAsia" w:ascii="宋体" w:hAnsi="宋体" w:eastAsia="宋体" w:cs="宋体"/>
          <w:b w:val="0"/>
          <w:i w:val="0"/>
          <w:caps w:val="0"/>
          <w:color w:val="auto"/>
          <w:spacing w:val="7"/>
          <w:sz w:val="21"/>
          <w:szCs w:val="21"/>
          <w:highlight w:val="none"/>
          <w:u w:val="single"/>
          <w:shd w:val="clear" w:fill="FFFFFF"/>
        </w:rPr>
        <w:t>              </w:t>
      </w:r>
    </w:p>
    <w:p w14:paraId="312E2EEC">
      <w:pPr>
        <w:numPr>
          <w:ilvl w:val="0"/>
          <w:numId w:val="0"/>
        </w:numPr>
        <w:rPr>
          <w:color w:val="auto"/>
          <w:highlight w:val="none"/>
        </w:rPr>
      </w:pPr>
    </w:p>
    <w:p w14:paraId="7CCA8FAE">
      <w:pPr>
        <w:spacing w:line="360" w:lineRule="auto"/>
        <w:rPr>
          <w:rFonts w:ascii="宋体" w:hAnsi="宋体" w:cs="宋体"/>
          <w:color w:val="auto"/>
          <w:sz w:val="19"/>
          <w:szCs w:val="19"/>
          <w:highlight w:val="none"/>
        </w:rPr>
      </w:pPr>
    </w:p>
    <w:p w14:paraId="2D2D2ACD">
      <w:pPr>
        <w:spacing w:line="360" w:lineRule="auto"/>
        <w:rPr>
          <w:rFonts w:ascii="宋体" w:hAnsi="宋体" w:cs="宋体"/>
          <w:color w:val="auto"/>
          <w:sz w:val="19"/>
          <w:szCs w:val="19"/>
          <w:highlight w:val="none"/>
        </w:rPr>
      </w:pPr>
    </w:p>
    <w:p w14:paraId="11FFEFEA">
      <w:pPr>
        <w:spacing w:line="360" w:lineRule="auto"/>
        <w:rPr>
          <w:rFonts w:ascii="宋体" w:hAnsi="宋体" w:cs="宋体"/>
          <w:color w:val="auto"/>
          <w:sz w:val="19"/>
          <w:szCs w:val="19"/>
          <w:highlight w:val="none"/>
        </w:rPr>
      </w:pPr>
    </w:p>
    <w:p w14:paraId="569FD066">
      <w:pPr>
        <w:spacing w:line="360" w:lineRule="auto"/>
        <w:rPr>
          <w:rFonts w:ascii="宋体" w:hAnsi="宋体" w:cs="宋体"/>
          <w:color w:val="auto"/>
          <w:sz w:val="19"/>
          <w:szCs w:val="19"/>
          <w:highlight w:val="none"/>
        </w:rPr>
      </w:pPr>
    </w:p>
    <w:p w14:paraId="617A3834">
      <w:pPr>
        <w:spacing w:line="360" w:lineRule="auto"/>
        <w:ind w:firstLine="380" w:firstLineChars="200"/>
        <w:rPr>
          <w:rFonts w:ascii="宋体" w:hAnsi="宋体" w:cs="宋体"/>
          <w:color w:val="auto"/>
          <w:sz w:val="19"/>
          <w:szCs w:val="19"/>
          <w:highlight w:val="none"/>
          <w:u w:val="single"/>
        </w:rPr>
      </w:pPr>
    </w:p>
    <w:p w14:paraId="2D5C0FEC">
      <w:pPr>
        <w:spacing w:line="360" w:lineRule="auto"/>
        <w:ind w:firstLine="480" w:firstLineChars="200"/>
        <w:rPr>
          <w:rFonts w:ascii="宋体" w:hAnsi="宋体" w:cs="宋体"/>
          <w:color w:val="auto"/>
          <w:sz w:val="24"/>
          <w:highlight w:val="none"/>
        </w:rPr>
      </w:pPr>
    </w:p>
    <w:p w14:paraId="311B9366">
      <w:pPr>
        <w:spacing w:line="360" w:lineRule="auto"/>
        <w:rPr>
          <w:rFonts w:ascii="宋体" w:hAnsi="宋体" w:cs="宋体"/>
          <w:color w:val="auto"/>
          <w:sz w:val="19"/>
          <w:szCs w:val="19"/>
          <w:highlight w:val="none"/>
        </w:rPr>
      </w:pPr>
    </w:p>
    <w:p w14:paraId="4B6D13B4">
      <w:pPr>
        <w:tabs>
          <w:tab w:val="left" w:pos="4410"/>
        </w:tabs>
        <w:spacing w:line="360" w:lineRule="auto"/>
        <w:rPr>
          <w:rFonts w:ascii="宋体" w:hAnsi="宋体" w:cs="宋体"/>
          <w:color w:val="auto"/>
          <w:sz w:val="19"/>
          <w:szCs w:val="19"/>
          <w:highlight w:val="none"/>
        </w:rPr>
      </w:pPr>
    </w:p>
    <w:p w14:paraId="0C937FEA">
      <w:pPr>
        <w:spacing w:line="360" w:lineRule="auto"/>
        <w:rPr>
          <w:rFonts w:ascii="宋体" w:hAnsi="宋体" w:cs="宋体"/>
          <w:color w:val="auto"/>
          <w:sz w:val="19"/>
          <w:szCs w:val="19"/>
          <w:highlight w:val="none"/>
        </w:rPr>
      </w:pPr>
    </w:p>
    <w:p w14:paraId="188C4B4C">
      <w:pPr>
        <w:spacing w:line="360" w:lineRule="auto"/>
        <w:rPr>
          <w:rFonts w:ascii="宋体" w:hAnsi="宋体" w:cs="宋体"/>
          <w:color w:val="auto"/>
          <w:sz w:val="19"/>
          <w:szCs w:val="19"/>
          <w:highlight w:val="none"/>
        </w:rPr>
      </w:pPr>
    </w:p>
    <w:p w14:paraId="26AEA85F">
      <w:pPr>
        <w:spacing w:line="360" w:lineRule="auto"/>
        <w:rPr>
          <w:rFonts w:ascii="宋体" w:hAnsi="宋体" w:cs="宋体"/>
          <w:color w:val="auto"/>
          <w:sz w:val="19"/>
          <w:szCs w:val="19"/>
          <w:highlight w:val="none"/>
        </w:rPr>
      </w:pPr>
    </w:p>
    <w:p w14:paraId="1C73FFEF">
      <w:pPr>
        <w:spacing w:line="360" w:lineRule="auto"/>
        <w:rPr>
          <w:rFonts w:ascii="宋体" w:hAnsi="宋体" w:cs="宋体"/>
          <w:color w:val="auto"/>
          <w:sz w:val="19"/>
          <w:szCs w:val="19"/>
          <w:highlight w:val="none"/>
        </w:rPr>
      </w:pPr>
    </w:p>
    <w:p w14:paraId="28361ECE">
      <w:pPr>
        <w:spacing w:line="360" w:lineRule="auto"/>
        <w:rPr>
          <w:rFonts w:ascii="宋体" w:hAnsi="宋体" w:cs="宋体"/>
          <w:color w:val="auto"/>
          <w:sz w:val="19"/>
          <w:szCs w:val="19"/>
          <w:highlight w:val="none"/>
        </w:rPr>
      </w:pPr>
    </w:p>
    <w:p w14:paraId="171A737F">
      <w:pPr>
        <w:spacing w:line="360" w:lineRule="auto"/>
        <w:rPr>
          <w:rFonts w:ascii="宋体" w:hAnsi="宋体" w:cs="宋体"/>
          <w:color w:val="auto"/>
          <w:sz w:val="19"/>
          <w:szCs w:val="19"/>
          <w:highlight w:val="none"/>
        </w:rPr>
      </w:pPr>
    </w:p>
    <w:p w14:paraId="027459D5">
      <w:pPr>
        <w:spacing w:line="360" w:lineRule="auto"/>
        <w:rPr>
          <w:rFonts w:ascii="宋体" w:hAnsi="宋体" w:cs="宋体"/>
          <w:color w:val="auto"/>
          <w:sz w:val="19"/>
          <w:szCs w:val="19"/>
          <w:highlight w:val="none"/>
        </w:rPr>
      </w:pPr>
    </w:p>
    <w:p w14:paraId="5B2A01D1">
      <w:pPr>
        <w:pStyle w:val="6"/>
        <w:spacing w:line="360" w:lineRule="auto"/>
        <w:jc w:val="center"/>
        <w:rPr>
          <w:rFonts w:hint="eastAsia" w:ascii="宋体" w:hAnsi="宋体" w:cs="宋体"/>
          <w:color w:val="auto"/>
          <w:highlight w:val="none"/>
        </w:rPr>
      </w:pPr>
      <w:bookmarkStart w:id="240" w:name="_Toc30942"/>
      <w:r>
        <w:rPr>
          <w:rFonts w:hint="eastAsia" w:ascii="宋体" w:hAnsi="宋体" w:cs="宋体"/>
          <w:color w:val="auto"/>
          <w:highlight w:val="none"/>
          <w:lang w:val="en-US" w:eastAsia="zh-CN"/>
        </w:rPr>
        <w:t>六</w:t>
      </w:r>
      <w:r>
        <w:rPr>
          <w:rFonts w:hint="eastAsia" w:ascii="宋体" w:hAnsi="宋体" w:cs="宋体"/>
          <w:color w:val="auto"/>
          <w:highlight w:val="none"/>
          <w:lang w:eastAsia="zh-CN"/>
        </w:rPr>
        <w:t>、</w:t>
      </w:r>
      <w:r>
        <w:rPr>
          <w:rFonts w:hint="eastAsia" w:ascii="宋体" w:hAnsi="宋体" w:cs="宋体"/>
          <w:color w:val="auto"/>
          <w:highlight w:val="none"/>
        </w:rPr>
        <w:t>招标代理服务费承诺函</w:t>
      </w:r>
      <w:bookmarkEnd w:id="240"/>
    </w:p>
    <w:p w14:paraId="6D0ED3D4">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b w:val="0"/>
          <w:i w:val="0"/>
          <w:caps w:val="0"/>
          <w:color w:val="auto"/>
          <w:spacing w:val="8"/>
          <w:sz w:val="25"/>
          <w:szCs w:val="25"/>
          <w:highlight w:val="none"/>
        </w:rPr>
      </w:pPr>
      <w:r>
        <w:rPr>
          <w:rFonts w:hint="eastAsia" w:ascii="宋体" w:hAnsi="宋体" w:eastAsia="宋体" w:cs="宋体"/>
          <w:b w:val="0"/>
          <w:i w:val="0"/>
          <w:caps w:val="0"/>
          <w:color w:val="auto"/>
          <w:spacing w:val="8"/>
          <w:sz w:val="24"/>
          <w:szCs w:val="24"/>
          <w:highlight w:val="none"/>
          <w:shd w:val="clear" w:fill="FFFFFF"/>
        </w:rPr>
        <w:t> </w:t>
      </w:r>
    </w:p>
    <w:p w14:paraId="7E3159C7">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微软雅黑" w:hAnsi="微软雅黑" w:eastAsia="微软雅黑" w:cs="微软雅黑"/>
          <w:b w:val="0"/>
          <w:i w:val="0"/>
          <w:caps w:val="0"/>
          <w:color w:val="auto"/>
          <w:spacing w:val="8"/>
          <w:sz w:val="21"/>
          <w:szCs w:val="21"/>
          <w:highlight w:val="none"/>
        </w:rPr>
      </w:pPr>
      <w:r>
        <w:rPr>
          <w:rFonts w:hint="eastAsia" w:ascii="宋体" w:hAnsi="宋体" w:eastAsia="宋体" w:cs="宋体"/>
          <w:b w:val="0"/>
          <w:i w:val="0"/>
          <w:caps w:val="0"/>
          <w:color w:val="auto"/>
          <w:spacing w:val="8"/>
          <w:sz w:val="21"/>
          <w:szCs w:val="21"/>
          <w:highlight w:val="none"/>
          <w:shd w:val="clear" w:fill="FFFFFF"/>
        </w:rPr>
        <w:t>致（采购人及采购代理机构） ：</w:t>
      </w:r>
    </w:p>
    <w:p w14:paraId="07BE7CEA">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both"/>
        <w:rPr>
          <w:rFonts w:hint="eastAsia" w:ascii="微软雅黑" w:hAnsi="微软雅黑" w:eastAsia="微软雅黑" w:cs="微软雅黑"/>
          <w:b w:val="0"/>
          <w:i w:val="0"/>
          <w:caps w:val="0"/>
          <w:color w:val="auto"/>
          <w:spacing w:val="8"/>
          <w:sz w:val="21"/>
          <w:szCs w:val="21"/>
          <w:highlight w:val="none"/>
        </w:rPr>
      </w:pPr>
      <w:r>
        <w:rPr>
          <w:rFonts w:hint="eastAsia" w:ascii="宋体" w:hAnsi="宋体" w:eastAsia="宋体" w:cs="宋体"/>
          <w:b w:val="0"/>
          <w:i w:val="0"/>
          <w:caps w:val="0"/>
          <w:color w:val="auto"/>
          <w:spacing w:val="8"/>
          <w:sz w:val="21"/>
          <w:szCs w:val="21"/>
          <w:highlight w:val="none"/>
          <w:shd w:val="clear" w:fill="FFFFFF"/>
        </w:rPr>
        <w:t>我们在贵公司组织的（项目名称：</w:t>
      </w:r>
      <w:r>
        <w:rPr>
          <w:rFonts w:hint="eastAsia" w:ascii="宋体" w:hAnsi="宋体" w:eastAsia="宋体" w:cs="宋体"/>
          <w:b w:val="0"/>
          <w:i w:val="0"/>
          <w:caps w:val="0"/>
          <w:color w:val="auto"/>
          <w:spacing w:val="8"/>
          <w:sz w:val="21"/>
          <w:szCs w:val="21"/>
          <w:highlight w:val="none"/>
          <w:u w:val="single"/>
          <w:shd w:val="clear" w:fill="FFFFFF"/>
          <w:lang w:val="en-US" w:eastAsia="zh-CN"/>
        </w:rPr>
        <w:t xml:space="preserve">     </w:t>
      </w:r>
      <w:r>
        <w:rPr>
          <w:rFonts w:hint="eastAsia" w:ascii="宋体" w:hAnsi="宋体" w:eastAsia="宋体" w:cs="宋体"/>
          <w:b w:val="0"/>
          <w:i w:val="0"/>
          <w:caps w:val="0"/>
          <w:color w:val="auto"/>
          <w:spacing w:val="8"/>
          <w:sz w:val="21"/>
          <w:szCs w:val="21"/>
          <w:highlight w:val="none"/>
          <w:shd w:val="clear" w:fill="FFFFFF"/>
        </w:rPr>
        <w:t>，</w:t>
      </w:r>
      <w:r>
        <w:rPr>
          <w:rFonts w:hint="eastAsia" w:cs="宋体"/>
          <w:b w:val="0"/>
          <w:i w:val="0"/>
          <w:caps w:val="0"/>
          <w:color w:val="auto"/>
          <w:spacing w:val="8"/>
          <w:sz w:val="21"/>
          <w:szCs w:val="21"/>
          <w:highlight w:val="none"/>
          <w:shd w:val="clear" w:fill="FFFFFF"/>
          <w:lang w:eastAsia="zh-CN"/>
        </w:rPr>
        <w:t>项目</w:t>
      </w:r>
      <w:r>
        <w:rPr>
          <w:rFonts w:hint="eastAsia" w:ascii="宋体" w:hAnsi="宋体" w:eastAsia="宋体" w:cs="宋体"/>
          <w:b w:val="0"/>
          <w:i w:val="0"/>
          <w:caps w:val="0"/>
          <w:color w:val="auto"/>
          <w:spacing w:val="8"/>
          <w:sz w:val="21"/>
          <w:szCs w:val="21"/>
          <w:highlight w:val="none"/>
          <w:shd w:val="clear" w:fill="FFFFFF"/>
        </w:rPr>
        <w:t>编号：</w:t>
      </w:r>
      <w:r>
        <w:rPr>
          <w:rFonts w:hint="eastAsia" w:ascii="宋体" w:hAnsi="宋体" w:eastAsia="宋体" w:cs="宋体"/>
          <w:b w:val="0"/>
          <w:i w:val="0"/>
          <w:caps w:val="0"/>
          <w:color w:val="auto"/>
          <w:spacing w:val="8"/>
          <w:sz w:val="21"/>
          <w:szCs w:val="21"/>
          <w:highlight w:val="none"/>
          <w:u w:val="single"/>
          <w:shd w:val="clear" w:fill="FFFFFF"/>
          <w:lang w:val="en-US" w:eastAsia="zh-CN"/>
        </w:rPr>
        <w:t xml:space="preserve">    </w:t>
      </w:r>
      <w:r>
        <w:rPr>
          <w:rFonts w:hint="eastAsia" w:ascii="宋体" w:hAnsi="宋体" w:eastAsia="宋体" w:cs="宋体"/>
          <w:b w:val="0"/>
          <w:i w:val="0"/>
          <w:caps w:val="0"/>
          <w:color w:val="auto"/>
          <w:spacing w:val="8"/>
          <w:sz w:val="21"/>
          <w:szCs w:val="21"/>
          <w:highlight w:val="none"/>
          <w:shd w:val="clear" w:fill="FFFFFF"/>
        </w:rPr>
        <w:t>）招标中若获中标，我们保证在中标公告发布后5个工作日内，按招标文件的规定，以支票、银行转账、汇票或现金，向贵公司一次性支付招标代理服务费用。否则，由此产生的一切法律后果和责任由我公司承担。我公司声明放弃对此提出任何异议和追索的权利。</w:t>
      </w:r>
    </w:p>
    <w:p w14:paraId="55B3D957">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微软雅黑" w:hAnsi="微软雅黑" w:eastAsia="微软雅黑" w:cs="微软雅黑"/>
          <w:b w:val="0"/>
          <w:i w:val="0"/>
          <w:caps w:val="0"/>
          <w:color w:val="auto"/>
          <w:spacing w:val="8"/>
          <w:sz w:val="21"/>
          <w:szCs w:val="21"/>
          <w:highlight w:val="none"/>
        </w:rPr>
      </w:pPr>
      <w:r>
        <w:rPr>
          <w:rFonts w:hint="eastAsia" w:ascii="宋体" w:hAnsi="宋体" w:eastAsia="宋体" w:cs="宋体"/>
          <w:b w:val="0"/>
          <w:i w:val="0"/>
          <w:caps w:val="0"/>
          <w:color w:val="auto"/>
          <w:spacing w:val="8"/>
          <w:sz w:val="21"/>
          <w:szCs w:val="21"/>
          <w:highlight w:val="none"/>
          <w:shd w:val="clear" w:fill="FFFFFF"/>
        </w:rPr>
        <w:t>特此承诺。</w:t>
      </w:r>
    </w:p>
    <w:p w14:paraId="30141003">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微软雅黑" w:hAnsi="微软雅黑" w:eastAsia="微软雅黑" w:cs="微软雅黑"/>
          <w:b w:val="0"/>
          <w:i w:val="0"/>
          <w:caps w:val="0"/>
          <w:color w:val="auto"/>
          <w:spacing w:val="8"/>
          <w:sz w:val="21"/>
          <w:szCs w:val="21"/>
          <w:highlight w:val="none"/>
        </w:rPr>
      </w:pPr>
      <w:r>
        <w:rPr>
          <w:rFonts w:hint="eastAsia" w:ascii="宋体" w:hAnsi="宋体" w:eastAsia="宋体" w:cs="宋体"/>
          <w:b w:val="0"/>
          <w:i w:val="0"/>
          <w:caps w:val="0"/>
          <w:color w:val="auto"/>
          <w:spacing w:val="8"/>
          <w:sz w:val="21"/>
          <w:szCs w:val="21"/>
          <w:highlight w:val="none"/>
          <w:shd w:val="clear" w:fill="FFFFFF"/>
        </w:rPr>
        <w:t> </w:t>
      </w:r>
    </w:p>
    <w:p w14:paraId="4F002701">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rPr>
          <w:rFonts w:hint="eastAsia" w:ascii="微软雅黑" w:hAnsi="微软雅黑" w:eastAsia="微软雅黑" w:cs="微软雅黑"/>
          <w:b w:val="0"/>
          <w:i w:val="0"/>
          <w:caps w:val="0"/>
          <w:color w:val="auto"/>
          <w:spacing w:val="8"/>
          <w:sz w:val="21"/>
          <w:szCs w:val="21"/>
          <w:highlight w:val="none"/>
        </w:rPr>
      </w:pPr>
      <w:r>
        <w:rPr>
          <w:rFonts w:hint="eastAsia" w:ascii="宋体" w:hAnsi="宋体" w:eastAsia="宋体" w:cs="宋体"/>
          <w:b w:val="0"/>
          <w:i w:val="0"/>
          <w:caps w:val="0"/>
          <w:color w:val="auto"/>
          <w:spacing w:val="8"/>
          <w:sz w:val="21"/>
          <w:szCs w:val="21"/>
          <w:highlight w:val="none"/>
          <w:shd w:val="clear" w:fill="FFFFFF"/>
        </w:rPr>
        <w:t> </w:t>
      </w:r>
    </w:p>
    <w:p w14:paraId="491BECEC">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65"/>
        <w:jc w:val="left"/>
        <w:rPr>
          <w:rFonts w:hint="eastAsia" w:ascii="微软雅黑" w:hAnsi="微软雅黑" w:eastAsia="微软雅黑" w:cs="微软雅黑"/>
          <w:b w:val="0"/>
          <w:i w:val="0"/>
          <w:caps w:val="0"/>
          <w:color w:val="auto"/>
          <w:spacing w:val="8"/>
          <w:sz w:val="21"/>
          <w:szCs w:val="21"/>
          <w:highlight w:val="none"/>
        </w:rPr>
      </w:pPr>
      <w:r>
        <w:rPr>
          <w:rFonts w:hint="eastAsia" w:ascii="宋体" w:hAnsi="宋体" w:eastAsia="宋体" w:cs="宋体"/>
          <w:b w:val="0"/>
          <w:i w:val="0"/>
          <w:caps w:val="0"/>
          <w:color w:val="auto"/>
          <w:spacing w:val="8"/>
          <w:sz w:val="21"/>
          <w:szCs w:val="21"/>
          <w:highlight w:val="none"/>
          <w:shd w:val="clear" w:fill="FFFFFF"/>
        </w:rPr>
        <w:t>投标人名称：</w:t>
      </w:r>
      <w:r>
        <w:rPr>
          <w:rFonts w:hint="eastAsia" w:ascii="宋体" w:hAnsi="宋体" w:eastAsia="宋体" w:cs="宋体"/>
          <w:b w:val="0"/>
          <w:i w:val="0"/>
          <w:caps w:val="0"/>
          <w:color w:val="auto"/>
          <w:spacing w:val="8"/>
          <w:sz w:val="21"/>
          <w:szCs w:val="21"/>
          <w:highlight w:val="none"/>
          <w:u w:val="single"/>
          <w:shd w:val="clear" w:fill="FFFFFF"/>
        </w:rPr>
        <w:t>                  </w:t>
      </w:r>
      <w:r>
        <w:rPr>
          <w:rFonts w:hint="eastAsia" w:ascii="宋体" w:hAnsi="宋体" w:eastAsia="宋体" w:cs="宋体"/>
          <w:b w:val="0"/>
          <w:i w:val="0"/>
          <w:caps w:val="0"/>
          <w:color w:val="auto"/>
          <w:spacing w:val="8"/>
          <w:sz w:val="21"/>
          <w:szCs w:val="21"/>
          <w:highlight w:val="none"/>
          <w:shd w:val="clear" w:fill="FFFFFF"/>
        </w:rPr>
        <w:t>（盖章</w:t>
      </w:r>
      <w:r>
        <w:rPr>
          <w:rFonts w:hint="eastAsia" w:cs="宋体"/>
          <w:b w:val="0"/>
          <w:i w:val="0"/>
          <w:caps w:val="0"/>
          <w:color w:val="auto"/>
          <w:spacing w:val="8"/>
          <w:sz w:val="21"/>
          <w:szCs w:val="21"/>
          <w:highlight w:val="none"/>
          <w:shd w:val="clear" w:fill="FFFFFF"/>
          <w:lang w:eastAsia="zh-CN"/>
        </w:rPr>
        <w:t>或电子签章</w:t>
      </w:r>
      <w:r>
        <w:rPr>
          <w:rFonts w:hint="eastAsia" w:ascii="宋体" w:hAnsi="宋体" w:eastAsia="宋体" w:cs="宋体"/>
          <w:b w:val="0"/>
          <w:i w:val="0"/>
          <w:caps w:val="0"/>
          <w:color w:val="auto"/>
          <w:spacing w:val="8"/>
          <w:sz w:val="21"/>
          <w:szCs w:val="21"/>
          <w:highlight w:val="none"/>
          <w:shd w:val="clear" w:fill="FFFFFF"/>
        </w:rPr>
        <w:t>）</w:t>
      </w:r>
    </w:p>
    <w:p w14:paraId="40D5E493">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65"/>
        <w:jc w:val="left"/>
        <w:rPr>
          <w:rFonts w:hint="eastAsia" w:ascii="微软雅黑" w:hAnsi="微软雅黑" w:eastAsia="微软雅黑" w:cs="微软雅黑"/>
          <w:b w:val="0"/>
          <w:i w:val="0"/>
          <w:caps w:val="0"/>
          <w:color w:val="auto"/>
          <w:spacing w:val="8"/>
          <w:sz w:val="21"/>
          <w:szCs w:val="21"/>
          <w:highlight w:val="none"/>
        </w:rPr>
      </w:pPr>
      <w:r>
        <w:rPr>
          <w:rFonts w:hint="eastAsia" w:ascii="宋体" w:hAnsi="宋体" w:eastAsia="宋体" w:cs="宋体"/>
          <w:b w:val="0"/>
          <w:i w:val="0"/>
          <w:caps w:val="0"/>
          <w:color w:val="auto"/>
          <w:spacing w:val="8"/>
          <w:sz w:val="21"/>
          <w:szCs w:val="21"/>
          <w:highlight w:val="none"/>
          <w:shd w:val="clear" w:fill="FFFFFF"/>
        </w:rPr>
        <w:t>法定代表人或授权代表：</w:t>
      </w:r>
      <w:r>
        <w:rPr>
          <w:rFonts w:hint="eastAsia" w:ascii="宋体" w:hAnsi="宋体" w:eastAsia="宋体" w:cs="宋体"/>
          <w:b w:val="0"/>
          <w:i w:val="0"/>
          <w:caps w:val="0"/>
          <w:color w:val="auto"/>
          <w:spacing w:val="8"/>
          <w:sz w:val="21"/>
          <w:szCs w:val="21"/>
          <w:highlight w:val="none"/>
          <w:u w:val="single"/>
          <w:shd w:val="clear" w:fill="FFFFFF"/>
        </w:rPr>
        <w:t>                </w:t>
      </w:r>
      <w:r>
        <w:rPr>
          <w:rFonts w:hint="eastAsia" w:ascii="宋体" w:hAnsi="宋体" w:eastAsia="宋体" w:cs="宋体"/>
          <w:b w:val="0"/>
          <w:i w:val="0"/>
          <w:caps w:val="0"/>
          <w:color w:val="auto"/>
          <w:spacing w:val="8"/>
          <w:sz w:val="21"/>
          <w:szCs w:val="21"/>
          <w:highlight w:val="none"/>
          <w:shd w:val="clear" w:fill="FFFFFF"/>
        </w:rPr>
        <w:t>（</w:t>
      </w:r>
      <w:r>
        <w:rPr>
          <w:rFonts w:hint="eastAsia" w:cs="宋体"/>
          <w:b w:val="0"/>
          <w:i w:val="0"/>
          <w:caps w:val="0"/>
          <w:color w:val="auto"/>
          <w:spacing w:val="8"/>
          <w:sz w:val="21"/>
          <w:szCs w:val="21"/>
          <w:highlight w:val="none"/>
          <w:shd w:val="clear" w:fill="FFFFFF"/>
          <w:lang w:eastAsia="zh-CN"/>
        </w:rPr>
        <w:t>签字或盖章或电子签章</w:t>
      </w:r>
      <w:r>
        <w:rPr>
          <w:rFonts w:hint="eastAsia" w:ascii="宋体" w:hAnsi="宋体" w:eastAsia="宋体" w:cs="宋体"/>
          <w:b w:val="0"/>
          <w:i w:val="0"/>
          <w:caps w:val="0"/>
          <w:color w:val="auto"/>
          <w:spacing w:val="8"/>
          <w:sz w:val="21"/>
          <w:szCs w:val="21"/>
          <w:highlight w:val="none"/>
          <w:shd w:val="clear" w:fill="FFFFFF"/>
        </w:rPr>
        <w:t>）</w:t>
      </w:r>
    </w:p>
    <w:p w14:paraId="2BA18C81">
      <w:pPr>
        <w:pStyle w:val="3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jc w:val="both"/>
        <w:rPr>
          <w:rFonts w:hint="eastAsia" w:ascii="微软雅黑" w:hAnsi="微软雅黑" w:eastAsia="微软雅黑" w:cs="微软雅黑"/>
          <w:b w:val="0"/>
          <w:i w:val="0"/>
          <w:caps w:val="0"/>
          <w:color w:val="auto"/>
          <w:spacing w:val="8"/>
          <w:sz w:val="21"/>
          <w:szCs w:val="21"/>
          <w:highlight w:val="none"/>
        </w:rPr>
      </w:pPr>
      <w:r>
        <w:rPr>
          <w:rFonts w:hint="eastAsia" w:ascii="宋体" w:hAnsi="宋体" w:eastAsia="宋体" w:cs="宋体"/>
          <w:b w:val="0"/>
          <w:i w:val="0"/>
          <w:caps w:val="0"/>
          <w:color w:val="auto"/>
          <w:spacing w:val="8"/>
          <w:sz w:val="21"/>
          <w:szCs w:val="21"/>
          <w:highlight w:val="none"/>
          <w:shd w:val="clear" w:fill="FFFFFF"/>
        </w:rPr>
        <w:t>日期：</w:t>
      </w:r>
      <w:r>
        <w:rPr>
          <w:rFonts w:hint="eastAsia" w:ascii="宋体" w:hAnsi="宋体" w:eastAsia="宋体" w:cs="宋体"/>
          <w:b w:val="0"/>
          <w:i w:val="0"/>
          <w:caps w:val="0"/>
          <w:color w:val="auto"/>
          <w:spacing w:val="8"/>
          <w:sz w:val="21"/>
          <w:szCs w:val="21"/>
          <w:highlight w:val="none"/>
          <w:u w:val="single"/>
          <w:shd w:val="clear" w:fill="FFFFFF"/>
        </w:rPr>
        <w:t>              </w:t>
      </w:r>
    </w:p>
    <w:p w14:paraId="145D514B">
      <w:pPr>
        <w:spacing w:line="360" w:lineRule="auto"/>
        <w:rPr>
          <w:rFonts w:hint="eastAsia" w:ascii="宋体" w:hAnsi="宋体" w:eastAsia="宋体" w:cs="宋体"/>
          <w:color w:val="auto"/>
          <w:sz w:val="19"/>
          <w:szCs w:val="19"/>
          <w:highlight w:val="none"/>
          <w:lang w:eastAsia="zh-CN"/>
        </w:rPr>
      </w:pPr>
    </w:p>
    <w:p w14:paraId="02243668">
      <w:pPr>
        <w:spacing w:line="360" w:lineRule="auto"/>
        <w:rPr>
          <w:rFonts w:ascii="宋体" w:hAnsi="宋体" w:cs="宋体"/>
          <w:color w:val="auto"/>
          <w:sz w:val="19"/>
          <w:szCs w:val="19"/>
          <w:highlight w:val="none"/>
        </w:rPr>
      </w:pPr>
    </w:p>
    <w:p w14:paraId="013CE958">
      <w:pPr>
        <w:spacing w:line="360" w:lineRule="auto"/>
        <w:rPr>
          <w:rFonts w:ascii="宋体" w:hAnsi="宋体" w:cs="宋体"/>
          <w:color w:val="auto"/>
          <w:sz w:val="19"/>
          <w:szCs w:val="19"/>
          <w:highlight w:val="none"/>
        </w:rPr>
      </w:pPr>
    </w:p>
    <w:p w14:paraId="46F83E2D">
      <w:pPr>
        <w:spacing w:line="360" w:lineRule="auto"/>
        <w:rPr>
          <w:rFonts w:ascii="宋体" w:hAnsi="宋体" w:cs="宋体"/>
          <w:color w:val="auto"/>
          <w:sz w:val="19"/>
          <w:szCs w:val="19"/>
          <w:highlight w:val="none"/>
        </w:rPr>
      </w:pPr>
    </w:p>
    <w:p w14:paraId="7701CF8B">
      <w:pPr>
        <w:spacing w:line="360" w:lineRule="auto"/>
        <w:rPr>
          <w:rFonts w:ascii="宋体" w:hAnsi="宋体" w:cs="宋体"/>
          <w:color w:val="auto"/>
          <w:sz w:val="19"/>
          <w:szCs w:val="19"/>
          <w:highlight w:val="none"/>
        </w:rPr>
      </w:pPr>
    </w:p>
    <w:p w14:paraId="04B357ED">
      <w:pPr>
        <w:spacing w:line="360" w:lineRule="auto"/>
        <w:rPr>
          <w:rFonts w:ascii="宋体" w:hAnsi="宋体" w:cs="宋体"/>
          <w:color w:val="auto"/>
          <w:sz w:val="19"/>
          <w:szCs w:val="19"/>
          <w:highlight w:val="none"/>
        </w:rPr>
      </w:pPr>
    </w:p>
    <w:p w14:paraId="56C3FB07">
      <w:pPr>
        <w:pStyle w:val="19"/>
        <w:rPr>
          <w:rFonts w:ascii="宋体" w:hAnsi="宋体" w:cs="宋体"/>
          <w:color w:val="auto"/>
          <w:sz w:val="19"/>
          <w:szCs w:val="19"/>
          <w:highlight w:val="none"/>
        </w:rPr>
      </w:pPr>
    </w:p>
    <w:p w14:paraId="5D9A0DC9">
      <w:pPr>
        <w:pStyle w:val="19"/>
        <w:rPr>
          <w:rFonts w:ascii="宋体" w:hAnsi="宋体" w:cs="宋体"/>
          <w:color w:val="auto"/>
          <w:sz w:val="19"/>
          <w:szCs w:val="19"/>
          <w:highlight w:val="none"/>
        </w:rPr>
      </w:pPr>
    </w:p>
    <w:p w14:paraId="5FD5EAA8">
      <w:pPr>
        <w:pStyle w:val="19"/>
        <w:rPr>
          <w:rFonts w:ascii="宋体" w:hAnsi="宋体" w:cs="宋体"/>
          <w:color w:val="auto"/>
          <w:sz w:val="19"/>
          <w:szCs w:val="19"/>
          <w:highlight w:val="none"/>
        </w:rPr>
      </w:pPr>
    </w:p>
    <w:p w14:paraId="2DAABCFF">
      <w:pPr>
        <w:pStyle w:val="19"/>
        <w:rPr>
          <w:rFonts w:ascii="宋体" w:hAnsi="宋体" w:cs="宋体"/>
          <w:color w:val="auto"/>
          <w:sz w:val="19"/>
          <w:szCs w:val="19"/>
          <w:highlight w:val="none"/>
        </w:rPr>
      </w:pPr>
    </w:p>
    <w:p w14:paraId="6A3C1901">
      <w:pPr>
        <w:pStyle w:val="19"/>
        <w:rPr>
          <w:rFonts w:ascii="宋体" w:hAnsi="宋体" w:cs="宋体"/>
          <w:color w:val="auto"/>
          <w:sz w:val="19"/>
          <w:szCs w:val="19"/>
          <w:highlight w:val="none"/>
        </w:rPr>
      </w:pPr>
    </w:p>
    <w:p w14:paraId="38D89B5C">
      <w:pPr>
        <w:spacing w:line="360" w:lineRule="auto"/>
        <w:rPr>
          <w:rFonts w:ascii="宋体" w:hAnsi="宋体" w:cs="宋体"/>
          <w:color w:val="auto"/>
          <w:sz w:val="19"/>
          <w:szCs w:val="19"/>
          <w:highlight w:val="none"/>
        </w:rPr>
      </w:pPr>
    </w:p>
    <w:p w14:paraId="56DD836A">
      <w:pPr>
        <w:spacing w:line="360" w:lineRule="auto"/>
        <w:rPr>
          <w:rFonts w:ascii="宋体" w:hAnsi="宋体" w:cs="宋体"/>
          <w:color w:val="auto"/>
          <w:sz w:val="19"/>
          <w:szCs w:val="19"/>
          <w:highlight w:val="none"/>
        </w:rPr>
        <w:sectPr>
          <w:pgSz w:w="11906" w:h="16838"/>
          <w:pgMar w:top="1418" w:right="1134" w:bottom="1418" w:left="1134"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b/>
          <w:bCs/>
          <w:color w:val="auto"/>
          <w:sz w:val="32"/>
          <w:szCs w:val="32"/>
          <w:highlight w:val="none"/>
        </w:rPr>
        <w:br w:type="page"/>
      </w:r>
    </w:p>
    <w:p w14:paraId="1219CF30">
      <w:pPr>
        <w:pStyle w:val="6"/>
        <w:spacing w:line="360" w:lineRule="auto"/>
        <w:jc w:val="center"/>
        <w:rPr>
          <w:color w:val="auto"/>
          <w:highlight w:val="none"/>
        </w:rPr>
      </w:pPr>
      <w:bookmarkStart w:id="241" w:name="_Toc28879"/>
      <w:bookmarkStart w:id="242" w:name="_Toc29765"/>
      <w:bookmarkStart w:id="243" w:name="_Toc184635147"/>
      <w:bookmarkStart w:id="244" w:name="_Toc20932"/>
      <w:r>
        <w:rPr>
          <w:rFonts w:hint="eastAsia" w:ascii="宋体" w:hAnsi="宋体" w:cs="宋体"/>
          <w:color w:val="auto"/>
          <w:highlight w:val="none"/>
          <w:lang w:val="en-US" w:eastAsia="zh-CN"/>
        </w:rPr>
        <w:t>七、</w:t>
      </w:r>
      <w:r>
        <w:rPr>
          <w:rFonts w:hint="eastAsia" w:ascii="宋体" w:hAnsi="宋体" w:cs="宋体"/>
          <w:color w:val="auto"/>
          <w:highlight w:val="none"/>
        </w:rPr>
        <w:t>资格审查资料</w:t>
      </w:r>
      <w:bookmarkEnd w:id="241"/>
      <w:bookmarkEnd w:id="242"/>
      <w:bookmarkEnd w:id="243"/>
      <w:bookmarkEnd w:id="244"/>
    </w:p>
    <w:p w14:paraId="6D637771">
      <w:pPr>
        <w:spacing w:line="360" w:lineRule="auto"/>
        <w:ind w:firstLine="422" w:firstLineChars="200"/>
        <w:rPr>
          <w:rFonts w:hint="eastAsia"/>
          <w:b/>
          <w:bCs/>
          <w:color w:val="auto"/>
          <w:szCs w:val="21"/>
          <w:highlight w:val="none"/>
        </w:rPr>
      </w:pPr>
      <w:bookmarkStart w:id="245" w:name="_Toc30223"/>
      <w:r>
        <w:rPr>
          <w:rFonts w:hint="eastAsia"/>
          <w:b/>
          <w:bCs/>
          <w:color w:val="auto"/>
          <w:szCs w:val="21"/>
          <w:highlight w:val="none"/>
        </w:rPr>
        <w:t>1.满足《中华人民共和国政府采购法》第二十二条规定；</w:t>
      </w:r>
    </w:p>
    <w:p w14:paraId="013683A1">
      <w:pPr>
        <w:spacing w:line="360" w:lineRule="auto"/>
        <w:ind w:firstLine="420" w:firstLineChars="200"/>
        <w:rPr>
          <w:rFonts w:hint="eastAsia"/>
          <w:color w:val="auto"/>
          <w:szCs w:val="21"/>
          <w:highlight w:val="none"/>
        </w:rPr>
      </w:pPr>
      <w:r>
        <w:rPr>
          <w:rFonts w:hint="eastAsia"/>
          <w:color w:val="auto"/>
          <w:szCs w:val="21"/>
          <w:highlight w:val="none"/>
        </w:rPr>
        <w:t>1.1、具有独立承担民事责任的能力,具有有效的营业执照；</w:t>
      </w:r>
    </w:p>
    <w:p w14:paraId="132179FF">
      <w:pPr>
        <w:spacing w:line="360" w:lineRule="auto"/>
        <w:ind w:firstLine="420" w:firstLineChars="200"/>
        <w:rPr>
          <w:rFonts w:hint="eastAsia"/>
          <w:color w:val="auto"/>
          <w:szCs w:val="21"/>
          <w:highlight w:val="none"/>
        </w:rPr>
      </w:pPr>
      <w:r>
        <w:rPr>
          <w:rFonts w:hint="eastAsia"/>
          <w:color w:val="auto"/>
          <w:szCs w:val="21"/>
          <w:highlight w:val="none"/>
        </w:rPr>
        <w:t>1.2、具有良好的商业信誉和健全的财务会计制度，</w:t>
      </w:r>
      <w:r>
        <w:rPr>
          <w:rFonts w:hint="eastAsia" w:ascii="宋体" w:hAnsi="宋体" w:eastAsia="宋体" w:cs="宋体"/>
          <w:color w:val="auto"/>
          <w:highlight w:val="none"/>
        </w:rPr>
        <w:t>（</w:t>
      </w:r>
      <w:r>
        <w:rPr>
          <w:rFonts w:hint="eastAsia" w:ascii="宋体" w:hAnsi="宋体" w:cs="宋体"/>
          <w:color w:val="auto"/>
          <w:highlight w:val="none"/>
          <w:lang w:eastAsia="zh-CN"/>
        </w:rPr>
        <w:t>供应商自行承诺</w:t>
      </w:r>
      <w:r>
        <w:rPr>
          <w:rFonts w:hint="eastAsia" w:ascii="宋体" w:hAnsi="宋体" w:eastAsia="宋体" w:cs="宋体"/>
          <w:color w:val="auto"/>
          <w:highlight w:val="none"/>
        </w:rPr>
        <w:t>，格式自拟）</w:t>
      </w:r>
      <w:r>
        <w:rPr>
          <w:rFonts w:hint="eastAsia"/>
          <w:color w:val="auto"/>
          <w:szCs w:val="21"/>
          <w:highlight w:val="none"/>
        </w:rPr>
        <w:t>；</w:t>
      </w:r>
    </w:p>
    <w:p w14:paraId="6C2AF4AF">
      <w:pPr>
        <w:spacing w:line="360" w:lineRule="auto"/>
        <w:ind w:firstLine="420" w:firstLineChars="200"/>
        <w:rPr>
          <w:rFonts w:hint="eastAsia"/>
          <w:color w:val="auto"/>
          <w:szCs w:val="21"/>
          <w:highlight w:val="none"/>
        </w:rPr>
      </w:pPr>
      <w:r>
        <w:rPr>
          <w:rFonts w:hint="eastAsia"/>
          <w:color w:val="auto"/>
          <w:szCs w:val="21"/>
          <w:highlight w:val="none"/>
        </w:rPr>
        <w:t>1.3、具有履行合同所必需的设备和专业技术能力，须提供供应商具有履行合同所必需的设备和专业技术能力承诺声明文件</w:t>
      </w:r>
      <w:r>
        <w:rPr>
          <w:rFonts w:hint="eastAsia"/>
          <w:color w:val="auto"/>
          <w:szCs w:val="21"/>
          <w:highlight w:val="none"/>
          <w:lang w:eastAsia="zh-CN"/>
        </w:rPr>
        <w:t>，</w:t>
      </w:r>
      <w:r>
        <w:rPr>
          <w:rFonts w:hint="eastAsia" w:ascii="宋体" w:hAnsi="宋体" w:eastAsia="宋体" w:cs="宋体"/>
          <w:color w:val="auto"/>
          <w:highlight w:val="none"/>
        </w:rPr>
        <w:t>（</w:t>
      </w:r>
      <w:r>
        <w:rPr>
          <w:rFonts w:hint="eastAsia" w:ascii="宋体" w:hAnsi="宋体" w:cs="宋体"/>
          <w:color w:val="auto"/>
          <w:highlight w:val="none"/>
          <w:lang w:eastAsia="zh-CN"/>
        </w:rPr>
        <w:t>供应商自行承诺</w:t>
      </w:r>
      <w:r>
        <w:rPr>
          <w:rFonts w:hint="eastAsia" w:ascii="宋体" w:hAnsi="宋体" w:eastAsia="宋体" w:cs="宋体"/>
          <w:color w:val="auto"/>
          <w:highlight w:val="none"/>
        </w:rPr>
        <w:t>，格式自拟）</w:t>
      </w:r>
      <w:r>
        <w:rPr>
          <w:rFonts w:hint="eastAsia"/>
          <w:color w:val="auto"/>
          <w:szCs w:val="21"/>
          <w:highlight w:val="none"/>
        </w:rPr>
        <w:t>；</w:t>
      </w:r>
    </w:p>
    <w:p w14:paraId="1B28A621">
      <w:pPr>
        <w:spacing w:line="360" w:lineRule="auto"/>
        <w:ind w:firstLine="420" w:firstLineChars="200"/>
        <w:rPr>
          <w:rFonts w:hint="eastAsia"/>
          <w:color w:val="auto"/>
          <w:szCs w:val="21"/>
          <w:highlight w:val="none"/>
        </w:rPr>
      </w:pPr>
      <w:r>
        <w:rPr>
          <w:rFonts w:hint="eastAsia"/>
          <w:color w:val="auto"/>
          <w:szCs w:val="21"/>
          <w:highlight w:val="none"/>
        </w:rPr>
        <w:t>1.4、具有依法缴纳税收和社会保障资金的良好记录，</w:t>
      </w:r>
      <w:r>
        <w:rPr>
          <w:rFonts w:hint="eastAsia" w:ascii="宋体" w:hAnsi="宋体" w:eastAsia="宋体" w:cs="宋体"/>
          <w:color w:val="auto"/>
          <w:highlight w:val="none"/>
        </w:rPr>
        <w:t>（</w:t>
      </w:r>
      <w:r>
        <w:rPr>
          <w:rFonts w:hint="eastAsia" w:ascii="宋体" w:hAnsi="宋体" w:cs="宋体"/>
          <w:color w:val="auto"/>
          <w:highlight w:val="none"/>
          <w:lang w:eastAsia="zh-CN"/>
        </w:rPr>
        <w:t>供应商自行承诺</w:t>
      </w:r>
      <w:r>
        <w:rPr>
          <w:rFonts w:hint="eastAsia" w:ascii="宋体" w:hAnsi="宋体" w:eastAsia="宋体" w:cs="宋体"/>
          <w:color w:val="auto"/>
          <w:highlight w:val="none"/>
        </w:rPr>
        <w:t>，格式自拟）</w:t>
      </w:r>
      <w:r>
        <w:rPr>
          <w:rFonts w:hint="eastAsia"/>
          <w:color w:val="auto"/>
          <w:szCs w:val="21"/>
          <w:highlight w:val="none"/>
        </w:rPr>
        <w:t>；</w:t>
      </w:r>
    </w:p>
    <w:p w14:paraId="471D3F4F">
      <w:pPr>
        <w:spacing w:line="360" w:lineRule="auto"/>
        <w:ind w:firstLine="420" w:firstLineChars="200"/>
        <w:rPr>
          <w:rFonts w:hint="eastAsia"/>
          <w:color w:val="auto"/>
          <w:szCs w:val="21"/>
          <w:highlight w:val="none"/>
        </w:rPr>
      </w:pPr>
      <w:r>
        <w:rPr>
          <w:rFonts w:hint="eastAsia"/>
          <w:color w:val="auto"/>
          <w:szCs w:val="21"/>
          <w:highlight w:val="none"/>
        </w:rPr>
        <w:t>1.5、参加政府采购活动前三年内，在经营活动中没有重大违法记录，须提供参加政府采购活动前三年内，在经营活动中没有重大违法记录的书面声明</w:t>
      </w:r>
      <w:r>
        <w:rPr>
          <w:rFonts w:hint="eastAsia"/>
          <w:color w:val="auto"/>
          <w:szCs w:val="21"/>
          <w:highlight w:val="none"/>
          <w:lang w:eastAsia="zh-CN"/>
        </w:rPr>
        <w:t>，</w:t>
      </w:r>
      <w:r>
        <w:rPr>
          <w:rFonts w:hint="eastAsia" w:ascii="宋体" w:hAnsi="宋体" w:eastAsia="宋体" w:cs="宋体"/>
          <w:color w:val="auto"/>
          <w:highlight w:val="none"/>
        </w:rPr>
        <w:t>（</w:t>
      </w:r>
      <w:r>
        <w:rPr>
          <w:rFonts w:hint="eastAsia" w:ascii="宋体" w:hAnsi="宋体" w:cs="宋体"/>
          <w:color w:val="auto"/>
          <w:highlight w:val="none"/>
          <w:lang w:eastAsia="zh-CN"/>
        </w:rPr>
        <w:t>供应商自行承诺</w:t>
      </w:r>
      <w:r>
        <w:rPr>
          <w:rFonts w:hint="eastAsia" w:ascii="宋体" w:hAnsi="宋体" w:eastAsia="宋体" w:cs="宋体"/>
          <w:color w:val="auto"/>
          <w:highlight w:val="none"/>
        </w:rPr>
        <w:t>，格式自拟）</w:t>
      </w:r>
      <w:r>
        <w:rPr>
          <w:rFonts w:hint="eastAsia"/>
          <w:color w:val="auto"/>
          <w:szCs w:val="21"/>
          <w:highlight w:val="none"/>
        </w:rPr>
        <w:t>；</w:t>
      </w:r>
    </w:p>
    <w:p w14:paraId="6F3599A7">
      <w:pPr>
        <w:spacing w:line="360" w:lineRule="auto"/>
        <w:ind w:firstLine="422" w:firstLineChars="200"/>
        <w:rPr>
          <w:rFonts w:hint="eastAsia"/>
          <w:color w:val="auto"/>
          <w:szCs w:val="21"/>
          <w:highlight w:val="none"/>
        </w:rPr>
      </w:pPr>
      <w:r>
        <w:rPr>
          <w:rFonts w:hint="eastAsia"/>
          <w:b/>
          <w:bCs/>
          <w:color w:val="auto"/>
          <w:szCs w:val="21"/>
          <w:highlight w:val="none"/>
        </w:rPr>
        <w:t>2.需落实政府采购的政策要求：</w:t>
      </w:r>
      <w:r>
        <w:rPr>
          <w:rFonts w:hint="eastAsia"/>
          <w:color w:val="auto"/>
          <w:szCs w:val="21"/>
          <w:highlight w:val="none"/>
        </w:rPr>
        <w:t>本项目执行促进中小型企业发展政策（监狱企业、残疾人福利性企业视同小微企业）。</w:t>
      </w:r>
    </w:p>
    <w:p w14:paraId="7F7EC8A2">
      <w:pPr>
        <w:spacing w:line="360" w:lineRule="auto"/>
        <w:ind w:firstLine="422" w:firstLineChars="200"/>
        <w:rPr>
          <w:rFonts w:hint="eastAsia"/>
          <w:b/>
          <w:bCs/>
          <w:color w:val="auto"/>
          <w:szCs w:val="21"/>
          <w:highlight w:val="none"/>
          <w:lang w:eastAsia="zh-CN"/>
        </w:rPr>
      </w:pPr>
      <w:r>
        <w:rPr>
          <w:rFonts w:hint="eastAsia"/>
          <w:b/>
          <w:bCs/>
          <w:color w:val="auto"/>
          <w:szCs w:val="21"/>
          <w:highlight w:val="none"/>
        </w:rPr>
        <w:t>3.本项目的特定资格要求：</w:t>
      </w:r>
    </w:p>
    <w:p w14:paraId="2931C0A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资质要求：须</w:t>
      </w:r>
      <w:r>
        <w:rPr>
          <w:rFonts w:hint="eastAsia" w:ascii="宋体" w:hAnsi="宋体" w:eastAsia="宋体" w:cs="宋体"/>
          <w:color w:val="auto"/>
          <w:szCs w:val="21"/>
          <w:highlight w:val="none"/>
        </w:rPr>
        <w:t>具备有效期范围内的营业执照或事业单位法人证书；投标人须具备测绘乙级及以上资质；</w:t>
      </w:r>
    </w:p>
    <w:p w14:paraId="2038D433">
      <w:pPr>
        <w:pStyle w:val="15"/>
        <w:spacing w:line="360" w:lineRule="auto"/>
        <w:ind w:firstLine="420" w:firstLineChars="200"/>
        <w:rPr>
          <w:rFonts w:hint="default"/>
          <w:color w:val="auto"/>
          <w:highlight w:val="none"/>
          <w:lang w:val="en-US" w:eastAsia="zh-CN"/>
        </w:rPr>
      </w:pPr>
      <w:r>
        <w:rPr>
          <w:rFonts w:hint="eastAsia" w:ascii="宋体" w:hAnsi="宋体" w:eastAsia="宋体" w:cs="宋体"/>
          <w:color w:val="auto"/>
          <w:highlight w:val="none"/>
          <w:lang w:val="en-US" w:eastAsia="zh-CN"/>
        </w:rPr>
        <w:t>3.</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拟派项目负责人：项目负责人须具有测绘及相关专业中级及以上技术职称（需提供单位为其缴纳的近三个月的社保证明及签订的劳动合同）</w:t>
      </w:r>
    </w:p>
    <w:p w14:paraId="5DDE2E1F">
      <w:pPr>
        <w:spacing w:line="360" w:lineRule="auto"/>
        <w:ind w:firstLine="420" w:firstLineChars="200"/>
        <w:rPr>
          <w:rFonts w:hint="eastAsia" w:ascii="宋体" w:hAnsi="宋体" w:cs="宋体"/>
          <w:b w:val="0"/>
          <w:bCs w:val="0"/>
          <w:color w:val="auto"/>
          <w:kern w:val="0"/>
          <w:sz w:val="21"/>
          <w:szCs w:val="21"/>
          <w:highlight w:val="none"/>
          <w:lang w:val="en-US" w:eastAsia="zh-CN" w:bidi="ar"/>
        </w:rPr>
      </w:pPr>
      <w:r>
        <w:rPr>
          <w:rFonts w:hint="eastAsia" w:ascii="宋体" w:hAnsi="宋体" w:cs="宋体"/>
          <w:b w:val="0"/>
          <w:bCs w:val="0"/>
          <w:color w:val="auto"/>
          <w:szCs w:val="21"/>
          <w:highlight w:val="none"/>
          <w:lang w:val="en-US" w:eastAsia="zh-CN"/>
        </w:rPr>
        <w:t>3.3、</w:t>
      </w:r>
      <w:r>
        <w:rPr>
          <w:rFonts w:hint="eastAsia" w:ascii="宋体" w:hAnsi="宋体" w:eastAsia="宋体" w:cs="宋体"/>
          <w:b w:val="0"/>
          <w:bCs w:val="0"/>
          <w:color w:val="auto"/>
          <w:kern w:val="0"/>
          <w:sz w:val="21"/>
          <w:szCs w:val="21"/>
          <w:highlight w:val="none"/>
          <w:lang w:val="en-US" w:eastAsia="zh-CN" w:bidi="ar"/>
        </w:rPr>
        <w:t>根据《财政</w:t>
      </w:r>
      <w:r>
        <w:rPr>
          <w:rFonts w:hint="eastAsia" w:ascii="宋体" w:hAnsi="宋体" w:eastAsia="宋体" w:cs="宋体"/>
          <w:color w:val="auto"/>
          <w:kern w:val="0"/>
          <w:sz w:val="21"/>
          <w:szCs w:val="21"/>
          <w:highlight w:val="none"/>
          <w:lang w:val="en-US" w:eastAsia="zh-CN" w:bidi="ar"/>
        </w:rPr>
        <w:t>部关于在政府采购活动中查询及使用信用记录有关问题的通知》(财库[2016]125号)和豫财购【2016】15号的规定，对列入失信被执行人、</w:t>
      </w:r>
      <w:r>
        <w:rPr>
          <w:rFonts w:hint="eastAsia" w:ascii="宋体" w:hAnsi="宋体" w:cs="宋体"/>
          <w:color w:val="auto"/>
          <w:kern w:val="0"/>
          <w:sz w:val="21"/>
          <w:szCs w:val="21"/>
          <w:highlight w:val="none"/>
          <w:lang w:val="en-US" w:eastAsia="zh-CN" w:bidi="ar"/>
        </w:rPr>
        <w:t>重大税收违法失信主体</w:t>
      </w:r>
      <w:r>
        <w:rPr>
          <w:rFonts w:hint="eastAsia" w:ascii="宋体" w:hAnsi="宋体" w:eastAsia="宋体" w:cs="宋体"/>
          <w:color w:val="auto"/>
          <w:kern w:val="0"/>
          <w:sz w:val="21"/>
          <w:szCs w:val="21"/>
          <w:highlight w:val="none"/>
          <w:lang w:val="en-US" w:eastAsia="zh-CN" w:bidi="ar"/>
        </w:rPr>
        <w:t>、政府采购严重违法失信行为记录名单的供应商，拒绝参与本项目政府采购活动</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通过</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中国执行信息公开网</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（zxgk.court.gov.cn）查询被列入失信被执行人</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“信用中国</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网站（www.creditchina.gov.cn）查询</w:t>
      </w:r>
      <w:r>
        <w:rPr>
          <w:rFonts w:hint="eastAsia" w:ascii="宋体" w:hAnsi="宋体" w:cs="宋体"/>
          <w:color w:val="auto"/>
          <w:kern w:val="0"/>
          <w:sz w:val="21"/>
          <w:szCs w:val="21"/>
          <w:highlight w:val="none"/>
          <w:lang w:val="en-US" w:eastAsia="zh-CN" w:bidi="ar"/>
        </w:rPr>
        <w:t>重大税收违法失信主体</w:t>
      </w: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中国政府采购网</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（www.ccgp.gov.cn）查询政府采购严重违法失信行为记录名单），</w:t>
      </w:r>
      <w:r>
        <w:rPr>
          <w:rFonts w:hint="eastAsia" w:ascii="宋体" w:hAnsi="宋体" w:cs="宋体"/>
          <w:color w:val="auto"/>
          <w:kern w:val="0"/>
          <w:sz w:val="21"/>
          <w:szCs w:val="21"/>
          <w:highlight w:val="none"/>
          <w:lang w:val="en-US" w:eastAsia="zh-CN" w:bidi="ar"/>
        </w:rPr>
        <w:t>提供加盖</w:t>
      </w:r>
      <w:r>
        <w:rPr>
          <w:rFonts w:hint="eastAsia" w:ascii="宋体" w:hAnsi="宋体" w:eastAsia="宋体" w:cs="宋体"/>
          <w:color w:val="auto"/>
          <w:kern w:val="0"/>
          <w:sz w:val="21"/>
          <w:szCs w:val="21"/>
          <w:highlight w:val="none"/>
          <w:lang w:val="en-US" w:eastAsia="zh-CN" w:bidi="ar"/>
        </w:rPr>
        <w:t>单位公章的查询网页截图</w:t>
      </w:r>
      <w:r>
        <w:rPr>
          <w:rFonts w:hint="eastAsia" w:ascii="宋体" w:hAnsi="宋体" w:eastAsia="宋体" w:cs="宋体"/>
          <w:b w:val="0"/>
          <w:bCs w:val="0"/>
          <w:color w:val="auto"/>
          <w:kern w:val="0"/>
          <w:sz w:val="21"/>
          <w:szCs w:val="21"/>
          <w:highlight w:val="none"/>
          <w:lang w:val="en-US" w:eastAsia="zh-CN" w:bidi="ar"/>
        </w:rPr>
        <w:t>（截图内容要完整清晰</w:t>
      </w:r>
      <w:r>
        <w:rPr>
          <w:rFonts w:hint="eastAsia" w:ascii="宋体" w:hAnsi="宋体" w:cs="宋体"/>
          <w:b w:val="0"/>
          <w:bCs w:val="0"/>
          <w:color w:val="auto"/>
          <w:kern w:val="0"/>
          <w:sz w:val="21"/>
          <w:szCs w:val="21"/>
          <w:highlight w:val="none"/>
          <w:lang w:val="en-US" w:eastAsia="zh-CN" w:bidi="ar"/>
        </w:rPr>
        <w:t>）。</w:t>
      </w:r>
      <w:r>
        <w:rPr>
          <w:rFonts w:hint="eastAsia" w:ascii="宋体" w:hAnsi="宋体" w:cs="宋体"/>
          <w:b/>
          <w:bCs/>
          <w:color w:val="auto"/>
          <w:kern w:val="0"/>
          <w:sz w:val="21"/>
          <w:szCs w:val="21"/>
          <w:highlight w:val="none"/>
          <w:lang w:val="en-US" w:eastAsia="zh-CN" w:bidi="ar"/>
        </w:rPr>
        <w:t>注：</w:t>
      </w:r>
      <w:r>
        <w:rPr>
          <w:rFonts w:hint="eastAsia" w:ascii="宋体" w:hAnsi="宋体" w:cs="宋体"/>
          <w:b w:val="0"/>
          <w:bCs w:val="0"/>
          <w:color w:val="auto"/>
          <w:kern w:val="0"/>
          <w:sz w:val="21"/>
          <w:szCs w:val="21"/>
          <w:highlight w:val="none"/>
          <w:lang w:val="en-US" w:eastAsia="zh-CN" w:bidi="ar"/>
        </w:rPr>
        <w:t>采购代理机构在开标当天根据需要对所参与本项目投标的供应商的信用情况（失信被执行人、重大税收违法失信主体、政府采购严重违法失信行为记录名单）进行查询。若在开标当天查询到供应商有相关负面信息的，则该供应商为无效供应商。</w:t>
      </w:r>
    </w:p>
    <w:p w14:paraId="728D5733">
      <w:pPr>
        <w:pStyle w:val="21"/>
        <w:spacing w:line="360" w:lineRule="auto"/>
        <w:ind w:firstLine="210" w:firstLineChars="100"/>
        <w:rPr>
          <w:rFonts w:hint="eastAsia" w:ascii="宋体" w:hAnsi="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3.4、单位负责人为同一人或者存在直接控股、管理关系的不同供应商，不得参加同一合同项下的政府采购活动。【提供在“国家企业信用信息公示系统”中查询打印的相关材料并加盖公章（需显示公司基本信息、主要人员信息、股东信息），查询日期在本公告发布日期之后至投标截止日期之前】；</w:t>
      </w:r>
    </w:p>
    <w:p w14:paraId="710D5C15">
      <w:pPr>
        <w:pStyle w:val="30"/>
        <w:numPr>
          <w:ilvl w:val="0"/>
          <w:numId w:val="0"/>
        </w:numPr>
        <w:spacing w:before="0" w:beforeAutospacing="0" w:after="0" w:afterAutospacing="0" w:line="384" w:lineRule="auto"/>
        <w:ind w:firstLine="210" w:firstLineChars="100"/>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3.5、</w:t>
      </w:r>
      <w:r>
        <w:rPr>
          <w:rFonts w:hint="eastAsia" w:asciiTheme="minorEastAsia" w:hAnsiTheme="minorEastAsia" w:eastAsiaTheme="minorEastAsia" w:cstheme="minorEastAsia"/>
          <w:bCs/>
          <w:color w:val="auto"/>
          <w:sz w:val="21"/>
          <w:szCs w:val="21"/>
          <w:highlight w:val="none"/>
          <w:lang w:val="en-US" w:eastAsia="zh-CN"/>
        </w:rPr>
        <w:t>为采购项目提供整体设计、规范编制或者项目管理、监理、检测等服务的供应商，不得再参加本采购项目的其他采购活动（书面承诺,格式自拟）。</w:t>
      </w:r>
    </w:p>
    <w:p w14:paraId="084FE8B0">
      <w:pPr>
        <w:pStyle w:val="3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84" w:lineRule="auto"/>
        <w:ind w:firstLine="420" w:firstLineChars="200"/>
        <w:textAlignment w:val="auto"/>
        <w:rPr>
          <w:rFonts w:hint="default" w:asciiTheme="minorEastAsia" w:hAnsiTheme="minorEastAsia" w:eastAsiaTheme="minorEastAsia" w:cstheme="minorEastAsia"/>
          <w:b w:val="0"/>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3.6、</w:t>
      </w:r>
      <w:r>
        <w:rPr>
          <w:rFonts w:hint="eastAsia" w:ascii="宋体" w:hAnsi="宋体" w:eastAsia="宋体" w:cs="宋体"/>
          <w:color w:val="auto"/>
          <w:sz w:val="21"/>
          <w:szCs w:val="21"/>
          <w:highlight w:val="none"/>
          <w:lang w:val="en-US" w:eastAsia="zh-CN"/>
        </w:rPr>
        <w:t>供应商须提供《中小企业声明函》，格式详见本项目采购文件。</w:t>
      </w:r>
    </w:p>
    <w:p w14:paraId="61BB6FC6">
      <w:pPr>
        <w:pStyle w:val="30"/>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84" w:lineRule="auto"/>
        <w:ind w:firstLine="420" w:firstLineChars="200"/>
        <w:textAlignment w:val="auto"/>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 w:val="0"/>
          <w:bCs/>
          <w:color w:val="auto"/>
          <w:sz w:val="21"/>
          <w:szCs w:val="21"/>
          <w:highlight w:val="none"/>
          <w:lang w:val="en-US" w:eastAsia="zh-CN"/>
        </w:rPr>
        <w:t>3.7、</w:t>
      </w:r>
      <w:r>
        <w:rPr>
          <w:rFonts w:hint="eastAsia" w:asciiTheme="minorEastAsia" w:hAnsiTheme="minorEastAsia" w:eastAsiaTheme="minorEastAsia" w:cstheme="minorEastAsia"/>
          <w:bCs/>
          <w:color w:val="auto"/>
          <w:sz w:val="21"/>
          <w:szCs w:val="21"/>
          <w:highlight w:val="none"/>
          <w:lang w:val="en-US" w:eastAsia="zh-CN"/>
        </w:rPr>
        <w:t>不允许转包和违法分包。</w:t>
      </w:r>
    </w:p>
    <w:p w14:paraId="57965C13">
      <w:pPr>
        <w:rPr>
          <w:rFonts w:hint="eastAsia" w:ascii="宋体" w:hAnsi="宋体" w:cs="宋体"/>
          <w:color w:val="auto"/>
          <w:highlight w:val="none"/>
          <w:lang w:val="en-US" w:eastAsia="zh-CN"/>
        </w:rPr>
      </w:pPr>
    </w:p>
    <w:p w14:paraId="2C6A0BB7">
      <w:pPr>
        <w:rPr>
          <w:rFonts w:hint="eastAsia" w:ascii="宋体" w:hAnsi="宋体" w:cs="宋体"/>
          <w:color w:val="auto"/>
          <w:highlight w:val="none"/>
          <w:lang w:val="en-US" w:eastAsia="zh-CN"/>
        </w:rPr>
      </w:pPr>
    </w:p>
    <w:p w14:paraId="6ABC05B5">
      <w:pPr>
        <w:rPr>
          <w:rFonts w:hint="eastAsia" w:ascii="宋体" w:hAnsi="宋体" w:cs="宋体"/>
          <w:color w:val="auto"/>
          <w:highlight w:val="none"/>
          <w:lang w:val="en-US" w:eastAsia="zh-CN"/>
        </w:rPr>
      </w:pPr>
    </w:p>
    <w:p w14:paraId="05FE93E6">
      <w:pPr>
        <w:rPr>
          <w:rFonts w:hint="eastAsia" w:ascii="宋体" w:hAnsi="宋体" w:cs="宋体"/>
          <w:color w:val="auto"/>
          <w:highlight w:val="none"/>
          <w:lang w:val="en-US" w:eastAsia="zh-CN"/>
        </w:rPr>
      </w:pPr>
    </w:p>
    <w:p w14:paraId="371FE0F7">
      <w:pPr>
        <w:rPr>
          <w:rFonts w:hint="eastAsia" w:ascii="宋体" w:hAnsi="宋体" w:cs="宋体"/>
          <w:color w:val="auto"/>
          <w:highlight w:val="none"/>
          <w:lang w:val="en-US" w:eastAsia="zh-CN"/>
        </w:rPr>
      </w:pPr>
    </w:p>
    <w:p w14:paraId="452964F8">
      <w:pPr>
        <w:rPr>
          <w:rFonts w:hint="eastAsia" w:ascii="宋体" w:hAnsi="宋体" w:cs="宋体"/>
          <w:color w:val="auto"/>
          <w:highlight w:val="none"/>
          <w:lang w:val="en-US" w:eastAsia="zh-CN"/>
        </w:rPr>
      </w:pPr>
    </w:p>
    <w:p w14:paraId="45AC931B">
      <w:pPr>
        <w:rPr>
          <w:rFonts w:hint="eastAsia" w:ascii="宋体" w:hAnsi="宋体" w:cs="宋体"/>
          <w:color w:val="auto"/>
          <w:highlight w:val="none"/>
          <w:lang w:val="en-US" w:eastAsia="zh-CN"/>
        </w:rPr>
      </w:pPr>
    </w:p>
    <w:p w14:paraId="651BBFC6">
      <w:pPr>
        <w:rPr>
          <w:rFonts w:hint="eastAsia" w:ascii="宋体" w:hAnsi="宋体" w:cs="宋体"/>
          <w:color w:val="auto"/>
          <w:highlight w:val="none"/>
          <w:lang w:val="en-US" w:eastAsia="zh-CN"/>
        </w:rPr>
      </w:pPr>
    </w:p>
    <w:p w14:paraId="39F00D8D">
      <w:pPr>
        <w:rPr>
          <w:rFonts w:hint="eastAsia" w:ascii="宋体" w:hAnsi="宋体" w:cs="宋体"/>
          <w:color w:val="auto"/>
          <w:highlight w:val="none"/>
          <w:lang w:val="en-US" w:eastAsia="zh-CN"/>
        </w:rPr>
      </w:pPr>
    </w:p>
    <w:p w14:paraId="1224A1D0">
      <w:pPr>
        <w:rPr>
          <w:rFonts w:hint="eastAsia" w:ascii="宋体" w:hAnsi="宋体" w:cs="宋体"/>
          <w:color w:val="auto"/>
          <w:highlight w:val="none"/>
          <w:lang w:val="en-US" w:eastAsia="zh-CN"/>
        </w:rPr>
      </w:pPr>
    </w:p>
    <w:p w14:paraId="37DF0BD8">
      <w:pPr>
        <w:rPr>
          <w:rFonts w:hint="eastAsia" w:ascii="宋体" w:hAnsi="宋体" w:cs="宋体"/>
          <w:color w:val="auto"/>
          <w:highlight w:val="none"/>
          <w:lang w:val="en-US" w:eastAsia="zh-CN"/>
        </w:rPr>
      </w:pPr>
    </w:p>
    <w:p w14:paraId="001CEF83">
      <w:pPr>
        <w:rPr>
          <w:rFonts w:hint="eastAsia" w:ascii="宋体" w:hAnsi="宋体" w:cs="宋体"/>
          <w:color w:val="auto"/>
          <w:highlight w:val="none"/>
          <w:lang w:val="en-US" w:eastAsia="zh-CN"/>
        </w:rPr>
      </w:pPr>
    </w:p>
    <w:p w14:paraId="0112C445">
      <w:pPr>
        <w:rPr>
          <w:rFonts w:hint="eastAsia" w:ascii="宋体" w:hAnsi="宋体" w:cs="宋体"/>
          <w:color w:val="auto"/>
          <w:highlight w:val="none"/>
          <w:lang w:val="en-US" w:eastAsia="zh-CN"/>
        </w:rPr>
      </w:pPr>
    </w:p>
    <w:p w14:paraId="643F010E">
      <w:pPr>
        <w:rPr>
          <w:rFonts w:hint="eastAsia" w:ascii="宋体" w:hAnsi="宋体" w:cs="宋体"/>
          <w:color w:val="auto"/>
          <w:highlight w:val="none"/>
          <w:lang w:val="en-US" w:eastAsia="zh-CN"/>
        </w:rPr>
      </w:pPr>
    </w:p>
    <w:p w14:paraId="543F3D97">
      <w:pPr>
        <w:rPr>
          <w:rFonts w:hint="eastAsia"/>
          <w:color w:val="auto"/>
          <w:highlight w:val="none"/>
          <w:lang w:val="en-US" w:eastAsia="zh-CN"/>
        </w:rPr>
      </w:pPr>
    </w:p>
    <w:p w14:paraId="1A84B6AF">
      <w:pPr>
        <w:rPr>
          <w:rFonts w:hint="eastAsia"/>
          <w:color w:val="auto"/>
          <w:highlight w:val="none"/>
          <w:lang w:val="en-US" w:eastAsia="zh-CN"/>
        </w:rPr>
      </w:pPr>
    </w:p>
    <w:p w14:paraId="04188ABC">
      <w:pPr>
        <w:rPr>
          <w:rFonts w:hint="eastAsia"/>
          <w:color w:val="auto"/>
          <w:highlight w:val="none"/>
          <w:lang w:val="en-US" w:eastAsia="zh-CN"/>
        </w:rPr>
      </w:pPr>
    </w:p>
    <w:p w14:paraId="0F67B840">
      <w:pPr>
        <w:rPr>
          <w:rFonts w:hint="eastAsia"/>
          <w:color w:val="auto"/>
          <w:highlight w:val="none"/>
          <w:lang w:val="en-US" w:eastAsia="zh-CN"/>
        </w:rPr>
      </w:pPr>
    </w:p>
    <w:p w14:paraId="5FBB7E2B">
      <w:pPr>
        <w:rPr>
          <w:rFonts w:hint="eastAsia"/>
          <w:color w:val="auto"/>
          <w:highlight w:val="none"/>
          <w:lang w:val="en-US" w:eastAsia="zh-CN"/>
        </w:rPr>
      </w:pPr>
    </w:p>
    <w:p w14:paraId="3EE6E5DD">
      <w:pPr>
        <w:rPr>
          <w:rFonts w:hint="eastAsia"/>
          <w:color w:val="auto"/>
          <w:highlight w:val="none"/>
          <w:lang w:val="en-US" w:eastAsia="zh-CN"/>
        </w:rPr>
      </w:pPr>
    </w:p>
    <w:p w14:paraId="710E5EEA">
      <w:pPr>
        <w:rPr>
          <w:rFonts w:hint="eastAsia"/>
          <w:color w:val="auto"/>
          <w:highlight w:val="none"/>
          <w:lang w:val="en-US" w:eastAsia="zh-CN"/>
        </w:rPr>
      </w:pPr>
    </w:p>
    <w:p w14:paraId="44F11FCC">
      <w:pPr>
        <w:rPr>
          <w:rFonts w:hint="eastAsia"/>
          <w:color w:val="auto"/>
          <w:highlight w:val="none"/>
          <w:lang w:val="en-US" w:eastAsia="zh-CN"/>
        </w:rPr>
      </w:pPr>
    </w:p>
    <w:p w14:paraId="148AB1C0">
      <w:pPr>
        <w:rPr>
          <w:rFonts w:hint="eastAsia"/>
          <w:color w:val="auto"/>
          <w:highlight w:val="none"/>
          <w:lang w:val="en-US" w:eastAsia="zh-CN"/>
        </w:rPr>
      </w:pPr>
    </w:p>
    <w:p w14:paraId="6F1D9282">
      <w:pPr>
        <w:rPr>
          <w:rFonts w:hint="eastAsia"/>
          <w:color w:val="auto"/>
          <w:highlight w:val="none"/>
          <w:lang w:val="en-US" w:eastAsia="zh-CN"/>
        </w:rPr>
      </w:pPr>
    </w:p>
    <w:p w14:paraId="27FA7FDC">
      <w:pPr>
        <w:rPr>
          <w:rFonts w:hint="eastAsia"/>
          <w:color w:val="auto"/>
          <w:highlight w:val="none"/>
          <w:lang w:val="en-US" w:eastAsia="zh-CN"/>
        </w:rPr>
      </w:pPr>
    </w:p>
    <w:p w14:paraId="25329259">
      <w:pPr>
        <w:rPr>
          <w:rFonts w:hint="eastAsia"/>
          <w:color w:val="auto"/>
          <w:highlight w:val="none"/>
          <w:lang w:val="en-US" w:eastAsia="zh-CN"/>
        </w:rPr>
      </w:pPr>
    </w:p>
    <w:p w14:paraId="3D1F3035">
      <w:pPr>
        <w:pStyle w:val="21"/>
        <w:rPr>
          <w:rFonts w:hint="eastAsia"/>
          <w:color w:val="auto"/>
          <w:highlight w:val="none"/>
          <w:lang w:val="en-US" w:eastAsia="zh-CN"/>
        </w:rPr>
      </w:pPr>
    </w:p>
    <w:p w14:paraId="52A282E4">
      <w:pPr>
        <w:pStyle w:val="21"/>
        <w:rPr>
          <w:rFonts w:hint="eastAsia"/>
          <w:color w:val="auto"/>
          <w:highlight w:val="none"/>
          <w:lang w:val="en-US" w:eastAsia="zh-CN"/>
        </w:rPr>
      </w:pPr>
    </w:p>
    <w:p w14:paraId="1D43F55E">
      <w:pPr>
        <w:pStyle w:val="21"/>
        <w:rPr>
          <w:rFonts w:hint="eastAsia"/>
          <w:color w:val="auto"/>
          <w:highlight w:val="none"/>
          <w:lang w:val="en-US" w:eastAsia="zh-CN"/>
        </w:rPr>
      </w:pPr>
    </w:p>
    <w:p w14:paraId="6FE496FA">
      <w:pPr>
        <w:pStyle w:val="21"/>
        <w:rPr>
          <w:rFonts w:hint="eastAsia"/>
          <w:color w:val="auto"/>
          <w:highlight w:val="none"/>
          <w:lang w:val="en-US" w:eastAsia="zh-CN"/>
        </w:rPr>
      </w:pPr>
    </w:p>
    <w:p w14:paraId="67C75F1C">
      <w:pPr>
        <w:pStyle w:val="21"/>
        <w:rPr>
          <w:rFonts w:hint="eastAsia"/>
          <w:color w:val="auto"/>
          <w:highlight w:val="none"/>
          <w:lang w:val="en-US" w:eastAsia="zh-CN"/>
        </w:rPr>
      </w:pPr>
    </w:p>
    <w:p w14:paraId="469DCE94">
      <w:pPr>
        <w:pStyle w:val="21"/>
        <w:rPr>
          <w:rFonts w:hint="eastAsia"/>
          <w:color w:val="auto"/>
          <w:highlight w:val="none"/>
          <w:lang w:val="en-US" w:eastAsia="zh-CN"/>
        </w:rPr>
      </w:pPr>
    </w:p>
    <w:p w14:paraId="0B946817">
      <w:pPr>
        <w:pStyle w:val="21"/>
        <w:rPr>
          <w:rFonts w:hint="eastAsia"/>
          <w:color w:val="auto"/>
          <w:highlight w:val="none"/>
          <w:lang w:val="en-US" w:eastAsia="zh-CN"/>
        </w:rPr>
      </w:pPr>
    </w:p>
    <w:p w14:paraId="7ADD2CC7">
      <w:pPr>
        <w:pStyle w:val="21"/>
        <w:rPr>
          <w:rFonts w:hint="eastAsia"/>
          <w:color w:val="auto"/>
          <w:highlight w:val="none"/>
          <w:lang w:val="en-US" w:eastAsia="zh-CN"/>
        </w:rPr>
      </w:pPr>
    </w:p>
    <w:p w14:paraId="46913B02">
      <w:pPr>
        <w:pStyle w:val="21"/>
        <w:rPr>
          <w:rFonts w:hint="eastAsia"/>
          <w:color w:val="auto"/>
          <w:highlight w:val="none"/>
          <w:lang w:val="en-US" w:eastAsia="zh-CN"/>
        </w:rPr>
      </w:pPr>
    </w:p>
    <w:p w14:paraId="305C982B">
      <w:pPr>
        <w:rPr>
          <w:rFonts w:hint="eastAsia"/>
          <w:color w:val="auto"/>
          <w:highlight w:val="none"/>
          <w:lang w:val="en-US" w:eastAsia="zh-CN"/>
        </w:rPr>
      </w:pPr>
    </w:p>
    <w:p w14:paraId="30DBC66B">
      <w:pPr>
        <w:pStyle w:val="6"/>
        <w:spacing w:line="360" w:lineRule="auto"/>
        <w:jc w:val="center"/>
        <w:rPr>
          <w:rFonts w:hint="eastAsia" w:ascii="宋体" w:hAnsi="宋体" w:cs="宋体"/>
          <w:color w:val="auto"/>
          <w:highlight w:val="none"/>
        </w:rPr>
      </w:pPr>
      <w:r>
        <w:rPr>
          <w:rFonts w:hint="eastAsia" w:ascii="宋体" w:hAnsi="宋体" w:cs="宋体"/>
          <w:color w:val="auto"/>
          <w:highlight w:val="none"/>
          <w:lang w:val="en-US" w:eastAsia="zh-CN"/>
        </w:rPr>
        <w:t>八、</w:t>
      </w:r>
      <w:r>
        <w:rPr>
          <w:rFonts w:hint="eastAsia" w:ascii="宋体" w:hAnsi="宋体" w:cs="宋体"/>
          <w:color w:val="auto"/>
          <w:highlight w:val="none"/>
        </w:rPr>
        <w:t>商务响应/偏离表</w:t>
      </w:r>
      <w:bookmarkEnd w:id="245"/>
    </w:p>
    <w:tbl>
      <w:tblPr>
        <w:tblStyle w:val="33"/>
        <w:tblW w:w="0" w:type="auto"/>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48"/>
        <w:gridCol w:w="1537"/>
        <w:gridCol w:w="1701"/>
        <w:gridCol w:w="1843"/>
        <w:gridCol w:w="1285"/>
        <w:gridCol w:w="993"/>
      </w:tblGrid>
      <w:tr w14:paraId="2D30E50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548" w:type="dxa"/>
            <w:tcBorders>
              <w:top w:val="single" w:color="000000" w:sz="4" w:space="0"/>
              <w:left w:val="single" w:color="000000" w:sz="4" w:space="0"/>
              <w:bottom w:val="single" w:color="auto" w:sz="4" w:space="0"/>
              <w:right w:val="single" w:color="000000" w:sz="4" w:space="0"/>
            </w:tcBorders>
            <w:noWrap w:val="0"/>
            <w:vAlign w:val="center"/>
          </w:tcPr>
          <w:p w14:paraId="2427CC94">
            <w:pPr>
              <w:adjustRightInd w:val="0"/>
              <w:snapToGrid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537" w:type="dxa"/>
            <w:tcBorders>
              <w:top w:val="single" w:color="000000" w:sz="4" w:space="0"/>
              <w:left w:val="single" w:color="000000" w:sz="4" w:space="0"/>
              <w:bottom w:val="single" w:color="auto" w:sz="4" w:space="0"/>
              <w:right w:val="single" w:color="000000" w:sz="4" w:space="0"/>
            </w:tcBorders>
            <w:noWrap w:val="0"/>
            <w:vAlign w:val="center"/>
          </w:tcPr>
          <w:p w14:paraId="09F80529">
            <w:pPr>
              <w:adjustRightInd w:val="0"/>
              <w:snapToGrid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w:t>
            </w:r>
          </w:p>
        </w:tc>
        <w:tc>
          <w:tcPr>
            <w:tcW w:w="1701" w:type="dxa"/>
            <w:tcBorders>
              <w:top w:val="single" w:color="000000" w:sz="4" w:space="0"/>
              <w:left w:val="single" w:color="000000" w:sz="4" w:space="0"/>
              <w:bottom w:val="single" w:color="auto" w:sz="4" w:space="0"/>
              <w:right w:val="single" w:color="000000" w:sz="4" w:space="0"/>
            </w:tcBorders>
            <w:noWrap w:val="0"/>
            <w:tcMar>
              <w:top w:w="0" w:type="dxa"/>
              <w:left w:w="108" w:type="dxa"/>
              <w:bottom w:w="0" w:type="dxa"/>
              <w:right w:w="108" w:type="dxa"/>
            </w:tcMar>
            <w:vAlign w:val="center"/>
          </w:tcPr>
          <w:p w14:paraId="05E9D8B9">
            <w:pPr>
              <w:adjustRightInd w:val="0"/>
              <w:snapToGrid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采购文件要求</w:t>
            </w:r>
          </w:p>
        </w:tc>
        <w:tc>
          <w:tcPr>
            <w:tcW w:w="1843" w:type="dxa"/>
            <w:tcBorders>
              <w:top w:val="single" w:color="000000" w:sz="4" w:space="0"/>
              <w:left w:val="single" w:color="000000" w:sz="4" w:space="0"/>
              <w:bottom w:val="single" w:color="auto" w:sz="4" w:space="0"/>
              <w:right w:val="single" w:color="000000" w:sz="4" w:space="0"/>
            </w:tcBorders>
            <w:noWrap w:val="0"/>
            <w:tcMar>
              <w:top w:w="0" w:type="dxa"/>
              <w:left w:w="108" w:type="dxa"/>
              <w:bottom w:w="0" w:type="dxa"/>
              <w:right w:w="108" w:type="dxa"/>
            </w:tcMar>
            <w:vAlign w:val="center"/>
          </w:tcPr>
          <w:p w14:paraId="0FCA4390">
            <w:pPr>
              <w:adjustRightInd w:val="0"/>
              <w:snapToGrid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投标文件响应</w:t>
            </w:r>
          </w:p>
        </w:tc>
        <w:tc>
          <w:tcPr>
            <w:tcW w:w="1285" w:type="dxa"/>
            <w:tcBorders>
              <w:top w:val="single" w:color="000000" w:sz="4" w:space="0"/>
              <w:left w:val="single" w:color="000000" w:sz="4" w:space="0"/>
              <w:bottom w:val="single" w:color="auto" w:sz="4" w:space="0"/>
              <w:right w:val="single" w:color="000000" w:sz="4" w:space="0"/>
            </w:tcBorders>
            <w:noWrap w:val="0"/>
            <w:vAlign w:val="center"/>
          </w:tcPr>
          <w:p w14:paraId="02E51DC9">
            <w:pPr>
              <w:adjustRightInd w:val="0"/>
              <w:snapToGrid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响应/偏离</w:t>
            </w:r>
          </w:p>
        </w:tc>
        <w:tc>
          <w:tcPr>
            <w:tcW w:w="993" w:type="dxa"/>
            <w:tcBorders>
              <w:top w:val="single" w:color="000000" w:sz="4" w:space="0"/>
              <w:left w:val="single" w:color="000000" w:sz="4" w:space="0"/>
              <w:bottom w:val="single" w:color="auto" w:sz="4" w:space="0"/>
              <w:right w:val="single" w:color="000000" w:sz="4" w:space="0"/>
            </w:tcBorders>
            <w:noWrap w:val="0"/>
            <w:tcMar>
              <w:top w:w="0" w:type="dxa"/>
              <w:left w:w="108" w:type="dxa"/>
              <w:bottom w:w="0" w:type="dxa"/>
              <w:right w:w="108" w:type="dxa"/>
            </w:tcMar>
            <w:vAlign w:val="center"/>
          </w:tcPr>
          <w:p w14:paraId="3C133086">
            <w:pPr>
              <w:adjustRightInd w:val="0"/>
              <w:snapToGrid w:val="0"/>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p>
        </w:tc>
      </w:tr>
      <w:tr w14:paraId="02A2822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1548" w:type="dxa"/>
            <w:tcBorders>
              <w:top w:val="single" w:color="auto" w:sz="4" w:space="0"/>
              <w:left w:val="single" w:color="auto" w:sz="4" w:space="0"/>
              <w:bottom w:val="single" w:color="auto" w:sz="4" w:space="0"/>
              <w:right w:val="single" w:color="auto" w:sz="4" w:space="0"/>
            </w:tcBorders>
            <w:noWrap w:val="0"/>
            <w:vAlign w:val="center"/>
          </w:tcPr>
          <w:p w14:paraId="55E6CF40">
            <w:pPr>
              <w:autoSpaceDN w:val="0"/>
              <w:adjustRightInd w:val="0"/>
              <w:snapToGrid w:val="0"/>
              <w:spacing w:before="156" w:line="440" w:lineRule="exact"/>
              <w:jc w:val="center"/>
              <w:rPr>
                <w:rFonts w:hint="eastAsia" w:ascii="宋体" w:hAnsi="宋体" w:eastAsia="宋体" w:cs="宋体"/>
                <w:color w:val="auto"/>
                <w:sz w:val="21"/>
                <w:szCs w:val="21"/>
                <w:highlight w:val="none"/>
              </w:rPr>
            </w:pPr>
          </w:p>
        </w:tc>
        <w:tc>
          <w:tcPr>
            <w:tcW w:w="1537" w:type="dxa"/>
            <w:tcBorders>
              <w:top w:val="single" w:color="auto" w:sz="4" w:space="0"/>
              <w:left w:val="single" w:color="auto" w:sz="4" w:space="0"/>
              <w:bottom w:val="single" w:color="auto" w:sz="4" w:space="0"/>
              <w:right w:val="single" w:color="auto" w:sz="4" w:space="0"/>
            </w:tcBorders>
            <w:noWrap w:val="0"/>
            <w:vAlign w:val="top"/>
          </w:tcPr>
          <w:p w14:paraId="302EA1D4">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950B4E5">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84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B58B3E1">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285" w:type="dxa"/>
            <w:tcBorders>
              <w:top w:val="single" w:color="auto" w:sz="4" w:space="0"/>
              <w:left w:val="single" w:color="auto" w:sz="4" w:space="0"/>
              <w:bottom w:val="single" w:color="auto" w:sz="4" w:space="0"/>
              <w:right w:val="single" w:color="auto" w:sz="4" w:space="0"/>
            </w:tcBorders>
            <w:noWrap w:val="0"/>
            <w:vAlign w:val="top"/>
          </w:tcPr>
          <w:p w14:paraId="6F76966E">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4CEC714">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r>
      <w:tr w14:paraId="598C565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1548" w:type="dxa"/>
            <w:tcBorders>
              <w:top w:val="single" w:color="auto" w:sz="4" w:space="0"/>
              <w:left w:val="single" w:color="auto" w:sz="4" w:space="0"/>
              <w:bottom w:val="single" w:color="auto" w:sz="4" w:space="0"/>
              <w:right w:val="single" w:color="auto" w:sz="4" w:space="0"/>
            </w:tcBorders>
            <w:noWrap w:val="0"/>
            <w:vAlign w:val="center"/>
          </w:tcPr>
          <w:p w14:paraId="74B7D0CE">
            <w:pPr>
              <w:autoSpaceDN w:val="0"/>
              <w:adjustRightInd w:val="0"/>
              <w:snapToGrid w:val="0"/>
              <w:spacing w:before="156" w:line="440" w:lineRule="exact"/>
              <w:jc w:val="center"/>
              <w:rPr>
                <w:rFonts w:hint="eastAsia" w:ascii="宋体" w:hAnsi="宋体" w:eastAsia="宋体" w:cs="宋体"/>
                <w:color w:val="auto"/>
                <w:sz w:val="21"/>
                <w:szCs w:val="21"/>
                <w:highlight w:val="none"/>
              </w:rPr>
            </w:pPr>
          </w:p>
        </w:tc>
        <w:tc>
          <w:tcPr>
            <w:tcW w:w="1537" w:type="dxa"/>
            <w:tcBorders>
              <w:top w:val="single" w:color="auto" w:sz="4" w:space="0"/>
              <w:left w:val="single" w:color="auto" w:sz="4" w:space="0"/>
              <w:bottom w:val="single" w:color="auto" w:sz="4" w:space="0"/>
              <w:right w:val="single" w:color="auto" w:sz="4" w:space="0"/>
            </w:tcBorders>
            <w:noWrap w:val="0"/>
            <w:vAlign w:val="top"/>
          </w:tcPr>
          <w:p w14:paraId="4150C1FD">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70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08AAEA0">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84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7B794DA">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285" w:type="dxa"/>
            <w:tcBorders>
              <w:top w:val="single" w:color="auto" w:sz="4" w:space="0"/>
              <w:left w:val="single" w:color="auto" w:sz="4" w:space="0"/>
              <w:bottom w:val="single" w:color="auto" w:sz="4" w:space="0"/>
              <w:right w:val="single" w:color="auto" w:sz="4" w:space="0"/>
            </w:tcBorders>
            <w:noWrap w:val="0"/>
            <w:vAlign w:val="top"/>
          </w:tcPr>
          <w:p w14:paraId="555433A4">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BF971FF">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r>
      <w:tr w14:paraId="5067F13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1548" w:type="dxa"/>
            <w:tcBorders>
              <w:top w:val="single" w:color="auto" w:sz="4" w:space="0"/>
              <w:left w:val="single" w:color="000000" w:sz="4" w:space="0"/>
              <w:bottom w:val="single" w:color="000000" w:sz="4" w:space="0"/>
              <w:right w:val="single" w:color="000000" w:sz="4" w:space="0"/>
            </w:tcBorders>
            <w:noWrap w:val="0"/>
            <w:vAlign w:val="center"/>
          </w:tcPr>
          <w:p w14:paraId="0FDBBFD4">
            <w:pPr>
              <w:autoSpaceDN w:val="0"/>
              <w:adjustRightInd w:val="0"/>
              <w:snapToGrid w:val="0"/>
              <w:spacing w:before="156" w:line="440" w:lineRule="exact"/>
              <w:jc w:val="center"/>
              <w:rPr>
                <w:rFonts w:hint="eastAsia" w:ascii="宋体" w:hAnsi="宋体" w:eastAsia="宋体" w:cs="宋体"/>
                <w:color w:val="auto"/>
                <w:sz w:val="21"/>
                <w:szCs w:val="21"/>
                <w:highlight w:val="none"/>
              </w:rPr>
            </w:pPr>
          </w:p>
        </w:tc>
        <w:tc>
          <w:tcPr>
            <w:tcW w:w="1537" w:type="dxa"/>
            <w:tcBorders>
              <w:top w:val="single" w:color="auto" w:sz="4" w:space="0"/>
              <w:left w:val="single" w:color="000000" w:sz="4" w:space="0"/>
              <w:bottom w:val="single" w:color="000000" w:sz="4" w:space="0"/>
              <w:right w:val="single" w:color="000000" w:sz="4" w:space="0"/>
            </w:tcBorders>
            <w:noWrap w:val="0"/>
            <w:vAlign w:val="top"/>
          </w:tcPr>
          <w:p w14:paraId="5139D032">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701" w:type="dxa"/>
            <w:tcBorders>
              <w:top w:val="single" w:color="auto"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9DF720">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843" w:type="dxa"/>
            <w:tcBorders>
              <w:top w:val="single" w:color="auto"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BFB967">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285" w:type="dxa"/>
            <w:tcBorders>
              <w:top w:val="single" w:color="auto" w:sz="4" w:space="0"/>
              <w:left w:val="single" w:color="000000" w:sz="4" w:space="0"/>
              <w:bottom w:val="single" w:color="000000" w:sz="4" w:space="0"/>
              <w:right w:val="single" w:color="000000" w:sz="4" w:space="0"/>
            </w:tcBorders>
            <w:noWrap w:val="0"/>
            <w:vAlign w:val="top"/>
          </w:tcPr>
          <w:p w14:paraId="4EEBE5FA">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993" w:type="dxa"/>
            <w:tcBorders>
              <w:top w:val="single" w:color="auto"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584C288">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r>
      <w:tr w14:paraId="37AE3D7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1548" w:type="dxa"/>
            <w:tcBorders>
              <w:top w:val="single" w:color="000000" w:sz="4" w:space="0"/>
              <w:left w:val="single" w:color="000000" w:sz="4" w:space="0"/>
              <w:bottom w:val="single" w:color="000000" w:sz="4" w:space="0"/>
              <w:right w:val="single" w:color="000000" w:sz="4" w:space="0"/>
            </w:tcBorders>
            <w:noWrap w:val="0"/>
            <w:vAlign w:val="center"/>
          </w:tcPr>
          <w:p w14:paraId="52F5DDA9">
            <w:pPr>
              <w:autoSpaceDN w:val="0"/>
              <w:adjustRightInd w:val="0"/>
              <w:snapToGrid w:val="0"/>
              <w:spacing w:before="156" w:line="440" w:lineRule="exact"/>
              <w:jc w:val="center"/>
              <w:rPr>
                <w:rFonts w:hint="eastAsia" w:ascii="宋体" w:hAnsi="宋体" w:eastAsia="宋体" w:cs="宋体"/>
                <w:color w:val="auto"/>
                <w:sz w:val="21"/>
                <w:szCs w:val="21"/>
                <w:highlight w:val="none"/>
              </w:rPr>
            </w:pPr>
          </w:p>
        </w:tc>
        <w:tc>
          <w:tcPr>
            <w:tcW w:w="1537" w:type="dxa"/>
            <w:tcBorders>
              <w:top w:val="single" w:color="000000" w:sz="4" w:space="0"/>
              <w:left w:val="single" w:color="000000" w:sz="4" w:space="0"/>
              <w:bottom w:val="single" w:color="000000" w:sz="4" w:space="0"/>
              <w:right w:val="single" w:color="000000" w:sz="4" w:space="0"/>
            </w:tcBorders>
            <w:noWrap w:val="0"/>
            <w:vAlign w:val="top"/>
          </w:tcPr>
          <w:p w14:paraId="15B8B7D8">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70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48FA07C">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8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AE1E999">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285" w:type="dxa"/>
            <w:tcBorders>
              <w:top w:val="single" w:color="000000" w:sz="4" w:space="0"/>
              <w:left w:val="single" w:color="000000" w:sz="4" w:space="0"/>
              <w:bottom w:val="single" w:color="000000" w:sz="4" w:space="0"/>
              <w:right w:val="single" w:color="000000" w:sz="4" w:space="0"/>
            </w:tcBorders>
            <w:noWrap w:val="0"/>
            <w:vAlign w:val="top"/>
          </w:tcPr>
          <w:p w14:paraId="2078CBE7">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99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D6B2EB9">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r>
      <w:tr w14:paraId="04173A2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1548" w:type="dxa"/>
            <w:tcBorders>
              <w:top w:val="single" w:color="000000" w:sz="4" w:space="0"/>
              <w:left w:val="single" w:color="000000" w:sz="4" w:space="0"/>
              <w:bottom w:val="single" w:color="000000" w:sz="4" w:space="0"/>
              <w:right w:val="single" w:color="000000" w:sz="4" w:space="0"/>
            </w:tcBorders>
            <w:noWrap w:val="0"/>
            <w:vAlign w:val="center"/>
          </w:tcPr>
          <w:p w14:paraId="5F723F52">
            <w:pPr>
              <w:autoSpaceDN w:val="0"/>
              <w:adjustRightInd w:val="0"/>
              <w:snapToGrid w:val="0"/>
              <w:spacing w:before="156" w:line="440" w:lineRule="exact"/>
              <w:jc w:val="center"/>
              <w:rPr>
                <w:rFonts w:hint="eastAsia" w:ascii="宋体" w:hAnsi="宋体" w:eastAsia="宋体" w:cs="宋体"/>
                <w:color w:val="auto"/>
                <w:sz w:val="21"/>
                <w:szCs w:val="21"/>
                <w:highlight w:val="none"/>
              </w:rPr>
            </w:pPr>
          </w:p>
        </w:tc>
        <w:tc>
          <w:tcPr>
            <w:tcW w:w="1537" w:type="dxa"/>
            <w:tcBorders>
              <w:top w:val="single" w:color="000000" w:sz="4" w:space="0"/>
              <w:left w:val="single" w:color="000000" w:sz="4" w:space="0"/>
              <w:bottom w:val="single" w:color="000000" w:sz="4" w:space="0"/>
              <w:right w:val="single" w:color="000000" w:sz="4" w:space="0"/>
            </w:tcBorders>
            <w:noWrap w:val="0"/>
            <w:vAlign w:val="top"/>
          </w:tcPr>
          <w:p w14:paraId="384D4BBC">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70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FE7E19B">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8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BB7DFEE">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285" w:type="dxa"/>
            <w:tcBorders>
              <w:top w:val="single" w:color="000000" w:sz="4" w:space="0"/>
              <w:left w:val="single" w:color="000000" w:sz="4" w:space="0"/>
              <w:bottom w:val="single" w:color="000000" w:sz="4" w:space="0"/>
              <w:right w:val="single" w:color="000000" w:sz="4" w:space="0"/>
            </w:tcBorders>
            <w:noWrap w:val="0"/>
            <w:vAlign w:val="top"/>
          </w:tcPr>
          <w:p w14:paraId="426D21D1">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99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E78F44">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r>
      <w:tr w14:paraId="45A8404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1548" w:type="dxa"/>
            <w:tcBorders>
              <w:top w:val="single" w:color="000000" w:sz="4" w:space="0"/>
              <w:left w:val="single" w:color="000000" w:sz="4" w:space="0"/>
              <w:bottom w:val="single" w:color="000000" w:sz="4" w:space="0"/>
              <w:right w:val="single" w:color="000000" w:sz="4" w:space="0"/>
            </w:tcBorders>
            <w:noWrap w:val="0"/>
            <w:vAlign w:val="center"/>
          </w:tcPr>
          <w:p w14:paraId="4B8A0ED6">
            <w:pPr>
              <w:autoSpaceDN w:val="0"/>
              <w:adjustRightInd w:val="0"/>
              <w:snapToGrid w:val="0"/>
              <w:spacing w:before="156" w:line="440" w:lineRule="exact"/>
              <w:jc w:val="center"/>
              <w:rPr>
                <w:rFonts w:hint="eastAsia" w:ascii="宋体" w:hAnsi="宋体" w:eastAsia="宋体" w:cs="宋体"/>
                <w:color w:val="auto"/>
                <w:sz w:val="21"/>
                <w:szCs w:val="21"/>
                <w:highlight w:val="none"/>
              </w:rPr>
            </w:pPr>
          </w:p>
        </w:tc>
        <w:tc>
          <w:tcPr>
            <w:tcW w:w="1537" w:type="dxa"/>
            <w:tcBorders>
              <w:top w:val="single" w:color="000000" w:sz="4" w:space="0"/>
              <w:left w:val="single" w:color="000000" w:sz="4" w:space="0"/>
              <w:bottom w:val="single" w:color="000000" w:sz="4" w:space="0"/>
              <w:right w:val="single" w:color="000000" w:sz="4" w:space="0"/>
            </w:tcBorders>
            <w:noWrap w:val="0"/>
            <w:vAlign w:val="top"/>
          </w:tcPr>
          <w:p w14:paraId="1F18B81D">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70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028967">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8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1B96BE4">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285" w:type="dxa"/>
            <w:tcBorders>
              <w:top w:val="single" w:color="000000" w:sz="4" w:space="0"/>
              <w:left w:val="single" w:color="000000" w:sz="4" w:space="0"/>
              <w:bottom w:val="single" w:color="000000" w:sz="4" w:space="0"/>
              <w:right w:val="single" w:color="000000" w:sz="4" w:space="0"/>
            </w:tcBorders>
            <w:noWrap w:val="0"/>
            <w:vAlign w:val="top"/>
          </w:tcPr>
          <w:p w14:paraId="6F0557EC">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99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8D402AB">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r>
      <w:tr w14:paraId="701E12B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1548" w:type="dxa"/>
            <w:tcBorders>
              <w:top w:val="single" w:color="000000" w:sz="4" w:space="0"/>
              <w:left w:val="single" w:color="000000" w:sz="4" w:space="0"/>
              <w:bottom w:val="single" w:color="000000" w:sz="4" w:space="0"/>
              <w:right w:val="single" w:color="000000" w:sz="4" w:space="0"/>
            </w:tcBorders>
            <w:noWrap w:val="0"/>
            <w:vAlign w:val="center"/>
          </w:tcPr>
          <w:p w14:paraId="0654A4B2">
            <w:pPr>
              <w:autoSpaceDN w:val="0"/>
              <w:adjustRightInd w:val="0"/>
              <w:snapToGrid w:val="0"/>
              <w:spacing w:before="156"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537" w:type="dxa"/>
            <w:tcBorders>
              <w:top w:val="single" w:color="000000" w:sz="4" w:space="0"/>
              <w:left w:val="single" w:color="000000" w:sz="4" w:space="0"/>
              <w:bottom w:val="single" w:color="000000" w:sz="4" w:space="0"/>
              <w:right w:val="single" w:color="000000" w:sz="4" w:space="0"/>
            </w:tcBorders>
            <w:noWrap w:val="0"/>
            <w:vAlign w:val="top"/>
          </w:tcPr>
          <w:p w14:paraId="7F55B8C9">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70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9E4005A">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84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C92199C">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1285" w:type="dxa"/>
            <w:tcBorders>
              <w:top w:val="single" w:color="000000" w:sz="4" w:space="0"/>
              <w:left w:val="single" w:color="000000" w:sz="4" w:space="0"/>
              <w:bottom w:val="single" w:color="000000" w:sz="4" w:space="0"/>
              <w:right w:val="single" w:color="000000" w:sz="4" w:space="0"/>
            </w:tcBorders>
            <w:noWrap w:val="0"/>
            <w:vAlign w:val="top"/>
          </w:tcPr>
          <w:p w14:paraId="42394DBA">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c>
          <w:tcPr>
            <w:tcW w:w="99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F3FDD49">
            <w:pPr>
              <w:autoSpaceDN w:val="0"/>
              <w:adjustRightInd w:val="0"/>
              <w:snapToGrid w:val="0"/>
              <w:spacing w:line="440" w:lineRule="exact"/>
              <w:jc w:val="center"/>
              <w:textAlignment w:val="top"/>
              <w:rPr>
                <w:rFonts w:hint="eastAsia" w:ascii="宋体" w:hAnsi="宋体" w:eastAsia="宋体" w:cs="宋体"/>
                <w:color w:val="auto"/>
                <w:sz w:val="21"/>
                <w:szCs w:val="21"/>
                <w:highlight w:val="none"/>
              </w:rPr>
            </w:pPr>
          </w:p>
        </w:tc>
      </w:tr>
    </w:tbl>
    <w:p w14:paraId="152DC816">
      <w:pPr>
        <w:adjustRightInd w:val="0"/>
        <w:snapToGrid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注：1、供应商可根据实际情况自行添加表格内容；</w:t>
      </w:r>
    </w:p>
    <w:p w14:paraId="1761DB77">
      <w:pPr>
        <w:numPr>
          <w:ilvl w:val="0"/>
          <w:numId w:val="5"/>
        </w:numPr>
        <w:adjustRightInd w:val="0"/>
        <w:snapToGrid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供应商必须完全响应并按上表逐条填写采购文件商务要求，否则按无效标处理。</w:t>
      </w:r>
    </w:p>
    <w:p w14:paraId="35CAB540">
      <w:pPr>
        <w:numPr>
          <w:ilvl w:val="0"/>
          <w:numId w:val="5"/>
        </w:numPr>
        <w:adjustRightInd w:val="0"/>
        <w:snapToGrid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商务要求包括：投标有效期、</w:t>
      </w:r>
      <w:r>
        <w:rPr>
          <w:rFonts w:hint="eastAsia" w:ascii="宋体" w:hAnsi="宋体" w:cs="宋体"/>
          <w:color w:val="auto"/>
          <w:sz w:val="21"/>
          <w:szCs w:val="21"/>
          <w:highlight w:val="none"/>
          <w:lang w:eastAsia="zh-CN"/>
        </w:rPr>
        <w:t>投标内容、服务周期、</w:t>
      </w:r>
      <w:r>
        <w:rPr>
          <w:rFonts w:hint="eastAsia" w:ascii="宋体" w:hAnsi="宋体" w:cs="宋体"/>
          <w:color w:val="auto"/>
          <w:kern w:val="0"/>
          <w:sz w:val="21"/>
          <w:szCs w:val="21"/>
          <w:highlight w:val="none"/>
          <w:lang w:eastAsia="zh-CN"/>
        </w:rPr>
        <w:t>服务地点</w:t>
      </w:r>
      <w:r>
        <w:rPr>
          <w:rFonts w:hint="eastAsia" w:ascii="宋体" w:hAnsi="宋体" w:eastAsia="宋体" w:cs="宋体"/>
          <w:color w:val="auto"/>
          <w:kern w:val="0"/>
          <w:sz w:val="21"/>
          <w:szCs w:val="21"/>
          <w:highlight w:val="none"/>
        </w:rPr>
        <w:t>等采购文件要求的内容。</w:t>
      </w:r>
    </w:p>
    <w:p w14:paraId="5815DD7B">
      <w:pPr>
        <w:spacing w:line="360" w:lineRule="auto"/>
        <w:rPr>
          <w:rFonts w:ascii="宋体" w:hAnsi="宋体" w:cs="宋体"/>
          <w:color w:val="auto"/>
          <w:sz w:val="19"/>
          <w:szCs w:val="19"/>
          <w:highlight w:val="none"/>
        </w:rPr>
      </w:pPr>
    </w:p>
    <w:p w14:paraId="3CAC7052">
      <w:pPr>
        <w:spacing w:line="360" w:lineRule="auto"/>
        <w:rPr>
          <w:rFonts w:ascii="宋体" w:hAnsi="宋体" w:cs="宋体"/>
          <w:color w:val="auto"/>
          <w:sz w:val="19"/>
          <w:szCs w:val="19"/>
          <w:highlight w:val="none"/>
        </w:rPr>
      </w:pPr>
    </w:p>
    <w:p w14:paraId="6E818578">
      <w:pPr>
        <w:spacing w:line="360" w:lineRule="auto"/>
        <w:rPr>
          <w:rFonts w:ascii="宋体" w:hAnsi="宋体" w:cs="宋体"/>
          <w:color w:val="auto"/>
          <w:sz w:val="19"/>
          <w:szCs w:val="19"/>
          <w:highlight w:val="none"/>
        </w:rPr>
      </w:pPr>
    </w:p>
    <w:p w14:paraId="6671ED3E">
      <w:pPr>
        <w:spacing w:line="360" w:lineRule="auto"/>
        <w:rPr>
          <w:rFonts w:ascii="宋体" w:hAnsi="宋体" w:cs="宋体"/>
          <w:color w:val="auto"/>
          <w:sz w:val="19"/>
          <w:szCs w:val="19"/>
          <w:highlight w:val="none"/>
        </w:rPr>
      </w:pPr>
    </w:p>
    <w:p w14:paraId="37B8A186">
      <w:pPr>
        <w:spacing w:line="360" w:lineRule="auto"/>
        <w:rPr>
          <w:rFonts w:ascii="宋体" w:hAnsi="宋体" w:cs="宋体"/>
          <w:color w:val="auto"/>
          <w:sz w:val="19"/>
          <w:szCs w:val="19"/>
          <w:highlight w:val="none"/>
        </w:rPr>
      </w:pPr>
    </w:p>
    <w:p w14:paraId="36BFF619">
      <w:pPr>
        <w:spacing w:line="360" w:lineRule="auto"/>
        <w:rPr>
          <w:rFonts w:ascii="宋体" w:hAnsi="宋体" w:cs="宋体"/>
          <w:color w:val="auto"/>
          <w:sz w:val="19"/>
          <w:szCs w:val="19"/>
          <w:highlight w:val="none"/>
        </w:rPr>
      </w:pPr>
    </w:p>
    <w:p w14:paraId="0BDE1099">
      <w:pPr>
        <w:pStyle w:val="17"/>
        <w:rPr>
          <w:rFonts w:ascii="宋体" w:hAnsi="宋体" w:cs="宋体"/>
          <w:color w:val="auto"/>
          <w:sz w:val="19"/>
          <w:szCs w:val="19"/>
          <w:highlight w:val="none"/>
        </w:rPr>
      </w:pPr>
    </w:p>
    <w:p w14:paraId="639371B8">
      <w:pPr>
        <w:pStyle w:val="17"/>
        <w:rPr>
          <w:rFonts w:ascii="宋体" w:hAnsi="宋体" w:cs="宋体"/>
          <w:color w:val="auto"/>
          <w:sz w:val="19"/>
          <w:szCs w:val="19"/>
          <w:highlight w:val="none"/>
        </w:rPr>
      </w:pPr>
    </w:p>
    <w:p w14:paraId="1C19EF88">
      <w:pPr>
        <w:spacing w:line="360" w:lineRule="auto"/>
        <w:rPr>
          <w:rFonts w:ascii="宋体" w:hAnsi="宋体" w:cs="宋体"/>
          <w:color w:val="auto"/>
          <w:sz w:val="19"/>
          <w:szCs w:val="19"/>
          <w:highlight w:val="none"/>
        </w:rPr>
      </w:pPr>
    </w:p>
    <w:p w14:paraId="431B93AC">
      <w:pPr>
        <w:spacing w:line="360" w:lineRule="auto"/>
        <w:rPr>
          <w:rFonts w:ascii="宋体" w:hAnsi="宋体" w:cs="宋体"/>
          <w:color w:val="auto"/>
          <w:sz w:val="19"/>
          <w:szCs w:val="19"/>
          <w:highlight w:val="none"/>
        </w:rPr>
      </w:pPr>
    </w:p>
    <w:p w14:paraId="28879CBD">
      <w:pPr>
        <w:spacing w:line="360" w:lineRule="auto"/>
        <w:rPr>
          <w:rFonts w:ascii="宋体" w:hAnsi="宋体" w:cs="宋体"/>
          <w:color w:val="auto"/>
          <w:sz w:val="19"/>
          <w:szCs w:val="19"/>
          <w:highlight w:val="none"/>
        </w:rPr>
      </w:pPr>
    </w:p>
    <w:p w14:paraId="58925897">
      <w:pPr>
        <w:pStyle w:val="6"/>
        <w:bidi w:val="0"/>
        <w:jc w:val="center"/>
        <w:rPr>
          <w:rFonts w:hint="eastAsia"/>
          <w:color w:val="auto"/>
          <w:highlight w:val="none"/>
          <w:lang w:val="en-US" w:eastAsia="zh-CN"/>
        </w:rPr>
      </w:pPr>
      <w:bookmarkStart w:id="246" w:name="_Toc32033"/>
      <w:r>
        <w:rPr>
          <w:rFonts w:hint="eastAsia"/>
          <w:color w:val="auto"/>
          <w:highlight w:val="none"/>
          <w:lang w:val="en-US" w:eastAsia="zh-CN"/>
        </w:rPr>
        <w:t>九、项目实施方案</w:t>
      </w:r>
      <w:bookmarkEnd w:id="246"/>
    </w:p>
    <w:p w14:paraId="657B2F93">
      <w:pPr>
        <w:numPr>
          <w:ilvl w:val="0"/>
          <w:numId w:val="0"/>
        </w:numPr>
        <w:spacing w:line="360" w:lineRule="auto"/>
        <w:jc w:val="center"/>
        <w:rPr>
          <w:rFonts w:hint="eastAsia" w:ascii="宋体" w:hAnsi="宋体" w:cs="宋体"/>
          <w:color w:val="auto"/>
          <w:sz w:val="19"/>
          <w:szCs w:val="19"/>
          <w:highlight w:val="none"/>
          <w:lang w:val="en-US" w:eastAsia="zh-CN"/>
        </w:rPr>
      </w:pPr>
      <w:r>
        <w:rPr>
          <w:rFonts w:hint="eastAsia" w:ascii="宋体" w:hAnsi="宋体" w:cs="宋体"/>
          <w:color w:val="auto"/>
          <w:sz w:val="19"/>
          <w:szCs w:val="19"/>
          <w:highlight w:val="none"/>
          <w:lang w:val="en-US" w:eastAsia="zh-CN"/>
        </w:rPr>
        <w:t>（</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根据采购文件的要求自行编制</w:t>
      </w:r>
      <w:r>
        <w:rPr>
          <w:rFonts w:hint="eastAsia" w:ascii="宋体" w:hAnsi="宋体" w:cs="宋体"/>
          <w:color w:val="auto"/>
          <w:sz w:val="19"/>
          <w:szCs w:val="19"/>
          <w:highlight w:val="none"/>
          <w:lang w:val="en-US" w:eastAsia="zh-CN"/>
        </w:rPr>
        <w:t>）</w:t>
      </w:r>
    </w:p>
    <w:p w14:paraId="633E1B84">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44BC4067">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2E0C283D">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5A906366">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62FACB07">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0300C876">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50EAD748">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2D8481C1">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3C199AE6">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16FD0D2C">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37174E89">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3A3ED303">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20B99954">
      <w:pPr>
        <w:pStyle w:val="6"/>
        <w:keepNext w:val="0"/>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highlight w:val="none"/>
          <w:lang w:val="en-US" w:eastAsia="zh-CN"/>
        </w:rPr>
      </w:pPr>
    </w:p>
    <w:p w14:paraId="7BD5478D">
      <w:pPr>
        <w:pStyle w:val="6"/>
        <w:bidi w:val="0"/>
        <w:jc w:val="center"/>
        <w:rPr>
          <w:rFonts w:hint="eastAsia"/>
          <w:color w:val="auto"/>
          <w:highlight w:val="none"/>
          <w:lang w:val="en-US" w:eastAsia="zh-CN"/>
        </w:rPr>
      </w:pPr>
      <w:bookmarkStart w:id="247" w:name="_Toc27832"/>
      <w:r>
        <w:rPr>
          <w:rFonts w:hint="eastAsia"/>
          <w:color w:val="auto"/>
          <w:highlight w:val="none"/>
          <w:lang w:val="en-US" w:eastAsia="zh-CN"/>
        </w:rPr>
        <w:t>十、供应商企业实力</w:t>
      </w:r>
      <w:bookmarkEnd w:id="247"/>
    </w:p>
    <w:p w14:paraId="236F0CFC">
      <w:pPr>
        <w:adjustRightInd w:val="0"/>
        <w:snapToGrid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简介</w:t>
      </w:r>
    </w:p>
    <w:p w14:paraId="5904E9F4">
      <w:pPr>
        <w:adjustRightInd w:val="0"/>
        <w:snapToGrid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2、详细介绍、</w:t>
      </w:r>
      <w:r>
        <w:rPr>
          <w:rFonts w:hint="eastAsia" w:ascii="宋体" w:hAnsi="宋体" w:cs="宋体"/>
          <w:color w:val="auto"/>
          <w:sz w:val="21"/>
          <w:szCs w:val="21"/>
          <w:highlight w:val="none"/>
          <w:lang w:eastAsia="zh-CN"/>
        </w:rPr>
        <w:t>理解项目内容</w:t>
      </w:r>
      <w:r>
        <w:rPr>
          <w:rFonts w:hint="eastAsia" w:ascii="宋体" w:hAnsi="宋体" w:eastAsia="宋体" w:cs="宋体"/>
          <w:color w:val="auto"/>
          <w:sz w:val="21"/>
          <w:szCs w:val="21"/>
          <w:highlight w:val="none"/>
        </w:rPr>
        <w:t xml:space="preserve">等 </w:t>
      </w:r>
    </w:p>
    <w:p w14:paraId="0BC15B1A">
      <w:pPr>
        <w:adjustRightInd w:val="0"/>
        <w:snapToGrid w:val="0"/>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3、业绩及目前正在执行合同的情况；</w:t>
      </w:r>
    </w:p>
    <w:p w14:paraId="019509C1">
      <w:pPr>
        <w:pStyle w:val="17"/>
        <w:rPr>
          <w:rFonts w:hint="default" w:hAnsi="宋体" w:cs="宋体"/>
          <w:color w:val="auto"/>
          <w:sz w:val="19"/>
          <w:szCs w:val="19"/>
          <w:highlight w:val="none"/>
          <w:lang w:val="en-US" w:eastAsia="zh-CN"/>
        </w:rPr>
      </w:pPr>
    </w:p>
    <w:p w14:paraId="2ED95680">
      <w:pPr>
        <w:spacing w:line="360" w:lineRule="auto"/>
        <w:rPr>
          <w:rFonts w:ascii="宋体" w:hAnsi="宋体" w:cs="宋体"/>
          <w:color w:val="auto"/>
          <w:sz w:val="19"/>
          <w:szCs w:val="19"/>
          <w:highlight w:val="none"/>
        </w:rPr>
      </w:pPr>
    </w:p>
    <w:p w14:paraId="0BCC8577">
      <w:pPr>
        <w:spacing w:line="360" w:lineRule="auto"/>
        <w:rPr>
          <w:rFonts w:ascii="宋体" w:hAnsi="宋体" w:cs="宋体"/>
          <w:color w:val="auto"/>
          <w:sz w:val="19"/>
          <w:szCs w:val="19"/>
          <w:highlight w:val="none"/>
        </w:rPr>
      </w:pPr>
    </w:p>
    <w:p w14:paraId="7EF327BC">
      <w:pPr>
        <w:spacing w:line="360" w:lineRule="auto"/>
        <w:rPr>
          <w:rFonts w:ascii="宋体" w:hAnsi="宋体" w:cs="宋体"/>
          <w:color w:val="auto"/>
          <w:sz w:val="19"/>
          <w:szCs w:val="19"/>
          <w:highlight w:val="none"/>
        </w:rPr>
      </w:pPr>
    </w:p>
    <w:p w14:paraId="1D480C03">
      <w:pPr>
        <w:spacing w:line="360" w:lineRule="auto"/>
        <w:rPr>
          <w:rFonts w:ascii="宋体" w:hAnsi="宋体" w:cs="宋体"/>
          <w:color w:val="auto"/>
          <w:sz w:val="19"/>
          <w:szCs w:val="19"/>
          <w:highlight w:val="none"/>
        </w:rPr>
      </w:pPr>
    </w:p>
    <w:p w14:paraId="69C97A5E">
      <w:pPr>
        <w:spacing w:line="360" w:lineRule="auto"/>
        <w:rPr>
          <w:rFonts w:ascii="宋体" w:hAnsi="宋体" w:cs="宋体"/>
          <w:color w:val="auto"/>
          <w:sz w:val="19"/>
          <w:szCs w:val="19"/>
          <w:highlight w:val="none"/>
        </w:rPr>
      </w:pPr>
    </w:p>
    <w:p w14:paraId="0BC13B0C">
      <w:pPr>
        <w:spacing w:line="360" w:lineRule="auto"/>
        <w:rPr>
          <w:rFonts w:ascii="宋体" w:hAnsi="宋体" w:cs="宋体"/>
          <w:color w:val="auto"/>
          <w:sz w:val="19"/>
          <w:szCs w:val="19"/>
          <w:highlight w:val="none"/>
        </w:rPr>
      </w:pPr>
    </w:p>
    <w:p w14:paraId="54320096">
      <w:pPr>
        <w:spacing w:line="360" w:lineRule="auto"/>
        <w:rPr>
          <w:rFonts w:ascii="宋体" w:hAnsi="宋体" w:cs="宋体"/>
          <w:color w:val="auto"/>
          <w:sz w:val="19"/>
          <w:szCs w:val="19"/>
          <w:highlight w:val="none"/>
        </w:rPr>
      </w:pPr>
    </w:p>
    <w:p w14:paraId="1F5B611F">
      <w:pPr>
        <w:spacing w:line="360" w:lineRule="auto"/>
        <w:rPr>
          <w:rFonts w:ascii="宋体" w:hAnsi="宋体" w:cs="宋体"/>
          <w:color w:val="auto"/>
          <w:sz w:val="19"/>
          <w:szCs w:val="19"/>
          <w:highlight w:val="none"/>
        </w:rPr>
      </w:pPr>
    </w:p>
    <w:p w14:paraId="05F628D4">
      <w:pPr>
        <w:spacing w:line="360" w:lineRule="auto"/>
        <w:rPr>
          <w:rFonts w:ascii="宋体" w:hAnsi="宋体" w:cs="宋体"/>
          <w:color w:val="auto"/>
          <w:sz w:val="19"/>
          <w:szCs w:val="19"/>
          <w:highlight w:val="none"/>
        </w:rPr>
      </w:pPr>
    </w:p>
    <w:p w14:paraId="637C282E">
      <w:pPr>
        <w:spacing w:line="360" w:lineRule="auto"/>
        <w:rPr>
          <w:rFonts w:ascii="宋体" w:hAnsi="宋体" w:cs="宋体"/>
          <w:color w:val="auto"/>
          <w:sz w:val="19"/>
          <w:szCs w:val="19"/>
          <w:highlight w:val="none"/>
        </w:rPr>
      </w:pPr>
      <w:r>
        <w:rPr>
          <w:rFonts w:hint="eastAsia" w:ascii="宋体" w:hAnsi="宋体" w:cs="宋体"/>
          <w:color w:val="auto"/>
          <w:sz w:val="19"/>
          <w:szCs w:val="19"/>
          <w:highlight w:val="none"/>
        </w:rPr>
        <w:t xml:space="preserve"> </w:t>
      </w:r>
    </w:p>
    <w:p w14:paraId="112492F1">
      <w:pPr>
        <w:numPr>
          <w:ilvl w:val="0"/>
          <w:numId w:val="0"/>
        </w:numPr>
        <w:spacing w:line="360" w:lineRule="auto"/>
        <w:jc w:val="center"/>
        <w:rPr>
          <w:rFonts w:hint="eastAsia" w:ascii="宋体" w:hAnsi="宋体" w:cs="宋体"/>
          <w:color w:val="auto"/>
          <w:sz w:val="19"/>
          <w:szCs w:val="19"/>
          <w:highlight w:val="none"/>
        </w:rPr>
      </w:pPr>
      <w:r>
        <w:rPr>
          <w:rFonts w:hint="eastAsia" w:ascii="宋体" w:hAnsi="宋体" w:cs="宋体"/>
          <w:color w:val="auto"/>
          <w:sz w:val="19"/>
          <w:szCs w:val="19"/>
          <w:highlight w:val="none"/>
        </w:rPr>
        <w:br w:type="page"/>
      </w:r>
    </w:p>
    <w:p w14:paraId="6DA8CD05">
      <w:pPr>
        <w:pStyle w:val="6"/>
        <w:spacing w:line="360" w:lineRule="auto"/>
        <w:jc w:val="center"/>
        <w:rPr>
          <w:rFonts w:hint="eastAsia" w:ascii="宋体" w:hAnsi="宋体" w:cs="宋体"/>
          <w:color w:val="auto"/>
          <w:highlight w:val="none"/>
          <w:lang w:val="en-US" w:eastAsia="zh-CN"/>
        </w:rPr>
      </w:pPr>
      <w:bookmarkStart w:id="248" w:name="_Toc9966"/>
      <w:bookmarkStart w:id="249" w:name="_Toc19591"/>
      <w:bookmarkStart w:id="250" w:name="_Toc15219"/>
      <w:r>
        <w:rPr>
          <w:rFonts w:hint="eastAsia" w:ascii="宋体" w:hAnsi="宋体" w:cs="宋体"/>
          <w:color w:val="auto"/>
          <w:highlight w:val="none"/>
          <w:lang w:val="en-US" w:eastAsia="zh-CN"/>
        </w:rPr>
        <w:t>十一、</w:t>
      </w:r>
      <w:r>
        <w:rPr>
          <w:rFonts w:hint="eastAsia" w:ascii="宋体" w:hAnsi="宋体" w:cs="宋体"/>
          <w:color w:val="auto"/>
          <w:highlight w:val="none"/>
        </w:rPr>
        <w:t>反商业贿赂承诺书</w:t>
      </w:r>
      <w:bookmarkEnd w:id="248"/>
    </w:p>
    <w:p w14:paraId="65CC7574">
      <w:pPr>
        <w:keepNext w:val="0"/>
        <w:keepLines w:val="0"/>
        <w:pageBreakBefore w:val="0"/>
        <w:widowControl w:val="0"/>
        <w:tabs>
          <w:tab w:val="left" w:pos="780"/>
        </w:tabs>
        <w:kinsoku/>
        <w:wordWrap/>
        <w:overflowPunct/>
        <w:topLinePunct w:val="0"/>
        <w:autoSpaceDE/>
        <w:autoSpaceDN/>
        <w:bidi w:val="0"/>
        <w:adjustRightInd w:val="0"/>
        <w:snapToGrid w:val="0"/>
        <w:spacing w:line="360" w:lineRule="auto"/>
        <w:ind w:right="0"/>
        <w:textAlignment w:val="auto"/>
        <w:rPr>
          <w:rFonts w:hint="eastAsia" w:ascii="宋体" w:hAnsi="宋体" w:cs="宋体"/>
          <w:color w:val="auto"/>
          <w:szCs w:val="21"/>
          <w:highlight w:val="none"/>
          <w:lang w:bidi="en-US"/>
        </w:rPr>
      </w:pPr>
      <w:r>
        <w:rPr>
          <w:rFonts w:hint="eastAsia" w:ascii="宋体" w:hAnsi="宋体" w:cs="宋体"/>
          <w:color w:val="auto"/>
          <w:szCs w:val="21"/>
          <w:highlight w:val="none"/>
          <w:lang w:bidi="en-US"/>
        </w:rPr>
        <w:t>我方承诺：</w:t>
      </w:r>
    </w:p>
    <w:p w14:paraId="1B70E525">
      <w:pPr>
        <w:keepNext w:val="0"/>
        <w:keepLines w:val="0"/>
        <w:pageBreakBefore w:val="0"/>
        <w:widowControl w:val="0"/>
        <w:tabs>
          <w:tab w:val="left" w:pos="780"/>
        </w:tabs>
        <w:kinsoku/>
        <w:wordWrap/>
        <w:overflowPunct/>
        <w:topLinePunct w:val="0"/>
        <w:autoSpaceDE/>
        <w:autoSpaceDN/>
        <w:bidi w:val="0"/>
        <w:adjustRightInd w:val="0"/>
        <w:snapToGrid w:val="0"/>
        <w:spacing w:line="360" w:lineRule="auto"/>
        <w:ind w:right="0" w:firstLine="210" w:firstLineChars="100"/>
        <w:textAlignment w:val="auto"/>
        <w:rPr>
          <w:rFonts w:hint="eastAsia" w:ascii="宋体" w:hAnsi="宋体" w:cs="宋体"/>
          <w:color w:val="auto"/>
          <w:szCs w:val="21"/>
          <w:highlight w:val="none"/>
          <w:lang w:bidi="en-US"/>
        </w:rPr>
      </w:pPr>
      <w:r>
        <w:rPr>
          <w:rFonts w:hint="eastAsia" w:ascii="宋体" w:hAnsi="宋体" w:cs="宋体"/>
          <w:color w:val="auto"/>
          <w:szCs w:val="21"/>
          <w:highlight w:val="none"/>
          <w:lang w:bidi="en-US"/>
        </w:rPr>
        <w:t>在</w:t>
      </w:r>
      <w:r>
        <w:rPr>
          <w:rFonts w:hint="eastAsia" w:ascii="宋体" w:hAnsi="宋体" w:cs="宋体"/>
          <w:color w:val="auto"/>
          <w:szCs w:val="21"/>
          <w:highlight w:val="none"/>
          <w:u w:val="single"/>
          <w:lang w:bidi="en-US"/>
        </w:rPr>
        <w:t xml:space="preserve">          </w:t>
      </w:r>
      <w:r>
        <w:rPr>
          <w:rFonts w:hint="eastAsia" w:ascii="宋体" w:hAnsi="宋体" w:cs="宋体"/>
          <w:color w:val="auto"/>
          <w:szCs w:val="21"/>
          <w:highlight w:val="none"/>
          <w:lang w:bidi="en-US"/>
        </w:rPr>
        <w:t>（项目名称）招标活动中，我方保证做到：</w:t>
      </w:r>
    </w:p>
    <w:p w14:paraId="4181D4CF">
      <w:pPr>
        <w:keepNext w:val="0"/>
        <w:keepLines w:val="0"/>
        <w:pageBreakBefore w:val="0"/>
        <w:widowControl w:val="0"/>
        <w:tabs>
          <w:tab w:val="left" w:pos="780"/>
        </w:tabs>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cs="宋体"/>
          <w:color w:val="auto"/>
          <w:szCs w:val="21"/>
          <w:highlight w:val="none"/>
          <w:lang w:bidi="en-US"/>
        </w:rPr>
      </w:pPr>
      <w:r>
        <w:rPr>
          <w:rFonts w:hint="eastAsia" w:ascii="宋体" w:hAnsi="宋体" w:cs="宋体"/>
          <w:color w:val="auto"/>
          <w:szCs w:val="21"/>
          <w:highlight w:val="none"/>
          <w:lang w:bidi="en-US"/>
        </w:rPr>
        <w:t>一、公平竞争参加本次招标活动。</w:t>
      </w:r>
    </w:p>
    <w:p w14:paraId="21C4B2C9">
      <w:pPr>
        <w:keepNext w:val="0"/>
        <w:keepLines w:val="0"/>
        <w:pageBreakBefore w:val="0"/>
        <w:widowControl w:val="0"/>
        <w:tabs>
          <w:tab w:val="left" w:pos="780"/>
        </w:tabs>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cs="宋体"/>
          <w:color w:val="auto"/>
          <w:szCs w:val="21"/>
          <w:highlight w:val="none"/>
          <w:lang w:bidi="en-US"/>
        </w:rPr>
      </w:pPr>
      <w:r>
        <w:rPr>
          <w:rFonts w:hint="eastAsia" w:ascii="宋体" w:hAnsi="宋体" w:cs="宋体"/>
          <w:color w:val="auto"/>
          <w:szCs w:val="21"/>
          <w:highlight w:val="none"/>
          <w:lang w:bidi="en-US"/>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2131DF0A">
      <w:pPr>
        <w:keepNext w:val="0"/>
        <w:keepLines w:val="0"/>
        <w:pageBreakBefore w:val="0"/>
        <w:widowControl w:val="0"/>
        <w:tabs>
          <w:tab w:val="left" w:pos="780"/>
        </w:tabs>
        <w:kinsoku/>
        <w:wordWrap/>
        <w:overflowPunct/>
        <w:topLinePunct w:val="0"/>
        <w:autoSpaceDE/>
        <w:autoSpaceDN/>
        <w:bidi w:val="0"/>
        <w:adjustRightInd w:val="0"/>
        <w:snapToGrid w:val="0"/>
        <w:spacing w:line="360" w:lineRule="auto"/>
        <w:ind w:right="0" w:firstLine="420" w:firstLineChars="200"/>
        <w:textAlignment w:val="auto"/>
        <w:rPr>
          <w:rFonts w:hint="eastAsia" w:ascii="宋体" w:hAnsi="宋体" w:cs="宋体"/>
          <w:color w:val="auto"/>
          <w:szCs w:val="21"/>
          <w:highlight w:val="none"/>
          <w:lang w:bidi="en-US"/>
        </w:rPr>
      </w:pPr>
      <w:r>
        <w:rPr>
          <w:rFonts w:hint="eastAsia" w:ascii="宋体" w:hAnsi="宋体" w:cs="宋体"/>
          <w:color w:val="auto"/>
          <w:szCs w:val="21"/>
          <w:highlight w:val="none"/>
          <w:lang w:bidi="en-US"/>
        </w:rPr>
        <w:t>三、若出现上述行为，我方及参与投标的工作人员愿意接受按照国家法律法规等有关规定给予的处罚。</w:t>
      </w:r>
    </w:p>
    <w:p w14:paraId="42183886">
      <w:pPr>
        <w:keepNext w:val="0"/>
        <w:keepLines w:val="0"/>
        <w:pageBreakBefore w:val="0"/>
        <w:widowControl w:val="0"/>
        <w:tabs>
          <w:tab w:val="left" w:pos="780"/>
        </w:tabs>
        <w:kinsoku/>
        <w:wordWrap/>
        <w:overflowPunct/>
        <w:topLinePunct w:val="0"/>
        <w:autoSpaceDE/>
        <w:autoSpaceDN/>
        <w:bidi w:val="0"/>
        <w:adjustRightInd w:val="0"/>
        <w:snapToGrid w:val="0"/>
        <w:spacing w:line="360" w:lineRule="auto"/>
        <w:ind w:right="0"/>
        <w:textAlignment w:val="auto"/>
        <w:rPr>
          <w:rFonts w:hint="eastAsia" w:ascii="宋体" w:hAnsi="宋体" w:cs="宋体"/>
          <w:color w:val="auto"/>
          <w:szCs w:val="21"/>
          <w:highlight w:val="none"/>
          <w:lang w:bidi="en-US"/>
        </w:rPr>
      </w:pPr>
    </w:p>
    <w:p w14:paraId="2A9133F0">
      <w:pPr>
        <w:keepNext w:val="0"/>
        <w:keepLines w:val="0"/>
        <w:pageBreakBefore w:val="0"/>
        <w:widowControl w:val="0"/>
        <w:kinsoku/>
        <w:wordWrap/>
        <w:overflowPunct/>
        <w:topLinePunct w:val="0"/>
        <w:autoSpaceDE/>
        <w:autoSpaceDN/>
        <w:bidi w:val="0"/>
        <w:adjustRightInd w:val="0"/>
        <w:snapToGrid w:val="0"/>
        <w:spacing w:line="360" w:lineRule="auto"/>
        <w:ind w:right="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投标人</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（盖章</w:t>
      </w:r>
      <w:r>
        <w:rPr>
          <w:rFonts w:hint="eastAsia" w:ascii="宋体" w:hAnsi="宋体" w:cs="宋体"/>
          <w:color w:val="auto"/>
          <w:szCs w:val="21"/>
          <w:highlight w:val="none"/>
          <w:lang w:eastAsia="zh-CN"/>
        </w:rPr>
        <w:t>或电子签章</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6BE6676A">
      <w:pPr>
        <w:keepNext w:val="0"/>
        <w:keepLines w:val="0"/>
        <w:pageBreakBefore w:val="0"/>
        <w:widowControl w:val="0"/>
        <w:kinsoku/>
        <w:wordWrap/>
        <w:overflowPunct/>
        <w:topLinePunct w:val="0"/>
        <w:autoSpaceDE/>
        <w:autoSpaceDN/>
        <w:bidi w:val="0"/>
        <w:adjustRightInd w:val="0"/>
        <w:snapToGrid w:val="0"/>
        <w:spacing w:line="360" w:lineRule="auto"/>
        <w:ind w:right="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法定代表人或其委托代理人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r>
        <w:rPr>
          <w:rFonts w:hint="eastAsia" w:ascii="宋体" w:hAnsi="宋体" w:cs="宋体"/>
          <w:color w:val="auto"/>
          <w:szCs w:val="21"/>
          <w:highlight w:val="none"/>
          <w:lang w:eastAsia="zh-CN"/>
        </w:rPr>
        <w:t>或电子签章</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509E83D8">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37ABAB41">
      <w:pPr>
        <w:pStyle w:val="6"/>
        <w:spacing w:line="360" w:lineRule="auto"/>
        <w:jc w:val="center"/>
        <w:rPr>
          <w:rFonts w:hint="eastAsia" w:ascii="宋体" w:hAnsi="宋体" w:cs="宋体"/>
          <w:color w:val="auto"/>
          <w:highlight w:val="none"/>
          <w:lang w:val="en-US" w:eastAsia="zh-CN"/>
        </w:rPr>
      </w:pPr>
    </w:p>
    <w:p w14:paraId="4BC5229F">
      <w:pPr>
        <w:rPr>
          <w:rFonts w:hint="eastAsia" w:ascii="宋体" w:hAnsi="宋体" w:cs="宋体"/>
          <w:color w:val="auto"/>
          <w:highlight w:val="none"/>
          <w:lang w:val="en-US" w:eastAsia="zh-CN"/>
        </w:rPr>
      </w:pPr>
    </w:p>
    <w:p w14:paraId="53BBA31A">
      <w:pPr>
        <w:pStyle w:val="15"/>
        <w:rPr>
          <w:rFonts w:hint="eastAsia" w:ascii="宋体" w:hAnsi="宋体" w:cs="宋体"/>
          <w:color w:val="auto"/>
          <w:highlight w:val="none"/>
          <w:lang w:val="en-US" w:eastAsia="zh-CN"/>
        </w:rPr>
      </w:pPr>
    </w:p>
    <w:p w14:paraId="75C8E814">
      <w:pPr>
        <w:pStyle w:val="15"/>
        <w:rPr>
          <w:rFonts w:hint="eastAsia" w:ascii="宋体" w:hAnsi="宋体" w:cs="宋体"/>
          <w:color w:val="auto"/>
          <w:highlight w:val="none"/>
          <w:lang w:val="en-US" w:eastAsia="zh-CN"/>
        </w:rPr>
      </w:pPr>
    </w:p>
    <w:p w14:paraId="44A792E0">
      <w:pPr>
        <w:pStyle w:val="15"/>
        <w:rPr>
          <w:rFonts w:hint="eastAsia" w:ascii="宋体" w:hAnsi="宋体" w:cs="宋体"/>
          <w:color w:val="auto"/>
          <w:highlight w:val="none"/>
          <w:lang w:val="en-US" w:eastAsia="zh-CN"/>
        </w:rPr>
      </w:pPr>
    </w:p>
    <w:p w14:paraId="5AF72044">
      <w:pPr>
        <w:pStyle w:val="15"/>
        <w:rPr>
          <w:rFonts w:hint="eastAsia" w:ascii="宋体" w:hAnsi="宋体" w:cs="宋体"/>
          <w:color w:val="auto"/>
          <w:highlight w:val="none"/>
          <w:lang w:val="en-US" w:eastAsia="zh-CN"/>
        </w:rPr>
      </w:pPr>
    </w:p>
    <w:p w14:paraId="23C2D49C">
      <w:pPr>
        <w:pStyle w:val="15"/>
        <w:rPr>
          <w:rFonts w:hint="eastAsia" w:ascii="宋体" w:hAnsi="宋体" w:cs="宋体"/>
          <w:color w:val="auto"/>
          <w:highlight w:val="none"/>
          <w:lang w:val="en-US" w:eastAsia="zh-CN"/>
        </w:rPr>
      </w:pPr>
    </w:p>
    <w:p w14:paraId="2E8ABF48">
      <w:pPr>
        <w:pStyle w:val="15"/>
        <w:rPr>
          <w:rFonts w:hint="eastAsia" w:ascii="宋体" w:hAnsi="宋体" w:cs="宋体"/>
          <w:color w:val="auto"/>
          <w:highlight w:val="none"/>
          <w:lang w:val="en-US" w:eastAsia="zh-CN"/>
        </w:rPr>
      </w:pPr>
    </w:p>
    <w:p w14:paraId="2475944A">
      <w:pPr>
        <w:pStyle w:val="15"/>
        <w:rPr>
          <w:rFonts w:hint="eastAsia" w:ascii="宋体" w:hAnsi="宋体" w:cs="宋体"/>
          <w:color w:val="auto"/>
          <w:highlight w:val="none"/>
          <w:lang w:val="en-US" w:eastAsia="zh-CN"/>
        </w:rPr>
      </w:pPr>
    </w:p>
    <w:p w14:paraId="384F8C27">
      <w:pPr>
        <w:pStyle w:val="15"/>
        <w:rPr>
          <w:rFonts w:hint="eastAsia" w:ascii="宋体" w:hAnsi="宋体" w:cs="宋体"/>
          <w:color w:val="auto"/>
          <w:highlight w:val="none"/>
          <w:lang w:val="en-US" w:eastAsia="zh-CN"/>
        </w:rPr>
      </w:pPr>
    </w:p>
    <w:p w14:paraId="7D090BB3">
      <w:pPr>
        <w:pStyle w:val="15"/>
        <w:rPr>
          <w:rFonts w:hint="eastAsia" w:ascii="宋体" w:hAnsi="宋体" w:cs="宋体"/>
          <w:color w:val="auto"/>
          <w:highlight w:val="none"/>
          <w:lang w:val="en-US" w:eastAsia="zh-CN"/>
        </w:rPr>
      </w:pPr>
    </w:p>
    <w:p w14:paraId="266946F6">
      <w:pPr>
        <w:pStyle w:val="15"/>
        <w:rPr>
          <w:rFonts w:hint="eastAsia" w:ascii="宋体" w:hAnsi="宋体" w:cs="宋体"/>
          <w:color w:val="auto"/>
          <w:highlight w:val="none"/>
          <w:lang w:val="en-US" w:eastAsia="zh-CN"/>
        </w:rPr>
      </w:pPr>
    </w:p>
    <w:p w14:paraId="6A1AF0CC">
      <w:pPr>
        <w:pStyle w:val="15"/>
        <w:rPr>
          <w:rFonts w:hint="eastAsia" w:ascii="宋体" w:hAnsi="宋体" w:cs="宋体"/>
          <w:color w:val="auto"/>
          <w:highlight w:val="none"/>
          <w:lang w:val="en-US" w:eastAsia="zh-CN"/>
        </w:rPr>
      </w:pPr>
    </w:p>
    <w:p w14:paraId="65C279EB">
      <w:pPr>
        <w:pStyle w:val="15"/>
        <w:rPr>
          <w:rFonts w:hint="eastAsia" w:ascii="宋体" w:hAnsi="宋体" w:cs="宋体"/>
          <w:color w:val="auto"/>
          <w:highlight w:val="none"/>
          <w:lang w:val="en-US" w:eastAsia="zh-CN"/>
        </w:rPr>
      </w:pPr>
    </w:p>
    <w:p w14:paraId="130E2DD0">
      <w:pPr>
        <w:pStyle w:val="15"/>
        <w:rPr>
          <w:rFonts w:hint="eastAsia" w:ascii="宋体" w:hAnsi="宋体" w:cs="宋体"/>
          <w:color w:val="auto"/>
          <w:highlight w:val="none"/>
          <w:lang w:val="en-US" w:eastAsia="zh-CN"/>
        </w:rPr>
      </w:pPr>
    </w:p>
    <w:p w14:paraId="00548B56">
      <w:pPr>
        <w:pStyle w:val="15"/>
        <w:rPr>
          <w:rFonts w:hint="eastAsia" w:ascii="宋体" w:hAnsi="宋体" w:cs="宋体"/>
          <w:color w:val="auto"/>
          <w:highlight w:val="none"/>
          <w:lang w:val="en-US" w:eastAsia="zh-CN"/>
        </w:rPr>
      </w:pPr>
    </w:p>
    <w:p w14:paraId="0E865CFF">
      <w:pPr>
        <w:pStyle w:val="6"/>
        <w:spacing w:line="360" w:lineRule="auto"/>
        <w:jc w:val="center"/>
        <w:rPr>
          <w:rFonts w:hint="eastAsia" w:ascii="宋体" w:hAnsi="宋体" w:cs="宋体"/>
          <w:color w:val="auto"/>
          <w:highlight w:val="none"/>
          <w:lang w:val="en-US" w:eastAsia="zh-CN"/>
        </w:rPr>
      </w:pPr>
      <w:bookmarkStart w:id="251" w:name="_Toc5656"/>
      <w:r>
        <w:rPr>
          <w:rFonts w:hint="eastAsia" w:ascii="宋体" w:hAnsi="宋体" w:cs="宋体"/>
          <w:color w:val="auto"/>
          <w:highlight w:val="none"/>
          <w:lang w:val="en-US" w:eastAsia="zh-CN"/>
        </w:rPr>
        <w:t>十二、中小企业声明函</w:t>
      </w:r>
      <w:bookmarkEnd w:id="251"/>
    </w:p>
    <w:p w14:paraId="21CB5EBF">
      <w:pPr>
        <w:spacing w:line="332" w:lineRule="exact"/>
        <w:rPr>
          <w:rFonts w:hint="eastAsia" w:ascii="宋体" w:hAnsi="宋体" w:eastAsia="宋体" w:cs="宋体"/>
          <w:color w:val="auto"/>
          <w:sz w:val="24"/>
          <w:szCs w:val="24"/>
          <w:highlight w:val="none"/>
        </w:rPr>
      </w:pPr>
    </w:p>
    <w:p w14:paraId="1F2CFF86">
      <w:pPr>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本公司郑重声明，根据《政府采购促进中小企业发展</w:t>
      </w:r>
      <w:r>
        <w:rPr>
          <w:rFonts w:hint="eastAsia" w:ascii="宋体" w:hAnsi="宋体" w:cs="宋体"/>
          <w:color w:val="auto"/>
          <w:sz w:val="21"/>
          <w:szCs w:val="21"/>
          <w:highlight w:val="none"/>
          <w:lang w:eastAsia="zh-CN"/>
        </w:rPr>
        <w:t>管理</w:t>
      </w:r>
      <w:r>
        <w:rPr>
          <w:rFonts w:hint="eastAsia" w:ascii="宋体" w:hAnsi="宋体" w:cs="宋体"/>
          <w:color w:val="auto"/>
          <w:sz w:val="21"/>
          <w:szCs w:val="21"/>
          <w:highlight w:val="none"/>
        </w:rPr>
        <w:t>办法》（财库[20</w:t>
      </w:r>
      <w:r>
        <w:rPr>
          <w:rFonts w:hint="eastAsia" w:ascii="宋体" w:hAnsi="宋体" w:cs="宋体"/>
          <w:color w:val="auto"/>
          <w:sz w:val="21"/>
          <w:szCs w:val="21"/>
          <w:highlight w:val="none"/>
          <w:lang w:val="en-US" w:eastAsia="zh-CN"/>
        </w:rPr>
        <w:t>20</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46</w:t>
      </w:r>
      <w:r>
        <w:rPr>
          <w:rFonts w:hint="eastAsia" w:ascii="宋体" w:hAnsi="宋体" w:cs="宋体"/>
          <w:color w:val="auto"/>
          <w:sz w:val="21"/>
          <w:szCs w:val="21"/>
          <w:highlight w:val="none"/>
        </w:rPr>
        <w:t>号）的规定，本公司</w:t>
      </w:r>
      <w:r>
        <w:rPr>
          <w:rFonts w:hint="eastAsia" w:ascii="宋体" w:hAnsi="宋体" w:cs="宋体"/>
          <w:color w:val="auto"/>
          <w:sz w:val="21"/>
          <w:szCs w:val="21"/>
          <w:highlight w:val="none"/>
          <w:lang w:eastAsia="zh-CN"/>
        </w:rPr>
        <w:t>参加</w:t>
      </w:r>
      <w:r>
        <w:rPr>
          <w:rFonts w:hint="eastAsia" w:ascii="宋体" w:hAnsi="宋体" w:cs="宋体"/>
          <w:color w:val="auto"/>
          <w:sz w:val="21"/>
          <w:szCs w:val="21"/>
          <w:highlight w:val="none"/>
        </w:rPr>
        <w:t>______</w:t>
      </w:r>
      <w:r>
        <w:rPr>
          <w:rFonts w:hint="eastAsia" w:ascii="宋体" w:hAnsi="宋体" w:cs="宋体"/>
          <w:color w:val="auto"/>
          <w:sz w:val="21"/>
          <w:szCs w:val="21"/>
          <w:highlight w:val="none"/>
          <w:lang w:val="en-US" w:eastAsia="zh-CN"/>
        </w:rPr>
        <w:t>（采购人名称）</w:t>
      </w:r>
      <w:r>
        <w:rPr>
          <w:rFonts w:hint="eastAsia" w:ascii="宋体" w:hAnsi="宋体" w:cs="宋体"/>
          <w:color w:val="auto"/>
          <w:sz w:val="21"/>
          <w:szCs w:val="21"/>
          <w:highlight w:val="none"/>
        </w:rPr>
        <w:t>______</w:t>
      </w:r>
      <w:r>
        <w:rPr>
          <w:rFonts w:hint="eastAsia" w:ascii="宋体" w:hAnsi="宋体" w:cs="宋体"/>
          <w:color w:val="auto"/>
          <w:sz w:val="21"/>
          <w:szCs w:val="21"/>
          <w:highlight w:val="none"/>
          <w:lang w:val="en-US" w:eastAsia="zh-CN"/>
        </w:rPr>
        <w:t>（项目名称）采购活动，服务全部由符合政策要求的中小企业承接。相关企业的具体情况如下：</w:t>
      </w:r>
    </w:p>
    <w:p w14:paraId="63DEDF3C">
      <w:pPr>
        <w:adjustRightInd w:val="0"/>
        <w:snapToGrid w:val="0"/>
        <w:spacing w:line="360" w:lineRule="auto"/>
        <w:jc w:val="left"/>
        <w:rPr>
          <w:rFonts w:hint="eastAsia" w:ascii="宋体" w:hAnsi="宋体" w:cs="宋体"/>
          <w:color w:val="auto"/>
          <w:sz w:val="21"/>
          <w:szCs w:val="21"/>
          <w:highlight w:val="none"/>
        </w:rPr>
      </w:pPr>
    </w:p>
    <w:p w14:paraId="31C1BDC2">
      <w:pPr>
        <w:adjustRightInd w:val="0"/>
        <w:snapToGrid w:val="0"/>
        <w:spacing w:line="360" w:lineRule="auto"/>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1.______</w:t>
      </w:r>
      <w:r>
        <w:rPr>
          <w:rFonts w:hint="eastAsia" w:ascii="宋体" w:hAnsi="宋体" w:cs="宋体"/>
          <w:color w:val="auto"/>
          <w:sz w:val="21"/>
          <w:szCs w:val="21"/>
          <w:highlight w:val="none"/>
          <w:lang w:eastAsia="zh-CN"/>
        </w:rPr>
        <w:t>（标的名称），属于</w:t>
      </w:r>
      <w:r>
        <w:rPr>
          <w:rFonts w:hint="eastAsia" w:ascii="宋体" w:hAnsi="宋体" w:cs="宋体"/>
          <w:color w:val="auto"/>
          <w:sz w:val="21"/>
          <w:szCs w:val="21"/>
          <w:highlight w:val="none"/>
          <w:u w:val="single"/>
          <w:lang w:eastAsia="zh-CN"/>
        </w:rPr>
        <w:t>其他未列明行业</w:t>
      </w:r>
      <w:r>
        <w:rPr>
          <w:rFonts w:hint="eastAsia" w:ascii="宋体" w:hAnsi="宋体" w:cs="宋体"/>
          <w:color w:val="auto"/>
          <w:sz w:val="21"/>
          <w:szCs w:val="21"/>
          <w:highlight w:val="none"/>
          <w:lang w:val="en-US" w:eastAsia="zh-CN"/>
        </w:rPr>
        <w:t>，承接企业为</w:t>
      </w:r>
      <w:r>
        <w:rPr>
          <w:rFonts w:hint="eastAsia" w:ascii="宋体" w:hAnsi="宋体" w:cs="宋体"/>
          <w:color w:val="auto"/>
          <w:sz w:val="21"/>
          <w:szCs w:val="21"/>
          <w:highlight w:val="none"/>
        </w:rPr>
        <w:t>______</w:t>
      </w:r>
      <w:r>
        <w:rPr>
          <w:rFonts w:hint="eastAsia" w:ascii="宋体" w:hAnsi="宋体" w:cs="宋体"/>
          <w:color w:val="auto"/>
          <w:sz w:val="21"/>
          <w:szCs w:val="21"/>
          <w:highlight w:val="none"/>
          <w:lang w:val="en-US" w:eastAsia="zh-CN"/>
        </w:rPr>
        <w:t>（企业名称），从业人员</w:t>
      </w:r>
      <w:r>
        <w:rPr>
          <w:rFonts w:hint="eastAsia" w:ascii="宋体" w:hAnsi="宋体" w:cs="宋体"/>
          <w:color w:val="auto"/>
          <w:sz w:val="21"/>
          <w:szCs w:val="21"/>
          <w:highlight w:val="none"/>
        </w:rPr>
        <w:t>______</w:t>
      </w:r>
      <w:r>
        <w:rPr>
          <w:rFonts w:hint="eastAsia" w:ascii="宋体" w:hAnsi="宋体" w:cs="宋体"/>
          <w:color w:val="auto"/>
          <w:sz w:val="21"/>
          <w:szCs w:val="21"/>
          <w:highlight w:val="none"/>
          <w:lang w:val="en-US" w:eastAsia="zh-CN"/>
        </w:rPr>
        <w:t>人，营业收入为</w:t>
      </w:r>
      <w:r>
        <w:rPr>
          <w:rFonts w:hint="eastAsia" w:ascii="宋体" w:hAnsi="宋体" w:cs="宋体"/>
          <w:color w:val="auto"/>
          <w:sz w:val="21"/>
          <w:szCs w:val="21"/>
          <w:highlight w:val="none"/>
        </w:rPr>
        <w:t>______</w:t>
      </w:r>
      <w:r>
        <w:rPr>
          <w:rFonts w:hint="eastAsia" w:ascii="宋体" w:hAnsi="宋体" w:cs="宋体"/>
          <w:color w:val="auto"/>
          <w:sz w:val="21"/>
          <w:szCs w:val="21"/>
          <w:highlight w:val="none"/>
          <w:lang w:val="en-US" w:eastAsia="zh-CN"/>
        </w:rPr>
        <w:t>万元，资产总额为</w:t>
      </w:r>
      <w:r>
        <w:rPr>
          <w:rFonts w:hint="eastAsia" w:ascii="宋体" w:hAnsi="宋体" w:cs="宋体"/>
          <w:color w:val="auto"/>
          <w:sz w:val="21"/>
          <w:szCs w:val="21"/>
          <w:highlight w:val="none"/>
        </w:rPr>
        <w:t>______</w:t>
      </w:r>
      <w:r>
        <w:rPr>
          <w:rFonts w:hint="eastAsia" w:ascii="宋体" w:hAnsi="宋体" w:cs="宋体"/>
          <w:color w:val="auto"/>
          <w:sz w:val="21"/>
          <w:szCs w:val="21"/>
          <w:highlight w:val="none"/>
          <w:lang w:val="en-US" w:eastAsia="zh-CN"/>
        </w:rPr>
        <w:t>万元，属于</w:t>
      </w:r>
      <w:r>
        <w:rPr>
          <w:rFonts w:hint="eastAsia" w:ascii="宋体" w:hAnsi="宋体" w:cs="宋体"/>
          <w:color w:val="auto"/>
          <w:sz w:val="21"/>
          <w:szCs w:val="21"/>
          <w:highlight w:val="none"/>
        </w:rPr>
        <w:t>______（请填写：中型、小型、微型）企业。</w:t>
      </w:r>
    </w:p>
    <w:p w14:paraId="09B092C7">
      <w:pPr>
        <w:adjustRightInd w:val="0"/>
        <w:snapToGrid w:val="0"/>
        <w:spacing w:line="360" w:lineRule="auto"/>
        <w:jc w:val="left"/>
        <w:rPr>
          <w:rFonts w:hint="eastAsia" w:ascii="宋体" w:hAnsi="宋体" w:cs="宋体"/>
          <w:color w:val="auto"/>
          <w:sz w:val="21"/>
          <w:szCs w:val="21"/>
          <w:highlight w:val="none"/>
        </w:rPr>
      </w:pPr>
    </w:p>
    <w:p w14:paraId="11667667">
      <w:pPr>
        <w:adjustRightInd w:val="0"/>
        <w:snapToGrid w:val="0"/>
        <w:spacing w:line="360" w:lineRule="auto"/>
        <w:jc w:val="left"/>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______</w:t>
      </w:r>
      <w:r>
        <w:rPr>
          <w:rFonts w:hint="eastAsia" w:ascii="宋体" w:hAnsi="宋体" w:cs="宋体"/>
          <w:color w:val="auto"/>
          <w:sz w:val="21"/>
          <w:szCs w:val="21"/>
          <w:highlight w:val="none"/>
          <w:lang w:eastAsia="zh-CN"/>
        </w:rPr>
        <w:t>（标的名称），属于</w:t>
      </w:r>
      <w:r>
        <w:rPr>
          <w:rFonts w:hint="eastAsia" w:ascii="宋体" w:hAnsi="宋体" w:cs="宋体"/>
          <w:color w:val="auto"/>
          <w:sz w:val="21"/>
          <w:szCs w:val="21"/>
          <w:highlight w:val="none"/>
          <w:u w:val="single"/>
          <w:lang w:eastAsia="zh-CN"/>
        </w:rPr>
        <w:t>其他未列明行业</w:t>
      </w:r>
      <w:r>
        <w:rPr>
          <w:rFonts w:hint="eastAsia" w:ascii="宋体" w:hAnsi="宋体" w:cs="宋体"/>
          <w:color w:val="auto"/>
          <w:sz w:val="21"/>
          <w:szCs w:val="21"/>
          <w:highlight w:val="none"/>
          <w:lang w:val="en-US" w:eastAsia="zh-CN"/>
        </w:rPr>
        <w:t>，承接企业为</w:t>
      </w:r>
      <w:r>
        <w:rPr>
          <w:rFonts w:hint="eastAsia" w:ascii="宋体" w:hAnsi="宋体" w:cs="宋体"/>
          <w:color w:val="auto"/>
          <w:sz w:val="21"/>
          <w:szCs w:val="21"/>
          <w:highlight w:val="none"/>
        </w:rPr>
        <w:t>______</w:t>
      </w:r>
      <w:r>
        <w:rPr>
          <w:rFonts w:hint="eastAsia" w:ascii="宋体" w:hAnsi="宋体" w:cs="宋体"/>
          <w:color w:val="auto"/>
          <w:sz w:val="21"/>
          <w:szCs w:val="21"/>
          <w:highlight w:val="none"/>
          <w:lang w:val="en-US" w:eastAsia="zh-CN"/>
        </w:rPr>
        <w:t xml:space="preserve">（企业名称），从业人员 </w:t>
      </w:r>
      <w:r>
        <w:rPr>
          <w:rFonts w:hint="eastAsia" w:ascii="宋体" w:hAnsi="宋体" w:cs="宋体"/>
          <w:color w:val="auto"/>
          <w:sz w:val="21"/>
          <w:szCs w:val="21"/>
          <w:highlight w:val="none"/>
        </w:rPr>
        <w:t>______</w:t>
      </w:r>
      <w:r>
        <w:rPr>
          <w:rFonts w:hint="eastAsia" w:ascii="宋体" w:hAnsi="宋体" w:cs="宋体"/>
          <w:color w:val="auto"/>
          <w:sz w:val="21"/>
          <w:szCs w:val="21"/>
          <w:highlight w:val="none"/>
          <w:lang w:val="en-US" w:eastAsia="zh-CN"/>
        </w:rPr>
        <w:t>人，营业收入为</w:t>
      </w:r>
      <w:r>
        <w:rPr>
          <w:rFonts w:hint="eastAsia" w:ascii="宋体" w:hAnsi="宋体" w:cs="宋体"/>
          <w:color w:val="auto"/>
          <w:sz w:val="21"/>
          <w:szCs w:val="21"/>
          <w:highlight w:val="none"/>
        </w:rPr>
        <w:t>______</w:t>
      </w:r>
      <w:r>
        <w:rPr>
          <w:rFonts w:hint="eastAsia" w:ascii="宋体" w:hAnsi="宋体" w:cs="宋体"/>
          <w:color w:val="auto"/>
          <w:sz w:val="21"/>
          <w:szCs w:val="21"/>
          <w:highlight w:val="none"/>
          <w:lang w:val="en-US" w:eastAsia="zh-CN"/>
        </w:rPr>
        <w:t>万元，资产总额为</w:t>
      </w:r>
      <w:r>
        <w:rPr>
          <w:rFonts w:hint="eastAsia" w:ascii="宋体" w:hAnsi="宋体" w:cs="宋体"/>
          <w:color w:val="auto"/>
          <w:sz w:val="21"/>
          <w:szCs w:val="21"/>
          <w:highlight w:val="none"/>
        </w:rPr>
        <w:t>______</w:t>
      </w:r>
      <w:r>
        <w:rPr>
          <w:rFonts w:hint="eastAsia" w:ascii="宋体" w:hAnsi="宋体" w:cs="宋体"/>
          <w:color w:val="auto"/>
          <w:sz w:val="21"/>
          <w:szCs w:val="21"/>
          <w:highlight w:val="none"/>
          <w:lang w:val="en-US" w:eastAsia="zh-CN"/>
        </w:rPr>
        <w:t>万元，属于</w:t>
      </w:r>
      <w:r>
        <w:rPr>
          <w:rFonts w:hint="eastAsia" w:ascii="宋体" w:hAnsi="宋体" w:cs="宋体"/>
          <w:color w:val="auto"/>
          <w:sz w:val="21"/>
          <w:szCs w:val="21"/>
          <w:highlight w:val="none"/>
        </w:rPr>
        <w:t>______（请填写：中型、小型、微型）企业。</w:t>
      </w:r>
    </w:p>
    <w:p w14:paraId="2223CE5F">
      <w:pPr>
        <w:adjustRightInd w:val="0"/>
        <w:snapToGrid w:val="0"/>
        <w:spacing w:line="360" w:lineRule="auto"/>
        <w:jc w:val="left"/>
        <w:rPr>
          <w:rFonts w:hint="eastAsia" w:ascii="宋体" w:hAnsi="宋体" w:cs="宋体"/>
          <w:color w:val="auto"/>
          <w:sz w:val="21"/>
          <w:szCs w:val="21"/>
          <w:highlight w:val="none"/>
        </w:rPr>
      </w:pPr>
    </w:p>
    <w:p w14:paraId="34A80E34">
      <w:pPr>
        <w:adjustRightInd w:val="0"/>
        <w:snapToGrid w:val="0"/>
        <w:spacing w:line="360" w:lineRule="auto"/>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p w14:paraId="7ECB0635">
      <w:pPr>
        <w:adjustRightInd w:val="0"/>
        <w:snapToGrid w:val="0"/>
        <w:spacing w:line="360" w:lineRule="auto"/>
        <w:jc w:val="left"/>
        <w:rPr>
          <w:rFonts w:hint="eastAsia" w:ascii="宋体" w:hAnsi="宋体" w:cs="宋体"/>
          <w:color w:val="auto"/>
          <w:sz w:val="21"/>
          <w:szCs w:val="21"/>
          <w:highlight w:val="none"/>
          <w:lang w:val="en-US" w:eastAsia="zh-CN"/>
        </w:rPr>
      </w:pPr>
    </w:p>
    <w:p w14:paraId="0C551936">
      <w:pPr>
        <w:adjustRightInd w:val="0"/>
        <w:snapToGrid w:val="0"/>
        <w:spacing w:line="360" w:lineRule="auto"/>
        <w:rPr>
          <w:rFonts w:hint="eastAsia" w:ascii="宋体" w:hAnsi="宋体" w:cs="宋体"/>
          <w:color w:val="auto"/>
          <w:sz w:val="21"/>
          <w:szCs w:val="21"/>
          <w:highlight w:val="none"/>
          <w:lang w:val="en-GB"/>
        </w:rPr>
      </w:pPr>
      <w:r>
        <w:rPr>
          <w:rFonts w:hint="eastAsia" w:ascii="宋体" w:hAnsi="宋体" w:cs="宋体"/>
          <w:color w:val="auto"/>
          <w:sz w:val="21"/>
          <w:szCs w:val="21"/>
          <w:highlight w:val="none"/>
          <w:lang w:val="en-GB"/>
        </w:rPr>
        <w:t>以上企业，不属于大企业的分支机构，不存在控股股东为大企业的情形，也不存在与大企业的负责人为同一人的情形。</w:t>
      </w:r>
    </w:p>
    <w:p w14:paraId="2B0500A7">
      <w:pPr>
        <w:adjustRightInd w:val="0"/>
        <w:snapToGrid w:val="0"/>
        <w:spacing w:line="360" w:lineRule="auto"/>
        <w:rPr>
          <w:rFonts w:hint="eastAsia" w:ascii="宋体" w:hAnsi="宋体" w:cs="宋体"/>
          <w:color w:val="auto"/>
          <w:sz w:val="21"/>
          <w:szCs w:val="21"/>
          <w:highlight w:val="none"/>
          <w:lang w:val="en-GB"/>
        </w:rPr>
      </w:pPr>
      <w:r>
        <w:rPr>
          <w:rFonts w:hint="eastAsia" w:ascii="宋体" w:hAnsi="宋体" w:cs="宋体"/>
          <w:color w:val="auto"/>
          <w:sz w:val="21"/>
          <w:szCs w:val="21"/>
          <w:highlight w:val="none"/>
          <w:lang w:val="en-GB"/>
        </w:rPr>
        <w:t>本企业对上述声明内容的真实性负责。如有虚假，将依法承担相应责任。</w:t>
      </w:r>
    </w:p>
    <w:p w14:paraId="05A70BA5">
      <w:pPr>
        <w:adjustRightInd w:val="0"/>
        <w:snapToGrid w:val="0"/>
        <w:spacing w:line="360" w:lineRule="auto"/>
        <w:rPr>
          <w:rFonts w:hint="eastAsia" w:ascii="宋体" w:hAnsi="宋体" w:cs="宋体"/>
          <w:color w:val="auto"/>
          <w:sz w:val="21"/>
          <w:szCs w:val="21"/>
          <w:highlight w:val="none"/>
          <w:lang w:val="en-GB"/>
        </w:rPr>
      </w:pPr>
      <w:r>
        <w:rPr>
          <w:rFonts w:hint="eastAsia" w:ascii="宋体" w:hAnsi="宋体" w:cs="宋体"/>
          <w:color w:val="auto"/>
          <w:sz w:val="21"/>
          <w:szCs w:val="21"/>
          <w:highlight w:val="none"/>
          <w:lang w:val="en-GB"/>
        </w:rPr>
        <w:t>注：从业人员、营业收入、资产总额填报上一年度数据，无上一年度数据的新成立企业可不填报。</w:t>
      </w:r>
    </w:p>
    <w:p w14:paraId="1B7C4B95">
      <w:pPr>
        <w:adjustRightInd w:val="0"/>
        <w:snapToGrid w:val="0"/>
        <w:spacing w:line="360" w:lineRule="auto"/>
        <w:jc w:val="right"/>
        <w:rPr>
          <w:rFonts w:hint="eastAsia" w:ascii="宋体" w:hAnsi="宋体" w:cs="宋体"/>
          <w:color w:val="auto"/>
          <w:sz w:val="21"/>
          <w:szCs w:val="21"/>
          <w:highlight w:val="none"/>
          <w:lang w:val="en-GB"/>
        </w:rPr>
      </w:pPr>
      <w:r>
        <w:rPr>
          <w:rFonts w:hint="eastAsia" w:ascii="宋体" w:hAnsi="宋体" w:cs="宋体"/>
          <w:color w:val="auto"/>
          <w:sz w:val="21"/>
          <w:szCs w:val="21"/>
          <w:highlight w:val="none"/>
          <w:lang w:val="en-GB"/>
        </w:rPr>
        <w:t xml:space="preserve">                       </w:t>
      </w:r>
    </w:p>
    <w:p w14:paraId="571F51BB">
      <w:pPr>
        <w:adjustRightInd w:val="0"/>
        <w:snapToGrid w:val="0"/>
        <w:spacing w:line="360" w:lineRule="auto"/>
        <w:jc w:val="both"/>
        <w:rPr>
          <w:rFonts w:hint="eastAsia" w:ascii="宋体" w:hAnsi="宋体" w:cs="宋体"/>
          <w:color w:val="auto"/>
          <w:sz w:val="21"/>
          <w:szCs w:val="21"/>
          <w:highlight w:val="none"/>
          <w:lang w:val="en-US" w:eastAsia="zh-CN"/>
        </w:rPr>
      </w:pPr>
    </w:p>
    <w:p w14:paraId="339AFE85">
      <w:pPr>
        <w:adjustRightInd w:val="0"/>
        <w:snapToGrid w:val="0"/>
        <w:spacing w:line="360" w:lineRule="auto"/>
        <w:ind w:firstLine="4620" w:firstLineChars="2200"/>
        <w:jc w:val="both"/>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企业名称：（盖章或电子签章）</w:t>
      </w:r>
    </w:p>
    <w:p w14:paraId="41671B73">
      <w:pPr>
        <w:pStyle w:val="11"/>
        <w:spacing w:line="360" w:lineRule="auto"/>
        <w:ind w:firstLine="480"/>
        <w:jc w:val="right"/>
        <w:rPr>
          <w:rFonts w:hint="eastAsia" w:ascii="宋体" w:hAnsi="宋体" w:eastAsia="宋体" w:cs="宋体"/>
          <w:b/>
          <w:color w:val="auto"/>
          <w:sz w:val="21"/>
          <w:szCs w:val="21"/>
          <w:highlight w:val="none"/>
        </w:rPr>
      </w:pPr>
      <w:r>
        <w:rPr>
          <w:rFonts w:hint="eastAsia" w:ascii="宋体" w:hAnsi="宋体" w:cs="宋体"/>
          <w:color w:val="auto"/>
          <w:sz w:val="21"/>
          <w:szCs w:val="21"/>
          <w:highlight w:val="none"/>
          <w:lang w:val="en-US" w:eastAsia="zh-CN"/>
        </w:rPr>
        <w:t>日期：</w:t>
      </w:r>
    </w:p>
    <w:p w14:paraId="39ABD10B">
      <w:pPr>
        <w:spacing w:line="360" w:lineRule="auto"/>
        <w:jc w:val="center"/>
        <w:outlineLvl w:val="1"/>
        <w:rPr>
          <w:rFonts w:hint="eastAsia" w:ascii="宋体" w:hAnsi="宋体" w:eastAsia="宋体" w:cs="宋体"/>
          <w:b/>
          <w:color w:val="auto"/>
          <w:sz w:val="21"/>
          <w:szCs w:val="21"/>
          <w:highlight w:val="none"/>
        </w:rPr>
      </w:pPr>
    </w:p>
    <w:p w14:paraId="34D454E8">
      <w:pPr>
        <w:pStyle w:val="32"/>
        <w:rPr>
          <w:rFonts w:hint="eastAsia"/>
          <w:color w:val="auto"/>
          <w:highlight w:val="none"/>
        </w:rPr>
      </w:pPr>
    </w:p>
    <w:p w14:paraId="4DE7E074">
      <w:pPr>
        <w:spacing w:line="360" w:lineRule="auto"/>
        <w:jc w:val="center"/>
        <w:outlineLvl w:val="1"/>
        <w:rPr>
          <w:rFonts w:hint="eastAsia" w:ascii="宋体" w:hAnsi="宋体" w:eastAsia="宋体" w:cs="宋体"/>
          <w:b/>
          <w:color w:val="auto"/>
          <w:sz w:val="21"/>
          <w:szCs w:val="21"/>
          <w:highlight w:val="none"/>
        </w:rPr>
      </w:pPr>
    </w:p>
    <w:p w14:paraId="32C6A4B3">
      <w:pPr>
        <w:pStyle w:val="2"/>
        <w:rPr>
          <w:rFonts w:hint="eastAsia" w:ascii="宋体" w:hAnsi="宋体" w:eastAsia="宋体" w:cs="宋体"/>
          <w:b/>
          <w:color w:val="auto"/>
          <w:sz w:val="21"/>
          <w:szCs w:val="21"/>
          <w:highlight w:val="none"/>
        </w:rPr>
      </w:pPr>
    </w:p>
    <w:p w14:paraId="6CA07995">
      <w:pPr>
        <w:pStyle w:val="2"/>
        <w:rPr>
          <w:rFonts w:hint="eastAsia" w:ascii="宋体" w:hAnsi="宋体" w:eastAsia="宋体" w:cs="宋体"/>
          <w:b/>
          <w:color w:val="auto"/>
          <w:sz w:val="21"/>
          <w:szCs w:val="21"/>
          <w:highlight w:val="none"/>
        </w:rPr>
      </w:pPr>
    </w:p>
    <w:p w14:paraId="43C5351D">
      <w:pPr>
        <w:pStyle w:val="2"/>
        <w:rPr>
          <w:rFonts w:hint="eastAsia" w:ascii="宋体" w:hAnsi="宋体" w:eastAsia="宋体" w:cs="宋体"/>
          <w:b/>
          <w:color w:val="auto"/>
          <w:sz w:val="21"/>
          <w:szCs w:val="21"/>
          <w:highlight w:val="none"/>
        </w:rPr>
      </w:pPr>
    </w:p>
    <w:p w14:paraId="6A35DFDD">
      <w:pPr>
        <w:pStyle w:val="6"/>
        <w:spacing w:line="360" w:lineRule="auto"/>
        <w:jc w:val="center"/>
        <w:rPr>
          <w:rFonts w:hint="eastAsia" w:ascii="宋体" w:hAnsi="宋体" w:cs="宋体"/>
          <w:color w:val="auto"/>
          <w:highlight w:val="none"/>
          <w:lang w:val="en-US" w:eastAsia="zh-CN"/>
        </w:rPr>
      </w:pPr>
      <w:bookmarkStart w:id="252" w:name="_Toc3302"/>
      <w:r>
        <w:rPr>
          <w:rFonts w:hint="eastAsia" w:ascii="宋体" w:hAnsi="宋体" w:cs="宋体"/>
          <w:color w:val="auto"/>
          <w:highlight w:val="none"/>
          <w:lang w:val="en-US" w:eastAsia="zh-CN"/>
        </w:rPr>
        <w:t>十三、残疾人福利性单位声明函</w:t>
      </w:r>
      <w:bookmarkEnd w:id="252"/>
    </w:p>
    <w:p w14:paraId="062272A6">
      <w:pPr>
        <w:adjustRightInd w:val="0"/>
        <w:snapToGrid w:val="0"/>
        <w:spacing w:line="360" w:lineRule="auto"/>
        <w:jc w:val="center"/>
        <w:rPr>
          <w:rFonts w:hint="eastAsia" w:ascii="宋体" w:hAnsi="宋体" w:cs="宋体"/>
          <w:color w:val="auto"/>
          <w:szCs w:val="21"/>
          <w:highlight w:val="none"/>
          <w:lang w:val="en-GB"/>
        </w:rPr>
      </w:pPr>
      <w:r>
        <w:rPr>
          <w:rFonts w:hint="eastAsia" w:ascii="宋体" w:hAnsi="宋体" w:cs="宋体"/>
          <w:color w:val="auto"/>
          <w:szCs w:val="21"/>
          <w:highlight w:val="none"/>
          <w:lang w:val="en-GB"/>
        </w:rPr>
        <w:t>（属于残疾人福利性单位的填写，不属于的无需填写此项内容）</w:t>
      </w:r>
    </w:p>
    <w:p w14:paraId="6C58B88E">
      <w:pPr>
        <w:adjustRightInd w:val="0"/>
        <w:snapToGrid w:val="0"/>
        <w:spacing w:line="360" w:lineRule="auto"/>
        <w:ind w:firstLine="420" w:firstLineChars="200"/>
        <w:rPr>
          <w:rFonts w:hint="eastAsia" w:ascii="宋体" w:hAnsi="宋体" w:cs="宋体"/>
          <w:color w:val="auto"/>
          <w:szCs w:val="21"/>
          <w:highlight w:val="none"/>
          <w:lang w:val="en-GB"/>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GB"/>
        </w:rPr>
        <w:t xml:space="preserve"> 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331C3C7">
      <w:pPr>
        <w:adjustRightInd w:val="0"/>
        <w:snapToGrid w:val="0"/>
        <w:spacing w:line="360" w:lineRule="auto"/>
        <w:ind w:firstLine="420" w:firstLineChars="200"/>
        <w:rPr>
          <w:rFonts w:hint="eastAsia" w:ascii="宋体" w:hAnsi="宋体" w:cs="宋体"/>
          <w:color w:val="auto"/>
          <w:szCs w:val="21"/>
          <w:highlight w:val="none"/>
          <w:lang w:val="en-GB"/>
        </w:rPr>
      </w:pPr>
      <w:r>
        <w:rPr>
          <w:rFonts w:hint="eastAsia" w:ascii="宋体" w:hAnsi="宋体" w:cs="宋体"/>
          <w:color w:val="auto"/>
          <w:szCs w:val="21"/>
          <w:highlight w:val="none"/>
          <w:lang w:val="en-GB"/>
        </w:rPr>
        <w:t>本单位对上述声明的真实性负责。如有虚假，将依法承担相应责任。</w:t>
      </w:r>
    </w:p>
    <w:p w14:paraId="3BB02B02">
      <w:pPr>
        <w:adjustRightInd w:val="0"/>
        <w:snapToGrid w:val="0"/>
        <w:spacing w:line="360" w:lineRule="auto"/>
        <w:jc w:val="center"/>
        <w:rPr>
          <w:rFonts w:hint="eastAsia" w:ascii="宋体" w:hAnsi="宋体" w:cs="宋体"/>
          <w:color w:val="auto"/>
          <w:szCs w:val="21"/>
          <w:highlight w:val="none"/>
          <w:lang w:val="en-GB"/>
        </w:rPr>
      </w:pPr>
    </w:p>
    <w:p w14:paraId="0A1B1FFC">
      <w:pPr>
        <w:adjustRightInd w:val="0"/>
        <w:snapToGrid w:val="0"/>
        <w:spacing w:line="360" w:lineRule="auto"/>
        <w:jc w:val="left"/>
        <w:rPr>
          <w:rFonts w:hint="eastAsia" w:ascii="宋体" w:hAnsi="宋体" w:cs="宋体"/>
          <w:color w:val="auto"/>
          <w:szCs w:val="21"/>
          <w:highlight w:val="none"/>
        </w:rPr>
      </w:pPr>
      <w:r>
        <w:rPr>
          <w:rFonts w:hint="eastAsia" w:ascii="宋体" w:hAnsi="宋体" w:cs="宋体"/>
          <w:color w:val="auto"/>
          <w:kern w:val="0"/>
          <w:szCs w:val="21"/>
          <w:highlight w:val="none"/>
        </w:rPr>
        <w:t>投标人</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（盖章）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08D37C36">
      <w:pPr>
        <w:adjustRightInd w:val="0"/>
        <w:snapToGrid w:val="0"/>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法定代表人或其委托代理人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 w:val="21"/>
          <w:szCs w:val="21"/>
          <w:highlight w:val="none"/>
          <w:lang w:eastAsia="zh-CN"/>
        </w:rPr>
        <w:t>签字或盖章或电子签章</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216029B4">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3943E598">
      <w:pPr>
        <w:pStyle w:val="6"/>
        <w:spacing w:line="360" w:lineRule="auto"/>
        <w:jc w:val="center"/>
        <w:rPr>
          <w:rFonts w:hint="eastAsia" w:ascii="宋体" w:hAnsi="宋体" w:cs="宋体"/>
          <w:color w:val="auto"/>
          <w:highlight w:val="none"/>
          <w:lang w:val="en-US" w:eastAsia="zh-CN"/>
        </w:rPr>
      </w:pPr>
    </w:p>
    <w:p w14:paraId="28DBA743">
      <w:pPr>
        <w:pStyle w:val="6"/>
        <w:spacing w:line="360" w:lineRule="auto"/>
        <w:jc w:val="center"/>
        <w:rPr>
          <w:rFonts w:hint="eastAsia" w:ascii="宋体" w:hAnsi="宋体" w:cs="宋体"/>
          <w:color w:val="auto"/>
          <w:highlight w:val="none"/>
          <w:lang w:val="en-US" w:eastAsia="zh-CN"/>
        </w:rPr>
      </w:pPr>
    </w:p>
    <w:p w14:paraId="004F122A">
      <w:pPr>
        <w:rPr>
          <w:rFonts w:hint="eastAsia" w:ascii="宋体" w:hAnsi="宋体" w:cs="宋体"/>
          <w:color w:val="auto"/>
          <w:highlight w:val="none"/>
          <w:lang w:val="en-US" w:eastAsia="zh-CN"/>
        </w:rPr>
      </w:pPr>
    </w:p>
    <w:p w14:paraId="0A2E2927">
      <w:pPr>
        <w:pStyle w:val="15"/>
        <w:rPr>
          <w:rFonts w:hint="eastAsia" w:ascii="宋体" w:hAnsi="宋体" w:cs="宋体"/>
          <w:color w:val="auto"/>
          <w:highlight w:val="none"/>
          <w:lang w:val="en-US" w:eastAsia="zh-CN"/>
        </w:rPr>
      </w:pPr>
    </w:p>
    <w:p w14:paraId="5F831DB7">
      <w:pPr>
        <w:pStyle w:val="15"/>
        <w:rPr>
          <w:rFonts w:hint="eastAsia" w:ascii="宋体" w:hAnsi="宋体" w:cs="宋体"/>
          <w:color w:val="auto"/>
          <w:highlight w:val="none"/>
          <w:lang w:val="en-US" w:eastAsia="zh-CN"/>
        </w:rPr>
      </w:pPr>
    </w:p>
    <w:p w14:paraId="77C05F67">
      <w:pPr>
        <w:pStyle w:val="15"/>
        <w:rPr>
          <w:rFonts w:hint="eastAsia" w:ascii="宋体" w:hAnsi="宋体" w:cs="宋体"/>
          <w:color w:val="auto"/>
          <w:highlight w:val="none"/>
          <w:lang w:val="en-US" w:eastAsia="zh-CN"/>
        </w:rPr>
      </w:pPr>
    </w:p>
    <w:p w14:paraId="1F20388D">
      <w:pPr>
        <w:pStyle w:val="15"/>
        <w:rPr>
          <w:rFonts w:hint="eastAsia" w:ascii="宋体" w:hAnsi="宋体" w:cs="宋体"/>
          <w:color w:val="auto"/>
          <w:highlight w:val="none"/>
          <w:lang w:val="en-US" w:eastAsia="zh-CN"/>
        </w:rPr>
      </w:pPr>
    </w:p>
    <w:p w14:paraId="222ABDBA">
      <w:pPr>
        <w:pStyle w:val="15"/>
        <w:rPr>
          <w:rFonts w:hint="eastAsia" w:ascii="宋体" w:hAnsi="宋体" w:cs="宋体"/>
          <w:color w:val="auto"/>
          <w:highlight w:val="none"/>
          <w:lang w:val="en-US" w:eastAsia="zh-CN"/>
        </w:rPr>
      </w:pPr>
    </w:p>
    <w:p w14:paraId="0D5D280C">
      <w:pPr>
        <w:pStyle w:val="15"/>
        <w:rPr>
          <w:rFonts w:hint="eastAsia" w:ascii="宋体" w:hAnsi="宋体" w:cs="宋体"/>
          <w:color w:val="auto"/>
          <w:highlight w:val="none"/>
          <w:lang w:val="en-US" w:eastAsia="zh-CN"/>
        </w:rPr>
      </w:pPr>
    </w:p>
    <w:p w14:paraId="637D3F14">
      <w:pPr>
        <w:pStyle w:val="15"/>
        <w:rPr>
          <w:rFonts w:hint="eastAsia" w:ascii="宋体" w:hAnsi="宋体" w:cs="宋体"/>
          <w:color w:val="auto"/>
          <w:highlight w:val="none"/>
          <w:lang w:val="en-US" w:eastAsia="zh-CN"/>
        </w:rPr>
      </w:pPr>
    </w:p>
    <w:p w14:paraId="6FA3C885">
      <w:pPr>
        <w:pStyle w:val="15"/>
        <w:rPr>
          <w:rFonts w:hint="eastAsia" w:ascii="宋体" w:hAnsi="宋体" w:cs="宋体"/>
          <w:color w:val="auto"/>
          <w:highlight w:val="none"/>
          <w:lang w:val="en-US" w:eastAsia="zh-CN"/>
        </w:rPr>
      </w:pPr>
    </w:p>
    <w:p w14:paraId="7B267C0C">
      <w:pPr>
        <w:pStyle w:val="15"/>
        <w:rPr>
          <w:rFonts w:hint="eastAsia" w:ascii="宋体" w:hAnsi="宋体" w:cs="宋体"/>
          <w:color w:val="auto"/>
          <w:highlight w:val="none"/>
          <w:lang w:val="en-US" w:eastAsia="zh-CN"/>
        </w:rPr>
      </w:pPr>
    </w:p>
    <w:p w14:paraId="53DEEC41">
      <w:pPr>
        <w:pStyle w:val="15"/>
        <w:rPr>
          <w:rFonts w:hint="eastAsia" w:ascii="宋体" w:hAnsi="宋体" w:cs="宋体"/>
          <w:color w:val="auto"/>
          <w:highlight w:val="none"/>
          <w:lang w:val="en-US" w:eastAsia="zh-CN"/>
        </w:rPr>
      </w:pPr>
    </w:p>
    <w:p w14:paraId="061B4F04">
      <w:pPr>
        <w:pStyle w:val="15"/>
        <w:rPr>
          <w:rFonts w:hint="eastAsia" w:ascii="宋体" w:hAnsi="宋体" w:cs="宋体"/>
          <w:color w:val="auto"/>
          <w:highlight w:val="none"/>
          <w:lang w:val="en-US" w:eastAsia="zh-CN"/>
        </w:rPr>
      </w:pPr>
    </w:p>
    <w:p w14:paraId="73D27DCA">
      <w:pPr>
        <w:pStyle w:val="15"/>
        <w:rPr>
          <w:rFonts w:hint="eastAsia" w:ascii="宋体" w:hAnsi="宋体" w:cs="宋体"/>
          <w:color w:val="auto"/>
          <w:highlight w:val="none"/>
          <w:lang w:val="en-US" w:eastAsia="zh-CN"/>
        </w:rPr>
      </w:pPr>
    </w:p>
    <w:p w14:paraId="63770127">
      <w:pPr>
        <w:pStyle w:val="15"/>
        <w:rPr>
          <w:rFonts w:hint="eastAsia" w:ascii="宋体" w:hAnsi="宋体" w:cs="宋体"/>
          <w:color w:val="auto"/>
          <w:highlight w:val="none"/>
          <w:lang w:val="en-US" w:eastAsia="zh-CN"/>
        </w:rPr>
      </w:pPr>
    </w:p>
    <w:p w14:paraId="51AEC113">
      <w:pPr>
        <w:pStyle w:val="6"/>
        <w:spacing w:line="360" w:lineRule="auto"/>
        <w:jc w:val="center"/>
        <w:rPr>
          <w:rFonts w:hint="eastAsia" w:ascii="宋体" w:hAnsi="宋体" w:cs="宋体"/>
          <w:color w:val="auto"/>
          <w:highlight w:val="none"/>
          <w:lang w:val="en-US" w:eastAsia="zh-CN"/>
        </w:rPr>
      </w:pPr>
      <w:bookmarkStart w:id="253" w:name="_Toc17030"/>
      <w:r>
        <w:rPr>
          <w:rFonts w:hint="eastAsia" w:ascii="宋体" w:hAnsi="宋体" w:cs="宋体"/>
          <w:color w:val="auto"/>
          <w:highlight w:val="none"/>
          <w:lang w:val="en-US" w:eastAsia="zh-CN"/>
        </w:rPr>
        <w:t>十四、其他材料</w:t>
      </w:r>
      <w:bookmarkEnd w:id="249"/>
      <w:bookmarkEnd w:id="250"/>
      <w:bookmarkEnd w:id="253"/>
    </w:p>
    <w:p w14:paraId="636F12B1">
      <w:pPr>
        <w:spacing w:line="360" w:lineRule="auto"/>
        <w:jc w:val="center"/>
        <w:rPr>
          <w:color w:val="auto"/>
          <w:highlight w:val="none"/>
        </w:rPr>
      </w:pPr>
      <w:r>
        <w:rPr>
          <w:rFonts w:hint="eastAsia"/>
          <w:color w:val="auto"/>
          <w:highlight w:val="none"/>
        </w:rPr>
        <w:t>投标人认为有必要的其他资料</w:t>
      </w:r>
    </w:p>
    <w:p w14:paraId="32960E2E">
      <w:pPr>
        <w:spacing w:line="360" w:lineRule="auto"/>
        <w:ind w:left="840" w:leftChars="400"/>
        <w:rPr>
          <w:rFonts w:ascii="宋体" w:hAnsi="宋体" w:cs="宋体"/>
          <w:b/>
          <w:bCs/>
          <w:color w:val="auto"/>
          <w:szCs w:val="21"/>
          <w:highlight w:val="none"/>
        </w:rPr>
      </w:pPr>
    </w:p>
    <w:sectPr>
      <w:headerReference r:id="rId11" w:type="even"/>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swiss"/>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enlo">
    <w:altName w:val="Courier New"/>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宋体fal">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1220368"/>
      <w:docPartObj>
        <w:docPartGallery w:val="autotext"/>
      </w:docPartObj>
    </w:sdtPr>
    <w:sdtContent>
      <w:p w14:paraId="6AD5190F">
        <w:pPr>
          <w:pStyle w:val="21"/>
          <w:jc w:val="center"/>
        </w:pPr>
        <w:r>
          <w:fldChar w:fldCharType="begin"/>
        </w:r>
        <w:r>
          <w:instrText xml:space="preserve">PAGE   \* MERGEFORMAT</w:instrText>
        </w:r>
        <w:r>
          <w:fldChar w:fldCharType="separate"/>
        </w:r>
        <w:r>
          <w:rPr>
            <w:lang w:val="zh-CN"/>
          </w:rPr>
          <w:t>2</w:t>
        </w:r>
        <w:r>
          <w:fldChar w:fldCharType="end"/>
        </w:r>
      </w:p>
    </w:sdtContent>
  </w:sdt>
  <w:p w14:paraId="35A971A7">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E051C">
    <w:pPr>
      <w:pStyle w:val="21"/>
      <w:framePr w:wrap="around" w:vAnchor="text" w:hAnchor="margin" w:xAlign="center" w:y="1"/>
      <w:rPr>
        <w:rStyle w:val="37"/>
        <w:sz w:val="16"/>
        <w:szCs w:val="16"/>
      </w:rPr>
    </w:pPr>
    <w:r>
      <w:rPr>
        <w:sz w:val="16"/>
        <w:szCs w:val="16"/>
      </w:rPr>
      <w:fldChar w:fldCharType="begin"/>
    </w:r>
    <w:r>
      <w:rPr>
        <w:rStyle w:val="37"/>
        <w:sz w:val="16"/>
        <w:szCs w:val="16"/>
      </w:rPr>
      <w:instrText xml:space="preserve">PAGE  </w:instrText>
    </w:r>
    <w:r>
      <w:rPr>
        <w:sz w:val="16"/>
        <w:szCs w:val="16"/>
      </w:rPr>
      <w:fldChar w:fldCharType="separate"/>
    </w:r>
    <w:r>
      <w:rPr>
        <w:rStyle w:val="37"/>
        <w:sz w:val="16"/>
        <w:szCs w:val="16"/>
      </w:rPr>
      <w:t>122</w:t>
    </w:r>
    <w:r>
      <w:rPr>
        <w:sz w:val="16"/>
        <w:szCs w:val="16"/>
      </w:rPr>
      <w:fldChar w:fldCharType="end"/>
    </w:r>
  </w:p>
  <w:p w14:paraId="292442EA">
    <w:pPr>
      <w:pStyle w:val="21"/>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1AC40">
    <w:pPr>
      <w:pStyle w:val="21"/>
      <w:jc w:val="center"/>
    </w:pPr>
    <w:r>
      <w:fldChar w:fldCharType="begin"/>
    </w:r>
    <w:r>
      <w:instrText xml:space="preserve"> PAGE  \* MERGEFORMAT </w:instrText>
    </w:r>
    <w:r>
      <w:fldChar w:fldCharType="separate"/>
    </w:r>
    <w:r>
      <w:t>49</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956B2">
    <w:pPr>
      <w:pStyle w:val="21"/>
      <w:jc w:val="center"/>
    </w:pPr>
    <w:r>
      <w:fldChar w:fldCharType="begin"/>
    </w:r>
    <w:r>
      <w:instrText xml:space="preserve"> PAGE  \* MERGEFORMAT </w:instrText>
    </w:r>
    <w:r>
      <w:fldChar w:fldCharType="separate"/>
    </w:r>
    <w:r>
      <w:t>7</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1BEA2">
    <w:pPr>
      <w:pStyle w:val="23"/>
      <w:pBdr>
        <w:bottom w:val="none" w:color="auto" w:sz="0" w:space="0"/>
      </w:pBdr>
      <w:jc w:val="both"/>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3D56F">
    <w:pPr>
      <w:pStyle w:val="2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33E88">
    <w:pPr>
      <w:pStyle w:val="23"/>
      <w:pBdr>
        <w:bottom w:val="none" w:color="auto" w:sz="0" w:space="0"/>
      </w:pBdr>
      <w:jc w:val="both"/>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E08F4">
    <w:pPr>
      <w:pStyle w:val="23"/>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03A87">
    <w:pPr>
      <w:rPr>
        <w:sz w:val="19"/>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79A07D"/>
    <w:multiLevelType w:val="singleLevel"/>
    <w:tmpl w:val="DB79A07D"/>
    <w:lvl w:ilvl="0" w:tentative="0">
      <w:start w:val="2"/>
      <w:numFmt w:val="chineseCounting"/>
      <w:suff w:val="space"/>
      <w:lvlText w:val="第%1章"/>
      <w:lvlJc w:val="left"/>
      <w:rPr>
        <w:rFonts w:hint="eastAsia"/>
      </w:rPr>
    </w:lvl>
  </w:abstractNum>
  <w:abstractNum w:abstractNumId="1">
    <w:nsid w:val="00000002"/>
    <w:multiLevelType w:val="multilevel"/>
    <w:tmpl w:val="00000002"/>
    <w:lvl w:ilvl="0" w:tentative="0">
      <w:start w:val="1"/>
      <w:numFmt w:val="chineseCountingThousand"/>
      <w:suff w:val="nothing"/>
      <w:lvlText w:val="%1、"/>
      <w:lvlJc w:val="left"/>
      <w:pPr>
        <w:ind w:left="1084" w:hanging="420"/>
      </w:pPr>
      <w:rPr>
        <w:rFonts w:hint="eastAsia"/>
        <w:b/>
        <w:bCs/>
        <w:lang w:val="en-US"/>
      </w:rPr>
    </w:lvl>
    <w:lvl w:ilvl="1" w:tentative="0">
      <w:start w:val="1"/>
      <w:numFmt w:val="lowerLetter"/>
      <w:lvlText w:val="%2)"/>
      <w:lvlJc w:val="left"/>
      <w:pPr>
        <w:ind w:left="1504" w:hanging="420"/>
      </w:pPr>
      <w:rPr>
        <w:rFonts w:hint="eastAsia"/>
      </w:rPr>
    </w:lvl>
    <w:lvl w:ilvl="2" w:tentative="0">
      <w:start w:val="1"/>
      <w:numFmt w:val="lowerRoman"/>
      <w:lvlText w:val="%3."/>
      <w:lvlJc w:val="right"/>
      <w:pPr>
        <w:ind w:left="1924" w:hanging="420"/>
      </w:pPr>
      <w:rPr>
        <w:rFonts w:hint="eastAsia"/>
      </w:rPr>
    </w:lvl>
    <w:lvl w:ilvl="3" w:tentative="0">
      <w:start w:val="1"/>
      <w:numFmt w:val="decimal"/>
      <w:lvlText w:val="%4."/>
      <w:lvlJc w:val="left"/>
      <w:pPr>
        <w:ind w:left="2344" w:hanging="420"/>
      </w:pPr>
      <w:rPr>
        <w:rFonts w:hint="eastAsia"/>
      </w:rPr>
    </w:lvl>
    <w:lvl w:ilvl="4" w:tentative="0">
      <w:start w:val="1"/>
      <w:numFmt w:val="lowerLetter"/>
      <w:lvlText w:val="%5)"/>
      <w:lvlJc w:val="left"/>
      <w:pPr>
        <w:ind w:left="2764" w:hanging="420"/>
      </w:pPr>
      <w:rPr>
        <w:rFonts w:hint="eastAsia"/>
      </w:rPr>
    </w:lvl>
    <w:lvl w:ilvl="5" w:tentative="0">
      <w:start w:val="1"/>
      <w:numFmt w:val="lowerRoman"/>
      <w:lvlText w:val="%6."/>
      <w:lvlJc w:val="right"/>
      <w:pPr>
        <w:ind w:left="3184" w:hanging="420"/>
      </w:pPr>
      <w:rPr>
        <w:rFonts w:hint="eastAsia"/>
      </w:rPr>
    </w:lvl>
    <w:lvl w:ilvl="6" w:tentative="0">
      <w:start w:val="1"/>
      <w:numFmt w:val="decimal"/>
      <w:lvlText w:val="%7."/>
      <w:lvlJc w:val="left"/>
      <w:pPr>
        <w:ind w:left="3604" w:hanging="420"/>
      </w:pPr>
      <w:rPr>
        <w:rFonts w:hint="eastAsia"/>
      </w:rPr>
    </w:lvl>
    <w:lvl w:ilvl="7" w:tentative="0">
      <w:start w:val="1"/>
      <w:numFmt w:val="lowerLetter"/>
      <w:lvlText w:val="%8)"/>
      <w:lvlJc w:val="left"/>
      <w:pPr>
        <w:ind w:left="4024" w:hanging="420"/>
      </w:pPr>
      <w:rPr>
        <w:rFonts w:hint="eastAsia"/>
      </w:rPr>
    </w:lvl>
    <w:lvl w:ilvl="8" w:tentative="0">
      <w:start w:val="1"/>
      <w:numFmt w:val="lowerRoman"/>
      <w:lvlText w:val="%9."/>
      <w:lvlJc w:val="right"/>
      <w:pPr>
        <w:ind w:left="4444" w:hanging="420"/>
      </w:pPr>
      <w:rPr>
        <w:rFonts w:hint="eastAsia"/>
      </w:rPr>
    </w:lvl>
  </w:abstractNum>
  <w:abstractNum w:abstractNumId="2">
    <w:nsid w:val="00000014"/>
    <w:multiLevelType w:val="singleLevel"/>
    <w:tmpl w:val="00000014"/>
    <w:lvl w:ilvl="0" w:tentative="0">
      <w:start w:val="2"/>
      <w:numFmt w:val="decimal"/>
      <w:suff w:val="nothing"/>
      <w:lvlText w:val="%1、"/>
      <w:lvlJc w:val="left"/>
    </w:lvl>
  </w:abstractNum>
  <w:abstractNum w:abstractNumId="3">
    <w:nsid w:val="1DE005D3"/>
    <w:multiLevelType w:val="singleLevel"/>
    <w:tmpl w:val="1DE005D3"/>
    <w:lvl w:ilvl="0" w:tentative="0">
      <w:start w:val="1"/>
      <w:numFmt w:val="chineseCounting"/>
      <w:suff w:val="nothing"/>
      <w:lvlText w:val="%1、"/>
      <w:lvlJc w:val="left"/>
      <w:rPr>
        <w:rFonts w:hint="eastAsia"/>
      </w:rPr>
    </w:lvl>
  </w:abstractNum>
  <w:abstractNum w:abstractNumId="4">
    <w:nsid w:val="65ED7199"/>
    <w:multiLevelType w:val="singleLevel"/>
    <w:tmpl w:val="65ED7199"/>
    <w:lvl w:ilvl="0" w:tentative="0">
      <w:start w:val="1"/>
      <w:numFmt w:val="decimal"/>
      <w:suff w:val="nothing"/>
      <w:lvlText w:val="%1."/>
      <w:lvlJc w:val="left"/>
      <w:pPr>
        <w:ind w:left="0" w:firstLine="0"/>
      </w:pPr>
      <w:rPr>
        <w:rFont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2OGFjYzNiYTBhYzk2YmY2OWU2NzZjMWE1NmUxZGMifQ=="/>
  </w:docVars>
  <w:rsids>
    <w:rsidRoot w:val="00172A27"/>
    <w:rsid w:val="0000154B"/>
    <w:rsid w:val="000015D9"/>
    <w:rsid w:val="00001BEC"/>
    <w:rsid w:val="0000242B"/>
    <w:rsid w:val="00006762"/>
    <w:rsid w:val="0000683F"/>
    <w:rsid w:val="00007FAB"/>
    <w:rsid w:val="00011EBC"/>
    <w:rsid w:val="00012A18"/>
    <w:rsid w:val="0002175F"/>
    <w:rsid w:val="00023C55"/>
    <w:rsid w:val="000240BA"/>
    <w:rsid w:val="0002486B"/>
    <w:rsid w:val="00042BB1"/>
    <w:rsid w:val="000431A9"/>
    <w:rsid w:val="000512C5"/>
    <w:rsid w:val="00051799"/>
    <w:rsid w:val="00057DC7"/>
    <w:rsid w:val="00063DAC"/>
    <w:rsid w:val="00064E8D"/>
    <w:rsid w:val="0007104B"/>
    <w:rsid w:val="000731DD"/>
    <w:rsid w:val="00075B56"/>
    <w:rsid w:val="000809C7"/>
    <w:rsid w:val="00080D17"/>
    <w:rsid w:val="00081662"/>
    <w:rsid w:val="0008530E"/>
    <w:rsid w:val="00093B10"/>
    <w:rsid w:val="000A288C"/>
    <w:rsid w:val="000A6386"/>
    <w:rsid w:val="000C130C"/>
    <w:rsid w:val="000C5D07"/>
    <w:rsid w:val="000C79C6"/>
    <w:rsid w:val="000C7EEC"/>
    <w:rsid w:val="000D1FA2"/>
    <w:rsid w:val="000D25A2"/>
    <w:rsid w:val="000E4B7E"/>
    <w:rsid w:val="000F01E6"/>
    <w:rsid w:val="000F0344"/>
    <w:rsid w:val="000F4C51"/>
    <w:rsid w:val="000F4E32"/>
    <w:rsid w:val="001030D6"/>
    <w:rsid w:val="0010324D"/>
    <w:rsid w:val="001156A9"/>
    <w:rsid w:val="001172F4"/>
    <w:rsid w:val="001232F0"/>
    <w:rsid w:val="00130DEC"/>
    <w:rsid w:val="001324C8"/>
    <w:rsid w:val="001336E7"/>
    <w:rsid w:val="0013558E"/>
    <w:rsid w:val="001541F0"/>
    <w:rsid w:val="001652D7"/>
    <w:rsid w:val="001666F2"/>
    <w:rsid w:val="001713D0"/>
    <w:rsid w:val="00172A27"/>
    <w:rsid w:val="00172F4B"/>
    <w:rsid w:val="00175259"/>
    <w:rsid w:val="00180C21"/>
    <w:rsid w:val="00186CC7"/>
    <w:rsid w:val="001B5E8D"/>
    <w:rsid w:val="001C1AE8"/>
    <w:rsid w:val="001C256D"/>
    <w:rsid w:val="001C7A5B"/>
    <w:rsid w:val="001D0CB5"/>
    <w:rsid w:val="001D3155"/>
    <w:rsid w:val="001D5018"/>
    <w:rsid w:val="001E0504"/>
    <w:rsid w:val="00203062"/>
    <w:rsid w:val="00207BBC"/>
    <w:rsid w:val="00211F97"/>
    <w:rsid w:val="00215488"/>
    <w:rsid w:val="002162D4"/>
    <w:rsid w:val="002209E2"/>
    <w:rsid w:val="00222B21"/>
    <w:rsid w:val="00226B65"/>
    <w:rsid w:val="002275DA"/>
    <w:rsid w:val="00231209"/>
    <w:rsid w:val="00232625"/>
    <w:rsid w:val="00233542"/>
    <w:rsid w:val="00236420"/>
    <w:rsid w:val="00247682"/>
    <w:rsid w:val="002476EB"/>
    <w:rsid w:val="002529FD"/>
    <w:rsid w:val="00252B5F"/>
    <w:rsid w:val="00270458"/>
    <w:rsid w:val="002759F5"/>
    <w:rsid w:val="00277AE0"/>
    <w:rsid w:val="00285115"/>
    <w:rsid w:val="002915D6"/>
    <w:rsid w:val="00293093"/>
    <w:rsid w:val="00293147"/>
    <w:rsid w:val="00293268"/>
    <w:rsid w:val="002A18CD"/>
    <w:rsid w:val="002A4BD9"/>
    <w:rsid w:val="002B73C0"/>
    <w:rsid w:val="002C0F4C"/>
    <w:rsid w:val="002C163B"/>
    <w:rsid w:val="002C41D0"/>
    <w:rsid w:val="002D1594"/>
    <w:rsid w:val="002D716D"/>
    <w:rsid w:val="002D7FAC"/>
    <w:rsid w:val="002D7FEA"/>
    <w:rsid w:val="002E0B66"/>
    <w:rsid w:val="002E2EB3"/>
    <w:rsid w:val="002E4AE6"/>
    <w:rsid w:val="002E4DC3"/>
    <w:rsid w:val="002F07F1"/>
    <w:rsid w:val="002F3066"/>
    <w:rsid w:val="002F6935"/>
    <w:rsid w:val="00300AEF"/>
    <w:rsid w:val="003057C5"/>
    <w:rsid w:val="00325490"/>
    <w:rsid w:val="00326CC8"/>
    <w:rsid w:val="003410BD"/>
    <w:rsid w:val="0034704E"/>
    <w:rsid w:val="0034715D"/>
    <w:rsid w:val="003514F2"/>
    <w:rsid w:val="003535CE"/>
    <w:rsid w:val="00356D57"/>
    <w:rsid w:val="00361C30"/>
    <w:rsid w:val="003667D9"/>
    <w:rsid w:val="003713AC"/>
    <w:rsid w:val="00373896"/>
    <w:rsid w:val="00373CE4"/>
    <w:rsid w:val="00380B29"/>
    <w:rsid w:val="00382DFE"/>
    <w:rsid w:val="003A0589"/>
    <w:rsid w:val="003A65BC"/>
    <w:rsid w:val="003E0B56"/>
    <w:rsid w:val="003E120B"/>
    <w:rsid w:val="003F0007"/>
    <w:rsid w:val="003F09DC"/>
    <w:rsid w:val="003F27BC"/>
    <w:rsid w:val="003F2E1C"/>
    <w:rsid w:val="004017C7"/>
    <w:rsid w:val="004025FC"/>
    <w:rsid w:val="00405C00"/>
    <w:rsid w:val="00410B7B"/>
    <w:rsid w:val="00413294"/>
    <w:rsid w:val="00420DAB"/>
    <w:rsid w:val="00431781"/>
    <w:rsid w:val="00432FD2"/>
    <w:rsid w:val="0043431D"/>
    <w:rsid w:val="00435598"/>
    <w:rsid w:val="0045418E"/>
    <w:rsid w:val="00456EC8"/>
    <w:rsid w:val="0046344C"/>
    <w:rsid w:val="00464754"/>
    <w:rsid w:val="00471118"/>
    <w:rsid w:val="00474744"/>
    <w:rsid w:val="00475334"/>
    <w:rsid w:val="004757B7"/>
    <w:rsid w:val="00481137"/>
    <w:rsid w:val="00484B5C"/>
    <w:rsid w:val="00484E8C"/>
    <w:rsid w:val="004853C2"/>
    <w:rsid w:val="004878BC"/>
    <w:rsid w:val="00487B31"/>
    <w:rsid w:val="004A106A"/>
    <w:rsid w:val="004A329B"/>
    <w:rsid w:val="004A633B"/>
    <w:rsid w:val="004B1E3A"/>
    <w:rsid w:val="004B5A18"/>
    <w:rsid w:val="004C621B"/>
    <w:rsid w:val="004D47B8"/>
    <w:rsid w:val="004E3039"/>
    <w:rsid w:val="004E4248"/>
    <w:rsid w:val="004F3690"/>
    <w:rsid w:val="004F5AA7"/>
    <w:rsid w:val="004F5EFC"/>
    <w:rsid w:val="0050107B"/>
    <w:rsid w:val="00513C34"/>
    <w:rsid w:val="005207B6"/>
    <w:rsid w:val="005212B7"/>
    <w:rsid w:val="00523459"/>
    <w:rsid w:val="00527B26"/>
    <w:rsid w:val="00533C47"/>
    <w:rsid w:val="005442FB"/>
    <w:rsid w:val="00545170"/>
    <w:rsid w:val="0054634C"/>
    <w:rsid w:val="00553567"/>
    <w:rsid w:val="005549E9"/>
    <w:rsid w:val="00557066"/>
    <w:rsid w:val="005611FE"/>
    <w:rsid w:val="005624AF"/>
    <w:rsid w:val="00571E84"/>
    <w:rsid w:val="00572544"/>
    <w:rsid w:val="00573B80"/>
    <w:rsid w:val="00575834"/>
    <w:rsid w:val="005762DA"/>
    <w:rsid w:val="00586411"/>
    <w:rsid w:val="00591063"/>
    <w:rsid w:val="005A5846"/>
    <w:rsid w:val="005B0A7D"/>
    <w:rsid w:val="005B5711"/>
    <w:rsid w:val="005E44CB"/>
    <w:rsid w:val="005E6D10"/>
    <w:rsid w:val="005E7FBA"/>
    <w:rsid w:val="005F3796"/>
    <w:rsid w:val="005F5751"/>
    <w:rsid w:val="005F6373"/>
    <w:rsid w:val="005F6803"/>
    <w:rsid w:val="005F7F18"/>
    <w:rsid w:val="006150EB"/>
    <w:rsid w:val="006201AE"/>
    <w:rsid w:val="006275A2"/>
    <w:rsid w:val="00630715"/>
    <w:rsid w:val="006640E3"/>
    <w:rsid w:val="00676884"/>
    <w:rsid w:val="0068006C"/>
    <w:rsid w:val="0068359F"/>
    <w:rsid w:val="00684B73"/>
    <w:rsid w:val="006936D4"/>
    <w:rsid w:val="00693DA5"/>
    <w:rsid w:val="006A2D53"/>
    <w:rsid w:val="006A36C7"/>
    <w:rsid w:val="006A4CAC"/>
    <w:rsid w:val="006A6322"/>
    <w:rsid w:val="006B1BCE"/>
    <w:rsid w:val="006B222F"/>
    <w:rsid w:val="006B3A09"/>
    <w:rsid w:val="006C5DF7"/>
    <w:rsid w:val="006D3C8F"/>
    <w:rsid w:val="006D7BB2"/>
    <w:rsid w:val="006E659F"/>
    <w:rsid w:val="006F05D2"/>
    <w:rsid w:val="006F36D0"/>
    <w:rsid w:val="006F4897"/>
    <w:rsid w:val="006F645D"/>
    <w:rsid w:val="00700CA9"/>
    <w:rsid w:val="00701510"/>
    <w:rsid w:val="00702F11"/>
    <w:rsid w:val="0070502F"/>
    <w:rsid w:val="0071108A"/>
    <w:rsid w:val="00717C3E"/>
    <w:rsid w:val="00736FCD"/>
    <w:rsid w:val="00740AA6"/>
    <w:rsid w:val="00742881"/>
    <w:rsid w:val="00752C3A"/>
    <w:rsid w:val="00755117"/>
    <w:rsid w:val="007568B1"/>
    <w:rsid w:val="00761A39"/>
    <w:rsid w:val="00765578"/>
    <w:rsid w:val="00770331"/>
    <w:rsid w:val="007710EC"/>
    <w:rsid w:val="00772479"/>
    <w:rsid w:val="00775170"/>
    <w:rsid w:val="00775A52"/>
    <w:rsid w:val="00780486"/>
    <w:rsid w:val="00791C8F"/>
    <w:rsid w:val="00792E1B"/>
    <w:rsid w:val="007963C3"/>
    <w:rsid w:val="007C2659"/>
    <w:rsid w:val="007C2A46"/>
    <w:rsid w:val="007C6126"/>
    <w:rsid w:val="007D07BC"/>
    <w:rsid w:val="007D10A5"/>
    <w:rsid w:val="007D6D00"/>
    <w:rsid w:val="007D7529"/>
    <w:rsid w:val="007E222A"/>
    <w:rsid w:val="007F1ED3"/>
    <w:rsid w:val="007F4814"/>
    <w:rsid w:val="007F65E1"/>
    <w:rsid w:val="007F6905"/>
    <w:rsid w:val="007F6CCE"/>
    <w:rsid w:val="00802401"/>
    <w:rsid w:val="00804C9B"/>
    <w:rsid w:val="00804E03"/>
    <w:rsid w:val="0081161C"/>
    <w:rsid w:val="00851AB8"/>
    <w:rsid w:val="0085540F"/>
    <w:rsid w:val="00855C2E"/>
    <w:rsid w:val="00856776"/>
    <w:rsid w:val="00860CC4"/>
    <w:rsid w:val="00865CDC"/>
    <w:rsid w:val="00872382"/>
    <w:rsid w:val="00873045"/>
    <w:rsid w:val="008760F7"/>
    <w:rsid w:val="0088288F"/>
    <w:rsid w:val="00887979"/>
    <w:rsid w:val="00891D6B"/>
    <w:rsid w:val="00893716"/>
    <w:rsid w:val="008A055A"/>
    <w:rsid w:val="008A52FC"/>
    <w:rsid w:val="008B11CC"/>
    <w:rsid w:val="008B2149"/>
    <w:rsid w:val="008B4900"/>
    <w:rsid w:val="008B5E71"/>
    <w:rsid w:val="008C30C7"/>
    <w:rsid w:val="008D0FCA"/>
    <w:rsid w:val="008D1B3F"/>
    <w:rsid w:val="008F4EF7"/>
    <w:rsid w:val="00900295"/>
    <w:rsid w:val="0090083E"/>
    <w:rsid w:val="00902FFC"/>
    <w:rsid w:val="009114A5"/>
    <w:rsid w:val="00911751"/>
    <w:rsid w:val="009169B3"/>
    <w:rsid w:val="00921FB1"/>
    <w:rsid w:val="00925CEF"/>
    <w:rsid w:val="00927DE6"/>
    <w:rsid w:val="00936A46"/>
    <w:rsid w:val="00940636"/>
    <w:rsid w:val="00941B8A"/>
    <w:rsid w:val="009438DA"/>
    <w:rsid w:val="00945580"/>
    <w:rsid w:val="00950B68"/>
    <w:rsid w:val="0095144B"/>
    <w:rsid w:val="00965AB7"/>
    <w:rsid w:val="00966667"/>
    <w:rsid w:val="0097049A"/>
    <w:rsid w:val="00973350"/>
    <w:rsid w:val="00974AE2"/>
    <w:rsid w:val="00976C5D"/>
    <w:rsid w:val="00980DC2"/>
    <w:rsid w:val="00987BC8"/>
    <w:rsid w:val="00990E66"/>
    <w:rsid w:val="00991DDA"/>
    <w:rsid w:val="00992D75"/>
    <w:rsid w:val="00995386"/>
    <w:rsid w:val="009A4101"/>
    <w:rsid w:val="009A5AD8"/>
    <w:rsid w:val="009B1ADC"/>
    <w:rsid w:val="009B3FC1"/>
    <w:rsid w:val="009B6F91"/>
    <w:rsid w:val="009C1566"/>
    <w:rsid w:val="009C2083"/>
    <w:rsid w:val="009C2E30"/>
    <w:rsid w:val="009C658C"/>
    <w:rsid w:val="009D6F1E"/>
    <w:rsid w:val="009E54C0"/>
    <w:rsid w:val="009E586B"/>
    <w:rsid w:val="009E760C"/>
    <w:rsid w:val="00A00A13"/>
    <w:rsid w:val="00A017D0"/>
    <w:rsid w:val="00A02625"/>
    <w:rsid w:val="00A03329"/>
    <w:rsid w:val="00A0405A"/>
    <w:rsid w:val="00A14DD5"/>
    <w:rsid w:val="00A200A4"/>
    <w:rsid w:val="00A25F1B"/>
    <w:rsid w:val="00A26432"/>
    <w:rsid w:val="00A34EA5"/>
    <w:rsid w:val="00A454D2"/>
    <w:rsid w:val="00A64141"/>
    <w:rsid w:val="00A646FA"/>
    <w:rsid w:val="00A7519E"/>
    <w:rsid w:val="00A80357"/>
    <w:rsid w:val="00A91F69"/>
    <w:rsid w:val="00A96FF6"/>
    <w:rsid w:val="00AA1C71"/>
    <w:rsid w:val="00AB30ED"/>
    <w:rsid w:val="00AB780E"/>
    <w:rsid w:val="00AC3C43"/>
    <w:rsid w:val="00AD0269"/>
    <w:rsid w:val="00AD08AA"/>
    <w:rsid w:val="00AD141E"/>
    <w:rsid w:val="00AD78D3"/>
    <w:rsid w:val="00AE2899"/>
    <w:rsid w:val="00AE3912"/>
    <w:rsid w:val="00AE60F0"/>
    <w:rsid w:val="00AF011D"/>
    <w:rsid w:val="00AF7F96"/>
    <w:rsid w:val="00B11814"/>
    <w:rsid w:val="00B12492"/>
    <w:rsid w:val="00B1386A"/>
    <w:rsid w:val="00B33FA7"/>
    <w:rsid w:val="00B3450F"/>
    <w:rsid w:val="00B41BD2"/>
    <w:rsid w:val="00B45A07"/>
    <w:rsid w:val="00B51012"/>
    <w:rsid w:val="00B5504B"/>
    <w:rsid w:val="00B559F7"/>
    <w:rsid w:val="00B634B6"/>
    <w:rsid w:val="00BA7A5C"/>
    <w:rsid w:val="00BB4467"/>
    <w:rsid w:val="00BB5014"/>
    <w:rsid w:val="00BB58AE"/>
    <w:rsid w:val="00BC240B"/>
    <w:rsid w:val="00BC3035"/>
    <w:rsid w:val="00BC41A8"/>
    <w:rsid w:val="00BC54F8"/>
    <w:rsid w:val="00BC757B"/>
    <w:rsid w:val="00BD480D"/>
    <w:rsid w:val="00BE2493"/>
    <w:rsid w:val="00BE5AEA"/>
    <w:rsid w:val="00BF0BF7"/>
    <w:rsid w:val="00BF43D3"/>
    <w:rsid w:val="00BF596A"/>
    <w:rsid w:val="00BF7023"/>
    <w:rsid w:val="00C02680"/>
    <w:rsid w:val="00C039F7"/>
    <w:rsid w:val="00C12AFA"/>
    <w:rsid w:val="00C15523"/>
    <w:rsid w:val="00C175B3"/>
    <w:rsid w:val="00C21F20"/>
    <w:rsid w:val="00C3009C"/>
    <w:rsid w:val="00C301F4"/>
    <w:rsid w:val="00C46CE8"/>
    <w:rsid w:val="00C575D3"/>
    <w:rsid w:val="00C67696"/>
    <w:rsid w:val="00C769CA"/>
    <w:rsid w:val="00C775B8"/>
    <w:rsid w:val="00C82197"/>
    <w:rsid w:val="00C86E6A"/>
    <w:rsid w:val="00C87448"/>
    <w:rsid w:val="00C95BAB"/>
    <w:rsid w:val="00C97CA8"/>
    <w:rsid w:val="00CA1334"/>
    <w:rsid w:val="00CA1362"/>
    <w:rsid w:val="00CA5ED2"/>
    <w:rsid w:val="00CB3848"/>
    <w:rsid w:val="00CB48CB"/>
    <w:rsid w:val="00CD1E92"/>
    <w:rsid w:val="00CD5049"/>
    <w:rsid w:val="00CD7D7C"/>
    <w:rsid w:val="00CE7626"/>
    <w:rsid w:val="00CF2191"/>
    <w:rsid w:val="00D00E76"/>
    <w:rsid w:val="00D038D7"/>
    <w:rsid w:val="00D063E2"/>
    <w:rsid w:val="00D128A2"/>
    <w:rsid w:val="00D23C8D"/>
    <w:rsid w:val="00D3243E"/>
    <w:rsid w:val="00D45137"/>
    <w:rsid w:val="00D50BB2"/>
    <w:rsid w:val="00D53336"/>
    <w:rsid w:val="00D562C3"/>
    <w:rsid w:val="00D75E9B"/>
    <w:rsid w:val="00D7676D"/>
    <w:rsid w:val="00D837D7"/>
    <w:rsid w:val="00D85EDB"/>
    <w:rsid w:val="00D95B48"/>
    <w:rsid w:val="00DA3BD9"/>
    <w:rsid w:val="00DA4997"/>
    <w:rsid w:val="00DA6199"/>
    <w:rsid w:val="00DB16B1"/>
    <w:rsid w:val="00DB264D"/>
    <w:rsid w:val="00DB3AB9"/>
    <w:rsid w:val="00DC28DC"/>
    <w:rsid w:val="00DC54C1"/>
    <w:rsid w:val="00DC6A16"/>
    <w:rsid w:val="00DD4C96"/>
    <w:rsid w:val="00DE59F3"/>
    <w:rsid w:val="00DE6AB2"/>
    <w:rsid w:val="00DF6667"/>
    <w:rsid w:val="00DF793D"/>
    <w:rsid w:val="00E0168E"/>
    <w:rsid w:val="00E01748"/>
    <w:rsid w:val="00E034C4"/>
    <w:rsid w:val="00E1139A"/>
    <w:rsid w:val="00E26D79"/>
    <w:rsid w:val="00E4430B"/>
    <w:rsid w:val="00E45C3E"/>
    <w:rsid w:val="00E502E0"/>
    <w:rsid w:val="00E57162"/>
    <w:rsid w:val="00E63143"/>
    <w:rsid w:val="00E6456C"/>
    <w:rsid w:val="00E64663"/>
    <w:rsid w:val="00E6467C"/>
    <w:rsid w:val="00E66430"/>
    <w:rsid w:val="00E725D9"/>
    <w:rsid w:val="00E761D8"/>
    <w:rsid w:val="00E76E9F"/>
    <w:rsid w:val="00E770A8"/>
    <w:rsid w:val="00E85199"/>
    <w:rsid w:val="00E90970"/>
    <w:rsid w:val="00E93ACA"/>
    <w:rsid w:val="00E94E4C"/>
    <w:rsid w:val="00EA2973"/>
    <w:rsid w:val="00EA2EA2"/>
    <w:rsid w:val="00EB5ED8"/>
    <w:rsid w:val="00EC6B1B"/>
    <w:rsid w:val="00ED5A89"/>
    <w:rsid w:val="00EE7EA3"/>
    <w:rsid w:val="00EF669A"/>
    <w:rsid w:val="00F0052E"/>
    <w:rsid w:val="00F00AC5"/>
    <w:rsid w:val="00F0512B"/>
    <w:rsid w:val="00F10B1D"/>
    <w:rsid w:val="00F131BA"/>
    <w:rsid w:val="00F152FD"/>
    <w:rsid w:val="00F21304"/>
    <w:rsid w:val="00F25CD9"/>
    <w:rsid w:val="00F42F55"/>
    <w:rsid w:val="00F52F88"/>
    <w:rsid w:val="00F57ACB"/>
    <w:rsid w:val="00F622EF"/>
    <w:rsid w:val="00F67454"/>
    <w:rsid w:val="00F776DD"/>
    <w:rsid w:val="00F8264F"/>
    <w:rsid w:val="00F85A49"/>
    <w:rsid w:val="00F87061"/>
    <w:rsid w:val="00F924F3"/>
    <w:rsid w:val="00F93FE8"/>
    <w:rsid w:val="00FA070F"/>
    <w:rsid w:val="00FA1CCF"/>
    <w:rsid w:val="00FA6658"/>
    <w:rsid w:val="00FB15FC"/>
    <w:rsid w:val="00FB1E6A"/>
    <w:rsid w:val="00FB5BF6"/>
    <w:rsid w:val="00FB6852"/>
    <w:rsid w:val="00FC10C0"/>
    <w:rsid w:val="00FC643A"/>
    <w:rsid w:val="00FD323F"/>
    <w:rsid w:val="00FD742D"/>
    <w:rsid w:val="00FE457D"/>
    <w:rsid w:val="00FF0BC0"/>
    <w:rsid w:val="00FF5965"/>
    <w:rsid w:val="010031D9"/>
    <w:rsid w:val="010116F9"/>
    <w:rsid w:val="010E37DC"/>
    <w:rsid w:val="011122AE"/>
    <w:rsid w:val="0118401E"/>
    <w:rsid w:val="01224C76"/>
    <w:rsid w:val="013452E8"/>
    <w:rsid w:val="013B0DE8"/>
    <w:rsid w:val="013E5336"/>
    <w:rsid w:val="01451524"/>
    <w:rsid w:val="014929F8"/>
    <w:rsid w:val="01546E74"/>
    <w:rsid w:val="0159301C"/>
    <w:rsid w:val="01653306"/>
    <w:rsid w:val="016814B1"/>
    <w:rsid w:val="01765F88"/>
    <w:rsid w:val="01865615"/>
    <w:rsid w:val="018948FB"/>
    <w:rsid w:val="019B7FF1"/>
    <w:rsid w:val="01B64DBC"/>
    <w:rsid w:val="01BD7A4F"/>
    <w:rsid w:val="01C85F78"/>
    <w:rsid w:val="01D32B76"/>
    <w:rsid w:val="01DE33E0"/>
    <w:rsid w:val="01EB07AB"/>
    <w:rsid w:val="01EC5C3E"/>
    <w:rsid w:val="01F22533"/>
    <w:rsid w:val="021A1019"/>
    <w:rsid w:val="02291098"/>
    <w:rsid w:val="0234468B"/>
    <w:rsid w:val="023664F2"/>
    <w:rsid w:val="023962D5"/>
    <w:rsid w:val="025C126D"/>
    <w:rsid w:val="0262027F"/>
    <w:rsid w:val="026F68EA"/>
    <w:rsid w:val="027605E4"/>
    <w:rsid w:val="027C24BC"/>
    <w:rsid w:val="02886175"/>
    <w:rsid w:val="028D66E5"/>
    <w:rsid w:val="02932C69"/>
    <w:rsid w:val="029517B4"/>
    <w:rsid w:val="029A133E"/>
    <w:rsid w:val="02B77584"/>
    <w:rsid w:val="02D16BE5"/>
    <w:rsid w:val="02DA6A5E"/>
    <w:rsid w:val="02DC2186"/>
    <w:rsid w:val="02DD6F11"/>
    <w:rsid w:val="02E87FE4"/>
    <w:rsid w:val="02E97BB6"/>
    <w:rsid w:val="02FC7392"/>
    <w:rsid w:val="03056ED8"/>
    <w:rsid w:val="03062260"/>
    <w:rsid w:val="031B5B3F"/>
    <w:rsid w:val="032B6C3A"/>
    <w:rsid w:val="033A1937"/>
    <w:rsid w:val="034101F0"/>
    <w:rsid w:val="034722F9"/>
    <w:rsid w:val="035917B3"/>
    <w:rsid w:val="036B7422"/>
    <w:rsid w:val="03797A2B"/>
    <w:rsid w:val="037B7BAD"/>
    <w:rsid w:val="03815B1E"/>
    <w:rsid w:val="038740F9"/>
    <w:rsid w:val="038A0F4D"/>
    <w:rsid w:val="038F5CF1"/>
    <w:rsid w:val="03912F41"/>
    <w:rsid w:val="03977E2B"/>
    <w:rsid w:val="039D2861"/>
    <w:rsid w:val="039D369E"/>
    <w:rsid w:val="03A21A69"/>
    <w:rsid w:val="03A41501"/>
    <w:rsid w:val="03C050B3"/>
    <w:rsid w:val="03C116DF"/>
    <w:rsid w:val="03C54F6F"/>
    <w:rsid w:val="03C932BE"/>
    <w:rsid w:val="03CB3EB9"/>
    <w:rsid w:val="03CD5D31"/>
    <w:rsid w:val="03CE1705"/>
    <w:rsid w:val="03D554AB"/>
    <w:rsid w:val="03DC6E2A"/>
    <w:rsid w:val="03DF10B2"/>
    <w:rsid w:val="03E17528"/>
    <w:rsid w:val="03F0017C"/>
    <w:rsid w:val="03F35891"/>
    <w:rsid w:val="03FB0714"/>
    <w:rsid w:val="04081E7D"/>
    <w:rsid w:val="040D5F94"/>
    <w:rsid w:val="040E6340"/>
    <w:rsid w:val="040F1CDD"/>
    <w:rsid w:val="0410030A"/>
    <w:rsid w:val="04153DF8"/>
    <w:rsid w:val="04190284"/>
    <w:rsid w:val="042132B1"/>
    <w:rsid w:val="04262824"/>
    <w:rsid w:val="042706EB"/>
    <w:rsid w:val="042F6108"/>
    <w:rsid w:val="0431050E"/>
    <w:rsid w:val="04437B16"/>
    <w:rsid w:val="044646A8"/>
    <w:rsid w:val="044D6D08"/>
    <w:rsid w:val="04570286"/>
    <w:rsid w:val="045804E9"/>
    <w:rsid w:val="045C5A66"/>
    <w:rsid w:val="04617A5D"/>
    <w:rsid w:val="0465768E"/>
    <w:rsid w:val="046E3282"/>
    <w:rsid w:val="04756ABC"/>
    <w:rsid w:val="047A0169"/>
    <w:rsid w:val="04881B0C"/>
    <w:rsid w:val="048C7E10"/>
    <w:rsid w:val="049745EC"/>
    <w:rsid w:val="04A15406"/>
    <w:rsid w:val="04AB1797"/>
    <w:rsid w:val="04B3420E"/>
    <w:rsid w:val="04B471CA"/>
    <w:rsid w:val="04B90CE5"/>
    <w:rsid w:val="04BE75A2"/>
    <w:rsid w:val="04BE7A94"/>
    <w:rsid w:val="04C26011"/>
    <w:rsid w:val="04C57E88"/>
    <w:rsid w:val="04D01B7D"/>
    <w:rsid w:val="04D233A2"/>
    <w:rsid w:val="04DD1F13"/>
    <w:rsid w:val="04EC6E64"/>
    <w:rsid w:val="04F106CD"/>
    <w:rsid w:val="04F76C39"/>
    <w:rsid w:val="05022BAD"/>
    <w:rsid w:val="0503529A"/>
    <w:rsid w:val="05051C06"/>
    <w:rsid w:val="050D5035"/>
    <w:rsid w:val="05152B23"/>
    <w:rsid w:val="05166AC5"/>
    <w:rsid w:val="051A214C"/>
    <w:rsid w:val="051B18B9"/>
    <w:rsid w:val="051C60D7"/>
    <w:rsid w:val="051E2B48"/>
    <w:rsid w:val="0529371B"/>
    <w:rsid w:val="052E3EEF"/>
    <w:rsid w:val="05317299"/>
    <w:rsid w:val="05342A10"/>
    <w:rsid w:val="053658D4"/>
    <w:rsid w:val="0537246E"/>
    <w:rsid w:val="053E38CF"/>
    <w:rsid w:val="05453E3C"/>
    <w:rsid w:val="054873D2"/>
    <w:rsid w:val="054D4843"/>
    <w:rsid w:val="0550591D"/>
    <w:rsid w:val="055164E7"/>
    <w:rsid w:val="055436D7"/>
    <w:rsid w:val="05556BC3"/>
    <w:rsid w:val="05594F83"/>
    <w:rsid w:val="056B2CAF"/>
    <w:rsid w:val="05704CD5"/>
    <w:rsid w:val="057411A1"/>
    <w:rsid w:val="0588214B"/>
    <w:rsid w:val="059733B5"/>
    <w:rsid w:val="059E3B86"/>
    <w:rsid w:val="05B920F5"/>
    <w:rsid w:val="05BA5972"/>
    <w:rsid w:val="05BE40EE"/>
    <w:rsid w:val="05C1575D"/>
    <w:rsid w:val="05C30828"/>
    <w:rsid w:val="05C74181"/>
    <w:rsid w:val="05CF4EB3"/>
    <w:rsid w:val="05D1303A"/>
    <w:rsid w:val="05E42052"/>
    <w:rsid w:val="05FC0CD4"/>
    <w:rsid w:val="060A72F3"/>
    <w:rsid w:val="0611150F"/>
    <w:rsid w:val="06206C00"/>
    <w:rsid w:val="06244176"/>
    <w:rsid w:val="063021A9"/>
    <w:rsid w:val="064B6404"/>
    <w:rsid w:val="064C7850"/>
    <w:rsid w:val="0652786B"/>
    <w:rsid w:val="065B3392"/>
    <w:rsid w:val="06682DE6"/>
    <w:rsid w:val="06683B83"/>
    <w:rsid w:val="06735DC5"/>
    <w:rsid w:val="067A0FD9"/>
    <w:rsid w:val="067B4CEE"/>
    <w:rsid w:val="06823015"/>
    <w:rsid w:val="068831EC"/>
    <w:rsid w:val="068D22EA"/>
    <w:rsid w:val="068E7A1B"/>
    <w:rsid w:val="06900278"/>
    <w:rsid w:val="069B5E85"/>
    <w:rsid w:val="069C0789"/>
    <w:rsid w:val="06AA1C52"/>
    <w:rsid w:val="06AE536C"/>
    <w:rsid w:val="06B35831"/>
    <w:rsid w:val="06BC6527"/>
    <w:rsid w:val="06BD229F"/>
    <w:rsid w:val="06CB7D2B"/>
    <w:rsid w:val="06CC3B01"/>
    <w:rsid w:val="06D34773"/>
    <w:rsid w:val="06D37B1F"/>
    <w:rsid w:val="06D76F14"/>
    <w:rsid w:val="06D80992"/>
    <w:rsid w:val="06E17CA9"/>
    <w:rsid w:val="06F724DC"/>
    <w:rsid w:val="07101078"/>
    <w:rsid w:val="07161B74"/>
    <w:rsid w:val="071B5929"/>
    <w:rsid w:val="071B7025"/>
    <w:rsid w:val="072254F2"/>
    <w:rsid w:val="07240C51"/>
    <w:rsid w:val="072E2C4D"/>
    <w:rsid w:val="0748560B"/>
    <w:rsid w:val="07512AE9"/>
    <w:rsid w:val="07577994"/>
    <w:rsid w:val="07603356"/>
    <w:rsid w:val="07697D31"/>
    <w:rsid w:val="076F6E9A"/>
    <w:rsid w:val="077E2440"/>
    <w:rsid w:val="07835ED5"/>
    <w:rsid w:val="07866291"/>
    <w:rsid w:val="07871154"/>
    <w:rsid w:val="078E1545"/>
    <w:rsid w:val="07997F47"/>
    <w:rsid w:val="07AF1FD4"/>
    <w:rsid w:val="07B23022"/>
    <w:rsid w:val="07B51A5F"/>
    <w:rsid w:val="07BA7779"/>
    <w:rsid w:val="07C87D48"/>
    <w:rsid w:val="07D21680"/>
    <w:rsid w:val="07DB29DD"/>
    <w:rsid w:val="07DF60F7"/>
    <w:rsid w:val="07E23FA4"/>
    <w:rsid w:val="07E46421"/>
    <w:rsid w:val="07EF6CF5"/>
    <w:rsid w:val="07F6543F"/>
    <w:rsid w:val="080173C8"/>
    <w:rsid w:val="08057177"/>
    <w:rsid w:val="08070D6F"/>
    <w:rsid w:val="08114CA2"/>
    <w:rsid w:val="08150A1D"/>
    <w:rsid w:val="081859DC"/>
    <w:rsid w:val="081A7D8C"/>
    <w:rsid w:val="081E1916"/>
    <w:rsid w:val="0826551C"/>
    <w:rsid w:val="082B3377"/>
    <w:rsid w:val="08315BBE"/>
    <w:rsid w:val="083D1B3B"/>
    <w:rsid w:val="0840490D"/>
    <w:rsid w:val="08514A4D"/>
    <w:rsid w:val="08624090"/>
    <w:rsid w:val="087022D6"/>
    <w:rsid w:val="08806AA2"/>
    <w:rsid w:val="0881089F"/>
    <w:rsid w:val="08850D7B"/>
    <w:rsid w:val="08880137"/>
    <w:rsid w:val="088C0246"/>
    <w:rsid w:val="0893062D"/>
    <w:rsid w:val="08973958"/>
    <w:rsid w:val="08993BDC"/>
    <w:rsid w:val="089F64C2"/>
    <w:rsid w:val="08A059D4"/>
    <w:rsid w:val="08C33C96"/>
    <w:rsid w:val="08E83B6C"/>
    <w:rsid w:val="08F06ED6"/>
    <w:rsid w:val="08F25309"/>
    <w:rsid w:val="08F62094"/>
    <w:rsid w:val="08F8711B"/>
    <w:rsid w:val="09061355"/>
    <w:rsid w:val="09093764"/>
    <w:rsid w:val="09104BFD"/>
    <w:rsid w:val="091202ED"/>
    <w:rsid w:val="09121004"/>
    <w:rsid w:val="09173338"/>
    <w:rsid w:val="091B2F85"/>
    <w:rsid w:val="091C0B5C"/>
    <w:rsid w:val="09202CB8"/>
    <w:rsid w:val="09225DCB"/>
    <w:rsid w:val="09230B43"/>
    <w:rsid w:val="09274EB4"/>
    <w:rsid w:val="09281247"/>
    <w:rsid w:val="092B169B"/>
    <w:rsid w:val="092C3817"/>
    <w:rsid w:val="092D7D86"/>
    <w:rsid w:val="092E6E62"/>
    <w:rsid w:val="0932249C"/>
    <w:rsid w:val="09380BA7"/>
    <w:rsid w:val="093E00A8"/>
    <w:rsid w:val="093E2345"/>
    <w:rsid w:val="09421A46"/>
    <w:rsid w:val="094516AC"/>
    <w:rsid w:val="09460104"/>
    <w:rsid w:val="09511D9C"/>
    <w:rsid w:val="097315B3"/>
    <w:rsid w:val="09731CEF"/>
    <w:rsid w:val="097A7FD3"/>
    <w:rsid w:val="097C79CF"/>
    <w:rsid w:val="098A05C8"/>
    <w:rsid w:val="099357EC"/>
    <w:rsid w:val="099B4796"/>
    <w:rsid w:val="09A1210B"/>
    <w:rsid w:val="09A339CE"/>
    <w:rsid w:val="09AC61C1"/>
    <w:rsid w:val="09B73AE9"/>
    <w:rsid w:val="09B75714"/>
    <w:rsid w:val="09B86A8D"/>
    <w:rsid w:val="09BC0421"/>
    <w:rsid w:val="09C45B60"/>
    <w:rsid w:val="09CE7C39"/>
    <w:rsid w:val="09D534B7"/>
    <w:rsid w:val="09DB41EB"/>
    <w:rsid w:val="09DC495F"/>
    <w:rsid w:val="09DD3876"/>
    <w:rsid w:val="09E0246A"/>
    <w:rsid w:val="09E66C0E"/>
    <w:rsid w:val="09EC6271"/>
    <w:rsid w:val="09EE29E7"/>
    <w:rsid w:val="09F2225F"/>
    <w:rsid w:val="09F53EAC"/>
    <w:rsid w:val="09F76B2C"/>
    <w:rsid w:val="0A023E16"/>
    <w:rsid w:val="0A074C42"/>
    <w:rsid w:val="0A0D05B5"/>
    <w:rsid w:val="0A103826"/>
    <w:rsid w:val="0A150A8E"/>
    <w:rsid w:val="0A352F73"/>
    <w:rsid w:val="0A387C7E"/>
    <w:rsid w:val="0A553D91"/>
    <w:rsid w:val="0A56785B"/>
    <w:rsid w:val="0A5E4002"/>
    <w:rsid w:val="0A600EE6"/>
    <w:rsid w:val="0A6027C0"/>
    <w:rsid w:val="0A64139E"/>
    <w:rsid w:val="0A7047D2"/>
    <w:rsid w:val="0A7E70AD"/>
    <w:rsid w:val="0A811438"/>
    <w:rsid w:val="0A820EBF"/>
    <w:rsid w:val="0A830F59"/>
    <w:rsid w:val="0A853A84"/>
    <w:rsid w:val="0A867594"/>
    <w:rsid w:val="0A920CA5"/>
    <w:rsid w:val="0A98680D"/>
    <w:rsid w:val="0A9D5E3E"/>
    <w:rsid w:val="0AA47813"/>
    <w:rsid w:val="0AA94110"/>
    <w:rsid w:val="0AAC45C1"/>
    <w:rsid w:val="0AB63EF0"/>
    <w:rsid w:val="0ABC797B"/>
    <w:rsid w:val="0AC005A3"/>
    <w:rsid w:val="0AC97256"/>
    <w:rsid w:val="0ACA554E"/>
    <w:rsid w:val="0AD20579"/>
    <w:rsid w:val="0AD43F1F"/>
    <w:rsid w:val="0ADF7F96"/>
    <w:rsid w:val="0AEC42A5"/>
    <w:rsid w:val="0AF35470"/>
    <w:rsid w:val="0AF50259"/>
    <w:rsid w:val="0B090A9E"/>
    <w:rsid w:val="0B0913A0"/>
    <w:rsid w:val="0B0A570F"/>
    <w:rsid w:val="0B107E2C"/>
    <w:rsid w:val="0B1B751C"/>
    <w:rsid w:val="0B260413"/>
    <w:rsid w:val="0B3678BC"/>
    <w:rsid w:val="0B442E3D"/>
    <w:rsid w:val="0B4A3C02"/>
    <w:rsid w:val="0B4A4917"/>
    <w:rsid w:val="0B4D33BF"/>
    <w:rsid w:val="0B4E16F1"/>
    <w:rsid w:val="0B583040"/>
    <w:rsid w:val="0B5F3AA9"/>
    <w:rsid w:val="0B637193"/>
    <w:rsid w:val="0B64299B"/>
    <w:rsid w:val="0B64479A"/>
    <w:rsid w:val="0B725059"/>
    <w:rsid w:val="0B73066F"/>
    <w:rsid w:val="0B8A3E24"/>
    <w:rsid w:val="0B8C275C"/>
    <w:rsid w:val="0B8E7EDA"/>
    <w:rsid w:val="0B903767"/>
    <w:rsid w:val="0B910224"/>
    <w:rsid w:val="0BA64321"/>
    <w:rsid w:val="0BC70D3B"/>
    <w:rsid w:val="0BD065D0"/>
    <w:rsid w:val="0BD51F94"/>
    <w:rsid w:val="0BDB0002"/>
    <w:rsid w:val="0BEC6631"/>
    <w:rsid w:val="0BF80385"/>
    <w:rsid w:val="0BFC74EE"/>
    <w:rsid w:val="0C040970"/>
    <w:rsid w:val="0C072C79"/>
    <w:rsid w:val="0C233519"/>
    <w:rsid w:val="0C2F32F7"/>
    <w:rsid w:val="0C3515D2"/>
    <w:rsid w:val="0C392B11"/>
    <w:rsid w:val="0C4F75A1"/>
    <w:rsid w:val="0C517260"/>
    <w:rsid w:val="0C53282E"/>
    <w:rsid w:val="0C554B91"/>
    <w:rsid w:val="0C6274FE"/>
    <w:rsid w:val="0C66774C"/>
    <w:rsid w:val="0C673DCB"/>
    <w:rsid w:val="0C6D3109"/>
    <w:rsid w:val="0C7D7694"/>
    <w:rsid w:val="0C8E1BC8"/>
    <w:rsid w:val="0C8F1B8C"/>
    <w:rsid w:val="0C987041"/>
    <w:rsid w:val="0C9B1932"/>
    <w:rsid w:val="0C9B3F7B"/>
    <w:rsid w:val="0CA0216C"/>
    <w:rsid w:val="0CA03E85"/>
    <w:rsid w:val="0CA041F5"/>
    <w:rsid w:val="0CA12A89"/>
    <w:rsid w:val="0CB012D7"/>
    <w:rsid w:val="0CBC085E"/>
    <w:rsid w:val="0CBD02E8"/>
    <w:rsid w:val="0CC0532C"/>
    <w:rsid w:val="0CD003CF"/>
    <w:rsid w:val="0CD01744"/>
    <w:rsid w:val="0CD315A4"/>
    <w:rsid w:val="0CDA62E9"/>
    <w:rsid w:val="0CE3748D"/>
    <w:rsid w:val="0CE70A1D"/>
    <w:rsid w:val="0CFB5EF4"/>
    <w:rsid w:val="0CFD6A07"/>
    <w:rsid w:val="0D020F0E"/>
    <w:rsid w:val="0D0A3999"/>
    <w:rsid w:val="0D0E2BAC"/>
    <w:rsid w:val="0D196EB1"/>
    <w:rsid w:val="0D1C6E83"/>
    <w:rsid w:val="0D2176CA"/>
    <w:rsid w:val="0D2541EB"/>
    <w:rsid w:val="0D2723A0"/>
    <w:rsid w:val="0D2D4D8A"/>
    <w:rsid w:val="0D4576A3"/>
    <w:rsid w:val="0D487D89"/>
    <w:rsid w:val="0D4B3498"/>
    <w:rsid w:val="0D4B5BE1"/>
    <w:rsid w:val="0D4F16F4"/>
    <w:rsid w:val="0D5079AE"/>
    <w:rsid w:val="0D5711C4"/>
    <w:rsid w:val="0D572370"/>
    <w:rsid w:val="0D5D2AFC"/>
    <w:rsid w:val="0D5D3E94"/>
    <w:rsid w:val="0D5F77D0"/>
    <w:rsid w:val="0D7D62E4"/>
    <w:rsid w:val="0D88760F"/>
    <w:rsid w:val="0D9153C0"/>
    <w:rsid w:val="0D927D01"/>
    <w:rsid w:val="0D9415FB"/>
    <w:rsid w:val="0D9F3A7F"/>
    <w:rsid w:val="0D9F5727"/>
    <w:rsid w:val="0DA323DA"/>
    <w:rsid w:val="0DA52F0A"/>
    <w:rsid w:val="0DAE501D"/>
    <w:rsid w:val="0DB56754"/>
    <w:rsid w:val="0DB91073"/>
    <w:rsid w:val="0DC062FD"/>
    <w:rsid w:val="0DD30D16"/>
    <w:rsid w:val="0DD643F2"/>
    <w:rsid w:val="0DD77E1F"/>
    <w:rsid w:val="0DDB1A65"/>
    <w:rsid w:val="0DEA2F9D"/>
    <w:rsid w:val="0DF536C2"/>
    <w:rsid w:val="0DFF77A4"/>
    <w:rsid w:val="0E012E7D"/>
    <w:rsid w:val="0E051B69"/>
    <w:rsid w:val="0E056A05"/>
    <w:rsid w:val="0E062F13"/>
    <w:rsid w:val="0E065B92"/>
    <w:rsid w:val="0E087DBF"/>
    <w:rsid w:val="0E0942AE"/>
    <w:rsid w:val="0E1075D3"/>
    <w:rsid w:val="0E2A60A5"/>
    <w:rsid w:val="0E2F1A1F"/>
    <w:rsid w:val="0E320043"/>
    <w:rsid w:val="0E3A5563"/>
    <w:rsid w:val="0E43066C"/>
    <w:rsid w:val="0E496B86"/>
    <w:rsid w:val="0E4A7E09"/>
    <w:rsid w:val="0E4E74BA"/>
    <w:rsid w:val="0E4F06DE"/>
    <w:rsid w:val="0E571A7F"/>
    <w:rsid w:val="0E587FAC"/>
    <w:rsid w:val="0E5C414B"/>
    <w:rsid w:val="0E5F5FAE"/>
    <w:rsid w:val="0E5F69A6"/>
    <w:rsid w:val="0E657452"/>
    <w:rsid w:val="0E67012F"/>
    <w:rsid w:val="0E6B00B9"/>
    <w:rsid w:val="0E6C7FC6"/>
    <w:rsid w:val="0E6F6E27"/>
    <w:rsid w:val="0E705B90"/>
    <w:rsid w:val="0E744F9B"/>
    <w:rsid w:val="0E881219"/>
    <w:rsid w:val="0E8B3131"/>
    <w:rsid w:val="0E8B3FA0"/>
    <w:rsid w:val="0E8D3D67"/>
    <w:rsid w:val="0E8E4B5E"/>
    <w:rsid w:val="0E923546"/>
    <w:rsid w:val="0E9418A7"/>
    <w:rsid w:val="0E9E397A"/>
    <w:rsid w:val="0EA36CEB"/>
    <w:rsid w:val="0EA66B4F"/>
    <w:rsid w:val="0EA8541A"/>
    <w:rsid w:val="0EAC51BD"/>
    <w:rsid w:val="0EB07778"/>
    <w:rsid w:val="0EBC0DD4"/>
    <w:rsid w:val="0ECF4AF4"/>
    <w:rsid w:val="0EEA3F51"/>
    <w:rsid w:val="0EEF4BF7"/>
    <w:rsid w:val="0EF83F55"/>
    <w:rsid w:val="0F00541F"/>
    <w:rsid w:val="0F027AF2"/>
    <w:rsid w:val="0F09708E"/>
    <w:rsid w:val="0F0C4F63"/>
    <w:rsid w:val="0F0E2B29"/>
    <w:rsid w:val="0F135841"/>
    <w:rsid w:val="0F234B7B"/>
    <w:rsid w:val="0F2E0DF2"/>
    <w:rsid w:val="0F4D155D"/>
    <w:rsid w:val="0F597E36"/>
    <w:rsid w:val="0F5F073C"/>
    <w:rsid w:val="0F6031E9"/>
    <w:rsid w:val="0F664981"/>
    <w:rsid w:val="0F693606"/>
    <w:rsid w:val="0F6C3BC1"/>
    <w:rsid w:val="0F6C5487"/>
    <w:rsid w:val="0F7470E9"/>
    <w:rsid w:val="0F7826CF"/>
    <w:rsid w:val="0F7C6757"/>
    <w:rsid w:val="0F7E5CE7"/>
    <w:rsid w:val="0F833A88"/>
    <w:rsid w:val="0F911842"/>
    <w:rsid w:val="0F96710E"/>
    <w:rsid w:val="0F9C112A"/>
    <w:rsid w:val="0FA37AD7"/>
    <w:rsid w:val="0FA91DC6"/>
    <w:rsid w:val="0FB36CBB"/>
    <w:rsid w:val="0FB57FB7"/>
    <w:rsid w:val="0FBD6F05"/>
    <w:rsid w:val="0FBF59B6"/>
    <w:rsid w:val="0FC47903"/>
    <w:rsid w:val="0FC85F3C"/>
    <w:rsid w:val="0FD16D0A"/>
    <w:rsid w:val="0FDB6927"/>
    <w:rsid w:val="0FE116C8"/>
    <w:rsid w:val="0FED0284"/>
    <w:rsid w:val="0FF0516E"/>
    <w:rsid w:val="0FFF570F"/>
    <w:rsid w:val="10065563"/>
    <w:rsid w:val="10117F35"/>
    <w:rsid w:val="101A5725"/>
    <w:rsid w:val="101B1483"/>
    <w:rsid w:val="101B6A56"/>
    <w:rsid w:val="101F0430"/>
    <w:rsid w:val="101F42E6"/>
    <w:rsid w:val="10290EB1"/>
    <w:rsid w:val="102A4AD9"/>
    <w:rsid w:val="102E68E4"/>
    <w:rsid w:val="10466A68"/>
    <w:rsid w:val="10477349"/>
    <w:rsid w:val="104B178A"/>
    <w:rsid w:val="105119C8"/>
    <w:rsid w:val="105E41AB"/>
    <w:rsid w:val="1060257A"/>
    <w:rsid w:val="10604748"/>
    <w:rsid w:val="10627047"/>
    <w:rsid w:val="106373EC"/>
    <w:rsid w:val="106D666C"/>
    <w:rsid w:val="10700AF4"/>
    <w:rsid w:val="10783799"/>
    <w:rsid w:val="107F35E4"/>
    <w:rsid w:val="108B18E3"/>
    <w:rsid w:val="10910D2E"/>
    <w:rsid w:val="109275E1"/>
    <w:rsid w:val="109E159F"/>
    <w:rsid w:val="10A06011"/>
    <w:rsid w:val="10A97151"/>
    <w:rsid w:val="10AC760C"/>
    <w:rsid w:val="10B1190D"/>
    <w:rsid w:val="10B717E9"/>
    <w:rsid w:val="10B93AD7"/>
    <w:rsid w:val="10BD3C5F"/>
    <w:rsid w:val="10C449D3"/>
    <w:rsid w:val="10C54B9D"/>
    <w:rsid w:val="10CB28D1"/>
    <w:rsid w:val="10CF36C0"/>
    <w:rsid w:val="10D73F5D"/>
    <w:rsid w:val="10DD3AC4"/>
    <w:rsid w:val="10E11713"/>
    <w:rsid w:val="10EC75D0"/>
    <w:rsid w:val="10F0483F"/>
    <w:rsid w:val="10FB7C4C"/>
    <w:rsid w:val="10FD6BE7"/>
    <w:rsid w:val="110E51BD"/>
    <w:rsid w:val="111313B4"/>
    <w:rsid w:val="11136A3C"/>
    <w:rsid w:val="11183AC2"/>
    <w:rsid w:val="1122264B"/>
    <w:rsid w:val="113D191A"/>
    <w:rsid w:val="113E22FA"/>
    <w:rsid w:val="1141240B"/>
    <w:rsid w:val="1152267D"/>
    <w:rsid w:val="11537A88"/>
    <w:rsid w:val="115B693C"/>
    <w:rsid w:val="11625BC3"/>
    <w:rsid w:val="11647116"/>
    <w:rsid w:val="116537F9"/>
    <w:rsid w:val="117259DC"/>
    <w:rsid w:val="11733C86"/>
    <w:rsid w:val="117572F4"/>
    <w:rsid w:val="11763B5C"/>
    <w:rsid w:val="11896A5D"/>
    <w:rsid w:val="11956701"/>
    <w:rsid w:val="11957116"/>
    <w:rsid w:val="11A6428C"/>
    <w:rsid w:val="11A9033A"/>
    <w:rsid w:val="11AA504A"/>
    <w:rsid w:val="11AB7F5E"/>
    <w:rsid w:val="11AD233E"/>
    <w:rsid w:val="11B957A4"/>
    <w:rsid w:val="11BE2EC8"/>
    <w:rsid w:val="11D43F23"/>
    <w:rsid w:val="11D634BC"/>
    <w:rsid w:val="11D71598"/>
    <w:rsid w:val="11DA359A"/>
    <w:rsid w:val="11DD4D3C"/>
    <w:rsid w:val="11DE0128"/>
    <w:rsid w:val="11DE17CB"/>
    <w:rsid w:val="11E5248F"/>
    <w:rsid w:val="11E574F2"/>
    <w:rsid w:val="11F06A3F"/>
    <w:rsid w:val="12022C73"/>
    <w:rsid w:val="1202732E"/>
    <w:rsid w:val="120308CB"/>
    <w:rsid w:val="120E16EF"/>
    <w:rsid w:val="12142C4F"/>
    <w:rsid w:val="122F020C"/>
    <w:rsid w:val="123705E0"/>
    <w:rsid w:val="123A1263"/>
    <w:rsid w:val="123D6AE3"/>
    <w:rsid w:val="12433E61"/>
    <w:rsid w:val="12435BAF"/>
    <w:rsid w:val="12456F76"/>
    <w:rsid w:val="12482E99"/>
    <w:rsid w:val="12554304"/>
    <w:rsid w:val="12584BD6"/>
    <w:rsid w:val="12655FC3"/>
    <w:rsid w:val="126A1D73"/>
    <w:rsid w:val="126C76F3"/>
    <w:rsid w:val="12724097"/>
    <w:rsid w:val="129B1E5C"/>
    <w:rsid w:val="129F645E"/>
    <w:rsid w:val="12A42763"/>
    <w:rsid w:val="12B41589"/>
    <w:rsid w:val="12B659C6"/>
    <w:rsid w:val="12B85CD0"/>
    <w:rsid w:val="12B9706A"/>
    <w:rsid w:val="12BC3C8D"/>
    <w:rsid w:val="12C93CCE"/>
    <w:rsid w:val="12D21D69"/>
    <w:rsid w:val="12D246FB"/>
    <w:rsid w:val="12ED07D0"/>
    <w:rsid w:val="130220BC"/>
    <w:rsid w:val="13073411"/>
    <w:rsid w:val="130A7CFB"/>
    <w:rsid w:val="131B5B4D"/>
    <w:rsid w:val="13212A14"/>
    <w:rsid w:val="133718C1"/>
    <w:rsid w:val="13420116"/>
    <w:rsid w:val="13485C4D"/>
    <w:rsid w:val="13513AC1"/>
    <w:rsid w:val="1365147B"/>
    <w:rsid w:val="136F5FC9"/>
    <w:rsid w:val="13763164"/>
    <w:rsid w:val="138007AD"/>
    <w:rsid w:val="138828EE"/>
    <w:rsid w:val="138943CE"/>
    <w:rsid w:val="138F7A69"/>
    <w:rsid w:val="13916373"/>
    <w:rsid w:val="13966785"/>
    <w:rsid w:val="13CA79A5"/>
    <w:rsid w:val="13CB50E7"/>
    <w:rsid w:val="13D1150B"/>
    <w:rsid w:val="13D20640"/>
    <w:rsid w:val="13D732F5"/>
    <w:rsid w:val="13ED0EA0"/>
    <w:rsid w:val="13ED5B7C"/>
    <w:rsid w:val="13F4400D"/>
    <w:rsid w:val="13F52FA8"/>
    <w:rsid w:val="13F55CB9"/>
    <w:rsid w:val="13FA294E"/>
    <w:rsid w:val="13FC735F"/>
    <w:rsid w:val="14040A32"/>
    <w:rsid w:val="1414220A"/>
    <w:rsid w:val="141A0AE5"/>
    <w:rsid w:val="14207C69"/>
    <w:rsid w:val="1424395D"/>
    <w:rsid w:val="14340164"/>
    <w:rsid w:val="14390AAF"/>
    <w:rsid w:val="143B4B8F"/>
    <w:rsid w:val="143C2A55"/>
    <w:rsid w:val="143E192A"/>
    <w:rsid w:val="14412687"/>
    <w:rsid w:val="1441368D"/>
    <w:rsid w:val="144D5FB8"/>
    <w:rsid w:val="144D7638"/>
    <w:rsid w:val="144F0EE0"/>
    <w:rsid w:val="14597CA6"/>
    <w:rsid w:val="145C0D7F"/>
    <w:rsid w:val="14627670"/>
    <w:rsid w:val="147208C6"/>
    <w:rsid w:val="14720CA8"/>
    <w:rsid w:val="1480651C"/>
    <w:rsid w:val="14813049"/>
    <w:rsid w:val="1485486A"/>
    <w:rsid w:val="148766B3"/>
    <w:rsid w:val="148A009D"/>
    <w:rsid w:val="148A6F8C"/>
    <w:rsid w:val="14901F87"/>
    <w:rsid w:val="14A60C29"/>
    <w:rsid w:val="14A71DF5"/>
    <w:rsid w:val="14B16FF6"/>
    <w:rsid w:val="14B545B5"/>
    <w:rsid w:val="14B57709"/>
    <w:rsid w:val="14BB24E6"/>
    <w:rsid w:val="14CF4B90"/>
    <w:rsid w:val="14D005B2"/>
    <w:rsid w:val="14D40BC5"/>
    <w:rsid w:val="14D81C43"/>
    <w:rsid w:val="14DD2501"/>
    <w:rsid w:val="14DE1995"/>
    <w:rsid w:val="14DE7EA3"/>
    <w:rsid w:val="14E50558"/>
    <w:rsid w:val="14F30FDD"/>
    <w:rsid w:val="14F65E47"/>
    <w:rsid w:val="14FD5E62"/>
    <w:rsid w:val="15007F26"/>
    <w:rsid w:val="151E12DE"/>
    <w:rsid w:val="151E64FC"/>
    <w:rsid w:val="153E7AB0"/>
    <w:rsid w:val="15424CAE"/>
    <w:rsid w:val="15431BC1"/>
    <w:rsid w:val="15482861"/>
    <w:rsid w:val="154D5845"/>
    <w:rsid w:val="154F336F"/>
    <w:rsid w:val="15502EB7"/>
    <w:rsid w:val="15644CE6"/>
    <w:rsid w:val="156A610C"/>
    <w:rsid w:val="156E3119"/>
    <w:rsid w:val="15950580"/>
    <w:rsid w:val="159C631B"/>
    <w:rsid w:val="15A96FC0"/>
    <w:rsid w:val="15AA4E0A"/>
    <w:rsid w:val="15B067B4"/>
    <w:rsid w:val="15B14D7D"/>
    <w:rsid w:val="15C07A6F"/>
    <w:rsid w:val="15C63157"/>
    <w:rsid w:val="15CC07AB"/>
    <w:rsid w:val="15D1177C"/>
    <w:rsid w:val="15DB23B9"/>
    <w:rsid w:val="15DF11F2"/>
    <w:rsid w:val="15E51807"/>
    <w:rsid w:val="15EA0C31"/>
    <w:rsid w:val="15EA716B"/>
    <w:rsid w:val="15F260AE"/>
    <w:rsid w:val="15F44A9F"/>
    <w:rsid w:val="160767EC"/>
    <w:rsid w:val="160B7EBB"/>
    <w:rsid w:val="161F0F67"/>
    <w:rsid w:val="161F1EC8"/>
    <w:rsid w:val="1621287B"/>
    <w:rsid w:val="162915B0"/>
    <w:rsid w:val="162B2AEA"/>
    <w:rsid w:val="162D6F19"/>
    <w:rsid w:val="162F5942"/>
    <w:rsid w:val="163115DB"/>
    <w:rsid w:val="163B68A3"/>
    <w:rsid w:val="163C673D"/>
    <w:rsid w:val="16421C15"/>
    <w:rsid w:val="164E0096"/>
    <w:rsid w:val="16563027"/>
    <w:rsid w:val="16576A03"/>
    <w:rsid w:val="16581ECA"/>
    <w:rsid w:val="165E3A27"/>
    <w:rsid w:val="165E4C2B"/>
    <w:rsid w:val="16601F62"/>
    <w:rsid w:val="166A21FF"/>
    <w:rsid w:val="166B2B8F"/>
    <w:rsid w:val="166B5CA7"/>
    <w:rsid w:val="16755CAA"/>
    <w:rsid w:val="16860B58"/>
    <w:rsid w:val="168F4A9E"/>
    <w:rsid w:val="16900E36"/>
    <w:rsid w:val="169B2CF6"/>
    <w:rsid w:val="16A75C7D"/>
    <w:rsid w:val="16B63A00"/>
    <w:rsid w:val="16B77CE5"/>
    <w:rsid w:val="16B94D69"/>
    <w:rsid w:val="16B95D60"/>
    <w:rsid w:val="16C02CEC"/>
    <w:rsid w:val="16D50FFA"/>
    <w:rsid w:val="16D71102"/>
    <w:rsid w:val="16DB73B2"/>
    <w:rsid w:val="16E024F2"/>
    <w:rsid w:val="16E11978"/>
    <w:rsid w:val="16E3432F"/>
    <w:rsid w:val="16F11333"/>
    <w:rsid w:val="16F57CC0"/>
    <w:rsid w:val="16FB6628"/>
    <w:rsid w:val="16FC471D"/>
    <w:rsid w:val="16FD47CD"/>
    <w:rsid w:val="17045C50"/>
    <w:rsid w:val="17115DCB"/>
    <w:rsid w:val="1715758D"/>
    <w:rsid w:val="17184788"/>
    <w:rsid w:val="17195D01"/>
    <w:rsid w:val="171F177F"/>
    <w:rsid w:val="171F3867"/>
    <w:rsid w:val="17296B60"/>
    <w:rsid w:val="17383BFB"/>
    <w:rsid w:val="173F799D"/>
    <w:rsid w:val="1746670E"/>
    <w:rsid w:val="174B2CF4"/>
    <w:rsid w:val="17544A20"/>
    <w:rsid w:val="17563598"/>
    <w:rsid w:val="17827D60"/>
    <w:rsid w:val="17891CD3"/>
    <w:rsid w:val="179030EC"/>
    <w:rsid w:val="179B2476"/>
    <w:rsid w:val="179C380B"/>
    <w:rsid w:val="179E03CA"/>
    <w:rsid w:val="17A42166"/>
    <w:rsid w:val="17A66DF2"/>
    <w:rsid w:val="17B047EE"/>
    <w:rsid w:val="17B815C4"/>
    <w:rsid w:val="17C1169F"/>
    <w:rsid w:val="17C15AD8"/>
    <w:rsid w:val="17C603AD"/>
    <w:rsid w:val="17D026BE"/>
    <w:rsid w:val="17DA6E1C"/>
    <w:rsid w:val="17ED7A5B"/>
    <w:rsid w:val="17F2118E"/>
    <w:rsid w:val="17F5638D"/>
    <w:rsid w:val="17F72BAD"/>
    <w:rsid w:val="1804523A"/>
    <w:rsid w:val="18056E38"/>
    <w:rsid w:val="180E24AB"/>
    <w:rsid w:val="180E64B6"/>
    <w:rsid w:val="18230DE5"/>
    <w:rsid w:val="18253800"/>
    <w:rsid w:val="182F178A"/>
    <w:rsid w:val="18302450"/>
    <w:rsid w:val="18377C9B"/>
    <w:rsid w:val="183D6360"/>
    <w:rsid w:val="18422453"/>
    <w:rsid w:val="185873D2"/>
    <w:rsid w:val="185A1152"/>
    <w:rsid w:val="185A4059"/>
    <w:rsid w:val="185B12FE"/>
    <w:rsid w:val="185E431F"/>
    <w:rsid w:val="185E6B8F"/>
    <w:rsid w:val="185F398F"/>
    <w:rsid w:val="18697FE9"/>
    <w:rsid w:val="186B1430"/>
    <w:rsid w:val="18715500"/>
    <w:rsid w:val="187415EB"/>
    <w:rsid w:val="18781978"/>
    <w:rsid w:val="187B4DD9"/>
    <w:rsid w:val="18975325"/>
    <w:rsid w:val="18A57BA5"/>
    <w:rsid w:val="18AA31ED"/>
    <w:rsid w:val="18AE4DC6"/>
    <w:rsid w:val="18B4181A"/>
    <w:rsid w:val="18C60582"/>
    <w:rsid w:val="18CD19A9"/>
    <w:rsid w:val="18D43D90"/>
    <w:rsid w:val="18D4609C"/>
    <w:rsid w:val="18DD0071"/>
    <w:rsid w:val="18E11E1D"/>
    <w:rsid w:val="18E611E1"/>
    <w:rsid w:val="18F157F6"/>
    <w:rsid w:val="18F5225B"/>
    <w:rsid w:val="18FB56F6"/>
    <w:rsid w:val="18FB6499"/>
    <w:rsid w:val="19026D77"/>
    <w:rsid w:val="19120C9B"/>
    <w:rsid w:val="191B4C30"/>
    <w:rsid w:val="19213891"/>
    <w:rsid w:val="19306300"/>
    <w:rsid w:val="193B2DCA"/>
    <w:rsid w:val="193B4364"/>
    <w:rsid w:val="193D2731"/>
    <w:rsid w:val="194131F1"/>
    <w:rsid w:val="19432438"/>
    <w:rsid w:val="194373AD"/>
    <w:rsid w:val="194E3F63"/>
    <w:rsid w:val="19523F34"/>
    <w:rsid w:val="1953283D"/>
    <w:rsid w:val="19543171"/>
    <w:rsid w:val="19596D8C"/>
    <w:rsid w:val="195B36C8"/>
    <w:rsid w:val="195F417D"/>
    <w:rsid w:val="19630789"/>
    <w:rsid w:val="196332D9"/>
    <w:rsid w:val="19736D76"/>
    <w:rsid w:val="197A1785"/>
    <w:rsid w:val="1983447B"/>
    <w:rsid w:val="19882B27"/>
    <w:rsid w:val="198B6355"/>
    <w:rsid w:val="1994056E"/>
    <w:rsid w:val="199C5DC6"/>
    <w:rsid w:val="19A20389"/>
    <w:rsid w:val="19BD106E"/>
    <w:rsid w:val="19BF4B41"/>
    <w:rsid w:val="19C02829"/>
    <w:rsid w:val="19C176CB"/>
    <w:rsid w:val="19CA1AAD"/>
    <w:rsid w:val="19CC57C7"/>
    <w:rsid w:val="19E63F61"/>
    <w:rsid w:val="19E705D3"/>
    <w:rsid w:val="19EB1CDB"/>
    <w:rsid w:val="19F918CB"/>
    <w:rsid w:val="19FC424A"/>
    <w:rsid w:val="1A01700B"/>
    <w:rsid w:val="1A0A1573"/>
    <w:rsid w:val="1A0D0502"/>
    <w:rsid w:val="1A0D1475"/>
    <w:rsid w:val="1A0E1128"/>
    <w:rsid w:val="1A105C54"/>
    <w:rsid w:val="1A132E2D"/>
    <w:rsid w:val="1A1876FA"/>
    <w:rsid w:val="1A1E1F14"/>
    <w:rsid w:val="1A234703"/>
    <w:rsid w:val="1A264770"/>
    <w:rsid w:val="1A27309C"/>
    <w:rsid w:val="1A2937CF"/>
    <w:rsid w:val="1A3560AD"/>
    <w:rsid w:val="1A3A0951"/>
    <w:rsid w:val="1A3C0940"/>
    <w:rsid w:val="1A3D5D53"/>
    <w:rsid w:val="1A3D7594"/>
    <w:rsid w:val="1A4221F1"/>
    <w:rsid w:val="1A424ABA"/>
    <w:rsid w:val="1A48678A"/>
    <w:rsid w:val="1A564D3C"/>
    <w:rsid w:val="1A5B3530"/>
    <w:rsid w:val="1A772A39"/>
    <w:rsid w:val="1A781320"/>
    <w:rsid w:val="1A7840BB"/>
    <w:rsid w:val="1A8D63F1"/>
    <w:rsid w:val="1A9C2717"/>
    <w:rsid w:val="1AAF3A91"/>
    <w:rsid w:val="1AC35D02"/>
    <w:rsid w:val="1AC40254"/>
    <w:rsid w:val="1AC55D7E"/>
    <w:rsid w:val="1AD613BF"/>
    <w:rsid w:val="1ADC0AEE"/>
    <w:rsid w:val="1ADC31C7"/>
    <w:rsid w:val="1ADF0524"/>
    <w:rsid w:val="1ADF3144"/>
    <w:rsid w:val="1AE442C2"/>
    <w:rsid w:val="1AE57655"/>
    <w:rsid w:val="1AF11F09"/>
    <w:rsid w:val="1AF6410C"/>
    <w:rsid w:val="1B020F4A"/>
    <w:rsid w:val="1B0863A4"/>
    <w:rsid w:val="1B155936"/>
    <w:rsid w:val="1B232CAD"/>
    <w:rsid w:val="1B2566EC"/>
    <w:rsid w:val="1B2F5FE7"/>
    <w:rsid w:val="1B2F74F8"/>
    <w:rsid w:val="1B3242FD"/>
    <w:rsid w:val="1B326F97"/>
    <w:rsid w:val="1B375D24"/>
    <w:rsid w:val="1B381767"/>
    <w:rsid w:val="1B3E6CD7"/>
    <w:rsid w:val="1B3F5B5A"/>
    <w:rsid w:val="1B4C062A"/>
    <w:rsid w:val="1B4F3197"/>
    <w:rsid w:val="1B5675BB"/>
    <w:rsid w:val="1B5A1702"/>
    <w:rsid w:val="1B5B58CF"/>
    <w:rsid w:val="1B63398E"/>
    <w:rsid w:val="1B6E1D13"/>
    <w:rsid w:val="1B717A18"/>
    <w:rsid w:val="1B7A6E01"/>
    <w:rsid w:val="1B7C164C"/>
    <w:rsid w:val="1B867A80"/>
    <w:rsid w:val="1B88518F"/>
    <w:rsid w:val="1B9437DE"/>
    <w:rsid w:val="1B9844B2"/>
    <w:rsid w:val="1B9D6122"/>
    <w:rsid w:val="1BA851DA"/>
    <w:rsid w:val="1BAF33FD"/>
    <w:rsid w:val="1BB1023B"/>
    <w:rsid w:val="1BB2566A"/>
    <w:rsid w:val="1BB62D57"/>
    <w:rsid w:val="1BB67591"/>
    <w:rsid w:val="1BBD7BEF"/>
    <w:rsid w:val="1BCD6688"/>
    <w:rsid w:val="1BD74068"/>
    <w:rsid w:val="1BE30B1D"/>
    <w:rsid w:val="1BE40175"/>
    <w:rsid w:val="1BE50696"/>
    <w:rsid w:val="1BE80E55"/>
    <w:rsid w:val="1BEB1E7D"/>
    <w:rsid w:val="1BFB492E"/>
    <w:rsid w:val="1C0652C0"/>
    <w:rsid w:val="1C154227"/>
    <w:rsid w:val="1C181CE4"/>
    <w:rsid w:val="1C1A09CD"/>
    <w:rsid w:val="1C2208E7"/>
    <w:rsid w:val="1C260735"/>
    <w:rsid w:val="1C35495A"/>
    <w:rsid w:val="1C3F3867"/>
    <w:rsid w:val="1C460CDF"/>
    <w:rsid w:val="1C48389A"/>
    <w:rsid w:val="1C49419E"/>
    <w:rsid w:val="1C504AC9"/>
    <w:rsid w:val="1C5F277E"/>
    <w:rsid w:val="1C636AC6"/>
    <w:rsid w:val="1C6B6C2B"/>
    <w:rsid w:val="1C6D688A"/>
    <w:rsid w:val="1C727070"/>
    <w:rsid w:val="1C7E20EE"/>
    <w:rsid w:val="1CB1341B"/>
    <w:rsid w:val="1CB346D5"/>
    <w:rsid w:val="1CB92C06"/>
    <w:rsid w:val="1CBE63F4"/>
    <w:rsid w:val="1CBF410A"/>
    <w:rsid w:val="1CC034CB"/>
    <w:rsid w:val="1CD06FA2"/>
    <w:rsid w:val="1CD35F20"/>
    <w:rsid w:val="1CD91276"/>
    <w:rsid w:val="1CD97FD9"/>
    <w:rsid w:val="1CDF2BB6"/>
    <w:rsid w:val="1CDF76C0"/>
    <w:rsid w:val="1CE758DB"/>
    <w:rsid w:val="1CFF7B37"/>
    <w:rsid w:val="1D0016D9"/>
    <w:rsid w:val="1D083E1C"/>
    <w:rsid w:val="1D097ABA"/>
    <w:rsid w:val="1D0C4F8F"/>
    <w:rsid w:val="1D0F374B"/>
    <w:rsid w:val="1D173C7A"/>
    <w:rsid w:val="1D1F06C6"/>
    <w:rsid w:val="1D214670"/>
    <w:rsid w:val="1D2A22D9"/>
    <w:rsid w:val="1D2D3883"/>
    <w:rsid w:val="1D2D3D96"/>
    <w:rsid w:val="1D387C01"/>
    <w:rsid w:val="1D4F705A"/>
    <w:rsid w:val="1D6004CB"/>
    <w:rsid w:val="1D61753A"/>
    <w:rsid w:val="1D6208A3"/>
    <w:rsid w:val="1D661B7E"/>
    <w:rsid w:val="1D682EF6"/>
    <w:rsid w:val="1D6A7C4D"/>
    <w:rsid w:val="1D6B53C2"/>
    <w:rsid w:val="1D6C3B4B"/>
    <w:rsid w:val="1D6C4B38"/>
    <w:rsid w:val="1D6D3C7F"/>
    <w:rsid w:val="1D864D41"/>
    <w:rsid w:val="1D8C279C"/>
    <w:rsid w:val="1D8E792B"/>
    <w:rsid w:val="1D980443"/>
    <w:rsid w:val="1DA37ACD"/>
    <w:rsid w:val="1DA43419"/>
    <w:rsid w:val="1DA72707"/>
    <w:rsid w:val="1DAA4CE0"/>
    <w:rsid w:val="1DAC5A4E"/>
    <w:rsid w:val="1DB12444"/>
    <w:rsid w:val="1DB2751C"/>
    <w:rsid w:val="1DB877A1"/>
    <w:rsid w:val="1DC17F5A"/>
    <w:rsid w:val="1DC20162"/>
    <w:rsid w:val="1DC76553"/>
    <w:rsid w:val="1DCE5FDC"/>
    <w:rsid w:val="1DD2442A"/>
    <w:rsid w:val="1DDA68A5"/>
    <w:rsid w:val="1DDF4F01"/>
    <w:rsid w:val="1DE676CD"/>
    <w:rsid w:val="1DEE6CB7"/>
    <w:rsid w:val="1DEF4B1D"/>
    <w:rsid w:val="1DF465DC"/>
    <w:rsid w:val="1DFB128B"/>
    <w:rsid w:val="1E03579D"/>
    <w:rsid w:val="1E0D7B5B"/>
    <w:rsid w:val="1E0E178F"/>
    <w:rsid w:val="1E0F2F88"/>
    <w:rsid w:val="1E255DA6"/>
    <w:rsid w:val="1E282BE2"/>
    <w:rsid w:val="1E2A4166"/>
    <w:rsid w:val="1E3321D3"/>
    <w:rsid w:val="1E334BC0"/>
    <w:rsid w:val="1E3457AC"/>
    <w:rsid w:val="1E360F04"/>
    <w:rsid w:val="1E39428F"/>
    <w:rsid w:val="1E436D4F"/>
    <w:rsid w:val="1E5A4D92"/>
    <w:rsid w:val="1E6A61A2"/>
    <w:rsid w:val="1E6E322C"/>
    <w:rsid w:val="1E712CDD"/>
    <w:rsid w:val="1E775C71"/>
    <w:rsid w:val="1E8F0505"/>
    <w:rsid w:val="1E9B55F2"/>
    <w:rsid w:val="1E9E5B22"/>
    <w:rsid w:val="1EA16BCD"/>
    <w:rsid w:val="1EA21281"/>
    <w:rsid w:val="1EA83461"/>
    <w:rsid w:val="1EA96937"/>
    <w:rsid w:val="1EAA11EB"/>
    <w:rsid w:val="1EB81457"/>
    <w:rsid w:val="1EBC3110"/>
    <w:rsid w:val="1EC26940"/>
    <w:rsid w:val="1EC86BB3"/>
    <w:rsid w:val="1ECA3169"/>
    <w:rsid w:val="1ECB5D09"/>
    <w:rsid w:val="1EE676C9"/>
    <w:rsid w:val="1EF81065"/>
    <w:rsid w:val="1F02219A"/>
    <w:rsid w:val="1F071EB1"/>
    <w:rsid w:val="1F0D5829"/>
    <w:rsid w:val="1F122C4E"/>
    <w:rsid w:val="1F170B6F"/>
    <w:rsid w:val="1F1F440C"/>
    <w:rsid w:val="1F341E8A"/>
    <w:rsid w:val="1F38765F"/>
    <w:rsid w:val="1F3D46A9"/>
    <w:rsid w:val="1F42126A"/>
    <w:rsid w:val="1F4B06B7"/>
    <w:rsid w:val="1F503769"/>
    <w:rsid w:val="1F5808FD"/>
    <w:rsid w:val="1F5865E8"/>
    <w:rsid w:val="1F601041"/>
    <w:rsid w:val="1F626ECB"/>
    <w:rsid w:val="1F6B68E4"/>
    <w:rsid w:val="1F6F2099"/>
    <w:rsid w:val="1F704E92"/>
    <w:rsid w:val="1F8424B8"/>
    <w:rsid w:val="1F8806D1"/>
    <w:rsid w:val="1F8955F9"/>
    <w:rsid w:val="1F8A5083"/>
    <w:rsid w:val="1F8D355F"/>
    <w:rsid w:val="1F917770"/>
    <w:rsid w:val="1F9A69C2"/>
    <w:rsid w:val="1F9B3DB6"/>
    <w:rsid w:val="1FAA448F"/>
    <w:rsid w:val="1FB603C8"/>
    <w:rsid w:val="1FB61963"/>
    <w:rsid w:val="1FD51E34"/>
    <w:rsid w:val="1FD8122E"/>
    <w:rsid w:val="1FDB7576"/>
    <w:rsid w:val="1FDE6A77"/>
    <w:rsid w:val="1FE01E51"/>
    <w:rsid w:val="1FE05976"/>
    <w:rsid w:val="1FE349B2"/>
    <w:rsid w:val="1FED6D47"/>
    <w:rsid w:val="1FFC664F"/>
    <w:rsid w:val="201051CF"/>
    <w:rsid w:val="2018275D"/>
    <w:rsid w:val="201B684B"/>
    <w:rsid w:val="201E74B3"/>
    <w:rsid w:val="20223FBB"/>
    <w:rsid w:val="202606B5"/>
    <w:rsid w:val="20271DCD"/>
    <w:rsid w:val="202A2F62"/>
    <w:rsid w:val="202F7BC1"/>
    <w:rsid w:val="20360CA0"/>
    <w:rsid w:val="2038322D"/>
    <w:rsid w:val="203C5EF0"/>
    <w:rsid w:val="20457135"/>
    <w:rsid w:val="204A6594"/>
    <w:rsid w:val="204D251B"/>
    <w:rsid w:val="204E212C"/>
    <w:rsid w:val="205323F1"/>
    <w:rsid w:val="205A7B27"/>
    <w:rsid w:val="20734E45"/>
    <w:rsid w:val="207B4496"/>
    <w:rsid w:val="208F00E1"/>
    <w:rsid w:val="209135CB"/>
    <w:rsid w:val="209D0BD1"/>
    <w:rsid w:val="20A26336"/>
    <w:rsid w:val="20BE7EDC"/>
    <w:rsid w:val="20C57844"/>
    <w:rsid w:val="20CA372A"/>
    <w:rsid w:val="20DC2189"/>
    <w:rsid w:val="20DC7148"/>
    <w:rsid w:val="20E34AAC"/>
    <w:rsid w:val="20EC7B47"/>
    <w:rsid w:val="20ED720A"/>
    <w:rsid w:val="20EF523E"/>
    <w:rsid w:val="20F32199"/>
    <w:rsid w:val="20F52EF7"/>
    <w:rsid w:val="21011FBE"/>
    <w:rsid w:val="210A7A4E"/>
    <w:rsid w:val="2114298F"/>
    <w:rsid w:val="2119433B"/>
    <w:rsid w:val="21227A81"/>
    <w:rsid w:val="212824FD"/>
    <w:rsid w:val="212F2DEF"/>
    <w:rsid w:val="2136328B"/>
    <w:rsid w:val="21366034"/>
    <w:rsid w:val="213976FC"/>
    <w:rsid w:val="213A58CD"/>
    <w:rsid w:val="21417B5B"/>
    <w:rsid w:val="21425423"/>
    <w:rsid w:val="214C1078"/>
    <w:rsid w:val="214E3C78"/>
    <w:rsid w:val="214F178D"/>
    <w:rsid w:val="21567130"/>
    <w:rsid w:val="21583558"/>
    <w:rsid w:val="215D179D"/>
    <w:rsid w:val="215F60D5"/>
    <w:rsid w:val="216919E6"/>
    <w:rsid w:val="216D12CE"/>
    <w:rsid w:val="216E1235"/>
    <w:rsid w:val="216E1C59"/>
    <w:rsid w:val="217B6320"/>
    <w:rsid w:val="218334F8"/>
    <w:rsid w:val="218A2D3B"/>
    <w:rsid w:val="21930558"/>
    <w:rsid w:val="21940DCA"/>
    <w:rsid w:val="21A83E06"/>
    <w:rsid w:val="21B139E5"/>
    <w:rsid w:val="21B8261E"/>
    <w:rsid w:val="21B836CC"/>
    <w:rsid w:val="21C54DC4"/>
    <w:rsid w:val="21CC0F90"/>
    <w:rsid w:val="21CD30DF"/>
    <w:rsid w:val="21D30E5A"/>
    <w:rsid w:val="21D83EC8"/>
    <w:rsid w:val="21E01851"/>
    <w:rsid w:val="21E16DF6"/>
    <w:rsid w:val="21E94E02"/>
    <w:rsid w:val="21ED4E35"/>
    <w:rsid w:val="21F90EC5"/>
    <w:rsid w:val="21FD4151"/>
    <w:rsid w:val="21FF6FD9"/>
    <w:rsid w:val="22050265"/>
    <w:rsid w:val="221B014E"/>
    <w:rsid w:val="221D2108"/>
    <w:rsid w:val="222308C9"/>
    <w:rsid w:val="22266A65"/>
    <w:rsid w:val="22327324"/>
    <w:rsid w:val="223D2C9A"/>
    <w:rsid w:val="22432751"/>
    <w:rsid w:val="22573D87"/>
    <w:rsid w:val="225C7D3A"/>
    <w:rsid w:val="226230EB"/>
    <w:rsid w:val="226C535A"/>
    <w:rsid w:val="22715F8C"/>
    <w:rsid w:val="227A1304"/>
    <w:rsid w:val="227B37B5"/>
    <w:rsid w:val="228564A0"/>
    <w:rsid w:val="2287772E"/>
    <w:rsid w:val="228C104B"/>
    <w:rsid w:val="22957F60"/>
    <w:rsid w:val="229E5B02"/>
    <w:rsid w:val="22A6674E"/>
    <w:rsid w:val="22C52599"/>
    <w:rsid w:val="22C553AD"/>
    <w:rsid w:val="22CA30CD"/>
    <w:rsid w:val="22CE51C0"/>
    <w:rsid w:val="22D301B9"/>
    <w:rsid w:val="22DC0E41"/>
    <w:rsid w:val="22F67BDE"/>
    <w:rsid w:val="230671B1"/>
    <w:rsid w:val="23090BF0"/>
    <w:rsid w:val="233101E6"/>
    <w:rsid w:val="23332F70"/>
    <w:rsid w:val="2336404E"/>
    <w:rsid w:val="233D50DF"/>
    <w:rsid w:val="23583375"/>
    <w:rsid w:val="23591D5A"/>
    <w:rsid w:val="235A4CA6"/>
    <w:rsid w:val="235F1A74"/>
    <w:rsid w:val="23794F14"/>
    <w:rsid w:val="237D502D"/>
    <w:rsid w:val="237E1C1A"/>
    <w:rsid w:val="23941D44"/>
    <w:rsid w:val="239D64E7"/>
    <w:rsid w:val="239F72BE"/>
    <w:rsid w:val="23A41026"/>
    <w:rsid w:val="23AD1426"/>
    <w:rsid w:val="23AE00BF"/>
    <w:rsid w:val="23B2147E"/>
    <w:rsid w:val="23B64282"/>
    <w:rsid w:val="23B722E9"/>
    <w:rsid w:val="23C2284B"/>
    <w:rsid w:val="23C64BEA"/>
    <w:rsid w:val="23CC3013"/>
    <w:rsid w:val="23CF5E2F"/>
    <w:rsid w:val="23DB649D"/>
    <w:rsid w:val="23DC0405"/>
    <w:rsid w:val="23EA32C6"/>
    <w:rsid w:val="23F337B6"/>
    <w:rsid w:val="240B6223"/>
    <w:rsid w:val="24113A97"/>
    <w:rsid w:val="2415202A"/>
    <w:rsid w:val="242E679A"/>
    <w:rsid w:val="24305A06"/>
    <w:rsid w:val="24341DBF"/>
    <w:rsid w:val="2449702B"/>
    <w:rsid w:val="245F0E15"/>
    <w:rsid w:val="24620080"/>
    <w:rsid w:val="24630A69"/>
    <w:rsid w:val="2463548D"/>
    <w:rsid w:val="246848FF"/>
    <w:rsid w:val="246B579F"/>
    <w:rsid w:val="246C757C"/>
    <w:rsid w:val="24741D97"/>
    <w:rsid w:val="247D6F37"/>
    <w:rsid w:val="248267F9"/>
    <w:rsid w:val="249130FB"/>
    <w:rsid w:val="249838AF"/>
    <w:rsid w:val="249E4CBC"/>
    <w:rsid w:val="24A2355A"/>
    <w:rsid w:val="24AA7051"/>
    <w:rsid w:val="24B23CFA"/>
    <w:rsid w:val="24B44889"/>
    <w:rsid w:val="24B5534E"/>
    <w:rsid w:val="24BE1CF0"/>
    <w:rsid w:val="24C06F83"/>
    <w:rsid w:val="24CE3DF9"/>
    <w:rsid w:val="24D21266"/>
    <w:rsid w:val="24D82C75"/>
    <w:rsid w:val="24DB0C6C"/>
    <w:rsid w:val="24E103B2"/>
    <w:rsid w:val="24E43AD0"/>
    <w:rsid w:val="24F1542A"/>
    <w:rsid w:val="24F43560"/>
    <w:rsid w:val="24FA7AE7"/>
    <w:rsid w:val="24FC3E5D"/>
    <w:rsid w:val="2504136D"/>
    <w:rsid w:val="25064055"/>
    <w:rsid w:val="250A1ADF"/>
    <w:rsid w:val="25127508"/>
    <w:rsid w:val="25137802"/>
    <w:rsid w:val="25187954"/>
    <w:rsid w:val="25244960"/>
    <w:rsid w:val="252634FC"/>
    <w:rsid w:val="252E7233"/>
    <w:rsid w:val="252F23BD"/>
    <w:rsid w:val="25365220"/>
    <w:rsid w:val="253B0B07"/>
    <w:rsid w:val="254214F2"/>
    <w:rsid w:val="25474F90"/>
    <w:rsid w:val="25493224"/>
    <w:rsid w:val="254B0FA7"/>
    <w:rsid w:val="254D78A0"/>
    <w:rsid w:val="254F7CA5"/>
    <w:rsid w:val="254F7CC2"/>
    <w:rsid w:val="255178FF"/>
    <w:rsid w:val="2558517C"/>
    <w:rsid w:val="25596B17"/>
    <w:rsid w:val="255F24A7"/>
    <w:rsid w:val="25603594"/>
    <w:rsid w:val="256115E6"/>
    <w:rsid w:val="2562178E"/>
    <w:rsid w:val="256D1BA5"/>
    <w:rsid w:val="25732ECE"/>
    <w:rsid w:val="25821B94"/>
    <w:rsid w:val="25834E73"/>
    <w:rsid w:val="258602A2"/>
    <w:rsid w:val="25874391"/>
    <w:rsid w:val="25893620"/>
    <w:rsid w:val="258F3A0D"/>
    <w:rsid w:val="25932660"/>
    <w:rsid w:val="259F5AD2"/>
    <w:rsid w:val="25A30E21"/>
    <w:rsid w:val="25A62D33"/>
    <w:rsid w:val="25AB368A"/>
    <w:rsid w:val="25B83F05"/>
    <w:rsid w:val="25BB21C7"/>
    <w:rsid w:val="25BC3D13"/>
    <w:rsid w:val="25C70FE3"/>
    <w:rsid w:val="25CF7C7A"/>
    <w:rsid w:val="25E50110"/>
    <w:rsid w:val="25F413E1"/>
    <w:rsid w:val="25FB375D"/>
    <w:rsid w:val="25FF2CBA"/>
    <w:rsid w:val="260A1112"/>
    <w:rsid w:val="26140013"/>
    <w:rsid w:val="26163080"/>
    <w:rsid w:val="261B3C3C"/>
    <w:rsid w:val="26201809"/>
    <w:rsid w:val="26212B25"/>
    <w:rsid w:val="262C00FA"/>
    <w:rsid w:val="26466F0B"/>
    <w:rsid w:val="264D6E3A"/>
    <w:rsid w:val="26652725"/>
    <w:rsid w:val="2666496B"/>
    <w:rsid w:val="26696733"/>
    <w:rsid w:val="266A44D2"/>
    <w:rsid w:val="26785EB8"/>
    <w:rsid w:val="26793D44"/>
    <w:rsid w:val="267E3AD5"/>
    <w:rsid w:val="267F099D"/>
    <w:rsid w:val="26825BD5"/>
    <w:rsid w:val="26825E47"/>
    <w:rsid w:val="2685572A"/>
    <w:rsid w:val="26864B4B"/>
    <w:rsid w:val="26AD4B51"/>
    <w:rsid w:val="26AF4742"/>
    <w:rsid w:val="26B21F0E"/>
    <w:rsid w:val="26B6002D"/>
    <w:rsid w:val="26B623E9"/>
    <w:rsid w:val="26B75F37"/>
    <w:rsid w:val="26BD4769"/>
    <w:rsid w:val="26C22823"/>
    <w:rsid w:val="26CF7759"/>
    <w:rsid w:val="26D72713"/>
    <w:rsid w:val="26DD6DA7"/>
    <w:rsid w:val="26DF3A19"/>
    <w:rsid w:val="26E2612C"/>
    <w:rsid w:val="26F7665D"/>
    <w:rsid w:val="26FC74DF"/>
    <w:rsid w:val="27067EF5"/>
    <w:rsid w:val="27142C74"/>
    <w:rsid w:val="27162ACB"/>
    <w:rsid w:val="271A73A3"/>
    <w:rsid w:val="271D05F5"/>
    <w:rsid w:val="272C3720"/>
    <w:rsid w:val="272F1B2C"/>
    <w:rsid w:val="273160D6"/>
    <w:rsid w:val="273A018A"/>
    <w:rsid w:val="27445ADF"/>
    <w:rsid w:val="274570C7"/>
    <w:rsid w:val="274C5E11"/>
    <w:rsid w:val="274C7B70"/>
    <w:rsid w:val="27546C2A"/>
    <w:rsid w:val="27596A66"/>
    <w:rsid w:val="2760603D"/>
    <w:rsid w:val="27640B0C"/>
    <w:rsid w:val="276C0EF2"/>
    <w:rsid w:val="276F0776"/>
    <w:rsid w:val="27716452"/>
    <w:rsid w:val="27731CB1"/>
    <w:rsid w:val="27825A96"/>
    <w:rsid w:val="27876D4F"/>
    <w:rsid w:val="279D70C8"/>
    <w:rsid w:val="279F712B"/>
    <w:rsid w:val="27AC086E"/>
    <w:rsid w:val="27BB129A"/>
    <w:rsid w:val="27BF5A1F"/>
    <w:rsid w:val="27BF758E"/>
    <w:rsid w:val="27C01CF8"/>
    <w:rsid w:val="27C12FF4"/>
    <w:rsid w:val="27C63370"/>
    <w:rsid w:val="27C75E88"/>
    <w:rsid w:val="27CB2FC3"/>
    <w:rsid w:val="27CD11D7"/>
    <w:rsid w:val="27D50106"/>
    <w:rsid w:val="27DE00F8"/>
    <w:rsid w:val="27DE4A4B"/>
    <w:rsid w:val="27E12DB6"/>
    <w:rsid w:val="27E60D02"/>
    <w:rsid w:val="27EC0980"/>
    <w:rsid w:val="27EF68BD"/>
    <w:rsid w:val="27F11658"/>
    <w:rsid w:val="27F120C7"/>
    <w:rsid w:val="27FC2222"/>
    <w:rsid w:val="280D678A"/>
    <w:rsid w:val="281013D6"/>
    <w:rsid w:val="28153D30"/>
    <w:rsid w:val="281579B6"/>
    <w:rsid w:val="282B4E3F"/>
    <w:rsid w:val="282C28D3"/>
    <w:rsid w:val="282D763F"/>
    <w:rsid w:val="2830461D"/>
    <w:rsid w:val="28314EDA"/>
    <w:rsid w:val="28315C50"/>
    <w:rsid w:val="28340A02"/>
    <w:rsid w:val="28375523"/>
    <w:rsid w:val="283855A4"/>
    <w:rsid w:val="283A435E"/>
    <w:rsid w:val="283A6A73"/>
    <w:rsid w:val="284877C3"/>
    <w:rsid w:val="28502EF4"/>
    <w:rsid w:val="2851359F"/>
    <w:rsid w:val="28514EEA"/>
    <w:rsid w:val="28631D98"/>
    <w:rsid w:val="286B2542"/>
    <w:rsid w:val="28743959"/>
    <w:rsid w:val="287C6E1B"/>
    <w:rsid w:val="287D25D2"/>
    <w:rsid w:val="288515FD"/>
    <w:rsid w:val="288D1FB2"/>
    <w:rsid w:val="28975B9D"/>
    <w:rsid w:val="289C79FA"/>
    <w:rsid w:val="28A7479C"/>
    <w:rsid w:val="28AA65C9"/>
    <w:rsid w:val="28B107F9"/>
    <w:rsid w:val="28B97DC4"/>
    <w:rsid w:val="28BB61E6"/>
    <w:rsid w:val="28C264C2"/>
    <w:rsid w:val="28D3360D"/>
    <w:rsid w:val="28D43255"/>
    <w:rsid w:val="28DB2A1B"/>
    <w:rsid w:val="28E427E4"/>
    <w:rsid w:val="28EA1C55"/>
    <w:rsid w:val="28F065B8"/>
    <w:rsid w:val="28F2772E"/>
    <w:rsid w:val="28F42013"/>
    <w:rsid w:val="290D60AB"/>
    <w:rsid w:val="290D6316"/>
    <w:rsid w:val="29140785"/>
    <w:rsid w:val="291F3D28"/>
    <w:rsid w:val="29205297"/>
    <w:rsid w:val="292761C4"/>
    <w:rsid w:val="292C2C40"/>
    <w:rsid w:val="29395DAE"/>
    <w:rsid w:val="2942755C"/>
    <w:rsid w:val="294764FE"/>
    <w:rsid w:val="29481279"/>
    <w:rsid w:val="294E60CA"/>
    <w:rsid w:val="295700F1"/>
    <w:rsid w:val="295762CC"/>
    <w:rsid w:val="295B58AC"/>
    <w:rsid w:val="296300C5"/>
    <w:rsid w:val="29644D4B"/>
    <w:rsid w:val="29774872"/>
    <w:rsid w:val="297B09BA"/>
    <w:rsid w:val="297E1596"/>
    <w:rsid w:val="298769B3"/>
    <w:rsid w:val="29934B3A"/>
    <w:rsid w:val="29942A30"/>
    <w:rsid w:val="299A5C45"/>
    <w:rsid w:val="29A30A29"/>
    <w:rsid w:val="29A371BA"/>
    <w:rsid w:val="29AB36D1"/>
    <w:rsid w:val="29AC1183"/>
    <w:rsid w:val="29B159AE"/>
    <w:rsid w:val="29BD2B5E"/>
    <w:rsid w:val="29BE2F99"/>
    <w:rsid w:val="29C05009"/>
    <w:rsid w:val="29C82359"/>
    <w:rsid w:val="29C93226"/>
    <w:rsid w:val="29CB06AB"/>
    <w:rsid w:val="29CE7751"/>
    <w:rsid w:val="29E247E2"/>
    <w:rsid w:val="29E33656"/>
    <w:rsid w:val="29E52198"/>
    <w:rsid w:val="29E96D31"/>
    <w:rsid w:val="29EB5CED"/>
    <w:rsid w:val="29F00913"/>
    <w:rsid w:val="29F13EBC"/>
    <w:rsid w:val="29F41FD8"/>
    <w:rsid w:val="29F56568"/>
    <w:rsid w:val="29FB1C80"/>
    <w:rsid w:val="2A095A42"/>
    <w:rsid w:val="2A0A5D56"/>
    <w:rsid w:val="2A0B2055"/>
    <w:rsid w:val="2A0D01DC"/>
    <w:rsid w:val="2A131120"/>
    <w:rsid w:val="2A173FDC"/>
    <w:rsid w:val="2A1C0828"/>
    <w:rsid w:val="2A254FA2"/>
    <w:rsid w:val="2A257690"/>
    <w:rsid w:val="2A2C45F6"/>
    <w:rsid w:val="2A2C7040"/>
    <w:rsid w:val="2A3C34D4"/>
    <w:rsid w:val="2A47374E"/>
    <w:rsid w:val="2A4B279F"/>
    <w:rsid w:val="2A4C5B25"/>
    <w:rsid w:val="2A4E72C3"/>
    <w:rsid w:val="2A530137"/>
    <w:rsid w:val="2A541347"/>
    <w:rsid w:val="2A54453D"/>
    <w:rsid w:val="2A62077D"/>
    <w:rsid w:val="2A651244"/>
    <w:rsid w:val="2A6843AD"/>
    <w:rsid w:val="2A696EF7"/>
    <w:rsid w:val="2A6A48E5"/>
    <w:rsid w:val="2A6B445A"/>
    <w:rsid w:val="2A6B59EA"/>
    <w:rsid w:val="2A6C7D64"/>
    <w:rsid w:val="2A785F62"/>
    <w:rsid w:val="2A8E4EBC"/>
    <w:rsid w:val="2A927559"/>
    <w:rsid w:val="2A934E7B"/>
    <w:rsid w:val="2A944CDC"/>
    <w:rsid w:val="2A9B544E"/>
    <w:rsid w:val="2A9F38E6"/>
    <w:rsid w:val="2AA046C0"/>
    <w:rsid w:val="2AA11ABB"/>
    <w:rsid w:val="2AA1341C"/>
    <w:rsid w:val="2AA14A84"/>
    <w:rsid w:val="2AB06F69"/>
    <w:rsid w:val="2AB300C6"/>
    <w:rsid w:val="2AB502F8"/>
    <w:rsid w:val="2AB85160"/>
    <w:rsid w:val="2ABF7AE4"/>
    <w:rsid w:val="2AC70600"/>
    <w:rsid w:val="2AC7761A"/>
    <w:rsid w:val="2ACF5B71"/>
    <w:rsid w:val="2AD1615D"/>
    <w:rsid w:val="2ADF03EB"/>
    <w:rsid w:val="2AE21F88"/>
    <w:rsid w:val="2AE5754B"/>
    <w:rsid w:val="2AE97DCE"/>
    <w:rsid w:val="2AEB7602"/>
    <w:rsid w:val="2B0165AE"/>
    <w:rsid w:val="2B0A773A"/>
    <w:rsid w:val="2B116592"/>
    <w:rsid w:val="2B175E78"/>
    <w:rsid w:val="2B1C1BB6"/>
    <w:rsid w:val="2B232639"/>
    <w:rsid w:val="2B3322BC"/>
    <w:rsid w:val="2B332601"/>
    <w:rsid w:val="2B3B1D9A"/>
    <w:rsid w:val="2B3C5AAB"/>
    <w:rsid w:val="2B4372BD"/>
    <w:rsid w:val="2B452A68"/>
    <w:rsid w:val="2B4576C0"/>
    <w:rsid w:val="2B481875"/>
    <w:rsid w:val="2B5069D2"/>
    <w:rsid w:val="2B612B62"/>
    <w:rsid w:val="2B614F54"/>
    <w:rsid w:val="2B753BBD"/>
    <w:rsid w:val="2B7D6BB5"/>
    <w:rsid w:val="2B7F47BE"/>
    <w:rsid w:val="2B8054C5"/>
    <w:rsid w:val="2B89500E"/>
    <w:rsid w:val="2B950065"/>
    <w:rsid w:val="2B976850"/>
    <w:rsid w:val="2B9B5B30"/>
    <w:rsid w:val="2BA53244"/>
    <w:rsid w:val="2BA64D00"/>
    <w:rsid w:val="2BB22019"/>
    <w:rsid w:val="2BB43672"/>
    <w:rsid w:val="2BBE0F1E"/>
    <w:rsid w:val="2BBF6F28"/>
    <w:rsid w:val="2BC660ED"/>
    <w:rsid w:val="2BC900DC"/>
    <w:rsid w:val="2BE94401"/>
    <w:rsid w:val="2BF26D16"/>
    <w:rsid w:val="2BF445A2"/>
    <w:rsid w:val="2BFC7FD1"/>
    <w:rsid w:val="2BFD08C4"/>
    <w:rsid w:val="2BFD22BB"/>
    <w:rsid w:val="2BFE36A5"/>
    <w:rsid w:val="2C014B62"/>
    <w:rsid w:val="2C032CD8"/>
    <w:rsid w:val="2C11436F"/>
    <w:rsid w:val="2C194BB5"/>
    <w:rsid w:val="2C271023"/>
    <w:rsid w:val="2C311496"/>
    <w:rsid w:val="2C364970"/>
    <w:rsid w:val="2C382AFA"/>
    <w:rsid w:val="2C4A29C9"/>
    <w:rsid w:val="2C5300D9"/>
    <w:rsid w:val="2C591EA7"/>
    <w:rsid w:val="2C5A3353"/>
    <w:rsid w:val="2C645299"/>
    <w:rsid w:val="2C69190D"/>
    <w:rsid w:val="2C695F59"/>
    <w:rsid w:val="2C74552D"/>
    <w:rsid w:val="2C764C55"/>
    <w:rsid w:val="2C7944E9"/>
    <w:rsid w:val="2C8E29E3"/>
    <w:rsid w:val="2C9462F6"/>
    <w:rsid w:val="2C996D60"/>
    <w:rsid w:val="2CA44361"/>
    <w:rsid w:val="2CA44FE4"/>
    <w:rsid w:val="2CC05C38"/>
    <w:rsid w:val="2CD67481"/>
    <w:rsid w:val="2CD80D15"/>
    <w:rsid w:val="2CDD2306"/>
    <w:rsid w:val="2CDE7BC1"/>
    <w:rsid w:val="2CEC060F"/>
    <w:rsid w:val="2CED3D11"/>
    <w:rsid w:val="2CEE645F"/>
    <w:rsid w:val="2CF92187"/>
    <w:rsid w:val="2D0627D7"/>
    <w:rsid w:val="2D0D0DC7"/>
    <w:rsid w:val="2D103021"/>
    <w:rsid w:val="2D151BC9"/>
    <w:rsid w:val="2D29678C"/>
    <w:rsid w:val="2D2F2CFF"/>
    <w:rsid w:val="2D306EC8"/>
    <w:rsid w:val="2D377E06"/>
    <w:rsid w:val="2D3A01A0"/>
    <w:rsid w:val="2D482420"/>
    <w:rsid w:val="2D5B6892"/>
    <w:rsid w:val="2D6973AD"/>
    <w:rsid w:val="2D6F68D9"/>
    <w:rsid w:val="2D7760EC"/>
    <w:rsid w:val="2D84414F"/>
    <w:rsid w:val="2D8F2781"/>
    <w:rsid w:val="2D922696"/>
    <w:rsid w:val="2D9409F2"/>
    <w:rsid w:val="2D9409FD"/>
    <w:rsid w:val="2DA52FC1"/>
    <w:rsid w:val="2DA70CC0"/>
    <w:rsid w:val="2DB263AF"/>
    <w:rsid w:val="2DB32E20"/>
    <w:rsid w:val="2DBA7589"/>
    <w:rsid w:val="2DC157A8"/>
    <w:rsid w:val="2DC16572"/>
    <w:rsid w:val="2DCB233F"/>
    <w:rsid w:val="2DCE60CD"/>
    <w:rsid w:val="2DD60937"/>
    <w:rsid w:val="2DDB4C35"/>
    <w:rsid w:val="2DEF7382"/>
    <w:rsid w:val="2DF21835"/>
    <w:rsid w:val="2DF621EC"/>
    <w:rsid w:val="2DFE7DE5"/>
    <w:rsid w:val="2E0E18AB"/>
    <w:rsid w:val="2E125449"/>
    <w:rsid w:val="2E18689A"/>
    <w:rsid w:val="2E223C3D"/>
    <w:rsid w:val="2E226994"/>
    <w:rsid w:val="2E2D6D97"/>
    <w:rsid w:val="2E2E1376"/>
    <w:rsid w:val="2E393C0E"/>
    <w:rsid w:val="2E4052D2"/>
    <w:rsid w:val="2E4B555D"/>
    <w:rsid w:val="2E4E2471"/>
    <w:rsid w:val="2E4F30C4"/>
    <w:rsid w:val="2E5348FE"/>
    <w:rsid w:val="2E561EFE"/>
    <w:rsid w:val="2E575310"/>
    <w:rsid w:val="2E5A143F"/>
    <w:rsid w:val="2E636A2B"/>
    <w:rsid w:val="2E6631C3"/>
    <w:rsid w:val="2E6C551B"/>
    <w:rsid w:val="2E7B0348"/>
    <w:rsid w:val="2E804892"/>
    <w:rsid w:val="2E821FB4"/>
    <w:rsid w:val="2E8C4FC0"/>
    <w:rsid w:val="2E94134A"/>
    <w:rsid w:val="2E981CE7"/>
    <w:rsid w:val="2EA77C31"/>
    <w:rsid w:val="2EBC3329"/>
    <w:rsid w:val="2EBD7892"/>
    <w:rsid w:val="2EBE3350"/>
    <w:rsid w:val="2EC0590C"/>
    <w:rsid w:val="2EC92CDF"/>
    <w:rsid w:val="2EDA45F6"/>
    <w:rsid w:val="2EDE261C"/>
    <w:rsid w:val="2EE01E36"/>
    <w:rsid w:val="2EE06EEE"/>
    <w:rsid w:val="2EE83A1C"/>
    <w:rsid w:val="2EFB40F3"/>
    <w:rsid w:val="2EFE7B2D"/>
    <w:rsid w:val="2F032695"/>
    <w:rsid w:val="2F0D165D"/>
    <w:rsid w:val="2F0D5767"/>
    <w:rsid w:val="2F2107CF"/>
    <w:rsid w:val="2F283958"/>
    <w:rsid w:val="2F29353E"/>
    <w:rsid w:val="2F353C26"/>
    <w:rsid w:val="2F3738F6"/>
    <w:rsid w:val="2F3840F1"/>
    <w:rsid w:val="2F3E28A6"/>
    <w:rsid w:val="2F3E28B1"/>
    <w:rsid w:val="2F4F2B35"/>
    <w:rsid w:val="2F555CBD"/>
    <w:rsid w:val="2F5641B9"/>
    <w:rsid w:val="2F5F4D76"/>
    <w:rsid w:val="2F61560E"/>
    <w:rsid w:val="2F7B0DBE"/>
    <w:rsid w:val="2F7F0DA6"/>
    <w:rsid w:val="2F8371BB"/>
    <w:rsid w:val="2F844B98"/>
    <w:rsid w:val="2F973FE0"/>
    <w:rsid w:val="2F990A87"/>
    <w:rsid w:val="2FA000A9"/>
    <w:rsid w:val="2FA27CD3"/>
    <w:rsid w:val="2FB35E69"/>
    <w:rsid w:val="2FB936AA"/>
    <w:rsid w:val="2FBB21B6"/>
    <w:rsid w:val="2FBB6ACC"/>
    <w:rsid w:val="2FC25836"/>
    <w:rsid w:val="2FCC7756"/>
    <w:rsid w:val="2FD93402"/>
    <w:rsid w:val="2FDD44F0"/>
    <w:rsid w:val="2FE0047C"/>
    <w:rsid w:val="2FE01946"/>
    <w:rsid w:val="2FE34275"/>
    <w:rsid w:val="2FE37DD1"/>
    <w:rsid w:val="2FE462FB"/>
    <w:rsid w:val="300216E8"/>
    <w:rsid w:val="30047962"/>
    <w:rsid w:val="300D2FF9"/>
    <w:rsid w:val="30310C54"/>
    <w:rsid w:val="3046149B"/>
    <w:rsid w:val="30497D18"/>
    <w:rsid w:val="30500E36"/>
    <w:rsid w:val="30565153"/>
    <w:rsid w:val="30605E6A"/>
    <w:rsid w:val="30640C50"/>
    <w:rsid w:val="306B7DBB"/>
    <w:rsid w:val="306E33D1"/>
    <w:rsid w:val="30734A15"/>
    <w:rsid w:val="307426DE"/>
    <w:rsid w:val="30754358"/>
    <w:rsid w:val="307C24F9"/>
    <w:rsid w:val="307D410A"/>
    <w:rsid w:val="308F493B"/>
    <w:rsid w:val="30976110"/>
    <w:rsid w:val="30984BBC"/>
    <w:rsid w:val="30A111C5"/>
    <w:rsid w:val="30AA08EF"/>
    <w:rsid w:val="30AD2BCC"/>
    <w:rsid w:val="30B570CD"/>
    <w:rsid w:val="30D64D73"/>
    <w:rsid w:val="30D65426"/>
    <w:rsid w:val="30D720BF"/>
    <w:rsid w:val="30DB0076"/>
    <w:rsid w:val="30DE7A9D"/>
    <w:rsid w:val="30DF2074"/>
    <w:rsid w:val="30E54780"/>
    <w:rsid w:val="30E57103"/>
    <w:rsid w:val="30F276E4"/>
    <w:rsid w:val="30F46CC4"/>
    <w:rsid w:val="30FF6462"/>
    <w:rsid w:val="31056121"/>
    <w:rsid w:val="31096B79"/>
    <w:rsid w:val="310B72CC"/>
    <w:rsid w:val="31125939"/>
    <w:rsid w:val="31182C63"/>
    <w:rsid w:val="311C4469"/>
    <w:rsid w:val="311F3421"/>
    <w:rsid w:val="312245A1"/>
    <w:rsid w:val="31230E2E"/>
    <w:rsid w:val="31242B17"/>
    <w:rsid w:val="31433DAD"/>
    <w:rsid w:val="3144624E"/>
    <w:rsid w:val="314D5DAD"/>
    <w:rsid w:val="31537D0F"/>
    <w:rsid w:val="31590094"/>
    <w:rsid w:val="315B2D24"/>
    <w:rsid w:val="316A359F"/>
    <w:rsid w:val="316E7008"/>
    <w:rsid w:val="31701B38"/>
    <w:rsid w:val="31716A86"/>
    <w:rsid w:val="31743025"/>
    <w:rsid w:val="317D15D6"/>
    <w:rsid w:val="318326DC"/>
    <w:rsid w:val="31886E82"/>
    <w:rsid w:val="31957A84"/>
    <w:rsid w:val="31AD4B3A"/>
    <w:rsid w:val="31B50BD7"/>
    <w:rsid w:val="31BD192C"/>
    <w:rsid w:val="31BE36EC"/>
    <w:rsid w:val="31C17A3B"/>
    <w:rsid w:val="31C45EB6"/>
    <w:rsid w:val="31CA62EC"/>
    <w:rsid w:val="31CE0059"/>
    <w:rsid w:val="31D200FD"/>
    <w:rsid w:val="31D35F0D"/>
    <w:rsid w:val="31DC0DCE"/>
    <w:rsid w:val="31DF02DF"/>
    <w:rsid w:val="31F82079"/>
    <w:rsid w:val="31F848CD"/>
    <w:rsid w:val="32110C25"/>
    <w:rsid w:val="32130F02"/>
    <w:rsid w:val="321E3D8A"/>
    <w:rsid w:val="322152E3"/>
    <w:rsid w:val="32222220"/>
    <w:rsid w:val="322F48E2"/>
    <w:rsid w:val="324118CB"/>
    <w:rsid w:val="32466CF2"/>
    <w:rsid w:val="324B010F"/>
    <w:rsid w:val="324B0EAD"/>
    <w:rsid w:val="325440FF"/>
    <w:rsid w:val="32557876"/>
    <w:rsid w:val="326769EF"/>
    <w:rsid w:val="327466C1"/>
    <w:rsid w:val="327E4F26"/>
    <w:rsid w:val="328214F6"/>
    <w:rsid w:val="3284518D"/>
    <w:rsid w:val="32883611"/>
    <w:rsid w:val="32907FCD"/>
    <w:rsid w:val="32993AC5"/>
    <w:rsid w:val="32A46494"/>
    <w:rsid w:val="32BD6FFF"/>
    <w:rsid w:val="32BF2D77"/>
    <w:rsid w:val="32C22F7B"/>
    <w:rsid w:val="32CF0104"/>
    <w:rsid w:val="32D329D1"/>
    <w:rsid w:val="32D72F62"/>
    <w:rsid w:val="32EA07CD"/>
    <w:rsid w:val="32F10406"/>
    <w:rsid w:val="32F350E7"/>
    <w:rsid w:val="32F4704A"/>
    <w:rsid w:val="32F548EE"/>
    <w:rsid w:val="32FE0260"/>
    <w:rsid w:val="330222E5"/>
    <w:rsid w:val="33095D58"/>
    <w:rsid w:val="330A0539"/>
    <w:rsid w:val="330C3F88"/>
    <w:rsid w:val="33182D72"/>
    <w:rsid w:val="331E1D3B"/>
    <w:rsid w:val="332055A0"/>
    <w:rsid w:val="33262C4D"/>
    <w:rsid w:val="33315E49"/>
    <w:rsid w:val="33400ABD"/>
    <w:rsid w:val="334450DF"/>
    <w:rsid w:val="334570A9"/>
    <w:rsid w:val="33511AC0"/>
    <w:rsid w:val="33552A7E"/>
    <w:rsid w:val="33590EDF"/>
    <w:rsid w:val="335E7563"/>
    <w:rsid w:val="33647160"/>
    <w:rsid w:val="336630E1"/>
    <w:rsid w:val="33730BFB"/>
    <w:rsid w:val="337556E6"/>
    <w:rsid w:val="3390570F"/>
    <w:rsid w:val="33975BAE"/>
    <w:rsid w:val="33A73CE7"/>
    <w:rsid w:val="33AA194D"/>
    <w:rsid w:val="33AB5DE5"/>
    <w:rsid w:val="33B03C49"/>
    <w:rsid w:val="33C31FAF"/>
    <w:rsid w:val="33C87CB1"/>
    <w:rsid w:val="33D32A7B"/>
    <w:rsid w:val="33D47231"/>
    <w:rsid w:val="33D679A0"/>
    <w:rsid w:val="33D771F5"/>
    <w:rsid w:val="33EA4460"/>
    <w:rsid w:val="33ED3EC5"/>
    <w:rsid w:val="33EF1CA7"/>
    <w:rsid w:val="33F46E58"/>
    <w:rsid w:val="33F61626"/>
    <w:rsid w:val="340D09A7"/>
    <w:rsid w:val="3410617A"/>
    <w:rsid w:val="341B72C1"/>
    <w:rsid w:val="3420036B"/>
    <w:rsid w:val="34210B56"/>
    <w:rsid w:val="342273BA"/>
    <w:rsid w:val="342823AB"/>
    <w:rsid w:val="3428796F"/>
    <w:rsid w:val="34365121"/>
    <w:rsid w:val="343823C9"/>
    <w:rsid w:val="34384020"/>
    <w:rsid w:val="343B01DB"/>
    <w:rsid w:val="343C57C1"/>
    <w:rsid w:val="34441E30"/>
    <w:rsid w:val="34443AA5"/>
    <w:rsid w:val="34456F5A"/>
    <w:rsid w:val="34460801"/>
    <w:rsid w:val="344C0ADC"/>
    <w:rsid w:val="3458689F"/>
    <w:rsid w:val="3468672D"/>
    <w:rsid w:val="347A34A0"/>
    <w:rsid w:val="347A6CF0"/>
    <w:rsid w:val="34822D79"/>
    <w:rsid w:val="34827F87"/>
    <w:rsid w:val="3489363D"/>
    <w:rsid w:val="349A75F8"/>
    <w:rsid w:val="34A06499"/>
    <w:rsid w:val="34A70D88"/>
    <w:rsid w:val="34AE770E"/>
    <w:rsid w:val="34B02841"/>
    <w:rsid w:val="34BE7782"/>
    <w:rsid w:val="34CC4737"/>
    <w:rsid w:val="34CE406A"/>
    <w:rsid w:val="34D4418C"/>
    <w:rsid w:val="34DD5E4C"/>
    <w:rsid w:val="34E83338"/>
    <w:rsid w:val="34EA3AC9"/>
    <w:rsid w:val="34EF1F2D"/>
    <w:rsid w:val="34F034F6"/>
    <w:rsid w:val="34F84798"/>
    <w:rsid w:val="3514522E"/>
    <w:rsid w:val="35173B52"/>
    <w:rsid w:val="351806A2"/>
    <w:rsid w:val="351F2A87"/>
    <w:rsid w:val="352C636B"/>
    <w:rsid w:val="353169C7"/>
    <w:rsid w:val="35357CE1"/>
    <w:rsid w:val="353870F0"/>
    <w:rsid w:val="353A1C80"/>
    <w:rsid w:val="353F49A3"/>
    <w:rsid w:val="353F5678"/>
    <w:rsid w:val="354952A6"/>
    <w:rsid w:val="354F1C72"/>
    <w:rsid w:val="35513D2D"/>
    <w:rsid w:val="355344C4"/>
    <w:rsid w:val="355B1C37"/>
    <w:rsid w:val="356673BB"/>
    <w:rsid w:val="356A200C"/>
    <w:rsid w:val="35707A9F"/>
    <w:rsid w:val="35725E7F"/>
    <w:rsid w:val="35785D46"/>
    <w:rsid w:val="35865B42"/>
    <w:rsid w:val="3598714F"/>
    <w:rsid w:val="35A46140"/>
    <w:rsid w:val="35BB4244"/>
    <w:rsid w:val="35C12A47"/>
    <w:rsid w:val="35C96391"/>
    <w:rsid w:val="35CA2A85"/>
    <w:rsid w:val="35D812D6"/>
    <w:rsid w:val="35D97CE1"/>
    <w:rsid w:val="35E26994"/>
    <w:rsid w:val="35E35939"/>
    <w:rsid w:val="35EE0BEE"/>
    <w:rsid w:val="35F41C6E"/>
    <w:rsid w:val="35FC1334"/>
    <w:rsid w:val="360C4DC0"/>
    <w:rsid w:val="36126550"/>
    <w:rsid w:val="36177EDF"/>
    <w:rsid w:val="361A4C88"/>
    <w:rsid w:val="361E47D3"/>
    <w:rsid w:val="3626673D"/>
    <w:rsid w:val="3627014F"/>
    <w:rsid w:val="363511EC"/>
    <w:rsid w:val="3637414A"/>
    <w:rsid w:val="364525F9"/>
    <w:rsid w:val="364738DB"/>
    <w:rsid w:val="36481187"/>
    <w:rsid w:val="364C70B3"/>
    <w:rsid w:val="36530C69"/>
    <w:rsid w:val="365C1A62"/>
    <w:rsid w:val="3665323D"/>
    <w:rsid w:val="366F4808"/>
    <w:rsid w:val="3671271D"/>
    <w:rsid w:val="36874E86"/>
    <w:rsid w:val="3688674A"/>
    <w:rsid w:val="36894143"/>
    <w:rsid w:val="368C112B"/>
    <w:rsid w:val="368E14A3"/>
    <w:rsid w:val="368F2A60"/>
    <w:rsid w:val="368F480F"/>
    <w:rsid w:val="36927560"/>
    <w:rsid w:val="36980DFA"/>
    <w:rsid w:val="36B07EA5"/>
    <w:rsid w:val="36B57B19"/>
    <w:rsid w:val="36B9336A"/>
    <w:rsid w:val="36BA3DE4"/>
    <w:rsid w:val="36BF3273"/>
    <w:rsid w:val="36C91378"/>
    <w:rsid w:val="36CF1B97"/>
    <w:rsid w:val="36D14E27"/>
    <w:rsid w:val="36D772C2"/>
    <w:rsid w:val="36DD60EE"/>
    <w:rsid w:val="36E3162E"/>
    <w:rsid w:val="36F755B5"/>
    <w:rsid w:val="370305C5"/>
    <w:rsid w:val="370A3546"/>
    <w:rsid w:val="370E019C"/>
    <w:rsid w:val="3712762C"/>
    <w:rsid w:val="37176F12"/>
    <w:rsid w:val="371A3939"/>
    <w:rsid w:val="3728560C"/>
    <w:rsid w:val="372B2789"/>
    <w:rsid w:val="372F4304"/>
    <w:rsid w:val="37332A98"/>
    <w:rsid w:val="374175EF"/>
    <w:rsid w:val="37535EDB"/>
    <w:rsid w:val="375D56AB"/>
    <w:rsid w:val="37635935"/>
    <w:rsid w:val="376D315F"/>
    <w:rsid w:val="376E20AD"/>
    <w:rsid w:val="377324ED"/>
    <w:rsid w:val="37777FC6"/>
    <w:rsid w:val="378853F7"/>
    <w:rsid w:val="37897458"/>
    <w:rsid w:val="379A283B"/>
    <w:rsid w:val="379D5333"/>
    <w:rsid w:val="37A64C99"/>
    <w:rsid w:val="37AE3507"/>
    <w:rsid w:val="37BC5EC5"/>
    <w:rsid w:val="37C404E8"/>
    <w:rsid w:val="37CE3BAD"/>
    <w:rsid w:val="37D1326E"/>
    <w:rsid w:val="37D20E57"/>
    <w:rsid w:val="37DA62F9"/>
    <w:rsid w:val="37DB79A1"/>
    <w:rsid w:val="37E24C92"/>
    <w:rsid w:val="37F43B4A"/>
    <w:rsid w:val="37F93371"/>
    <w:rsid w:val="38085FBE"/>
    <w:rsid w:val="380F6C16"/>
    <w:rsid w:val="381159C9"/>
    <w:rsid w:val="38217493"/>
    <w:rsid w:val="38273C08"/>
    <w:rsid w:val="38292BB9"/>
    <w:rsid w:val="382B659A"/>
    <w:rsid w:val="382D5B39"/>
    <w:rsid w:val="382F49CB"/>
    <w:rsid w:val="38311183"/>
    <w:rsid w:val="3839251C"/>
    <w:rsid w:val="383E7512"/>
    <w:rsid w:val="38424C04"/>
    <w:rsid w:val="38451711"/>
    <w:rsid w:val="384C395B"/>
    <w:rsid w:val="38503707"/>
    <w:rsid w:val="38560F5C"/>
    <w:rsid w:val="38582892"/>
    <w:rsid w:val="38637D01"/>
    <w:rsid w:val="38687EF6"/>
    <w:rsid w:val="386B4E07"/>
    <w:rsid w:val="38795212"/>
    <w:rsid w:val="387B0309"/>
    <w:rsid w:val="387E59C2"/>
    <w:rsid w:val="387F2279"/>
    <w:rsid w:val="387F54D2"/>
    <w:rsid w:val="3884622A"/>
    <w:rsid w:val="38877E93"/>
    <w:rsid w:val="38881461"/>
    <w:rsid w:val="388C7CF5"/>
    <w:rsid w:val="38902A29"/>
    <w:rsid w:val="38915D15"/>
    <w:rsid w:val="389A30A1"/>
    <w:rsid w:val="38A447F0"/>
    <w:rsid w:val="38AB4A36"/>
    <w:rsid w:val="38B21208"/>
    <w:rsid w:val="38C316E7"/>
    <w:rsid w:val="38C65BA7"/>
    <w:rsid w:val="38C87C76"/>
    <w:rsid w:val="38D055B4"/>
    <w:rsid w:val="38D374CB"/>
    <w:rsid w:val="38D429AD"/>
    <w:rsid w:val="38D8621B"/>
    <w:rsid w:val="38DF016E"/>
    <w:rsid w:val="38E67E8F"/>
    <w:rsid w:val="38ED5304"/>
    <w:rsid w:val="38EF4431"/>
    <w:rsid w:val="38F80095"/>
    <w:rsid w:val="39081F14"/>
    <w:rsid w:val="3914724D"/>
    <w:rsid w:val="39174FBC"/>
    <w:rsid w:val="3920043B"/>
    <w:rsid w:val="39290CD1"/>
    <w:rsid w:val="393324B7"/>
    <w:rsid w:val="39374D08"/>
    <w:rsid w:val="393A1B16"/>
    <w:rsid w:val="39461462"/>
    <w:rsid w:val="39513F3D"/>
    <w:rsid w:val="39531813"/>
    <w:rsid w:val="395711DD"/>
    <w:rsid w:val="39666936"/>
    <w:rsid w:val="39695894"/>
    <w:rsid w:val="39711886"/>
    <w:rsid w:val="3973504F"/>
    <w:rsid w:val="397B118B"/>
    <w:rsid w:val="397E37F5"/>
    <w:rsid w:val="39894753"/>
    <w:rsid w:val="39960785"/>
    <w:rsid w:val="39971BB3"/>
    <w:rsid w:val="39A90D3E"/>
    <w:rsid w:val="39AA0A73"/>
    <w:rsid w:val="39AF2306"/>
    <w:rsid w:val="39B1546A"/>
    <w:rsid w:val="39B52CCE"/>
    <w:rsid w:val="39BA5B06"/>
    <w:rsid w:val="39BC5F39"/>
    <w:rsid w:val="39C43AA8"/>
    <w:rsid w:val="39CC5928"/>
    <w:rsid w:val="39D06982"/>
    <w:rsid w:val="39D06A1C"/>
    <w:rsid w:val="39D1277C"/>
    <w:rsid w:val="39D33C7C"/>
    <w:rsid w:val="39DA30C1"/>
    <w:rsid w:val="39E01087"/>
    <w:rsid w:val="39E0646D"/>
    <w:rsid w:val="39EF50C2"/>
    <w:rsid w:val="39F37871"/>
    <w:rsid w:val="39F66857"/>
    <w:rsid w:val="39F74BA5"/>
    <w:rsid w:val="39FA79ED"/>
    <w:rsid w:val="39FE23D7"/>
    <w:rsid w:val="3A002932"/>
    <w:rsid w:val="3A0C579D"/>
    <w:rsid w:val="3A12539E"/>
    <w:rsid w:val="3A1514CF"/>
    <w:rsid w:val="3A183118"/>
    <w:rsid w:val="3A1E487A"/>
    <w:rsid w:val="3A212A07"/>
    <w:rsid w:val="3A302E7D"/>
    <w:rsid w:val="3A30695F"/>
    <w:rsid w:val="3A3A6BB2"/>
    <w:rsid w:val="3A3E1A76"/>
    <w:rsid w:val="3A5C61D2"/>
    <w:rsid w:val="3A6220CD"/>
    <w:rsid w:val="3A6B138C"/>
    <w:rsid w:val="3A763799"/>
    <w:rsid w:val="3A815725"/>
    <w:rsid w:val="3A8922B6"/>
    <w:rsid w:val="3A8D2E63"/>
    <w:rsid w:val="3A940645"/>
    <w:rsid w:val="3A9B586E"/>
    <w:rsid w:val="3AA700FA"/>
    <w:rsid w:val="3AAE3CB9"/>
    <w:rsid w:val="3AB21E20"/>
    <w:rsid w:val="3AB35224"/>
    <w:rsid w:val="3AB64A60"/>
    <w:rsid w:val="3AB85D9D"/>
    <w:rsid w:val="3AC828F8"/>
    <w:rsid w:val="3ACB354E"/>
    <w:rsid w:val="3ACB4F7F"/>
    <w:rsid w:val="3ACE045D"/>
    <w:rsid w:val="3AD0772F"/>
    <w:rsid w:val="3AD32F7F"/>
    <w:rsid w:val="3AD86400"/>
    <w:rsid w:val="3AD87AA5"/>
    <w:rsid w:val="3ADB7274"/>
    <w:rsid w:val="3ADC7DB0"/>
    <w:rsid w:val="3AEF0788"/>
    <w:rsid w:val="3AEF224A"/>
    <w:rsid w:val="3AF26B40"/>
    <w:rsid w:val="3B004C27"/>
    <w:rsid w:val="3B184C72"/>
    <w:rsid w:val="3B1F3A0F"/>
    <w:rsid w:val="3B412CE2"/>
    <w:rsid w:val="3B463708"/>
    <w:rsid w:val="3B4E4251"/>
    <w:rsid w:val="3B594187"/>
    <w:rsid w:val="3B5A3FBB"/>
    <w:rsid w:val="3B702CD0"/>
    <w:rsid w:val="3B704E16"/>
    <w:rsid w:val="3B755E62"/>
    <w:rsid w:val="3B795C50"/>
    <w:rsid w:val="3B81253C"/>
    <w:rsid w:val="3B8714AE"/>
    <w:rsid w:val="3B893F22"/>
    <w:rsid w:val="3B8C756F"/>
    <w:rsid w:val="3B8D1B45"/>
    <w:rsid w:val="3B950B19"/>
    <w:rsid w:val="3B9E4D42"/>
    <w:rsid w:val="3BA6149A"/>
    <w:rsid w:val="3BAD54AD"/>
    <w:rsid w:val="3BB1414A"/>
    <w:rsid w:val="3BB203B7"/>
    <w:rsid w:val="3BB8174E"/>
    <w:rsid w:val="3BB916A1"/>
    <w:rsid w:val="3BBB2B24"/>
    <w:rsid w:val="3BBC7358"/>
    <w:rsid w:val="3BC22969"/>
    <w:rsid w:val="3BCE4F24"/>
    <w:rsid w:val="3BE15DA9"/>
    <w:rsid w:val="3BE8101C"/>
    <w:rsid w:val="3BEC2013"/>
    <w:rsid w:val="3C030175"/>
    <w:rsid w:val="3C077371"/>
    <w:rsid w:val="3C0D199A"/>
    <w:rsid w:val="3C1C27EC"/>
    <w:rsid w:val="3C28373B"/>
    <w:rsid w:val="3C285FC6"/>
    <w:rsid w:val="3C2B6125"/>
    <w:rsid w:val="3C311D3C"/>
    <w:rsid w:val="3C316E0F"/>
    <w:rsid w:val="3C397601"/>
    <w:rsid w:val="3C511BB1"/>
    <w:rsid w:val="3C5C4C3C"/>
    <w:rsid w:val="3C6D73A0"/>
    <w:rsid w:val="3C7A51F9"/>
    <w:rsid w:val="3C8259DF"/>
    <w:rsid w:val="3C861925"/>
    <w:rsid w:val="3C8B2FAF"/>
    <w:rsid w:val="3C8D3BAB"/>
    <w:rsid w:val="3C9022DC"/>
    <w:rsid w:val="3C91725A"/>
    <w:rsid w:val="3C934B3D"/>
    <w:rsid w:val="3CBB0654"/>
    <w:rsid w:val="3CC55EB5"/>
    <w:rsid w:val="3CC61B78"/>
    <w:rsid w:val="3CCA2213"/>
    <w:rsid w:val="3CD809B0"/>
    <w:rsid w:val="3CE323F2"/>
    <w:rsid w:val="3CE70D20"/>
    <w:rsid w:val="3CEB55E0"/>
    <w:rsid w:val="3CF36EA1"/>
    <w:rsid w:val="3CF867D3"/>
    <w:rsid w:val="3D07088A"/>
    <w:rsid w:val="3D0F026C"/>
    <w:rsid w:val="3D134BE2"/>
    <w:rsid w:val="3D1C4269"/>
    <w:rsid w:val="3D1C6F74"/>
    <w:rsid w:val="3D2367BD"/>
    <w:rsid w:val="3D36404D"/>
    <w:rsid w:val="3D3A0315"/>
    <w:rsid w:val="3D3A5B51"/>
    <w:rsid w:val="3D3E7553"/>
    <w:rsid w:val="3D455EE5"/>
    <w:rsid w:val="3D590A9F"/>
    <w:rsid w:val="3D5B4690"/>
    <w:rsid w:val="3D6B4ED3"/>
    <w:rsid w:val="3D710A30"/>
    <w:rsid w:val="3D787E71"/>
    <w:rsid w:val="3D7C1E8E"/>
    <w:rsid w:val="3D845DB6"/>
    <w:rsid w:val="3D8B24E2"/>
    <w:rsid w:val="3D8F7853"/>
    <w:rsid w:val="3DA607E6"/>
    <w:rsid w:val="3DA93746"/>
    <w:rsid w:val="3DB676B6"/>
    <w:rsid w:val="3DBC79C0"/>
    <w:rsid w:val="3DC344C4"/>
    <w:rsid w:val="3DC47BD6"/>
    <w:rsid w:val="3DCD0FC0"/>
    <w:rsid w:val="3DD670F4"/>
    <w:rsid w:val="3DD77033"/>
    <w:rsid w:val="3DD94152"/>
    <w:rsid w:val="3DDA17A9"/>
    <w:rsid w:val="3DE014C9"/>
    <w:rsid w:val="3DE04D19"/>
    <w:rsid w:val="3DEE6F5C"/>
    <w:rsid w:val="3DFC4D9E"/>
    <w:rsid w:val="3E020AB9"/>
    <w:rsid w:val="3E047158"/>
    <w:rsid w:val="3E0E64BB"/>
    <w:rsid w:val="3E1F3E06"/>
    <w:rsid w:val="3E3075EB"/>
    <w:rsid w:val="3E354AE9"/>
    <w:rsid w:val="3E4D4E4A"/>
    <w:rsid w:val="3E4F3CCF"/>
    <w:rsid w:val="3E50268B"/>
    <w:rsid w:val="3E530AA1"/>
    <w:rsid w:val="3E58771B"/>
    <w:rsid w:val="3E7522F7"/>
    <w:rsid w:val="3E7537C6"/>
    <w:rsid w:val="3E8C0B9C"/>
    <w:rsid w:val="3E8E79FD"/>
    <w:rsid w:val="3E8F679C"/>
    <w:rsid w:val="3EA30777"/>
    <w:rsid w:val="3EA51073"/>
    <w:rsid w:val="3EB041CD"/>
    <w:rsid w:val="3EB46E0D"/>
    <w:rsid w:val="3EB8677B"/>
    <w:rsid w:val="3EBE0387"/>
    <w:rsid w:val="3EBE5E58"/>
    <w:rsid w:val="3EC17641"/>
    <w:rsid w:val="3ED447E6"/>
    <w:rsid w:val="3EDB72DD"/>
    <w:rsid w:val="3EE102A9"/>
    <w:rsid w:val="3EE73A21"/>
    <w:rsid w:val="3EE811F3"/>
    <w:rsid w:val="3EE871B2"/>
    <w:rsid w:val="3EEE0FC1"/>
    <w:rsid w:val="3EF23B8C"/>
    <w:rsid w:val="3F0A3769"/>
    <w:rsid w:val="3F0A5071"/>
    <w:rsid w:val="3F1653B1"/>
    <w:rsid w:val="3F1735F3"/>
    <w:rsid w:val="3F190F6E"/>
    <w:rsid w:val="3F1D4758"/>
    <w:rsid w:val="3F2226C4"/>
    <w:rsid w:val="3F256EE9"/>
    <w:rsid w:val="3F356CB5"/>
    <w:rsid w:val="3F3D50B3"/>
    <w:rsid w:val="3F3E5D39"/>
    <w:rsid w:val="3F416534"/>
    <w:rsid w:val="3F424D20"/>
    <w:rsid w:val="3F4657D3"/>
    <w:rsid w:val="3F5C0DD0"/>
    <w:rsid w:val="3F5E59F9"/>
    <w:rsid w:val="3F696BFF"/>
    <w:rsid w:val="3F7153F9"/>
    <w:rsid w:val="3F727EFE"/>
    <w:rsid w:val="3F7A6934"/>
    <w:rsid w:val="3F8032BB"/>
    <w:rsid w:val="3F80388E"/>
    <w:rsid w:val="3F827DC4"/>
    <w:rsid w:val="3F853804"/>
    <w:rsid w:val="3F902CB7"/>
    <w:rsid w:val="3FC84440"/>
    <w:rsid w:val="3FD44FCD"/>
    <w:rsid w:val="3FD83E8A"/>
    <w:rsid w:val="3FFA4D2D"/>
    <w:rsid w:val="40095632"/>
    <w:rsid w:val="400A36E7"/>
    <w:rsid w:val="400E7545"/>
    <w:rsid w:val="40126718"/>
    <w:rsid w:val="40204729"/>
    <w:rsid w:val="40230BA8"/>
    <w:rsid w:val="402355DF"/>
    <w:rsid w:val="4029495B"/>
    <w:rsid w:val="402E126E"/>
    <w:rsid w:val="403563D8"/>
    <w:rsid w:val="40380A84"/>
    <w:rsid w:val="403C6952"/>
    <w:rsid w:val="40401C22"/>
    <w:rsid w:val="404228F2"/>
    <w:rsid w:val="40502289"/>
    <w:rsid w:val="405D29EC"/>
    <w:rsid w:val="406520C0"/>
    <w:rsid w:val="406C7770"/>
    <w:rsid w:val="40721460"/>
    <w:rsid w:val="407C5F0D"/>
    <w:rsid w:val="40995A08"/>
    <w:rsid w:val="40A03F19"/>
    <w:rsid w:val="40A90A06"/>
    <w:rsid w:val="40B25CC9"/>
    <w:rsid w:val="40BD5C2E"/>
    <w:rsid w:val="40C313BE"/>
    <w:rsid w:val="40CE24EC"/>
    <w:rsid w:val="40D7424E"/>
    <w:rsid w:val="40DD0E36"/>
    <w:rsid w:val="40E46E5C"/>
    <w:rsid w:val="40F303CB"/>
    <w:rsid w:val="40F90B55"/>
    <w:rsid w:val="41063FF2"/>
    <w:rsid w:val="410C3FBE"/>
    <w:rsid w:val="410D61DB"/>
    <w:rsid w:val="41115C57"/>
    <w:rsid w:val="41181710"/>
    <w:rsid w:val="41224327"/>
    <w:rsid w:val="413367EF"/>
    <w:rsid w:val="41381C6C"/>
    <w:rsid w:val="413D1EF4"/>
    <w:rsid w:val="413D3165"/>
    <w:rsid w:val="414225F3"/>
    <w:rsid w:val="41457AA4"/>
    <w:rsid w:val="41472FCE"/>
    <w:rsid w:val="4147740F"/>
    <w:rsid w:val="414A2574"/>
    <w:rsid w:val="41505427"/>
    <w:rsid w:val="415154E2"/>
    <w:rsid w:val="415622A2"/>
    <w:rsid w:val="415F4688"/>
    <w:rsid w:val="41620B77"/>
    <w:rsid w:val="416C5182"/>
    <w:rsid w:val="416F1F96"/>
    <w:rsid w:val="41766D0B"/>
    <w:rsid w:val="417F09C3"/>
    <w:rsid w:val="41910018"/>
    <w:rsid w:val="41920E17"/>
    <w:rsid w:val="41981988"/>
    <w:rsid w:val="41A42588"/>
    <w:rsid w:val="41A85C0F"/>
    <w:rsid w:val="41B542F9"/>
    <w:rsid w:val="41B77FFB"/>
    <w:rsid w:val="41BC57C3"/>
    <w:rsid w:val="41C07F6A"/>
    <w:rsid w:val="41C43062"/>
    <w:rsid w:val="41C70358"/>
    <w:rsid w:val="41CE5028"/>
    <w:rsid w:val="41D1217F"/>
    <w:rsid w:val="41D34149"/>
    <w:rsid w:val="41E43E10"/>
    <w:rsid w:val="41F13FD7"/>
    <w:rsid w:val="41F210AC"/>
    <w:rsid w:val="41F8595E"/>
    <w:rsid w:val="41FD05B5"/>
    <w:rsid w:val="420326FE"/>
    <w:rsid w:val="420518E0"/>
    <w:rsid w:val="420D7E51"/>
    <w:rsid w:val="421361D5"/>
    <w:rsid w:val="42144D4F"/>
    <w:rsid w:val="42146F8E"/>
    <w:rsid w:val="42181B5C"/>
    <w:rsid w:val="421E3EFC"/>
    <w:rsid w:val="42220634"/>
    <w:rsid w:val="42222018"/>
    <w:rsid w:val="42253294"/>
    <w:rsid w:val="4226688D"/>
    <w:rsid w:val="42274448"/>
    <w:rsid w:val="42334BE8"/>
    <w:rsid w:val="42380453"/>
    <w:rsid w:val="42433BAD"/>
    <w:rsid w:val="42610060"/>
    <w:rsid w:val="42683131"/>
    <w:rsid w:val="426C3BA8"/>
    <w:rsid w:val="426E3807"/>
    <w:rsid w:val="426F6386"/>
    <w:rsid w:val="427C0479"/>
    <w:rsid w:val="428A092C"/>
    <w:rsid w:val="42916AEF"/>
    <w:rsid w:val="42932ECB"/>
    <w:rsid w:val="42942B9B"/>
    <w:rsid w:val="429C1143"/>
    <w:rsid w:val="42AA0EAA"/>
    <w:rsid w:val="42B658C0"/>
    <w:rsid w:val="42C615B8"/>
    <w:rsid w:val="42C65997"/>
    <w:rsid w:val="42D24401"/>
    <w:rsid w:val="42DE1F4F"/>
    <w:rsid w:val="42E74C6D"/>
    <w:rsid w:val="42ED7CC6"/>
    <w:rsid w:val="42F1523C"/>
    <w:rsid w:val="42F52D8A"/>
    <w:rsid w:val="42F554CE"/>
    <w:rsid w:val="42F8373B"/>
    <w:rsid w:val="42FF07D8"/>
    <w:rsid w:val="43032966"/>
    <w:rsid w:val="43122487"/>
    <w:rsid w:val="43124B66"/>
    <w:rsid w:val="431B0F22"/>
    <w:rsid w:val="43273465"/>
    <w:rsid w:val="432865EF"/>
    <w:rsid w:val="432B6955"/>
    <w:rsid w:val="432C156E"/>
    <w:rsid w:val="432E041B"/>
    <w:rsid w:val="4332264F"/>
    <w:rsid w:val="433229ED"/>
    <w:rsid w:val="433361C5"/>
    <w:rsid w:val="433E13D0"/>
    <w:rsid w:val="4365015C"/>
    <w:rsid w:val="43660FE1"/>
    <w:rsid w:val="43681119"/>
    <w:rsid w:val="436E413C"/>
    <w:rsid w:val="437224E2"/>
    <w:rsid w:val="43727203"/>
    <w:rsid w:val="437471CD"/>
    <w:rsid w:val="437C4538"/>
    <w:rsid w:val="438020AF"/>
    <w:rsid w:val="43817741"/>
    <w:rsid w:val="439671DC"/>
    <w:rsid w:val="439742C4"/>
    <w:rsid w:val="439A5FCD"/>
    <w:rsid w:val="439E1974"/>
    <w:rsid w:val="439E42E3"/>
    <w:rsid w:val="43A26833"/>
    <w:rsid w:val="43A77B03"/>
    <w:rsid w:val="43A917C6"/>
    <w:rsid w:val="43AB19E8"/>
    <w:rsid w:val="43AD17C6"/>
    <w:rsid w:val="43B9736F"/>
    <w:rsid w:val="43BB6C43"/>
    <w:rsid w:val="43C74730"/>
    <w:rsid w:val="43CD740D"/>
    <w:rsid w:val="43D32636"/>
    <w:rsid w:val="43D45F57"/>
    <w:rsid w:val="43DA1B60"/>
    <w:rsid w:val="43E330CE"/>
    <w:rsid w:val="43F01651"/>
    <w:rsid w:val="43F17DC7"/>
    <w:rsid w:val="43F65861"/>
    <w:rsid w:val="43FD4A49"/>
    <w:rsid w:val="44125FF0"/>
    <w:rsid w:val="44153221"/>
    <w:rsid w:val="441D43A6"/>
    <w:rsid w:val="442C5D28"/>
    <w:rsid w:val="443171F6"/>
    <w:rsid w:val="44394E21"/>
    <w:rsid w:val="444572BC"/>
    <w:rsid w:val="44483951"/>
    <w:rsid w:val="446A6BF4"/>
    <w:rsid w:val="446E63AB"/>
    <w:rsid w:val="44711DA1"/>
    <w:rsid w:val="447F4114"/>
    <w:rsid w:val="44811688"/>
    <w:rsid w:val="44825DD6"/>
    <w:rsid w:val="44844F8B"/>
    <w:rsid w:val="448571E5"/>
    <w:rsid w:val="449563AF"/>
    <w:rsid w:val="44A40A6B"/>
    <w:rsid w:val="44A60CB1"/>
    <w:rsid w:val="44B26B08"/>
    <w:rsid w:val="44C6292F"/>
    <w:rsid w:val="44D97E60"/>
    <w:rsid w:val="44DE283E"/>
    <w:rsid w:val="44E54871"/>
    <w:rsid w:val="44E701F2"/>
    <w:rsid w:val="44F00B6E"/>
    <w:rsid w:val="44F245D0"/>
    <w:rsid w:val="44FB21A7"/>
    <w:rsid w:val="450A6A4E"/>
    <w:rsid w:val="451263AA"/>
    <w:rsid w:val="451606EB"/>
    <w:rsid w:val="451738E9"/>
    <w:rsid w:val="451A45C1"/>
    <w:rsid w:val="451B0D27"/>
    <w:rsid w:val="451F07BF"/>
    <w:rsid w:val="45230F44"/>
    <w:rsid w:val="4526535B"/>
    <w:rsid w:val="4527537C"/>
    <w:rsid w:val="45280308"/>
    <w:rsid w:val="452B27F6"/>
    <w:rsid w:val="452B3510"/>
    <w:rsid w:val="452B6700"/>
    <w:rsid w:val="452F45DD"/>
    <w:rsid w:val="452F6AFC"/>
    <w:rsid w:val="45331610"/>
    <w:rsid w:val="453B4799"/>
    <w:rsid w:val="453B7338"/>
    <w:rsid w:val="45480DF2"/>
    <w:rsid w:val="4552502D"/>
    <w:rsid w:val="455B46DA"/>
    <w:rsid w:val="458028AC"/>
    <w:rsid w:val="45846580"/>
    <w:rsid w:val="4584740B"/>
    <w:rsid w:val="458E0BAD"/>
    <w:rsid w:val="45961CCD"/>
    <w:rsid w:val="459A2DEB"/>
    <w:rsid w:val="45A1384A"/>
    <w:rsid w:val="45A201F8"/>
    <w:rsid w:val="45A26DFF"/>
    <w:rsid w:val="45AA5591"/>
    <w:rsid w:val="45B80C0E"/>
    <w:rsid w:val="45BF2BDA"/>
    <w:rsid w:val="45C4064D"/>
    <w:rsid w:val="45C800D7"/>
    <w:rsid w:val="45CF5A3E"/>
    <w:rsid w:val="45D30E0C"/>
    <w:rsid w:val="45D52F9E"/>
    <w:rsid w:val="45DC5976"/>
    <w:rsid w:val="45DD06F6"/>
    <w:rsid w:val="45E90090"/>
    <w:rsid w:val="45E91A4F"/>
    <w:rsid w:val="45EB352E"/>
    <w:rsid w:val="45FE1A61"/>
    <w:rsid w:val="4601278C"/>
    <w:rsid w:val="4606073D"/>
    <w:rsid w:val="461632EE"/>
    <w:rsid w:val="461676D0"/>
    <w:rsid w:val="46193BB2"/>
    <w:rsid w:val="461B60BF"/>
    <w:rsid w:val="461D4EF3"/>
    <w:rsid w:val="461E16E1"/>
    <w:rsid w:val="461F140D"/>
    <w:rsid w:val="46386553"/>
    <w:rsid w:val="46454EEA"/>
    <w:rsid w:val="46466382"/>
    <w:rsid w:val="46492C2C"/>
    <w:rsid w:val="465C65EC"/>
    <w:rsid w:val="465D0EBC"/>
    <w:rsid w:val="46736F8A"/>
    <w:rsid w:val="46783C63"/>
    <w:rsid w:val="467B38AA"/>
    <w:rsid w:val="469568AC"/>
    <w:rsid w:val="46AC7981"/>
    <w:rsid w:val="46AE0CE1"/>
    <w:rsid w:val="46AE198B"/>
    <w:rsid w:val="46AF0D7C"/>
    <w:rsid w:val="46B15C41"/>
    <w:rsid w:val="46B45895"/>
    <w:rsid w:val="46B719DD"/>
    <w:rsid w:val="46C9020F"/>
    <w:rsid w:val="46CE4EDF"/>
    <w:rsid w:val="46D04C7A"/>
    <w:rsid w:val="46DD4814"/>
    <w:rsid w:val="46DE50C7"/>
    <w:rsid w:val="46E774B8"/>
    <w:rsid w:val="46EC5486"/>
    <w:rsid w:val="46F24577"/>
    <w:rsid w:val="46F25482"/>
    <w:rsid w:val="46F4737E"/>
    <w:rsid w:val="46F474BD"/>
    <w:rsid w:val="47016C6C"/>
    <w:rsid w:val="47077BD7"/>
    <w:rsid w:val="47086ED3"/>
    <w:rsid w:val="47133829"/>
    <w:rsid w:val="471565BB"/>
    <w:rsid w:val="471C7883"/>
    <w:rsid w:val="47337EE0"/>
    <w:rsid w:val="473A35ED"/>
    <w:rsid w:val="473D7507"/>
    <w:rsid w:val="473E0DB8"/>
    <w:rsid w:val="4746506D"/>
    <w:rsid w:val="47476708"/>
    <w:rsid w:val="47492F1E"/>
    <w:rsid w:val="475A2820"/>
    <w:rsid w:val="47625413"/>
    <w:rsid w:val="476875BC"/>
    <w:rsid w:val="476F32F6"/>
    <w:rsid w:val="477E2B3E"/>
    <w:rsid w:val="478A7D6B"/>
    <w:rsid w:val="479417E9"/>
    <w:rsid w:val="47956D35"/>
    <w:rsid w:val="47A434E2"/>
    <w:rsid w:val="47C22AE5"/>
    <w:rsid w:val="47C5536D"/>
    <w:rsid w:val="47C65666"/>
    <w:rsid w:val="47C75839"/>
    <w:rsid w:val="47CC7396"/>
    <w:rsid w:val="47CD36FF"/>
    <w:rsid w:val="47D45CC4"/>
    <w:rsid w:val="47DC60AC"/>
    <w:rsid w:val="47DE0504"/>
    <w:rsid w:val="47EF750D"/>
    <w:rsid w:val="47F17265"/>
    <w:rsid w:val="47F308F3"/>
    <w:rsid w:val="47FE4D02"/>
    <w:rsid w:val="48054E6C"/>
    <w:rsid w:val="480768FB"/>
    <w:rsid w:val="480C2D2B"/>
    <w:rsid w:val="480F155C"/>
    <w:rsid w:val="48133314"/>
    <w:rsid w:val="481556BD"/>
    <w:rsid w:val="48162383"/>
    <w:rsid w:val="481F0AA9"/>
    <w:rsid w:val="48222C23"/>
    <w:rsid w:val="48270A63"/>
    <w:rsid w:val="48294AA4"/>
    <w:rsid w:val="482B1381"/>
    <w:rsid w:val="48353D45"/>
    <w:rsid w:val="4836539F"/>
    <w:rsid w:val="483B0352"/>
    <w:rsid w:val="483C6FE8"/>
    <w:rsid w:val="483F7321"/>
    <w:rsid w:val="48575810"/>
    <w:rsid w:val="485B6406"/>
    <w:rsid w:val="48615D7F"/>
    <w:rsid w:val="486237D8"/>
    <w:rsid w:val="48684EBF"/>
    <w:rsid w:val="487068B9"/>
    <w:rsid w:val="487A7086"/>
    <w:rsid w:val="487F14DB"/>
    <w:rsid w:val="48872B18"/>
    <w:rsid w:val="48880AEF"/>
    <w:rsid w:val="488C6ADE"/>
    <w:rsid w:val="489335D2"/>
    <w:rsid w:val="4899127A"/>
    <w:rsid w:val="48996C33"/>
    <w:rsid w:val="489D219A"/>
    <w:rsid w:val="489D5ABD"/>
    <w:rsid w:val="48B273D6"/>
    <w:rsid w:val="48B603A0"/>
    <w:rsid w:val="48BF2D31"/>
    <w:rsid w:val="48C31FD0"/>
    <w:rsid w:val="48C65230"/>
    <w:rsid w:val="48C76253"/>
    <w:rsid w:val="48C93D5B"/>
    <w:rsid w:val="48CD5CCF"/>
    <w:rsid w:val="48CE031E"/>
    <w:rsid w:val="48DD3786"/>
    <w:rsid w:val="48E27B4C"/>
    <w:rsid w:val="48F57672"/>
    <w:rsid w:val="48F90C30"/>
    <w:rsid w:val="490003D1"/>
    <w:rsid w:val="490A448A"/>
    <w:rsid w:val="490C0DCE"/>
    <w:rsid w:val="490C50BF"/>
    <w:rsid w:val="49121B22"/>
    <w:rsid w:val="49164D77"/>
    <w:rsid w:val="491C4E95"/>
    <w:rsid w:val="49233C45"/>
    <w:rsid w:val="49250F03"/>
    <w:rsid w:val="49341447"/>
    <w:rsid w:val="493D4A1E"/>
    <w:rsid w:val="493E010F"/>
    <w:rsid w:val="494815C9"/>
    <w:rsid w:val="49576E05"/>
    <w:rsid w:val="495C4D88"/>
    <w:rsid w:val="4962016E"/>
    <w:rsid w:val="49676EE0"/>
    <w:rsid w:val="49764102"/>
    <w:rsid w:val="49781E26"/>
    <w:rsid w:val="4979115F"/>
    <w:rsid w:val="4979158B"/>
    <w:rsid w:val="49833BBA"/>
    <w:rsid w:val="498D00C7"/>
    <w:rsid w:val="498E7890"/>
    <w:rsid w:val="49AF4568"/>
    <w:rsid w:val="49B71F2C"/>
    <w:rsid w:val="49B9553A"/>
    <w:rsid w:val="49CF262B"/>
    <w:rsid w:val="49D9732B"/>
    <w:rsid w:val="49DE3EDA"/>
    <w:rsid w:val="49E902F3"/>
    <w:rsid w:val="49E942B3"/>
    <w:rsid w:val="49F707FF"/>
    <w:rsid w:val="49F70BB9"/>
    <w:rsid w:val="49FC134C"/>
    <w:rsid w:val="49FD6919"/>
    <w:rsid w:val="4A010AB8"/>
    <w:rsid w:val="4A081DEC"/>
    <w:rsid w:val="4A125EE4"/>
    <w:rsid w:val="4A13120E"/>
    <w:rsid w:val="4A1B23CC"/>
    <w:rsid w:val="4A235E6A"/>
    <w:rsid w:val="4A294FFD"/>
    <w:rsid w:val="4A3370A6"/>
    <w:rsid w:val="4A360DA7"/>
    <w:rsid w:val="4A4C3A6F"/>
    <w:rsid w:val="4A4C5106"/>
    <w:rsid w:val="4A50775E"/>
    <w:rsid w:val="4A5A11E8"/>
    <w:rsid w:val="4A6B10D7"/>
    <w:rsid w:val="4A6B2759"/>
    <w:rsid w:val="4A707209"/>
    <w:rsid w:val="4A867A5C"/>
    <w:rsid w:val="4A8A3ABF"/>
    <w:rsid w:val="4A9309B4"/>
    <w:rsid w:val="4A9363D3"/>
    <w:rsid w:val="4A937AD3"/>
    <w:rsid w:val="4A964DA0"/>
    <w:rsid w:val="4A9B5A20"/>
    <w:rsid w:val="4A9C317A"/>
    <w:rsid w:val="4AA85601"/>
    <w:rsid w:val="4AAC5537"/>
    <w:rsid w:val="4AB41F7B"/>
    <w:rsid w:val="4AB71ED9"/>
    <w:rsid w:val="4AB8308F"/>
    <w:rsid w:val="4ABE526B"/>
    <w:rsid w:val="4AD33EE7"/>
    <w:rsid w:val="4AD55520"/>
    <w:rsid w:val="4AE07217"/>
    <w:rsid w:val="4AE157E1"/>
    <w:rsid w:val="4AEA27EC"/>
    <w:rsid w:val="4AF150A5"/>
    <w:rsid w:val="4AF3476B"/>
    <w:rsid w:val="4AF602D5"/>
    <w:rsid w:val="4AF636DD"/>
    <w:rsid w:val="4AF66371"/>
    <w:rsid w:val="4AF8077D"/>
    <w:rsid w:val="4AFA4E2C"/>
    <w:rsid w:val="4AFE0713"/>
    <w:rsid w:val="4B0716D5"/>
    <w:rsid w:val="4B0727EB"/>
    <w:rsid w:val="4B0E12C9"/>
    <w:rsid w:val="4B132F74"/>
    <w:rsid w:val="4B170AC0"/>
    <w:rsid w:val="4B262B67"/>
    <w:rsid w:val="4B290EF4"/>
    <w:rsid w:val="4B344768"/>
    <w:rsid w:val="4B35348C"/>
    <w:rsid w:val="4B3C05A1"/>
    <w:rsid w:val="4B4628D8"/>
    <w:rsid w:val="4B5E1856"/>
    <w:rsid w:val="4B5F12E0"/>
    <w:rsid w:val="4B6F44D2"/>
    <w:rsid w:val="4B703F25"/>
    <w:rsid w:val="4B7B1B20"/>
    <w:rsid w:val="4B7E22EF"/>
    <w:rsid w:val="4B844BF6"/>
    <w:rsid w:val="4B8B09BD"/>
    <w:rsid w:val="4B8F2EDE"/>
    <w:rsid w:val="4B966813"/>
    <w:rsid w:val="4B9B18FE"/>
    <w:rsid w:val="4BA351AA"/>
    <w:rsid w:val="4BB12FD7"/>
    <w:rsid w:val="4BB2747D"/>
    <w:rsid w:val="4BC31375"/>
    <w:rsid w:val="4BCB596E"/>
    <w:rsid w:val="4BCC68CC"/>
    <w:rsid w:val="4BD102CE"/>
    <w:rsid w:val="4BE03758"/>
    <w:rsid w:val="4BE470C8"/>
    <w:rsid w:val="4BE6307C"/>
    <w:rsid w:val="4BE8741D"/>
    <w:rsid w:val="4BEC3715"/>
    <w:rsid w:val="4BF93867"/>
    <w:rsid w:val="4BF97542"/>
    <w:rsid w:val="4C03387D"/>
    <w:rsid w:val="4C0E110B"/>
    <w:rsid w:val="4C0E2D26"/>
    <w:rsid w:val="4C0F311B"/>
    <w:rsid w:val="4C110E7C"/>
    <w:rsid w:val="4C176F5D"/>
    <w:rsid w:val="4C196A5A"/>
    <w:rsid w:val="4C1E32F4"/>
    <w:rsid w:val="4C2555A1"/>
    <w:rsid w:val="4C372E39"/>
    <w:rsid w:val="4C4A5008"/>
    <w:rsid w:val="4C522685"/>
    <w:rsid w:val="4C5502BE"/>
    <w:rsid w:val="4C606DB5"/>
    <w:rsid w:val="4C646C0F"/>
    <w:rsid w:val="4C6C0CAC"/>
    <w:rsid w:val="4C6E4F14"/>
    <w:rsid w:val="4C724775"/>
    <w:rsid w:val="4C7622A1"/>
    <w:rsid w:val="4C7B155E"/>
    <w:rsid w:val="4C8623A2"/>
    <w:rsid w:val="4C9478A8"/>
    <w:rsid w:val="4C95064C"/>
    <w:rsid w:val="4C9B6454"/>
    <w:rsid w:val="4C9E3C93"/>
    <w:rsid w:val="4CAB20A2"/>
    <w:rsid w:val="4CAF7561"/>
    <w:rsid w:val="4CC42BE1"/>
    <w:rsid w:val="4CCC1EC1"/>
    <w:rsid w:val="4CD0311C"/>
    <w:rsid w:val="4CD74710"/>
    <w:rsid w:val="4CE758D1"/>
    <w:rsid w:val="4CEA0AD6"/>
    <w:rsid w:val="4CF023F8"/>
    <w:rsid w:val="4CF24964"/>
    <w:rsid w:val="4CFD291A"/>
    <w:rsid w:val="4CFD6A65"/>
    <w:rsid w:val="4D0A1B8C"/>
    <w:rsid w:val="4D155D24"/>
    <w:rsid w:val="4D1749F4"/>
    <w:rsid w:val="4D191715"/>
    <w:rsid w:val="4D292E6F"/>
    <w:rsid w:val="4D2B12E8"/>
    <w:rsid w:val="4D2B2F7F"/>
    <w:rsid w:val="4D327BC8"/>
    <w:rsid w:val="4D39745C"/>
    <w:rsid w:val="4D3C060B"/>
    <w:rsid w:val="4D4443C2"/>
    <w:rsid w:val="4D5362BA"/>
    <w:rsid w:val="4D5756EE"/>
    <w:rsid w:val="4D5B15CA"/>
    <w:rsid w:val="4D5D6AE7"/>
    <w:rsid w:val="4D665BEB"/>
    <w:rsid w:val="4D867633"/>
    <w:rsid w:val="4D875139"/>
    <w:rsid w:val="4D8D5092"/>
    <w:rsid w:val="4D8E5B3E"/>
    <w:rsid w:val="4D90494F"/>
    <w:rsid w:val="4D9237BE"/>
    <w:rsid w:val="4D9A68AF"/>
    <w:rsid w:val="4D9A7815"/>
    <w:rsid w:val="4DA37F9B"/>
    <w:rsid w:val="4DAB049A"/>
    <w:rsid w:val="4DB645A8"/>
    <w:rsid w:val="4DB84F31"/>
    <w:rsid w:val="4DBC7B9F"/>
    <w:rsid w:val="4DD35C4F"/>
    <w:rsid w:val="4DD6066A"/>
    <w:rsid w:val="4DDE2722"/>
    <w:rsid w:val="4DE05270"/>
    <w:rsid w:val="4DF30F26"/>
    <w:rsid w:val="4DF31F94"/>
    <w:rsid w:val="4DF45CEC"/>
    <w:rsid w:val="4DF740D0"/>
    <w:rsid w:val="4DFC7583"/>
    <w:rsid w:val="4DFD0C89"/>
    <w:rsid w:val="4E065762"/>
    <w:rsid w:val="4E116F5D"/>
    <w:rsid w:val="4E1232E2"/>
    <w:rsid w:val="4E152412"/>
    <w:rsid w:val="4E1F152D"/>
    <w:rsid w:val="4E200716"/>
    <w:rsid w:val="4E277073"/>
    <w:rsid w:val="4E2A6615"/>
    <w:rsid w:val="4E2E7E7C"/>
    <w:rsid w:val="4E452C4D"/>
    <w:rsid w:val="4E486EC0"/>
    <w:rsid w:val="4E5A1A0E"/>
    <w:rsid w:val="4E5D41A3"/>
    <w:rsid w:val="4E616639"/>
    <w:rsid w:val="4E634331"/>
    <w:rsid w:val="4E64645E"/>
    <w:rsid w:val="4E781DE4"/>
    <w:rsid w:val="4E7D1A71"/>
    <w:rsid w:val="4E7F6DDE"/>
    <w:rsid w:val="4E845420"/>
    <w:rsid w:val="4E920523"/>
    <w:rsid w:val="4E943020"/>
    <w:rsid w:val="4EA00CA6"/>
    <w:rsid w:val="4EBD0262"/>
    <w:rsid w:val="4EC22A8C"/>
    <w:rsid w:val="4ED5147F"/>
    <w:rsid w:val="4ED82D9F"/>
    <w:rsid w:val="4EF913FF"/>
    <w:rsid w:val="4EF9701E"/>
    <w:rsid w:val="4EFE2249"/>
    <w:rsid w:val="4F0969CF"/>
    <w:rsid w:val="4F0A19E7"/>
    <w:rsid w:val="4F1A00F4"/>
    <w:rsid w:val="4F1D2EA8"/>
    <w:rsid w:val="4F211769"/>
    <w:rsid w:val="4F2D34B9"/>
    <w:rsid w:val="4F391364"/>
    <w:rsid w:val="4F42646A"/>
    <w:rsid w:val="4F493B1E"/>
    <w:rsid w:val="4F4D19E4"/>
    <w:rsid w:val="4F4E3AF6"/>
    <w:rsid w:val="4F517383"/>
    <w:rsid w:val="4F5346D7"/>
    <w:rsid w:val="4F586614"/>
    <w:rsid w:val="4F5970FC"/>
    <w:rsid w:val="4F5A0A34"/>
    <w:rsid w:val="4F5A1113"/>
    <w:rsid w:val="4F5D3ABD"/>
    <w:rsid w:val="4F620943"/>
    <w:rsid w:val="4F653CDB"/>
    <w:rsid w:val="4F6D1BD6"/>
    <w:rsid w:val="4F7113F7"/>
    <w:rsid w:val="4F7F43D6"/>
    <w:rsid w:val="4F8668DA"/>
    <w:rsid w:val="4F873E34"/>
    <w:rsid w:val="4F9165F0"/>
    <w:rsid w:val="4F9B6F25"/>
    <w:rsid w:val="4FAA2D7A"/>
    <w:rsid w:val="4FAF1F53"/>
    <w:rsid w:val="4FC32735"/>
    <w:rsid w:val="4FC34172"/>
    <w:rsid w:val="4FC36743"/>
    <w:rsid w:val="4FD751DA"/>
    <w:rsid w:val="4FE151D2"/>
    <w:rsid w:val="4FE56AFB"/>
    <w:rsid w:val="4FEE2B8B"/>
    <w:rsid w:val="4FF145A1"/>
    <w:rsid w:val="4FF906B6"/>
    <w:rsid w:val="4FF9299C"/>
    <w:rsid w:val="4FF9746A"/>
    <w:rsid w:val="4FFB0E25"/>
    <w:rsid w:val="4FFD566F"/>
    <w:rsid w:val="50082051"/>
    <w:rsid w:val="50151D35"/>
    <w:rsid w:val="501A73E7"/>
    <w:rsid w:val="50221E39"/>
    <w:rsid w:val="5027292C"/>
    <w:rsid w:val="50295962"/>
    <w:rsid w:val="502B338D"/>
    <w:rsid w:val="502F712D"/>
    <w:rsid w:val="503308CA"/>
    <w:rsid w:val="50376B03"/>
    <w:rsid w:val="503A43A4"/>
    <w:rsid w:val="504754F4"/>
    <w:rsid w:val="50593532"/>
    <w:rsid w:val="505A1F5C"/>
    <w:rsid w:val="505B2A66"/>
    <w:rsid w:val="50604210"/>
    <w:rsid w:val="50632AEE"/>
    <w:rsid w:val="506348EA"/>
    <w:rsid w:val="506720DD"/>
    <w:rsid w:val="50687CEE"/>
    <w:rsid w:val="50703156"/>
    <w:rsid w:val="507C68F2"/>
    <w:rsid w:val="507E467D"/>
    <w:rsid w:val="507E53A1"/>
    <w:rsid w:val="508C516E"/>
    <w:rsid w:val="50A22CD9"/>
    <w:rsid w:val="50B436E0"/>
    <w:rsid w:val="50B65F23"/>
    <w:rsid w:val="50BA6F1F"/>
    <w:rsid w:val="50BB4726"/>
    <w:rsid w:val="50C95097"/>
    <w:rsid w:val="50CE5494"/>
    <w:rsid w:val="50D7229F"/>
    <w:rsid w:val="50D824AF"/>
    <w:rsid w:val="50DC6685"/>
    <w:rsid w:val="50E15345"/>
    <w:rsid w:val="50ED2550"/>
    <w:rsid w:val="50F60EA5"/>
    <w:rsid w:val="51021242"/>
    <w:rsid w:val="510750C1"/>
    <w:rsid w:val="511153A7"/>
    <w:rsid w:val="51185011"/>
    <w:rsid w:val="51187B20"/>
    <w:rsid w:val="511F25DE"/>
    <w:rsid w:val="512147D5"/>
    <w:rsid w:val="5127398C"/>
    <w:rsid w:val="512A365A"/>
    <w:rsid w:val="512C7C9D"/>
    <w:rsid w:val="512D2A97"/>
    <w:rsid w:val="512F0C70"/>
    <w:rsid w:val="51326785"/>
    <w:rsid w:val="5139207E"/>
    <w:rsid w:val="51413050"/>
    <w:rsid w:val="514242A4"/>
    <w:rsid w:val="514A697D"/>
    <w:rsid w:val="514F2738"/>
    <w:rsid w:val="51561969"/>
    <w:rsid w:val="51567B9B"/>
    <w:rsid w:val="515D59EF"/>
    <w:rsid w:val="51701D35"/>
    <w:rsid w:val="517D4DC2"/>
    <w:rsid w:val="51846843"/>
    <w:rsid w:val="51861AC4"/>
    <w:rsid w:val="51864B3F"/>
    <w:rsid w:val="51922A94"/>
    <w:rsid w:val="519B68EE"/>
    <w:rsid w:val="51A6177C"/>
    <w:rsid w:val="51A7779A"/>
    <w:rsid w:val="51AB1D14"/>
    <w:rsid w:val="51B67BA8"/>
    <w:rsid w:val="51BE3FFD"/>
    <w:rsid w:val="51C16FCD"/>
    <w:rsid w:val="51C57EC1"/>
    <w:rsid w:val="51DB5DB4"/>
    <w:rsid w:val="51DF63F5"/>
    <w:rsid w:val="51EC3535"/>
    <w:rsid w:val="51F04373"/>
    <w:rsid w:val="51F53D5C"/>
    <w:rsid w:val="51F577C4"/>
    <w:rsid w:val="51FD2503"/>
    <w:rsid w:val="520A6BE9"/>
    <w:rsid w:val="520D24E1"/>
    <w:rsid w:val="521C5209"/>
    <w:rsid w:val="522228B1"/>
    <w:rsid w:val="52230D34"/>
    <w:rsid w:val="52261089"/>
    <w:rsid w:val="522B2DFA"/>
    <w:rsid w:val="522C608A"/>
    <w:rsid w:val="522D4002"/>
    <w:rsid w:val="522F4C78"/>
    <w:rsid w:val="5233653E"/>
    <w:rsid w:val="52351034"/>
    <w:rsid w:val="523B5E1E"/>
    <w:rsid w:val="524C1962"/>
    <w:rsid w:val="524F58BE"/>
    <w:rsid w:val="52526C26"/>
    <w:rsid w:val="525C0D26"/>
    <w:rsid w:val="525D7EB9"/>
    <w:rsid w:val="5268350C"/>
    <w:rsid w:val="526D0D7E"/>
    <w:rsid w:val="5273304C"/>
    <w:rsid w:val="527C3A46"/>
    <w:rsid w:val="52822282"/>
    <w:rsid w:val="528327AD"/>
    <w:rsid w:val="528C7842"/>
    <w:rsid w:val="528E3305"/>
    <w:rsid w:val="529549DC"/>
    <w:rsid w:val="52A11756"/>
    <w:rsid w:val="52A724F0"/>
    <w:rsid w:val="52A92FB3"/>
    <w:rsid w:val="52AA340B"/>
    <w:rsid w:val="52AF2E6F"/>
    <w:rsid w:val="52B8438A"/>
    <w:rsid w:val="52B93CE6"/>
    <w:rsid w:val="52C76D01"/>
    <w:rsid w:val="52C8137C"/>
    <w:rsid w:val="52D0652B"/>
    <w:rsid w:val="52D06FE2"/>
    <w:rsid w:val="52D15C16"/>
    <w:rsid w:val="52DB1C64"/>
    <w:rsid w:val="52DF558A"/>
    <w:rsid w:val="5300648B"/>
    <w:rsid w:val="530230CD"/>
    <w:rsid w:val="530729CC"/>
    <w:rsid w:val="53115006"/>
    <w:rsid w:val="53117ADB"/>
    <w:rsid w:val="53226403"/>
    <w:rsid w:val="53236AF5"/>
    <w:rsid w:val="532D72C8"/>
    <w:rsid w:val="532E7431"/>
    <w:rsid w:val="53303BA4"/>
    <w:rsid w:val="533672CD"/>
    <w:rsid w:val="5338046B"/>
    <w:rsid w:val="534F428A"/>
    <w:rsid w:val="5351022A"/>
    <w:rsid w:val="53525701"/>
    <w:rsid w:val="535B114A"/>
    <w:rsid w:val="535D34E5"/>
    <w:rsid w:val="535D65AD"/>
    <w:rsid w:val="53615697"/>
    <w:rsid w:val="536A5B30"/>
    <w:rsid w:val="536F4D1B"/>
    <w:rsid w:val="53737443"/>
    <w:rsid w:val="537C50A9"/>
    <w:rsid w:val="5380244D"/>
    <w:rsid w:val="53807BE0"/>
    <w:rsid w:val="5387543C"/>
    <w:rsid w:val="539250E9"/>
    <w:rsid w:val="5399725F"/>
    <w:rsid w:val="539F577A"/>
    <w:rsid w:val="53A267F4"/>
    <w:rsid w:val="53A9141E"/>
    <w:rsid w:val="53C2093F"/>
    <w:rsid w:val="53CD28F3"/>
    <w:rsid w:val="53D07E15"/>
    <w:rsid w:val="53D36A56"/>
    <w:rsid w:val="53D84DA6"/>
    <w:rsid w:val="53D91C89"/>
    <w:rsid w:val="53E06CD8"/>
    <w:rsid w:val="53E61996"/>
    <w:rsid w:val="53E66DFE"/>
    <w:rsid w:val="53EB5511"/>
    <w:rsid w:val="53EB5D66"/>
    <w:rsid w:val="53F37D7F"/>
    <w:rsid w:val="53FA3887"/>
    <w:rsid w:val="5400353C"/>
    <w:rsid w:val="54014B46"/>
    <w:rsid w:val="54031BB5"/>
    <w:rsid w:val="54044174"/>
    <w:rsid w:val="54071E2A"/>
    <w:rsid w:val="54082D02"/>
    <w:rsid w:val="540D0414"/>
    <w:rsid w:val="540E305A"/>
    <w:rsid w:val="540F0C26"/>
    <w:rsid w:val="540F5A72"/>
    <w:rsid w:val="54295925"/>
    <w:rsid w:val="542A5FE7"/>
    <w:rsid w:val="54326406"/>
    <w:rsid w:val="543B4551"/>
    <w:rsid w:val="543F1C5C"/>
    <w:rsid w:val="544230C5"/>
    <w:rsid w:val="54433507"/>
    <w:rsid w:val="544C23C8"/>
    <w:rsid w:val="544F3523"/>
    <w:rsid w:val="54587C12"/>
    <w:rsid w:val="54594C1B"/>
    <w:rsid w:val="545A0EA4"/>
    <w:rsid w:val="54662927"/>
    <w:rsid w:val="54755D12"/>
    <w:rsid w:val="54762367"/>
    <w:rsid w:val="547C78E6"/>
    <w:rsid w:val="547E1F94"/>
    <w:rsid w:val="54852D1F"/>
    <w:rsid w:val="548C233A"/>
    <w:rsid w:val="549247FE"/>
    <w:rsid w:val="549A79DF"/>
    <w:rsid w:val="549D4AAB"/>
    <w:rsid w:val="54A20DC9"/>
    <w:rsid w:val="54B80036"/>
    <w:rsid w:val="54BC08A8"/>
    <w:rsid w:val="54C75945"/>
    <w:rsid w:val="54CA318A"/>
    <w:rsid w:val="54D04E92"/>
    <w:rsid w:val="54D847DD"/>
    <w:rsid w:val="54DB37AE"/>
    <w:rsid w:val="54DB593C"/>
    <w:rsid w:val="54DE3775"/>
    <w:rsid w:val="54E258A1"/>
    <w:rsid w:val="54EA24BE"/>
    <w:rsid w:val="54ED4232"/>
    <w:rsid w:val="54F6614B"/>
    <w:rsid w:val="54FB3A7B"/>
    <w:rsid w:val="54FE4116"/>
    <w:rsid w:val="55066C88"/>
    <w:rsid w:val="550A555A"/>
    <w:rsid w:val="550C38C4"/>
    <w:rsid w:val="550F272A"/>
    <w:rsid w:val="550F7E86"/>
    <w:rsid w:val="55142D59"/>
    <w:rsid w:val="55216AEF"/>
    <w:rsid w:val="552247E2"/>
    <w:rsid w:val="5524445C"/>
    <w:rsid w:val="553B4117"/>
    <w:rsid w:val="554F426F"/>
    <w:rsid w:val="55511311"/>
    <w:rsid w:val="55597DDE"/>
    <w:rsid w:val="555B36E7"/>
    <w:rsid w:val="555D2611"/>
    <w:rsid w:val="55616260"/>
    <w:rsid w:val="556524DF"/>
    <w:rsid w:val="556E454B"/>
    <w:rsid w:val="556E5219"/>
    <w:rsid w:val="55701244"/>
    <w:rsid w:val="55710991"/>
    <w:rsid w:val="557E290D"/>
    <w:rsid w:val="55833339"/>
    <w:rsid w:val="558F6A6B"/>
    <w:rsid w:val="55905000"/>
    <w:rsid w:val="559432B0"/>
    <w:rsid w:val="55967CC8"/>
    <w:rsid w:val="559C52ED"/>
    <w:rsid w:val="55A801BE"/>
    <w:rsid w:val="55AF7BEA"/>
    <w:rsid w:val="55C01A10"/>
    <w:rsid w:val="55D3528C"/>
    <w:rsid w:val="55D44DC6"/>
    <w:rsid w:val="55D703E0"/>
    <w:rsid w:val="55D957E3"/>
    <w:rsid w:val="55E03D4E"/>
    <w:rsid w:val="55F15419"/>
    <w:rsid w:val="55F36D31"/>
    <w:rsid w:val="55F71479"/>
    <w:rsid w:val="55F744B6"/>
    <w:rsid w:val="55FA184D"/>
    <w:rsid w:val="55FB4DCA"/>
    <w:rsid w:val="56007AA2"/>
    <w:rsid w:val="560F3D8B"/>
    <w:rsid w:val="5618252A"/>
    <w:rsid w:val="56195FC4"/>
    <w:rsid w:val="562154B5"/>
    <w:rsid w:val="56230B63"/>
    <w:rsid w:val="5623104D"/>
    <w:rsid w:val="56237053"/>
    <w:rsid w:val="564135C2"/>
    <w:rsid w:val="56494582"/>
    <w:rsid w:val="564A657C"/>
    <w:rsid w:val="565359EF"/>
    <w:rsid w:val="56674144"/>
    <w:rsid w:val="566B30A9"/>
    <w:rsid w:val="5671376A"/>
    <w:rsid w:val="56715B0B"/>
    <w:rsid w:val="567175E4"/>
    <w:rsid w:val="567F25FF"/>
    <w:rsid w:val="567F4017"/>
    <w:rsid w:val="567F433A"/>
    <w:rsid w:val="56821601"/>
    <w:rsid w:val="56861107"/>
    <w:rsid w:val="568E4115"/>
    <w:rsid w:val="569137D0"/>
    <w:rsid w:val="56985568"/>
    <w:rsid w:val="569C398A"/>
    <w:rsid w:val="56A55174"/>
    <w:rsid w:val="56AB5FD3"/>
    <w:rsid w:val="56AD748E"/>
    <w:rsid w:val="56B0417B"/>
    <w:rsid w:val="56B970F3"/>
    <w:rsid w:val="56C91D8C"/>
    <w:rsid w:val="56CD148A"/>
    <w:rsid w:val="56D36451"/>
    <w:rsid w:val="56D40F85"/>
    <w:rsid w:val="56E11FFE"/>
    <w:rsid w:val="56E64265"/>
    <w:rsid w:val="56E86641"/>
    <w:rsid w:val="56F075CD"/>
    <w:rsid w:val="56F86941"/>
    <w:rsid w:val="56FE672C"/>
    <w:rsid w:val="570659F4"/>
    <w:rsid w:val="57074E77"/>
    <w:rsid w:val="570761E2"/>
    <w:rsid w:val="57082475"/>
    <w:rsid w:val="57083A41"/>
    <w:rsid w:val="570C7F57"/>
    <w:rsid w:val="57204035"/>
    <w:rsid w:val="57221369"/>
    <w:rsid w:val="57285916"/>
    <w:rsid w:val="57290C0E"/>
    <w:rsid w:val="572B49D7"/>
    <w:rsid w:val="572E0F57"/>
    <w:rsid w:val="5734530F"/>
    <w:rsid w:val="574C17A5"/>
    <w:rsid w:val="575006E4"/>
    <w:rsid w:val="57534343"/>
    <w:rsid w:val="57551634"/>
    <w:rsid w:val="575639D5"/>
    <w:rsid w:val="57645A74"/>
    <w:rsid w:val="576636BF"/>
    <w:rsid w:val="57854515"/>
    <w:rsid w:val="57861FCD"/>
    <w:rsid w:val="578D47BC"/>
    <w:rsid w:val="57974DC0"/>
    <w:rsid w:val="579F0BA0"/>
    <w:rsid w:val="57AE1F2F"/>
    <w:rsid w:val="57B53024"/>
    <w:rsid w:val="57B74699"/>
    <w:rsid w:val="57B91DA5"/>
    <w:rsid w:val="57B95737"/>
    <w:rsid w:val="57BA2125"/>
    <w:rsid w:val="57C0097E"/>
    <w:rsid w:val="57C41411"/>
    <w:rsid w:val="57D13D90"/>
    <w:rsid w:val="57DC1045"/>
    <w:rsid w:val="57DE35F7"/>
    <w:rsid w:val="57E55435"/>
    <w:rsid w:val="57EE7B8A"/>
    <w:rsid w:val="57F14ED1"/>
    <w:rsid w:val="57FA4473"/>
    <w:rsid w:val="580224BD"/>
    <w:rsid w:val="5807343D"/>
    <w:rsid w:val="58073FE1"/>
    <w:rsid w:val="580A0B05"/>
    <w:rsid w:val="580C6E70"/>
    <w:rsid w:val="581D61CA"/>
    <w:rsid w:val="58222391"/>
    <w:rsid w:val="5823446A"/>
    <w:rsid w:val="58237626"/>
    <w:rsid w:val="582B5149"/>
    <w:rsid w:val="5835594E"/>
    <w:rsid w:val="58360DB0"/>
    <w:rsid w:val="583E0C24"/>
    <w:rsid w:val="58417A38"/>
    <w:rsid w:val="585302BB"/>
    <w:rsid w:val="585B12CA"/>
    <w:rsid w:val="58686926"/>
    <w:rsid w:val="58717B8D"/>
    <w:rsid w:val="587A6B3A"/>
    <w:rsid w:val="587F1E9D"/>
    <w:rsid w:val="58826B9D"/>
    <w:rsid w:val="58864E26"/>
    <w:rsid w:val="58874605"/>
    <w:rsid w:val="58895060"/>
    <w:rsid w:val="58907170"/>
    <w:rsid w:val="589D6D3E"/>
    <w:rsid w:val="58A2254E"/>
    <w:rsid w:val="58A40D0E"/>
    <w:rsid w:val="58A837E2"/>
    <w:rsid w:val="58A90AFC"/>
    <w:rsid w:val="58CB07D2"/>
    <w:rsid w:val="58E752C5"/>
    <w:rsid w:val="58ED5699"/>
    <w:rsid w:val="58EF3143"/>
    <w:rsid w:val="58F418D2"/>
    <w:rsid w:val="58F5343E"/>
    <w:rsid w:val="58F66865"/>
    <w:rsid w:val="58FA3445"/>
    <w:rsid w:val="590D6992"/>
    <w:rsid w:val="59140FDA"/>
    <w:rsid w:val="591538F9"/>
    <w:rsid w:val="591724D7"/>
    <w:rsid w:val="591D1C7D"/>
    <w:rsid w:val="59260864"/>
    <w:rsid w:val="592F47DB"/>
    <w:rsid w:val="5931496B"/>
    <w:rsid w:val="593B47E4"/>
    <w:rsid w:val="594B70C0"/>
    <w:rsid w:val="594F1EAF"/>
    <w:rsid w:val="59567CA3"/>
    <w:rsid w:val="595B266A"/>
    <w:rsid w:val="59610918"/>
    <w:rsid w:val="59706BE5"/>
    <w:rsid w:val="5971043F"/>
    <w:rsid w:val="59775992"/>
    <w:rsid w:val="59874D97"/>
    <w:rsid w:val="59882F10"/>
    <w:rsid w:val="598A01F7"/>
    <w:rsid w:val="598B41B8"/>
    <w:rsid w:val="59932A2E"/>
    <w:rsid w:val="599C17F6"/>
    <w:rsid w:val="59A636BE"/>
    <w:rsid w:val="59AB5D9E"/>
    <w:rsid w:val="59AB748D"/>
    <w:rsid w:val="59B06563"/>
    <w:rsid w:val="59B4260A"/>
    <w:rsid w:val="59B816D5"/>
    <w:rsid w:val="59BC3B74"/>
    <w:rsid w:val="59BC693F"/>
    <w:rsid w:val="59BD4892"/>
    <w:rsid w:val="59C00F19"/>
    <w:rsid w:val="59C31014"/>
    <w:rsid w:val="59C641DF"/>
    <w:rsid w:val="59C65335"/>
    <w:rsid w:val="59C65FAD"/>
    <w:rsid w:val="59C86701"/>
    <w:rsid w:val="59D13544"/>
    <w:rsid w:val="59D33D8C"/>
    <w:rsid w:val="59D46F33"/>
    <w:rsid w:val="59D800F7"/>
    <w:rsid w:val="59DA6F5F"/>
    <w:rsid w:val="59EC42D6"/>
    <w:rsid w:val="59F24DAB"/>
    <w:rsid w:val="59FC62E8"/>
    <w:rsid w:val="5A0203C4"/>
    <w:rsid w:val="5A03242E"/>
    <w:rsid w:val="5A0E104D"/>
    <w:rsid w:val="5A107ECC"/>
    <w:rsid w:val="5A161379"/>
    <w:rsid w:val="5A161770"/>
    <w:rsid w:val="5A17252D"/>
    <w:rsid w:val="5A182429"/>
    <w:rsid w:val="5A192E08"/>
    <w:rsid w:val="5A22309B"/>
    <w:rsid w:val="5A2A3B31"/>
    <w:rsid w:val="5A4906FA"/>
    <w:rsid w:val="5A4C6244"/>
    <w:rsid w:val="5A5A7D8D"/>
    <w:rsid w:val="5A6A1749"/>
    <w:rsid w:val="5A6A3DF7"/>
    <w:rsid w:val="5A6E7CBA"/>
    <w:rsid w:val="5A751A89"/>
    <w:rsid w:val="5A7B1640"/>
    <w:rsid w:val="5A7C49C2"/>
    <w:rsid w:val="5A7D5D9B"/>
    <w:rsid w:val="5A7F4A16"/>
    <w:rsid w:val="5A8171FC"/>
    <w:rsid w:val="5A874382"/>
    <w:rsid w:val="5A910755"/>
    <w:rsid w:val="5A9F29C3"/>
    <w:rsid w:val="5AA32B48"/>
    <w:rsid w:val="5AB04A36"/>
    <w:rsid w:val="5AB75FA5"/>
    <w:rsid w:val="5AC027CD"/>
    <w:rsid w:val="5AC468CD"/>
    <w:rsid w:val="5ACD4E72"/>
    <w:rsid w:val="5AE12FAC"/>
    <w:rsid w:val="5AE478C9"/>
    <w:rsid w:val="5AE807FE"/>
    <w:rsid w:val="5AF754E8"/>
    <w:rsid w:val="5B04300F"/>
    <w:rsid w:val="5B0574DD"/>
    <w:rsid w:val="5B082266"/>
    <w:rsid w:val="5B0A5C2D"/>
    <w:rsid w:val="5B0D00B9"/>
    <w:rsid w:val="5B102527"/>
    <w:rsid w:val="5B134716"/>
    <w:rsid w:val="5B164443"/>
    <w:rsid w:val="5B205367"/>
    <w:rsid w:val="5B227055"/>
    <w:rsid w:val="5B2870B8"/>
    <w:rsid w:val="5B373828"/>
    <w:rsid w:val="5B3772C6"/>
    <w:rsid w:val="5B4012DE"/>
    <w:rsid w:val="5B4473E5"/>
    <w:rsid w:val="5B4E5D18"/>
    <w:rsid w:val="5B542B19"/>
    <w:rsid w:val="5B5E09DF"/>
    <w:rsid w:val="5B654FAD"/>
    <w:rsid w:val="5B6657D5"/>
    <w:rsid w:val="5B670172"/>
    <w:rsid w:val="5B7E4CCE"/>
    <w:rsid w:val="5B812073"/>
    <w:rsid w:val="5B94541E"/>
    <w:rsid w:val="5B960F1C"/>
    <w:rsid w:val="5B994B72"/>
    <w:rsid w:val="5B9E5CA2"/>
    <w:rsid w:val="5BA50D36"/>
    <w:rsid w:val="5BB379AF"/>
    <w:rsid w:val="5BB76265"/>
    <w:rsid w:val="5BBA0E97"/>
    <w:rsid w:val="5BC47963"/>
    <w:rsid w:val="5BC508FC"/>
    <w:rsid w:val="5BD05E30"/>
    <w:rsid w:val="5BD202F8"/>
    <w:rsid w:val="5BD5501F"/>
    <w:rsid w:val="5BDF3820"/>
    <w:rsid w:val="5BE020BF"/>
    <w:rsid w:val="5BEA6483"/>
    <w:rsid w:val="5BEC1A5C"/>
    <w:rsid w:val="5BF62AB6"/>
    <w:rsid w:val="5BF9405D"/>
    <w:rsid w:val="5BF941F5"/>
    <w:rsid w:val="5BFB2DF6"/>
    <w:rsid w:val="5C0164C2"/>
    <w:rsid w:val="5C0D54EB"/>
    <w:rsid w:val="5C1075E9"/>
    <w:rsid w:val="5C114D8C"/>
    <w:rsid w:val="5C1552AB"/>
    <w:rsid w:val="5C1A30CE"/>
    <w:rsid w:val="5C1C535B"/>
    <w:rsid w:val="5C1D2DB2"/>
    <w:rsid w:val="5C1F3084"/>
    <w:rsid w:val="5C214843"/>
    <w:rsid w:val="5C231F03"/>
    <w:rsid w:val="5C257E51"/>
    <w:rsid w:val="5C297F4A"/>
    <w:rsid w:val="5C2E439D"/>
    <w:rsid w:val="5C3A0AE3"/>
    <w:rsid w:val="5C3B190B"/>
    <w:rsid w:val="5C3C7AF1"/>
    <w:rsid w:val="5C420D71"/>
    <w:rsid w:val="5C4D76D0"/>
    <w:rsid w:val="5C513537"/>
    <w:rsid w:val="5C55226A"/>
    <w:rsid w:val="5C6A1A7F"/>
    <w:rsid w:val="5C702A11"/>
    <w:rsid w:val="5C7D6B40"/>
    <w:rsid w:val="5C860032"/>
    <w:rsid w:val="5C875E04"/>
    <w:rsid w:val="5C8B0D11"/>
    <w:rsid w:val="5C8E5CFA"/>
    <w:rsid w:val="5C9A4ED2"/>
    <w:rsid w:val="5CA066E2"/>
    <w:rsid w:val="5CA853BB"/>
    <w:rsid w:val="5CAA048E"/>
    <w:rsid w:val="5CB04B26"/>
    <w:rsid w:val="5CC2508E"/>
    <w:rsid w:val="5CC6525F"/>
    <w:rsid w:val="5CC81FFA"/>
    <w:rsid w:val="5CC95C81"/>
    <w:rsid w:val="5CCC13C0"/>
    <w:rsid w:val="5CD05197"/>
    <w:rsid w:val="5CD2552C"/>
    <w:rsid w:val="5CD3605E"/>
    <w:rsid w:val="5CEA1BB3"/>
    <w:rsid w:val="5CEB0235"/>
    <w:rsid w:val="5CEF45A9"/>
    <w:rsid w:val="5CFC41B2"/>
    <w:rsid w:val="5D0441E6"/>
    <w:rsid w:val="5D086F45"/>
    <w:rsid w:val="5D0A457F"/>
    <w:rsid w:val="5D162B06"/>
    <w:rsid w:val="5D22018C"/>
    <w:rsid w:val="5D283CD5"/>
    <w:rsid w:val="5D2E6217"/>
    <w:rsid w:val="5D3A346E"/>
    <w:rsid w:val="5D3D258A"/>
    <w:rsid w:val="5D3D69ED"/>
    <w:rsid w:val="5D4208F6"/>
    <w:rsid w:val="5D484C68"/>
    <w:rsid w:val="5D5057CF"/>
    <w:rsid w:val="5D5069A3"/>
    <w:rsid w:val="5D510438"/>
    <w:rsid w:val="5D574BBB"/>
    <w:rsid w:val="5D7C59F0"/>
    <w:rsid w:val="5D8F761C"/>
    <w:rsid w:val="5D9F6C4F"/>
    <w:rsid w:val="5DA36C6E"/>
    <w:rsid w:val="5DA40BF6"/>
    <w:rsid w:val="5DB53958"/>
    <w:rsid w:val="5DB831F1"/>
    <w:rsid w:val="5DBE2293"/>
    <w:rsid w:val="5DC031C7"/>
    <w:rsid w:val="5DC42740"/>
    <w:rsid w:val="5DC6144D"/>
    <w:rsid w:val="5DCC1BA2"/>
    <w:rsid w:val="5DCF2646"/>
    <w:rsid w:val="5DD04D80"/>
    <w:rsid w:val="5DD1273E"/>
    <w:rsid w:val="5DD23992"/>
    <w:rsid w:val="5DD537BC"/>
    <w:rsid w:val="5DDC1EDF"/>
    <w:rsid w:val="5DE47E7C"/>
    <w:rsid w:val="5DED1E3C"/>
    <w:rsid w:val="5DF159A6"/>
    <w:rsid w:val="5E01214C"/>
    <w:rsid w:val="5E1C56C7"/>
    <w:rsid w:val="5E1D1B4E"/>
    <w:rsid w:val="5E1D2120"/>
    <w:rsid w:val="5E1D4E3C"/>
    <w:rsid w:val="5E2427B4"/>
    <w:rsid w:val="5E27069A"/>
    <w:rsid w:val="5E2A4017"/>
    <w:rsid w:val="5E2F2D4A"/>
    <w:rsid w:val="5E347D3F"/>
    <w:rsid w:val="5E3D23BC"/>
    <w:rsid w:val="5E472105"/>
    <w:rsid w:val="5E4A5A51"/>
    <w:rsid w:val="5E4C1E64"/>
    <w:rsid w:val="5E4C4C10"/>
    <w:rsid w:val="5E4D0988"/>
    <w:rsid w:val="5E5B4E53"/>
    <w:rsid w:val="5E63698F"/>
    <w:rsid w:val="5E752EF9"/>
    <w:rsid w:val="5E7D7630"/>
    <w:rsid w:val="5E7F4165"/>
    <w:rsid w:val="5E8813AD"/>
    <w:rsid w:val="5E88724D"/>
    <w:rsid w:val="5E8C0EF7"/>
    <w:rsid w:val="5EA15444"/>
    <w:rsid w:val="5EB34391"/>
    <w:rsid w:val="5EB47F29"/>
    <w:rsid w:val="5EB76270"/>
    <w:rsid w:val="5EBF22C3"/>
    <w:rsid w:val="5EC677DA"/>
    <w:rsid w:val="5ED45D33"/>
    <w:rsid w:val="5ED92027"/>
    <w:rsid w:val="5EE53F70"/>
    <w:rsid w:val="5EE92277"/>
    <w:rsid w:val="5EEB5EAC"/>
    <w:rsid w:val="5EF51E1E"/>
    <w:rsid w:val="5EF7101F"/>
    <w:rsid w:val="5EFF503E"/>
    <w:rsid w:val="5F087C88"/>
    <w:rsid w:val="5F0A72A8"/>
    <w:rsid w:val="5F130392"/>
    <w:rsid w:val="5F13397F"/>
    <w:rsid w:val="5F143F93"/>
    <w:rsid w:val="5F156626"/>
    <w:rsid w:val="5F217E4A"/>
    <w:rsid w:val="5F2814C5"/>
    <w:rsid w:val="5F3662EB"/>
    <w:rsid w:val="5F441B00"/>
    <w:rsid w:val="5F487ACD"/>
    <w:rsid w:val="5F4B322A"/>
    <w:rsid w:val="5F532D75"/>
    <w:rsid w:val="5F556F33"/>
    <w:rsid w:val="5F557F6C"/>
    <w:rsid w:val="5F590AFE"/>
    <w:rsid w:val="5F591EED"/>
    <w:rsid w:val="5F6972FD"/>
    <w:rsid w:val="5F6A26F0"/>
    <w:rsid w:val="5F6E0228"/>
    <w:rsid w:val="5F7C23C8"/>
    <w:rsid w:val="5F7E010D"/>
    <w:rsid w:val="5F881DEC"/>
    <w:rsid w:val="5FA105C8"/>
    <w:rsid w:val="5FA21B8C"/>
    <w:rsid w:val="5FA55FE5"/>
    <w:rsid w:val="5FA852C4"/>
    <w:rsid w:val="5FB03F5A"/>
    <w:rsid w:val="5FB10473"/>
    <w:rsid w:val="5FB12993"/>
    <w:rsid w:val="5FB47E6E"/>
    <w:rsid w:val="5FB962D5"/>
    <w:rsid w:val="5FBC7AF6"/>
    <w:rsid w:val="5FCD523E"/>
    <w:rsid w:val="5FCF3D4A"/>
    <w:rsid w:val="5FD21144"/>
    <w:rsid w:val="5FD36BC0"/>
    <w:rsid w:val="5FD622E3"/>
    <w:rsid w:val="5FE06C43"/>
    <w:rsid w:val="5FE60617"/>
    <w:rsid w:val="5FE66D44"/>
    <w:rsid w:val="5FEF2AB4"/>
    <w:rsid w:val="5FF147CE"/>
    <w:rsid w:val="600E31ED"/>
    <w:rsid w:val="60107A63"/>
    <w:rsid w:val="60137EF7"/>
    <w:rsid w:val="601823AC"/>
    <w:rsid w:val="601825F6"/>
    <w:rsid w:val="6038472C"/>
    <w:rsid w:val="60427936"/>
    <w:rsid w:val="604719D7"/>
    <w:rsid w:val="604F2971"/>
    <w:rsid w:val="605B3F9A"/>
    <w:rsid w:val="60602707"/>
    <w:rsid w:val="606A551E"/>
    <w:rsid w:val="606D317C"/>
    <w:rsid w:val="6072339A"/>
    <w:rsid w:val="60740B96"/>
    <w:rsid w:val="607466A0"/>
    <w:rsid w:val="60875206"/>
    <w:rsid w:val="60881FE9"/>
    <w:rsid w:val="608E4738"/>
    <w:rsid w:val="608F1B31"/>
    <w:rsid w:val="609151FB"/>
    <w:rsid w:val="60967C35"/>
    <w:rsid w:val="609B5F08"/>
    <w:rsid w:val="60AC7B66"/>
    <w:rsid w:val="60B14442"/>
    <w:rsid w:val="60B17065"/>
    <w:rsid w:val="60BA77D7"/>
    <w:rsid w:val="60C025B5"/>
    <w:rsid w:val="60C23BAE"/>
    <w:rsid w:val="60CC028A"/>
    <w:rsid w:val="60CD222B"/>
    <w:rsid w:val="60D21624"/>
    <w:rsid w:val="60DD4245"/>
    <w:rsid w:val="60E53EF7"/>
    <w:rsid w:val="60EB71B9"/>
    <w:rsid w:val="60EF2310"/>
    <w:rsid w:val="60F11A9E"/>
    <w:rsid w:val="60FA358A"/>
    <w:rsid w:val="6105134E"/>
    <w:rsid w:val="610565F9"/>
    <w:rsid w:val="6112728D"/>
    <w:rsid w:val="61131A15"/>
    <w:rsid w:val="61174A84"/>
    <w:rsid w:val="61184007"/>
    <w:rsid w:val="61192629"/>
    <w:rsid w:val="612770EE"/>
    <w:rsid w:val="61316F6A"/>
    <w:rsid w:val="614215EB"/>
    <w:rsid w:val="61427EB8"/>
    <w:rsid w:val="614D27CE"/>
    <w:rsid w:val="615C247C"/>
    <w:rsid w:val="615D673B"/>
    <w:rsid w:val="616B553A"/>
    <w:rsid w:val="61760025"/>
    <w:rsid w:val="61783C9A"/>
    <w:rsid w:val="617A3609"/>
    <w:rsid w:val="61862848"/>
    <w:rsid w:val="618D67E7"/>
    <w:rsid w:val="6194205D"/>
    <w:rsid w:val="619A2CC5"/>
    <w:rsid w:val="619B6549"/>
    <w:rsid w:val="619F1CCA"/>
    <w:rsid w:val="61A03F43"/>
    <w:rsid w:val="61A30EF3"/>
    <w:rsid w:val="61B47F74"/>
    <w:rsid w:val="61B62540"/>
    <w:rsid w:val="61BC1174"/>
    <w:rsid w:val="61BF4DD9"/>
    <w:rsid w:val="61C07EA9"/>
    <w:rsid w:val="61CE3B8D"/>
    <w:rsid w:val="61E348DC"/>
    <w:rsid w:val="61E93B7D"/>
    <w:rsid w:val="61ED34A6"/>
    <w:rsid w:val="61FF4E24"/>
    <w:rsid w:val="620D46B6"/>
    <w:rsid w:val="62135653"/>
    <w:rsid w:val="62196DE1"/>
    <w:rsid w:val="624F5D2F"/>
    <w:rsid w:val="625314A1"/>
    <w:rsid w:val="62536426"/>
    <w:rsid w:val="62606EDB"/>
    <w:rsid w:val="626547AE"/>
    <w:rsid w:val="62665122"/>
    <w:rsid w:val="62704D8B"/>
    <w:rsid w:val="62797205"/>
    <w:rsid w:val="62831DAD"/>
    <w:rsid w:val="628A1441"/>
    <w:rsid w:val="62AA3E21"/>
    <w:rsid w:val="62AB5E16"/>
    <w:rsid w:val="62AE2AAC"/>
    <w:rsid w:val="62B16496"/>
    <w:rsid w:val="62BA6BA1"/>
    <w:rsid w:val="62C01969"/>
    <w:rsid w:val="62C57469"/>
    <w:rsid w:val="62D46F10"/>
    <w:rsid w:val="62E413C1"/>
    <w:rsid w:val="62F15FE1"/>
    <w:rsid w:val="63020128"/>
    <w:rsid w:val="630A71DD"/>
    <w:rsid w:val="63113EF9"/>
    <w:rsid w:val="63234A46"/>
    <w:rsid w:val="63324C59"/>
    <w:rsid w:val="633921EE"/>
    <w:rsid w:val="633C1855"/>
    <w:rsid w:val="633F5973"/>
    <w:rsid w:val="63442381"/>
    <w:rsid w:val="634836E3"/>
    <w:rsid w:val="63492DD9"/>
    <w:rsid w:val="6349397A"/>
    <w:rsid w:val="634A2566"/>
    <w:rsid w:val="6350742C"/>
    <w:rsid w:val="63625D08"/>
    <w:rsid w:val="6365410F"/>
    <w:rsid w:val="636C0FEC"/>
    <w:rsid w:val="636C555A"/>
    <w:rsid w:val="63750F39"/>
    <w:rsid w:val="63775B72"/>
    <w:rsid w:val="63791CC3"/>
    <w:rsid w:val="637F4A15"/>
    <w:rsid w:val="638D55AC"/>
    <w:rsid w:val="638F6C7B"/>
    <w:rsid w:val="6391670C"/>
    <w:rsid w:val="63A84EC6"/>
    <w:rsid w:val="63AA5EAF"/>
    <w:rsid w:val="63AF5A0B"/>
    <w:rsid w:val="63B66A74"/>
    <w:rsid w:val="63C45EE3"/>
    <w:rsid w:val="63CF054E"/>
    <w:rsid w:val="63D80CF3"/>
    <w:rsid w:val="63D850D2"/>
    <w:rsid w:val="63D91A8B"/>
    <w:rsid w:val="63DC4C88"/>
    <w:rsid w:val="63DD5EB4"/>
    <w:rsid w:val="63E34F0E"/>
    <w:rsid w:val="63E6449C"/>
    <w:rsid w:val="63E90255"/>
    <w:rsid w:val="64060E2E"/>
    <w:rsid w:val="640F56D4"/>
    <w:rsid w:val="641174AC"/>
    <w:rsid w:val="64196C93"/>
    <w:rsid w:val="641C77E2"/>
    <w:rsid w:val="64260DA1"/>
    <w:rsid w:val="64302039"/>
    <w:rsid w:val="64307141"/>
    <w:rsid w:val="644D555D"/>
    <w:rsid w:val="645A5484"/>
    <w:rsid w:val="646422D0"/>
    <w:rsid w:val="646577F6"/>
    <w:rsid w:val="64720B91"/>
    <w:rsid w:val="6474555D"/>
    <w:rsid w:val="64747F00"/>
    <w:rsid w:val="6478722C"/>
    <w:rsid w:val="647C1D24"/>
    <w:rsid w:val="647E7E4E"/>
    <w:rsid w:val="648275DD"/>
    <w:rsid w:val="64851F60"/>
    <w:rsid w:val="648B5135"/>
    <w:rsid w:val="648F44BA"/>
    <w:rsid w:val="64941AEE"/>
    <w:rsid w:val="649464C8"/>
    <w:rsid w:val="64A21DAD"/>
    <w:rsid w:val="64A2787B"/>
    <w:rsid w:val="64AE0C73"/>
    <w:rsid w:val="64B1449D"/>
    <w:rsid w:val="64C141D2"/>
    <w:rsid w:val="64C14CAE"/>
    <w:rsid w:val="64C1593A"/>
    <w:rsid w:val="64C27325"/>
    <w:rsid w:val="64C40C12"/>
    <w:rsid w:val="64C7398F"/>
    <w:rsid w:val="64D23B24"/>
    <w:rsid w:val="64D7688B"/>
    <w:rsid w:val="64EB617D"/>
    <w:rsid w:val="64FE54CA"/>
    <w:rsid w:val="650D4497"/>
    <w:rsid w:val="65143D44"/>
    <w:rsid w:val="651B15B0"/>
    <w:rsid w:val="6527143B"/>
    <w:rsid w:val="652877C0"/>
    <w:rsid w:val="652D6818"/>
    <w:rsid w:val="652E506F"/>
    <w:rsid w:val="65301A6D"/>
    <w:rsid w:val="6544019C"/>
    <w:rsid w:val="655645C6"/>
    <w:rsid w:val="655A20AF"/>
    <w:rsid w:val="655A6F7A"/>
    <w:rsid w:val="65651F67"/>
    <w:rsid w:val="65675C55"/>
    <w:rsid w:val="658610D4"/>
    <w:rsid w:val="65907900"/>
    <w:rsid w:val="65914FDE"/>
    <w:rsid w:val="65925828"/>
    <w:rsid w:val="65933E63"/>
    <w:rsid w:val="659F7753"/>
    <w:rsid w:val="65A675CA"/>
    <w:rsid w:val="65AB4897"/>
    <w:rsid w:val="65AB6101"/>
    <w:rsid w:val="65C634F9"/>
    <w:rsid w:val="65CB4B09"/>
    <w:rsid w:val="65CF1799"/>
    <w:rsid w:val="65DB5194"/>
    <w:rsid w:val="65DD1D68"/>
    <w:rsid w:val="65E410E6"/>
    <w:rsid w:val="65EA789D"/>
    <w:rsid w:val="65F71905"/>
    <w:rsid w:val="65FF475C"/>
    <w:rsid w:val="66032739"/>
    <w:rsid w:val="660A2AA0"/>
    <w:rsid w:val="660B416D"/>
    <w:rsid w:val="660C44A3"/>
    <w:rsid w:val="66113227"/>
    <w:rsid w:val="66113B1F"/>
    <w:rsid w:val="661216AA"/>
    <w:rsid w:val="6615651C"/>
    <w:rsid w:val="661E0D7A"/>
    <w:rsid w:val="66221F62"/>
    <w:rsid w:val="662A1DAF"/>
    <w:rsid w:val="663F7CD5"/>
    <w:rsid w:val="6646530B"/>
    <w:rsid w:val="664E57C2"/>
    <w:rsid w:val="6659717E"/>
    <w:rsid w:val="665B69E6"/>
    <w:rsid w:val="666C09E6"/>
    <w:rsid w:val="66733313"/>
    <w:rsid w:val="66756614"/>
    <w:rsid w:val="66772A46"/>
    <w:rsid w:val="6678468A"/>
    <w:rsid w:val="667F18FA"/>
    <w:rsid w:val="66846F11"/>
    <w:rsid w:val="6697175E"/>
    <w:rsid w:val="66C10466"/>
    <w:rsid w:val="66CE6A4F"/>
    <w:rsid w:val="66D5657A"/>
    <w:rsid w:val="66E20AA0"/>
    <w:rsid w:val="66E75E1D"/>
    <w:rsid w:val="66E93F74"/>
    <w:rsid w:val="66F4471C"/>
    <w:rsid w:val="66F9345B"/>
    <w:rsid w:val="66FC6388"/>
    <w:rsid w:val="66FD647B"/>
    <w:rsid w:val="67071910"/>
    <w:rsid w:val="67142AD1"/>
    <w:rsid w:val="67146282"/>
    <w:rsid w:val="67155DB6"/>
    <w:rsid w:val="671F5533"/>
    <w:rsid w:val="67251B3E"/>
    <w:rsid w:val="67296320"/>
    <w:rsid w:val="673B67CA"/>
    <w:rsid w:val="674A4AB7"/>
    <w:rsid w:val="674E2737"/>
    <w:rsid w:val="67586B38"/>
    <w:rsid w:val="67630307"/>
    <w:rsid w:val="676964B8"/>
    <w:rsid w:val="67725F96"/>
    <w:rsid w:val="677C45CD"/>
    <w:rsid w:val="67993AE4"/>
    <w:rsid w:val="67A36C5B"/>
    <w:rsid w:val="67A54FFB"/>
    <w:rsid w:val="67AC52C2"/>
    <w:rsid w:val="67B0281E"/>
    <w:rsid w:val="67B94B53"/>
    <w:rsid w:val="67C362FC"/>
    <w:rsid w:val="67C82D03"/>
    <w:rsid w:val="67C9453B"/>
    <w:rsid w:val="67D930A6"/>
    <w:rsid w:val="67DF2C3C"/>
    <w:rsid w:val="67E25149"/>
    <w:rsid w:val="67E72B1F"/>
    <w:rsid w:val="67E81911"/>
    <w:rsid w:val="67FF7460"/>
    <w:rsid w:val="681028AD"/>
    <w:rsid w:val="68185E08"/>
    <w:rsid w:val="6828719B"/>
    <w:rsid w:val="683E3B05"/>
    <w:rsid w:val="6844533A"/>
    <w:rsid w:val="68466B73"/>
    <w:rsid w:val="685E210F"/>
    <w:rsid w:val="685E24D5"/>
    <w:rsid w:val="68614A5B"/>
    <w:rsid w:val="68745D7A"/>
    <w:rsid w:val="68757C31"/>
    <w:rsid w:val="68763826"/>
    <w:rsid w:val="68783ACE"/>
    <w:rsid w:val="687C4343"/>
    <w:rsid w:val="688139AF"/>
    <w:rsid w:val="688708E3"/>
    <w:rsid w:val="68890636"/>
    <w:rsid w:val="68895A6B"/>
    <w:rsid w:val="68922A43"/>
    <w:rsid w:val="689332F8"/>
    <w:rsid w:val="689A7798"/>
    <w:rsid w:val="68AD0565"/>
    <w:rsid w:val="68B447DD"/>
    <w:rsid w:val="68B82C6B"/>
    <w:rsid w:val="68C100A1"/>
    <w:rsid w:val="68C507ED"/>
    <w:rsid w:val="68C56646"/>
    <w:rsid w:val="68C70907"/>
    <w:rsid w:val="68E53790"/>
    <w:rsid w:val="68E70CB0"/>
    <w:rsid w:val="68E945E3"/>
    <w:rsid w:val="68EE35C4"/>
    <w:rsid w:val="68EE7A0C"/>
    <w:rsid w:val="68F265E7"/>
    <w:rsid w:val="68FE2FAA"/>
    <w:rsid w:val="691705A6"/>
    <w:rsid w:val="6919795E"/>
    <w:rsid w:val="69220E6D"/>
    <w:rsid w:val="69292E9A"/>
    <w:rsid w:val="692A1746"/>
    <w:rsid w:val="692B3CF4"/>
    <w:rsid w:val="693B7EF2"/>
    <w:rsid w:val="693D3CA2"/>
    <w:rsid w:val="693E3607"/>
    <w:rsid w:val="6949531F"/>
    <w:rsid w:val="69577D1C"/>
    <w:rsid w:val="69582CA2"/>
    <w:rsid w:val="69614EC7"/>
    <w:rsid w:val="69623441"/>
    <w:rsid w:val="696A5862"/>
    <w:rsid w:val="6975630E"/>
    <w:rsid w:val="69813A94"/>
    <w:rsid w:val="69847C50"/>
    <w:rsid w:val="69852464"/>
    <w:rsid w:val="69865063"/>
    <w:rsid w:val="69883F8F"/>
    <w:rsid w:val="699636C1"/>
    <w:rsid w:val="6998387F"/>
    <w:rsid w:val="6999512C"/>
    <w:rsid w:val="699D4AD5"/>
    <w:rsid w:val="69AA7AC6"/>
    <w:rsid w:val="69AC2316"/>
    <w:rsid w:val="69B31FE7"/>
    <w:rsid w:val="69B8400E"/>
    <w:rsid w:val="69BC5E8B"/>
    <w:rsid w:val="69BF7D6D"/>
    <w:rsid w:val="69D45B73"/>
    <w:rsid w:val="69E15C40"/>
    <w:rsid w:val="69E752E2"/>
    <w:rsid w:val="69F03FC1"/>
    <w:rsid w:val="69F16E45"/>
    <w:rsid w:val="69FA563E"/>
    <w:rsid w:val="69FB0A34"/>
    <w:rsid w:val="69FE18AE"/>
    <w:rsid w:val="6A066C4A"/>
    <w:rsid w:val="6A0F28E6"/>
    <w:rsid w:val="6A187411"/>
    <w:rsid w:val="6A1B3BFF"/>
    <w:rsid w:val="6A1D7F86"/>
    <w:rsid w:val="6A2353BE"/>
    <w:rsid w:val="6A242733"/>
    <w:rsid w:val="6A2C1AA1"/>
    <w:rsid w:val="6A2D5FEC"/>
    <w:rsid w:val="6A333127"/>
    <w:rsid w:val="6A3363DA"/>
    <w:rsid w:val="6A405365"/>
    <w:rsid w:val="6A406D6F"/>
    <w:rsid w:val="6A424F36"/>
    <w:rsid w:val="6A44113A"/>
    <w:rsid w:val="6A4E3630"/>
    <w:rsid w:val="6A5437CA"/>
    <w:rsid w:val="6A576555"/>
    <w:rsid w:val="6A6A5B03"/>
    <w:rsid w:val="6A75729C"/>
    <w:rsid w:val="6A7A0307"/>
    <w:rsid w:val="6A800DA0"/>
    <w:rsid w:val="6A85018B"/>
    <w:rsid w:val="6A8E34EA"/>
    <w:rsid w:val="6A9260A0"/>
    <w:rsid w:val="6A965AC7"/>
    <w:rsid w:val="6AA51915"/>
    <w:rsid w:val="6AA53E33"/>
    <w:rsid w:val="6AA675D8"/>
    <w:rsid w:val="6AAA4522"/>
    <w:rsid w:val="6AAC6A84"/>
    <w:rsid w:val="6AB04778"/>
    <w:rsid w:val="6AB21D70"/>
    <w:rsid w:val="6AB609BA"/>
    <w:rsid w:val="6AB712C6"/>
    <w:rsid w:val="6ABA4E13"/>
    <w:rsid w:val="6AC0155F"/>
    <w:rsid w:val="6ACD525D"/>
    <w:rsid w:val="6ACF6FBC"/>
    <w:rsid w:val="6AD04D3A"/>
    <w:rsid w:val="6AD5622B"/>
    <w:rsid w:val="6AE144D8"/>
    <w:rsid w:val="6AE246BC"/>
    <w:rsid w:val="6AF40E2B"/>
    <w:rsid w:val="6AF55884"/>
    <w:rsid w:val="6B0062F1"/>
    <w:rsid w:val="6B074014"/>
    <w:rsid w:val="6B093B96"/>
    <w:rsid w:val="6B0A35C0"/>
    <w:rsid w:val="6B0F53AB"/>
    <w:rsid w:val="6B1C0707"/>
    <w:rsid w:val="6B1C748A"/>
    <w:rsid w:val="6B1F4553"/>
    <w:rsid w:val="6B234487"/>
    <w:rsid w:val="6B2C45E3"/>
    <w:rsid w:val="6B2D213B"/>
    <w:rsid w:val="6B2D4105"/>
    <w:rsid w:val="6B2E5C5C"/>
    <w:rsid w:val="6B3727A3"/>
    <w:rsid w:val="6B3951C0"/>
    <w:rsid w:val="6B3A0700"/>
    <w:rsid w:val="6B3C2B79"/>
    <w:rsid w:val="6B457330"/>
    <w:rsid w:val="6B4A5613"/>
    <w:rsid w:val="6B4A76DB"/>
    <w:rsid w:val="6B4F6C1A"/>
    <w:rsid w:val="6B524F8D"/>
    <w:rsid w:val="6B533A81"/>
    <w:rsid w:val="6B6325B2"/>
    <w:rsid w:val="6B636EB8"/>
    <w:rsid w:val="6B6B6E61"/>
    <w:rsid w:val="6B75532F"/>
    <w:rsid w:val="6B806768"/>
    <w:rsid w:val="6B806915"/>
    <w:rsid w:val="6B9820B2"/>
    <w:rsid w:val="6BA2165B"/>
    <w:rsid w:val="6BA53001"/>
    <w:rsid w:val="6BA76443"/>
    <w:rsid w:val="6BA90D4B"/>
    <w:rsid w:val="6BA94E3B"/>
    <w:rsid w:val="6BAD4940"/>
    <w:rsid w:val="6BB437D8"/>
    <w:rsid w:val="6BC428E4"/>
    <w:rsid w:val="6BC518B7"/>
    <w:rsid w:val="6BCE6CB5"/>
    <w:rsid w:val="6BD912D9"/>
    <w:rsid w:val="6BE15BFB"/>
    <w:rsid w:val="6BE64BDE"/>
    <w:rsid w:val="6BEC17E0"/>
    <w:rsid w:val="6BEC4622"/>
    <w:rsid w:val="6BF16DF6"/>
    <w:rsid w:val="6BF44D68"/>
    <w:rsid w:val="6BF56082"/>
    <w:rsid w:val="6BFD3396"/>
    <w:rsid w:val="6BFE241A"/>
    <w:rsid w:val="6BFF2C3D"/>
    <w:rsid w:val="6C0651DA"/>
    <w:rsid w:val="6C066D46"/>
    <w:rsid w:val="6C0841AF"/>
    <w:rsid w:val="6C111246"/>
    <w:rsid w:val="6C1503DA"/>
    <w:rsid w:val="6C270A6A"/>
    <w:rsid w:val="6C2D0006"/>
    <w:rsid w:val="6C2F0285"/>
    <w:rsid w:val="6C456249"/>
    <w:rsid w:val="6C53360D"/>
    <w:rsid w:val="6C740278"/>
    <w:rsid w:val="6C7C6EBB"/>
    <w:rsid w:val="6C830396"/>
    <w:rsid w:val="6C83516B"/>
    <w:rsid w:val="6C8B3985"/>
    <w:rsid w:val="6C9070DD"/>
    <w:rsid w:val="6C947A3E"/>
    <w:rsid w:val="6CA31FE4"/>
    <w:rsid w:val="6CA5001B"/>
    <w:rsid w:val="6CA62A89"/>
    <w:rsid w:val="6CB8420F"/>
    <w:rsid w:val="6CBD7344"/>
    <w:rsid w:val="6CBE2B63"/>
    <w:rsid w:val="6CC70577"/>
    <w:rsid w:val="6CC938CF"/>
    <w:rsid w:val="6CD36118"/>
    <w:rsid w:val="6CD63E85"/>
    <w:rsid w:val="6CDD6BCD"/>
    <w:rsid w:val="6CE13ADD"/>
    <w:rsid w:val="6CE50439"/>
    <w:rsid w:val="6CE6585A"/>
    <w:rsid w:val="6CF66EFC"/>
    <w:rsid w:val="6CFE375E"/>
    <w:rsid w:val="6CFF1520"/>
    <w:rsid w:val="6D0020A2"/>
    <w:rsid w:val="6D0973A5"/>
    <w:rsid w:val="6D0E29E2"/>
    <w:rsid w:val="6D10380E"/>
    <w:rsid w:val="6D1C6600"/>
    <w:rsid w:val="6D1D3696"/>
    <w:rsid w:val="6D2B0F02"/>
    <w:rsid w:val="6D3225DB"/>
    <w:rsid w:val="6D335185"/>
    <w:rsid w:val="6D395176"/>
    <w:rsid w:val="6D4844F6"/>
    <w:rsid w:val="6D6303D9"/>
    <w:rsid w:val="6D653565"/>
    <w:rsid w:val="6D69698D"/>
    <w:rsid w:val="6D83105A"/>
    <w:rsid w:val="6D84476F"/>
    <w:rsid w:val="6D8C41DE"/>
    <w:rsid w:val="6D8E4225"/>
    <w:rsid w:val="6D8E720B"/>
    <w:rsid w:val="6D922CB2"/>
    <w:rsid w:val="6D953770"/>
    <w:rsid w:val="6D976EF3"/>
    <w:rsid w:val="6D9F3E14"/>
    <w:rsid w:val="6DA206CC"/>
    <w:rsid w:val="6DAC4971"/>
    <w:rsid w:val="6DB17879"/>
    <w:rsid w:val="6DD11F86"/>
    <w:rsid w:val="6DD230A6"/>
    <w:rsid w:val="6DD726D2"/>
    <w:rsid w:val="6DD90392"/>
    <w:rsid w:val="6DD95AE1"/>
    <w:rsid w:val="6DDE0FF0"/>
    <w:rsid w:val="6DEE320C"/>
    <w:rsid w:val="6DEF7365"/>
    <w:rsid w:val="6DF47BBB"/>
    <w:rsid w:val="6DF66946"/>
    <w:rsid w:val="6DFB0974"/>
    <w:rsid w:val="6DFB5F08"/>
    <w:rsid w:val="6DFF19CC"/>
    <w:rsid w:val="6E086724"/>
    <w:rsid w:val="6E1528F3"/>
    <w:rsid w:val="6E162B44"/>
    <w:rsid w:val="6E235E6C"/>
    <w:rsid w:val="6E25680D"/>
    <w:rsid w:val="6E2A38BB"/>
    <w:rsid w:val="6E2F622C"/>
    <w:rsid w:val="6E384C50"/>
    <w:rsid w:val="6E3A4613"/>
    <w:rsid w:val="6E3B25AB"/>
    <w:rsid w:val="6E3C3C8E"/>
    <w:rsid w:val="6E4C47B8"/>
    <w:rsid w:val="6E5E7306"/>
    <w:rsid w:val="6E64426E"/>
    <w:rsid w:val="6E66546E"/>
    <w:rsid w:val="6E692FB3"/>
    <w:rsid w:val="6E7837FF"/>
    <w:rsid w:val="6E9056C6"/>
    <w:rsid w:val="6E944EBF"/>
    <w:rsid w:val="6EA01C8E"/>
    <w:rsid w:val="6EA133EF"/>
    <w:rsid w:val="6EA3717F"/>
    <w:rsid w:val="6EA6211A"/>
    <w:rsid w:val="6EB360C5"/>
    <w:rsid w:val="6EB91922"/>
    <w:rsid w:val="6EBB5ED2"/>
    <w:rsid w:val="6EBC50B8"/>
    <w:rsid w:val="6ED65E9A"/>
    <w:rsid w:val="6EE169A3"/>
    <w:rsid w:val="6EF958F1"/>
    <w:rsid w:val="6F015B8D"/>
    <w:rsid w:val="6F10699D"/>
    <w:rsid w:val="6F167501"/>
    <w:rsid w:val="6F1D29D0"/>
    <w:rsid w:val="6F1E43A6"/>
    <w:rsid w:val="6F270FDA"/>
    <w:rsid w:val="6F271F62"/>
    <w:rsid w:val="6F2B1397"/>
    <w:rsid w:val="6F2B55D1"/>
    <w:rsid w:val="6F326438"/>
    <w:rsid w:val="6F337DC7"/>
    <w:rsid w:val="6F346D9E"/>
    <w:rsid w:val="6F392F8E"/>
    <w:rsid w:val="6F3C4656"/>
    <w:rsid w:val="6F450F8E"/>
    <w:rsid w:val="6F463E6D"/>
    <w:rsid w:val="6F4F36AE"/>
    <w:rsid w:val="6F561FA5"/>
    <w:rsid w:val="6F5D60B9"/>
    <w:rsid w:val="6F625C93"/>
    <w:rsid w:val="6F631DB9"/>
    <w:rsid w:val="6F6E6D2D"/>
    <w:rsid w:val="6F721233"/>
    <w:rsid w:val="6F737657"/>
    <w:rsid w:val="6F795323"/>
    <w:rsid w:val="6F7E3D5D"/>
    <w:rsid w:val="6F813FC9"/>
    <w:rsid w:val="6F8B673B"/>
    <w:rsid w:val="6F922A75"/>
    <w:rsid w:val="6F9C3BDD"/>
    <w:rsid w:val="6F9D3D5F"/>
    <w:rsid w:val="6FAF6DBD"/>
    <w:rsid w:val="6FB02BAB"/>
    <w:rsid w:val="6FBF2A5D"/>
    <w:rsid w:val="6FC25E4A"/>
    <w:rsid w:val="6FC637F8"/>
    <w:rsid w:val="6FD02E60"/>
    <w:rsid w:val="6FD72CCE"/>
    <w:rsid w:val="6FDD1909"/>
    <w:rsid w:val="6FE32EFA"/>
    <w:rsid w:val="6FE77B44"/>
    <w:rsid w:val="6FE96150"/>
    <w:rsid w:val="6FF227AE"/>
    <w:rsid w:val="6FF62C2D"/>
    <w:rsid w:val="6FFA2EEA"/>
    <w:rsid w:val="6FFB5D62"/>
    <w:rsid w:val="70055FB9"/>
    <w:rsid w:val="70082C61"/>
    <w:rsid w:val="700A66D9"/>
    <w:rsid w:val="701F4FF2"/>
    <w:rsid w:val="702459EC"/>
    <w:rsid w:val="702501BF"/>
    <w:rsid w:val="70292E75"/>
    <w:rsid w:val="702F37EA"/>
    <w:rsid w:val="703774B4"/>
    <w:rsid w:val="70396D45"/>
    <w:rsid w:val="703B0F88"/>
    <w:rsid w:val="703C6965"/>
    <w:rsid w:val="70480676"/>
    <w:rsid w:val="70506CBA"/>
    <w:rsid w:val="70510F12"/>
    <w:rsid w:val="705A7660"/>
    <w:rsid w:val="706C4AA7"/>
    <w:rsid w:val="706F1D66"/>
    <w:rsid w:val="70765B1C"/>
    <w:rsid w:val="707A3C49"/>
    <w:rsid w:val="707D6EAA"/>
    <w:rsid w:val="707F0E75"/>
    <w:rsid w:val="708A6AA8"/>
    <w:rsid w:val="70922112"/>
    <w:rsid w:val="70985E4C"/>
    <w:rsid w:val="709D2EAA"/>
    <w:rsid w:val="70A83EE6"/>
    <w:rsid w:val="70AD212D"/>
    <w:rsid w:val="70B566F6"/>
    <w:rsid w:val="70C32899"/>
    <w:rsid w:val="70C571FE"/>
    <w:rsid w:val="70C60F8B"/>
    <w:rsid w:val="70CA33FE"/>
    <w:rsid w:val="70CA70AD"/>
    <w:rsid w:val="70CB5D91"/>
    <w:rsid w:val="70D37433"/>
    <w:rsid w:val="70DE214E"/>
    <w:rsid w:val="70DE32F2"/>
    <w:rsid w:val="70E11CC1"/>
    <w:rsid w:val="70E2012F"/>
    <w:rsid w:val="70E67AEE"/>
    <w:rsid w:val="70E80DCA"/>
    <w:rsid w:val="70F03426"/>
    <w:rsid w:val="70F65CEB"/>
    <w:rsid w:val="7100686B"/>
    <w:rsid w:val="71007627"/>
    <w:rsid w:val="71033AE0"/>
    <w:rsid w:val="71051A59"/>
    <w:rsid w:val="7108617E"/>
    <w:rsid w:val="711B3313"/>
    <w:rsid w:val="7122572F"/>
    <w:rsid w:val="71232B5C"/>
    <w:rsid w:val="71243B3C"/>
    <w:rsid w:val="712938C7"/>
    <w:rsid w:val="7134597F"/>
    <w:rsid w:val="7137192A"/>
    <w:rsid w:val="713D048A"/>
    <w:rsid w:val="713D0DCB"/>
    <w:rsid w:val="71477AB6"/>
    <w:rsid w:val="7148708A"/>
    <w:rsid w:val="714929EC"/>
    <w:rsid w:val="71554626"/>
    <w:rsid w:val="7159714B"/>
    <w:rsid w:val="71601542"/>
    <w:rsid w:val="717540AE"/>
    <w:rsid w:val="718062CA"/>
    <w:rsid w:val="71885501"/>
    <w:rsid w:val="718F79D2"/>
    <w:rsid w:val="71956476"/>
    <w:rsid w:val="719F1D68"/>
    <w:rsid w:val="71A96FAF"/>
    <w:rsid w:val="71AD7C63"/>
    <w:rsid w:val="71B049C3"/>
    <w:rsid w:val="71B765E7"/>
    <w:rsid w:val="71BD4205"/>
    <w:rsid w:val="71CF3736"/>
    <w:rsid w:val="71D33ABB"/>
    <w:rsid w:val="71D71157"/>
    <w:rsid w:val="71E75B48"/>
    <w:rsid w:val="7205386D"/>
    <w:rsid w:val="721550E1"/>
    <w:rsid w:val="72160961"/>
    <w:rsid w:val="721C6EBC"/>
    <w:rsid w:val="7232043E"/>
    <w:rsid w:val="7232300E"/>
    <w:rsid w:val="7234420D"/>
    <w:rsid w:val="723745EB"/>
    <w:rsid w:val="72453E73"/>
    <w:rsid w:val="7250777C"/>
    <w:rsid w:val="72523909"/>
    <w:rsid w:val="7256391D"/>
    <w:rsid w:val="72624F7E"/>
    <w:rsid w:val="72643A65"/>
    <w:rsid w:val="72764218"/>
    <w:rsid w:val="72786EF5"/>
    <w:rsid w:val="7286291F"/>
    <w:rsid w:val="72897D89"/>
    <w:rsid w:val="728A2FD0"/>
    <w:rsid w:val="728B51D7"/>
    <w:rsid w:val="728C30F1"/>
    <w:rsid w:val="728F2290"/>
    <w:rsid w:val="729519E3"/>
    <w:rsid w:val="729F4A1B"/>
    <w:rsid w:val="72A4723B"/>
    <w:rsid w:val="72A526E9"/>
    <w:rsid w:val="72AB0261"/>
    <w:rsid w:val="72AF1C9F"/>
    <w:rsid w:val="72B75F62"/>
    <w:rsid w:val="72BD366F"/>
    <w:rsid w:val="72C772B3"/>
    <w:rsid w:val="72CA264F"/>
    <w:rsid w:val="72CC32DA"/>
    <w:rsid w:val="72CC6AB7"/>
    <w:rsid w:val="72D33E4B"/>
    <w:rsid w:val="72D60AF4"/>
    <w:rsid w:val="72DD6BEA"/>
    <w:rsid w:val="72E27923"/>
    <w:rsid w:val="72E46BCC"/>
    <w:rsid w:val="72E664CF"/>
    <w:rsid w:val="72E9383C"/>
    <w:rsid w:val="72EA4BC1"/>
    <w:rsid w:val="72EB0795"/>
    <w:rsid w:val="72EF1210"/>
    <w:rsid w:val="72EF4B73"/>
    <w:rsid w:val="72F01BB6"/>
    <w:rsid w:val="72F01D9C"/>
    <w:rsid w:val="72F77B91"/>
    <w:rsid w:val="73041383"/>
    <w:rsid w:val="7304769C"/>
    <w:rsid w:val="730729A7"/>
    <w:rsid w:val="7310578F"/>
    <w:rsid w:val="7311106C"/>
    <w:rsid w:val="73192BE4"/>
    <w:rsid w:val="731C35D9"/>
    <w:rsid w:val="731E07BF"/>
    <w:rsid w:val="731F4362"/>
    <w:rsid w:val="73223D39"/>
    <w:rsid w:val="732F69E9"/>
    <w:rsid w:val="73343940"/>
    <w:rsid w:val="7338428B"/>
    <w:rsid w:val="73413DB6"/>
    <w:rsid w:val="73504D4A"/>
    <w:rsid w:val="735E399C"/>
    <w:rsid w:val="736D3B07"/>
    <w:rsid w:val="738D5656"/>
    <w:rsid w:val="73935D80"/>
    <w:rsid w:val="739B3740"/>
    <w:rsid w:val="739C3A16"/>
    <w:rsid w:val="739D47D6"/>
    <w:rsid w:val="739E5A9F"/>
    <w:rsid w:val="73A958D5"/>
    <w:rsid w:val="73B426E2"/>
    <w:rsid w:val="73BE68C7"/>
    <w:rsid w:val="73CF3731"/>
    <w:rsid w:val="73DF2180"/>
    <w:rsid w:val="73E346D9"/>
    <w:rsid w:val="73E4368C"/>
    <w:rsid w:val="73F136E7"/>
    <w:rsid w:val="73F14D3F"/>
    <w:rsid w:val="73F82909"/>
    <w:rsid w:val="73FB198B"/>
    <w:rsid w:val="73FD0D20"/>
    <w:rsid w:val="73FE5B68"/>
    <w:rsid w:val="740274B7"/>
    <w:rsid w:val="740C585E"/>
    <w:rsid w:val="740C6A95"/>
    <w:rsid w:val="741110E4"/>
    <w:rsid w:val="7414694F"/>
    <w:rsid w:val="74151258"/>
    <w:rsid w:val="74180B27"/>
    <w:rsid w:val="741A5C2D"/>
    <w:rsid w:val="741D1307"/>
    <w:rsid w:val="74252DF5"/>
    <w:rsid w:val="742D20B1"/>
    <w:rsid w:val="74323535"/>
    <w:rsid w:val="74392EB2"/>
    <w:rsid w:val="744331E5"/>
    <w:rsid w:val="744523D5"/>
    <w:rsid w:val="74494F35"/>
    <w:rsid w:val="744E128A"/>
    <w:rsid w:val="74551C8A"/>
    <w:rsid w:val="74601B3F"/>
    <w:rsid w:val="7469176F"/>
    <w:rsid w:val="74720F26"/>
    <w:rsid w:val="74725D20"/>
    <w:rsid w:val="7472785C"/>
    <w:rsid w:val="74761E2D"/>
    <w:rsid w:val="747745CC"/>
    <w:rsid w:val="74792DAA"/>
    <w:rsid w:val="747C2511"/>
    <w:rsid w:val="748357C2"/>
    <w:rsid w:val="74881C7C"/>
    <w:rsid w:val="748968C4"/>
    <w:rsid w:val="748A0878"/>
    <w:rsid w:val="748B755C"/>
    <w:rsid w:val="7491127E"/>
    <w:rsid w:val="749448CF"/>
    <w:rsid w:val="749647FF"/>
    <w:rsid w:val="74964E61"/>
    <w:rsid w:val="74A000A5"/>
    <w:rsid w:val="74A30DC0"/>
    <w:rsid w:val="74AA2FD6"/>
    <w:rsid w:val="74AA40E6"/>
    <w:rsid w:val="74AB182F"/>
    <w:rsid w:val="74B32EAA"/>
    <w:rsid w:val="74B86E6E"/>
    <w:rsid w:val="74B87267"/>
    <w:rsid w:val="74B97410"/>
    <w:rsid w:val="74C22113"/>
    <w:rsid w:val="74C74455"/>
    <w:rsid w:val="74C82B5E"/>
    <w:rsid w:val="74CD105A"/>
    <w:rsid w:val="74CE0F93"/>
    <w:rsid w:val="74CF40A6"/>
    <w:rsid w:val="74D17287"/>
    <w:rsid w:val="74D75403"/>
    <w:rsid w:val="74DB6AD2"/>
    <w:rsid w:val="74E57CBB"/>
    <w:rsid w:val="74E667A8"/>
    <w:rsid w:val="74E86450"/>
    <w:rsid w:val="74E912A8"/>
    <w:rsid w:val="74F1789A"/>
    <w:rsid w:val="74F737BC"/>
    <w:rsid w:val="74F75707"/>
    <w:rsid w:val="74F90BF2"/>
    <w:rsid w:val="7504796A"/>
    <w:rsid w:val="75094540"/>
    <w:rsid w:val="750B5F50"/>
    <w:rsid w:val="750F1C1A"/>
    <w:rsid w:val="75220020"/>
    <w:rsid w:val="753E5BAE"/>
    <w:rsid w:val="754A7B14"/>
    <w:rsid w:val="754E52B9"/>
    <w:rsid w:val="75520D13"/>
    <w:rsid w:val="757721CB"/>
    <w:rsid w:val="75805669"/>
    <w:rsid w:val="7583021F"/>
    <w:rsid w:val="75834AF7"/>
    <w:rsid w:val="75847030"/>
    <w:rsid w:val="758739F0"/>
    <w:rsid w:val="758F74BD"/>
    <w:rsid w:val="75957C9B"/>
    <w:rsid w:val="759E6DD1"/>
    <w:rsid w:val="75A44C93"/>
    <w:rsid w:val="75AB2697"/>
    <w:rsid w:val="75AD1FE0"/>
    <w:rsid w:val="75AE28DF"/>
    <w:rsid w:val="75B428E3"/>
    <w:rsid w:val="75B73A43"/>
    <w:rsid w:val="75BA542E"/>
    <w:rsid w:val="75BD2CCE"/>
    <w:rsid w:val="75C007BF"/>
    <w:rsid w:val="75C06086"/>
    <w:rsid w:val="75C80BC8"/>
    <w:rsid w:val="75DE0CB8"/>
    <w:rsid w:val="75DF4166"/>
    <w:rsid w:val="75E01211"/>
    <w:rsid w:val="75E60321"/>
    <w:rsid w:val="75EB0D5A"/>
    <w:rsid w:val="75ED7219"/>
    <w:rsid w:val="75EE1E38"/>
    <w:rsid w:val="75EE35B4"/>
    <w:rsid w:val="75F37323"/>
    <w:rsid w:val="75F96342"/>
    <w:rsid w:val="76016322"/>
    <w:rsid w:val="76064F34"/>
    <w:rsid w:val="760805C2"/>
    <w:rsid w:val="760F6032"/>
    <w:rsid w:val="761C2D54"/>
    <w:rsid w:val="76221D83"/>
    <w:rsid w:val="762A17DE"/>
    <w:rsid w:val="762A35E9"/>
    <w:rsid w:val="762D70E5"/>
    <w:rsid w:val="762E7C24"/>
    <w:rsid w:val="763636BD"/>
    <w:rsid w:val="76377BFF"/>
    <w:rsid w:val="764D3A3D"/>
    <w:rsid w:val="76555049"/>
    <w:rsid w:val="7658507C"/>
    <w:rsid w:val="76627A65"/>
    <w:rsid w:val="766D7CD8"/>
    <w:rsid w:val="76740D50"/>
    <w:rsid w:val="767B3F52"/>
    <w:rsid w:val="767D4CD8"/>
    <w:rsid w:val="767F3DC0"/>
    <w:rsid w:val="76864DE9"/>
    <w:rsid w:val="76926DE7"/>
    <w:rsid w:val="769913BF"/>
    <w:rsid w:val="76A373F0"/>
    <w:rsid w:val="76A9202F"/>
    <w:rsid w:val="76AF4713"/>
    <w:rsid w:val="76D1785B"/>
    <w:rsid w:val="76D54004"/>
    <w:rsid w:val="76D7108B"/>
    <w:rsid w:val="76E45398"/>
    <w:rsid w:val="76E539FB"/>
    <w:rsid w:val="76E94496"/>
    <w:rsid w:val="76F20CBD"/>
    <w:rsid w:val="76F737F3"/>
    <w:rsid w:val="76F9062A"/>
    <w:rsid w:val="76FB4FCD"/>
    <w:rsid w:val="77025E6B"/>
    <w:rsid w:val="77112674"/>
    <w:rsid w:val="77177644"/>
    <w:rsid w:val="77197F14"/>
    <w:rsid w:val="77237533"/>
    <w:rsid w:val="772B321B"/>
    <w:rsid w:val="773A180E"/>
    <w:rsid w:val="7757406A"/>
    <w:rsid w:val="776834D0"/>
    <w:rsid w:val="776D790C"/>
    <w:rsid w:val="7770259E"/>
    <w:rsid w:val="777270A8"/>
    <w:rsid w:val="77727D8C"/>
    <w:rsid w:val="777A0EDA"/>
    <w:rsid w:val="777A1FEA"/>
    <w:rsid w:val="777D7FBA"/>
    <w:rsid w:val="77983E37"/>
    <w:rsid w:val="779B5F59"/>
    <w:rsid w:val="779C5E72"/>
    <w:rsid w:val="77AB379F"/>
    <w:rsid w:val="77B43AFA"/>
    <w:rsid w:val="77B50AD7"/>
    <w:rsid w:val="77B703A9"/>
    <w:rsid w:val="77BA50C0"/>
    <w:rsid w:val="77BC6F8C"/>
    <w:rsid w:val="77BE1482"/>
    <w:rsid w:val="77C22F08"/>
    <w:rsid w:val="77D31609"/>
    <w:rsid w:val="77D94BD2"/>
    <w:rsid w:val="77DE1622"/>
    <w:rsid w:val="77E06D2C"/>
    <w:rsid w:val="77E6269A"/>
    <w:rsid w:val="77E90825"/>
    <w:rsid w:val="77EA2FCB"/>
    <w:rsid w:val="77EB63C4"/>
    <w:rsid w:val="77F8736F"/>
    <w:rsid w:val="780103C1"/>
    <w:rsid w:val="78024AAB"/>
    <w:rsid w:val="780454CF"/>
    <w:rsid w:val="780C1817"/>
    <w:rsid w:val="780E5EE6"/>
    <w:rsid w:val="78127F3A"/>
    <w:rsid w:val="781374D5"/>
    <w:rsid w:val="782213C4"/>
    <w:rsid w:val="78282783"/>
    <w:rsid w:val="783A42F2"/>
    <w:rsid w:val="78456DA1"/>
    <w:rsid w:val="784B6519"/>
    <w:rsid w:val="78551D51"/>
    <w:rsid w:val="785823B5"/>
    <w:rsid w:val="78591D97"/>
    <w:rsid w:val="785A420E"/>
    <w:rsid w:val="785A794A"/>
    <w:rsid w:val="785E3A65"/>
    <w:rsid w:val="785E6CF5"/>
    <w:rsid w:val="786348BD"/>
    <w:rsid w:val="78861C30"/>
    <w:rsid w:val="788D7EA7"/>
    <w:rsid w:val="789910B6"/>
    <w:rsid w:val="789A4711"/>
    <w:rsid w:val="789D33A9"/>
    <w:rsid w:val="78A62379"/>
    <w:rsid w:val="78B06145"/>
    <w:rsid w:val="78B542EB"/>
    <w:rsid w:val="78B81577"/>
    <w:rsid w:val="78BE7456"/>
    <w:rsid w:val="78CC0A19"/>
    <w:rsid w:val="78D371FA"/>
    <w:rsid w:val="78D52059"/>
    <w:rsid w:val="78D85637"/>
    <w:rsid w:val="78DB677B"/>
    <w:rsid w:val="78E27A47"/>
    <w:rsid w:val="78E6567F"/>
    <w:rsid w:val="78EC1F5E"/>
    <w:rsid w:val="78F41E4A"/>
    <w:rsid w:val="78F47F26"/>
    <w:rsid w:val="78F54175"/>
    <w:rsid w:val="78FB3845"/>
    <w:rsid w:val="79074D68"/>
    <w:rsid w:val="790B5E62"/>
    <w:rsid w:val="790F26B5"/>
    <w:rsid w:val="79162F0C"/>
    <w:rsid w:val="79173195"/>
    <w:rsid w:val="791E2446"/>
    <w:rsid w:val="792C0D20"/>
    <w:rsid w:val="79305497"/>
    <w:rsid w:val="79363CE2"/>
    <w:rsid w:val="79387FF8"/>
    <w:rsid w:val="793F0E67"/>
    <w:rsid w:val="793F7983"/>
    <w:rsid w:val="79446861"/>
    <w:rsid w:val="79486809"/>
    <w:rsid w:val="795221A9"/>
    <w:rsid w:val="795B0D9A"/>
    <w:rsid w:val="79634253"/>
    <w:rsid w:val="796926C2"/>
    <w:rsid w:val="797812F4"/>
    <w:rsid w:val="79795A73"/>
    <w:rsid w:val="797D07AD"/>
    <w:rsid w:val="79843DDF"/>
    <w:rsid w:val="79900665"/>
    <w:rsid w:val="79A237F5"/>
    <w:rsid w:val="79B12C7A"/>
    <w:rsid w:val="79B340C0"/>
    <w:rsid w:val="79B63ACC"/>
    <w:rsid w:val="79B968E9"/>
    <w:rsid w:val="79BE09EB"/>
    <w:rsid w:val="79CC6C13"/>
    <w:rsid w:val="79CD3B77"/>
    <w:rsid w:val="79D31050"/>
    <w:rsid w:val="79DA35C0"/>
    <w:rsid w:val="79E07FA5"/>
    <w:rsid w:val="79E70027"/>
    <w:rsid w:val="79E85C3E"/>
    <w:rsid w:val="79F67CF8"/>
    <w:rsid w:val="79F72CF6"/>
    <w:rsid w:val="79FE6725"/>
    <w:rsid w:val="7A093B06"/>
    <w:rsid w:val="7A0C1342"/>
    <w:rsid w:val="7A0E2EDD"/>
    <w:rsid w:val="7A10031A"/>
    <w:rsid w:val="7A1C085C"/>
    <w:rsid w:val="7A211F69"/>
    <w:rsid w:val="7A253E3F"/>
    <w:rsid w:val="7A2B3E2A"/>
    <w:rsid w:val="7A2D0876"/>
    <w:rsid w:val="7A301BCA"/>
    <w:rsid w:val="7A3A405E"/>
    <w:rsid w:val="7A4A0A61"/>
    <w:rsid w:val="7A4D633F"/>
    <w:rsid w:val="7A5377F9"/>
    <w:rsid w:val="7A574C10"/>
    <w:rsid w:val="7A5E1C81"/>
    <w:rsid w:val="7A600FC6"/>
    <w:rsid w:val="7A6D5FC5"/>
    <w:rsid w:val="7A7819CA"/>
    <w:rsid w:val="7A7838C0"/>
    <w:rsid w:val="7A7C4F7A"/>
    <w:rsid w:val="7A7E0C61"/>
    <w:rsid w:val="7A8970E3"/>
    <w:rsid w:val="7A8A3B30"/>
    <w:rsid w:val="7A904FE2"/>
    <w:rsid w:val="7A933257"/>
    <w:rsid w:val="7A9536AB"/>
    <w:rsid w:val="7A9C6D69"/>
    <w:rsid w:val="7AA1509A"/>
    <w:rsid w:val="7AA3725B"/>
    <w:rsid w:val="7ABC37A6"/>
    <w:rsid w:val="7AC775CB"/>
    <w:rsid w:val="7ACB1EA5"/>
    <w:rsid w:val="7ACB3A3E"/>
    <w:rsid w:val="7ACE0806"/>
    <w:rsid w:val="7AD518CD"/>
    <w:rsid w:val="7AD61FD9"/>
    <w:rsid w:val="7ADC162B"/>
    <w:rsid w:val="7AE652B0"/>
    <w:rsid w:val="7AE910EE"/>
    <w:rsid w:val="7AED10D1"/>
    <w:rsid w:val="7B016602"/>
    <w:rsid w:val="7B0575E5"/>
    <w:rsid w:val="7B0C411B"/>
    <w:rsid w:val="7B127206"/>
    <w:rsid w:val="7B155901"/>
    <w:rsid w:val="7B186D1D"/>
    <w:rsid w:val="7B290B4F"/>
    <w:rsid w:val="7B2C2FC9"/>
    <w:rsid w:val="7B2C7E4B"/>
    <w:rsid w:val="7B2D6B78"/>
    <w:rsid w:val="7B371CF8"/>
    <w:rsid w:val="7B3B003F"/>
    <w:rsid w:val="7B4634E6"/>
    <w:rsid w:val="7B4F7A6E"/>
    <w:rsid w:val="7B5353D8"/>
    <w:rsid w:val="7B544F69"/>
    <w:rsid w:val="7B5C73C2"/>
    <w:rsid w:val="7B656509"/>
    <w:rsid w:val="7B74710A"/>
    <w:rsid w:val="7B872EB0"/>
    <w:rsid w:val="7B8767A2"/>
    <w:rsid w:val="7B8B147B"/>
    <w:rsid w:val="7BA45C33"/>
    <w:rsid w:val="7BA95EDD"/>
    <w:rsid w:val="7BB11890"/>
    <w:rsid w:val="7BBF70AE"/>
    <w:rsid w:val="7BCF6B67"/>
    <w:rsid w:val="7BE52BAD"/>
    <w:rsid w:val="7BE62BA7"/>
    <w:rsid w:val="7BFB4C2B"/>
    <w:rsid w:val="7BFD22C7"/>
    <w:rsid w:val="7C093CE8"/>
    <w:rsid w:val="7C1852F0"/>
    <w:rsid w:val="7C1F772A"/>
    <w:rsid w:val="7C2C02CB"/>
    <w:rsid w:val="7C317EFF"/>
    <w:rsid w:val="7C336D80"/>
    <w:rsid w:val="7C393694"/>
    <w:rsid w:val="7C415D27"/>
    <w:rsid w:val="7C433566"/>
    <w:rsid w:val="7C4342F0"/>
    <w:rsid w:val="7C474733"/>
    <w:rsid w:val="7C63405C"/>
    <w:rsid w:val="7C6641D8"/>
    <w:rsid w:val="7C755E7C"/>
    <w:rsid w:val="7C791CE3"/>
    <w:rsid w:val="7C814E01"/>
    <w:rsid w:val="7C8A6EA3"/>
    <w:rsid w:val="7C8F3058"/>
    <w:rsid w:val="7C8F5C4D"/>
    <w:rsid w:val="7CA45F39"/>
    <w:rsid w:val="7CA73C2D"/>
    <w:rsid w:val="7CB101A4"/>
    <w:rsid w:val="7CB575AC"/>
    <w:rsid w:val="7CBF4BC6"/>
    <w:rsid w:val="7CBF7F50"/>
    <w:rsid w:val="7CC74412"/>
    <w:rsid w:val="7CCD2A84"/>
    <w:rsid w:val="7CD00206"/>
    <w:rsid w:val="7CD25652"/>
    <w:rsid w:val="7CE225DF"/>
    <w:rsid w:val="7CE50D7E"/>
    <w:rsid w:val="7CF51226"/>
    <w:rsid w:val="7CFA491C"/>
    <w:rsid w:val="7D106DEC"/>
    <w:rsid w:val="7D1E7BFC"/>
    <w:rsid w:val="7D2A1843"/>
    <w:rsid w:val="7D30510B"/>
    <w:rsid w:val="7D3204F3"/>
    <w:rsid w:val="7D37124E"/>
    <w:rsid w:val="7D47083E"/>
    <w:rsid w:val="7D484C1D"/>
    <w:rsid w:val="7D4D49A2"/>
    <w:rsid w:val="7D5402C7"/>
    <w:rsid w:val="7D557F57"/>
    <w:rsid w:val="7D5F06EF"/>
    <w:rsid w:val="7D666116"/>
    <w:rsid w:val="7D6A184B"/>
    <w:rsid w:val="7D741635"/>
    <w:rsid w:val="7D7737AB"/>
    <w:rsid w:val="7D7B4A27"/>
    <w:rsid w:val="7D7C7790"/>
    <w:rsid w:val="7D845821"/>
    <w:rsid w:val="7D88040A"/>
    <w:rsid w:val="7D911ED3"/>
    <w:rsid w:val="7D951CD7"/>
    <w:rsid w:val="7DA22414"/>
    <w:rsid w:val="7DB01A4B"/>
    <w:rsid w:val="7DB17A8E"/>
    <w:rsid w:val="7DB31FA3"/>
    <w:rsid w:val="7DC13536"/>
    <w:rsid w:val="7DC17FA2"/>
    <w:rsid w:val="7DC744ED"/>
    <w:rsid w:val="7DC8020D"/>
    <w:rsid w:val="7DC90FEF"/>
    <w:rsid w:val="7DE55660"/>
    <w:rsid w:val="7DED7E33"/>
    <w:rsid w:val="7DF03594"/>
    <w:rsid w:val="7DF165F0"/>
    <w:rsid w:val="7DFB1D3B"/>
    <w:rsid w:val="7DFF3B64"/>
    <w:rsid w:val="7E052AF5"/>
    <w:rsid w:val="7E123328"/>
    <w:rsid w:val="7E1D2291"/>
    <w:rsid w:val="7E2B655D"/>
    <w:rsid w:val="7E3F75E3"/>
    <w:rsid w:val="7E46173D"/>
    <w:rsid w:val="7E541548"/>
    <w:rsid w:val="7E5433D1"/>
    <w:rsid w:val="7E5951AB"/>
    <w:rsid w:val="7E657884"/>
    <w:rsid w:val="7E665E65"/>
    <w:rsid w:val="7E7608A2"/>
    <w:rsid w:val="7E80604C"/>
    <w:rsid w:val="7E861766"/>
    <w:rsid w:val="7E926140"/>
    <w:rsid w:val="7E993C38"/>
    <w:rsid w:val="7EA41AAA"/>
    <w:rsid w:val="7EAB457A"/>
    <w:rsid w:val="7EAC1F5D"/>
    <w:rsid w:val="7EB83495"/>
    <w:rsid w:val="7EC90417"/>
    <w:rsid w:val="7ED94432"/>
    <w:rsid w:val="7EDA08B5"/>
    <w:rsid w:val="7EDC56E4"/>
    <w:rsid w:val="7EDE7566"/>
    <w:rsid w:val="7EE50A3C"/>
    <w:rsid w:val="7EED19E8"/>
    <w:rsid w:val="7EFA3077"/>
    <w:rsid w:val="7EFC7F44"/>
    <w:rsid w:val="7F01339C"/>
    <w:rsid w:val="7F0331ED"/>
    <w:rsid w:val="7F053C25"/>
    <w:rsid w:val="7F1C2B1F"/>
    <w:rsid w:val="7F1E259D"/>
    <w:rsid w:val="7F1E6A05"/>
    <w:rsid w:val="7F1E7735"/>
    <w:rsid w:val="7F1F17D1"/>
    <w:rsid w:val="7F2040A3"/>
    <w:rsid w:val="7F253203"/>
    <w:rsid w:val="7F264BB1"/>
    <w:rsid w:val="7F277C71"/>
    <w:rsid w:val="7F286B7B"/>
    <w:rsid w:val="7F2938FF"/>
    <w:rsid w:val="7F2B66E3"/>
    <w:rsid w:val="7F337985"/>
    <w:rsid w:val="7F396F9B"/>
    <w:rsid w:val="7F3C378F"/>
    <w:rsid w:val="7F4C4266"/>
    <w:rsid w:val="7F534371"/>
    <w:rsid w:val="7F5D0CBC"/>
    <w:rsid w:val="7F5E7632"/>
    <w:rsid w:val="7F650C4A"/>
    <w:rsid w:val="7F657DD4"/>
    <w:rsid w:val="7F680E49"/>
    <w:rsid w:val="7F6B574A"/>
    <w:rsid w:val="7F6C0077"/>
    <w:rsid w:val="7F714D9C"/>
    <w:rsid w:val="7F9322BF"/>
    <w:rsid w:val="7F9B411C"/>
    <w:rsid w:val="7FA048BB"/>
    <w:rsid w:val="7FA62EF1"/>
    <w:rsid w:val="7FB26E61"/>
    <w:rsid w:val="7FB86C81"/>
    <w:rsid w:val="7FBB4D4C"/>
    <w:rsid w:val="7FC723FF"/>
    <w:rsid w:val="7FCC32A3"/>
    <w:rsid w:val="7FD12D6F"/>
    <w:rsid w:val="7FD36012"/>
    <w:rsid w:val="7FDB4B99"/>
    <w:rsid w:val="7FEC6AB6"/>
    <w:rsid w:val="7FFA3D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qFormat="1" w:unhideWhenUsed="0" w:uiPriority="0" w:semiHidden="0" w:name="Note Heading"/>
    <w:lsdException w:qFormat="1" w:unhideWhenUsed="0" w:uiPriority="99"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qFormat="1" w:uiPriority="0" w:name="HTML Acronym"/>
    <w:lsdException w:uiPriority="0" w:name="HTML Address"/>
    <w:lsdException w:qFormat="1" w:uiPriority="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iPriority="0" w:name="HTML Typewriter"/>
    <w:lsdException w:qFormat="1"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75"/>
    <w:autoRedefine/>
    <w:qFormat/>
    <w:uiPriority w:val="0"/>
    <w:pPr>
      <w:keepNext/>
      <w:keepLines/>
      <w:spacing w:before="340" w:after="330" w:line="576" w:lineRule="auto"/>
      <w:outlineLvl w:val="0"/>
    </w:pPr>
    <w:rPr>
      <w:b/>
      <w:bCs/>
      <w:kern w:val="44"/>
      <w:sz w:val="44"/>
      <w:szCs w:val="44"/>
    </w:rPr>
  </w:style>
  <w:style w:type="paragraph" w:styleId="5">
    <w:name w:val="heading 2"/>
    <w:basedOn w:val="1"/>
    <w:next w:val="1"/>
    <w:link w:val="92"/>
    <w:autoRedefine/>
    <w:qFormat/>
    <w:uiPriority w:val="0"/>
    <w:pPr>
      <w:outlineLvl w:val="1"/>
    </w:pPr>
    <w:rPr>
      <w:rFonts w:ascii="..ì." w:eastAsia="..ì."/>
      <w:szCs w:val="20"/>
    </w:rPr>
  </w:style>
  <w:style w:type="paragraph" w:styleId="6">
    <w:name w:val="heading 3"/>
    <w:basedOn w:val="1"/>
    <w:next w:val="1"/>
    <w:autoRedefine/>
    <w:qFormat/>
    <w:uiPriority w:val="0"/>
    <w:pPr>
      <w:keepNext/>
      <w:keepLines/>
      <w:spacing w:before="260" w:after="260" w:line="415" w:lineRule="auto"/>
      <w:outlineLvl w:val="2"/>
    </w:pPr>
    <w:rPr>
      <w:b/>
      <w:bCs/>
      <w:sz w:val="32"/>
      <w:szCs w:val="32"/>
    </w:rPr>
  </w:style>
  <w:style w:type="paragraph" w:styleId="7">
    <w:name w:val="heading 4"/>
    <w:basedOn w:val="1"/>
    <w:next w:val="1"/>
    <w:link w:val="82"/>
    <w:autoRedefine/>
    <w:qFormat/>
    <w:uiPriority w:val="0"/>
    <w:pPr>
      <w:keepNext/>
      <w:keepLines/>
      <w:spacing w:before="280" w:after="290" w:line="374" w:lineRule="auto"/>
      <w:outlineLvl w:val="3"/>
    </w:pPr>
    <w:rPr>
      <w:rFonts w:ascii="Arial" w:hAnsi="Arial" w:eastAsia="黑体"/>
      <w:b/>
      <w:bCs/>
      <w:sz w:val="28"/>
      <w:szCs w:val="28"/>
    </w:rPr>
  </w:style>
  <w:style w:type="paragraph" w:styleId="8">
    <w:name w:val="heading 5"/>
    <w:basedOn w:val="1"/>
    <w:next w:val="1"/>
    <w:autoRedefine/>
    <w:qFormat/>
    <w:uiPriority w:val="0"/>
    <w:pPr>
      <w:spacing w:before="100" w:beforeAutospacing="1" w:after="100" w:afterAutospacing="1"/>
      <w:jc w:val="left"/>
      <w:outlineLvl w:val="4"/>
    </w:pPr>
    <w:rPr>
      <w:rFonts w:hint="eastAsia" w:ascii="宋体" w:hAnsi="宋体" w:cs="宋体"/>
      <w:b/>
      <w:kern w:val="0"/>
      <w:sz w:val="20"/>
      <w:szCs w:val="20"/>
    </w:rPr>
  </w:style>
  <w:style w:type="character" w:default="1" w:styleId="35">
    <w:name w:val="Default Paragraph Font"/>
    <w:autoRedefine/>
    <w:semiHidden/>
    <w:unhideWhenUsed/>
    <w:qFormat/>
    <w:uiPriority w:val="1"/>
  </w:style>
  <w:style w:type="table" w:default="1" w:styleId="3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ind w:firstLine="420" w:firstLineChars="200"/>
    </w:pPr>
  </w:style>
  <w:style w:type="paragraph" w:styleId="3">
    <w:name w:val="Body Text Indent"/>
    <w:basedOn w:val="1"/>
    <w:autoRedefine/>
    <w:qFormat/>
    <w:uiPriority w:val="0"/>
    <w:pPr>
      <w:spacing w:after="120"/>
      <w:ind w:left="420" w:leftChars="200"/>
    </w:pPr>
  </w:style>
  <w:style w:type="paragraph" w:styleId="9">
    <w:name w:val="Note Heading"/>
    <w:basedOn w:val="10"/>
    <w:next w:val="10"/>
    <w:autoRedefine/>
    <w:qFormat/>
    <w:uiPriority w:val="0"/>
    <w:rPr>
      <w:rFonts w:ascii="..ì." w:eastAsia="..ì." w:cs="Times New Roman"/>
      <w:color w:val="auto"/>
      <w:szCs w:val="20"/>
    </w:rPr>
  </w:style>
  <w:style w:type="paragraph" w:customStyle="1" w:styleId="1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1">
    <w:name w:val="Normal Indent"/>
    <w:basedOn w:val="1"/>
    <w:autoRedefine/>
    <w:qFormat/>
    <w:uiPriority w:val="0"/>
    <w:pPr>
      <w:ind w:firstLine="420" w:firstLineChars="200"/>
    </w:pPr>
    <w:rPr>
      <w:szCs w:val="24"/>
    </w:rPr>
  </w:style>
  <w:style w:type="paragraph" w:styleId="12">
    <w:name w:val="Document Map"/>
    <w:basedOn w:val="1"/>
    <w:autoRedefine/>
    <w:qFormat/>
    <w:uiPriority w:val="0"/>
    <w:pPr>
      <w:shd w:val="clear" w:color="auto" w:fill="000080"/>
    </w:pPr>
  </w:style>
  <w:style w:type="paragraph" w:styleId="13">
    <w:name w:val="annotation text"/>
    <w:basedOn w:val="1"/>
    <w:link w:val="76"/>
    <w:autoRedefine/>
    <w:qFormat/>
    <w:uiPriority w:val="0"/>
    <w:pPr>
      <w:jc w:val="left"/>
    </w:pPr>
  </w:style>
  <w:style w:type="paragraph" w:styleId="14">
    <w:name w:val="Salutation"/>
    <w:basedOn w:val="10"/>
    <w:next w:val="10"/>
    <w:autoRedefine/>
    <w:qFormat/>
    <w:uiPriority w:val="0"/>
    <w:rPr>
      <w:rFonts w:ascii="..ì." w:eastAsia="..ì." w:cs="Times New Roman"/>
      <w:color w:val="auto"/>
      <w:szCs w:val="20"/>
    </w:rPr>
  </w:style>
  <w:style w:type="paragraph" w:styleId="15">
    <w:name w:val="Body Text"/>
    <w:basedOn w:val="1"/>
    <w:link w:val="55"/>
    <w:autoRedefine/>
    <w:qFormat/>
    <w:uiPriority w:val="0"/>
    <w:pPr>
      <w:spacing w:after="120"/>
    </w:pPr>
    <w:rPr>
      <w:szCs w:val="20"/>
    </w:rPr>
  </w:style>
  <w:style w:type="paragraph" w:styleId="16">
    <w:name w:val="toc 3"/>
    <w:basedOn w:val="1"/>
    <w:next w:val="1"/>
    <w:autoRedefine/>
    <w:qFormat/>
    <w:uiPriority w:val="39"/>
    <w:pPr>
      <w:ind w:left="840" w:leftChars="400"/>
    </w:pPr>
  </w:style>
  <w:style w:type="paragraph" w:styleId="17">
    <w:name w:val="Plain Text"/>
    <w:basedOn w:val="1"/>
    <w:autoRedefine/>
    <w:qFormat/>
    <w:uiPriority w:val="0"/>
    <w:rPr>
      <w:rFonts w:ascii="宋体" w:hAnsi="Courier New" w:cs="Courier New"/>
      <w:szCs w:val="21"/>
    </w:rPr>
  </w:style>
  <w:style w:type="paragraph" w:styleId="18">
    <w:name w:val="Date"/>
    <w:basedOn w:val="1"/>
    <w:next w:val="1"/>
    <w:autoRedefine/>
    <w:qFormat/>
    <w:uiPriority w:val="0"/>
    <w:pPr>
      <w:ind w:left="100" w:leftChars="2500"/>
    </w:pPr>
  </w:style>
  <w:style w:type="paragraph" w:styleId="19">
    <w:name w:val="Body Text Indent 2"/>
    <w:basedOn w:val="1"/>
    <w:autoRedefine/>
    <w:qFormat/>
    <w:uiPriority w:val="0"/>
    <w:pPr>
      <w:spacing w:after="120" w:line="480" w:lineRule="auto"/>
      <w:ind w:left="420" w:leftChars="200"/>
    </w:pPr>
  </w:style>
  <w:style w:type="paragraph" w:styleId="20">
    <w:name w:val="Balloon Text"/>
    <w:basedOn w:val="1"/>
    <w:autoRedefine/>
    <w:qFormat/>
    <w:uiPriority w:val="0"/>
    <w:rPr>
      <w:sz w:val="18"/>
      <w:szCs w:val="18"/>
    </w:rPr>
  </w:style>
  <w:style w:type="paragraph" w:styleId="21">
    <w:name w:val="footer"/>
    <w:basedOn w:val="1"/>
    <w:link w:val="78"/>
    <w:autoRedefine/>
    <w:qFormat/>
    <w:uiPriority w:val="99"/>
    <w:pPr>
      <w:tabs>
        <w:tab w:val="center" w:pos="4153"/>
        <w:tab w:val="right" w:pos="8306"/>
      </w:tabs>
      <w:snapToGrid w:val="0"/>
      <w:jc w:val="left"/>
    </w:pPr>
    <w:rPr>
      <w:sz w:val="18"/>
      <w:szCs w:val="18"/>
    </w:rPr>
  </w:style>
  <w:style w:type="paragraph" w:styleId="22">
    <w:name w:val="envelope return"/>
    <w:basedOn w:val="1"/>
    <w:autoRedefine/>
    <w:unhideWhenUsed/>
    <w:qFormat/>
    <w:uiPriority w:val="99"/>
    <w:pPr>
      <w:snapToGrid w:val="0"/>
    </w:pPr>
    <w:rPr>
      <w:rFonts w:ascii="Arial" w:hAnsi="Arial"/>
    </w:rPr>
  </w:style>
  <w:style w:type="paragraph" w:styleId="2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39"/>
  </w:style>
  <w:style w:type="paragraph" w:styleId="25">
    <w:name w:val="toc 4"/>
    <w:basedOn w:val="1"/>
    <w:next w:val="1"/>
    <w:autoRedefine/>
    <w:qFormat/>
    <w:uiPriority w:val="39"/>
    <w:pPr>
      <w:ind w:left="1260" w:leftChars="600"/>
    </w:pPr>
  </w:style>
  <w:style w:type="paragraph" w:styleId="26">
    <w:name w:val="Body Text Indent 3"/>
    <w:basedOn w:val="1"/>
    <w:autoRedefine/>
    <w:qFormat/>
    <w:uiPriority w:val="0"/>
    <w:pPr>
      <w:ind w:firstLine="420" w:firstLineChars="200"/>
    </w:pPr>
    <w:rPr>
      <w:rFonts w:ascii="宋体" w:hAnsi="宋体"/>
    </w:rPr>
  </w:style>
  <w:style w:type="paragraph" w:styleId="27">
    <w:name w:val="toc 2"/>
    <w:basedOn w:val="1"/>
    <w:next w:val="1"/>
    <w:autoRedefine/>
    <w:qFormat/>
    <w:uiPriority w:val="39"/>
    <w:pPr>
      <w:ind w:left="420" w:leftChars="200"/>
    </w:pPr>
  </w:style>
  <w:style w:type="paragraph" w:styleId="28">
    <w:name w:val="Body Text 2"/>
    <w:basedOn w:val="1"/>
    <w:next w:val="15"/>
    <w:autoRedefine/>
    <w:qFormat/>
    <w:uiPriority w:val="99"/>
    <w:pPr>
      <w:spacing w:line="360" w:lineRule="auto"/>
      <w:ind w:firstLine="480" w:firstLineChars="200"/>
    </w:pPr>
    <w:rPr>
      <w:rFonts w:ascii="仿宋_GB2312" w:hAnsi="宋体" w:eastAsia="仿宋_GB2312" w:cs="仿宋_GB2312"/>
      <w:kern w:val="0"/>
      <w:sz w:val="24"/>
      <w:szCs w:val="24"/>
    </w:rPr>
  </w:style>
  <w:style w:type="paragraph" w:styleId="29">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30">
    <w:name w:val="Normal (Web)"/>
    <w:basedOn w:val="1"/>
    <w:autoRedefine/>
    <w:qFormat/>
    <w:uiPriority w:val="0"/>
    <w:pPr>
      <w:widowControl/>
      <w:spacing w:before="100" w:beforeAutospacing="1" w:after="100" w:afterAutospacing="1"/>
      <w:jc w:val="left"/>
    </w:pPr>
    <w:rPr>
      <w:rFonts w:hint="eastAsia" w:ascii="宋体" w:hAnsi="宋体"/>
      <w:kern w:val="0"/>
      <w:sz w:val="24"/>
    </w:rPr>
  </w:style>
  <w:style w:type="paragraph" w:styleId="31">
    <w:name w:val="annotation subject"/>
    <w:basedOn w:val="13"/>
    <w:next w:val="13"/>
    <w:link w:val="77"/>
    <w:autoRedefine/>
    <w:semiHidden/>
    <w:unhideWhenUsed/>
    <w:qFormat/>
    <w:uiPriority w:val="0"/>
    <w:rPr>
      <w:b/>
      <w:bCs/>
    </w:rPr>
  </w:style>
  <w:style w:type="paragraph" w:styleId="32">
    <w:name w:val="Body Text First Indent"/>
    <w:basedOn w:val="15"/>
    <w:next w:val="2"/>
    <w:autoRedefine/>
    <w:unhideWhenUsed/>
    <w:qFormat/>
    <w:uiPriority w:val="99"/>
    <w:pPr>
      <w:ind w:firstLine="720" w:firstLineChars="100"/>
    </w:pPr>
    <w:rPr>
      <w:rFonts w:ascii="Calibri" w:hAnsi="Calibri" w:cs="黑体"/>
      <w:sz w:val="24"/>
      <w:szCs w:val="22"/>
    </w:rPr>
  </w:style>
  <w:style w:type="table" w:styleId="34">
    <w:name w:val="Table Grid"/>
    <w:basedOn w:val="33"/>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autoRedefine/>
    <w:qFormat/>
    <w:uiPriority w:val="0"/>
    <w:rPr>
      <w:rFonts w:ascii="Times New Roman" w:hAnsi="Times New Roman" w:eastAsia="宋体" w:cs="Times New Roman"/>
      <w:b/>
      <w:sz w:val="19"/>
      <w:szCs w:val="19"/>
    </w:rPr>
  </w:style>
  <w:style w:type="character" w:styleId="37">
    <w:name w:val="page number"/>
    <w:autoRedefine/>
    <w:qFormat/>
    <w:uiPriority w:val="0"/>
    <w:rPr>
      <w:rFonts w:ascii="Arial" w:hAnsi="Arial" w:eastAsia="黑体" w:cs="Times New Roman"/>
      <w:kern w:val="2"/>
      <w:sz w:val="21"/>
      <w:szCs w:val="21"/>
      <w:lang w:val="en-US" w:eastAsia="zh-CN" w:bidi="ar-SA"/>
    </w:rPr>
  </w:style>
  <w:style w:type="character" w:styleId="38">
    <w:name w:val="FollowedHyperlink"/>
    <w:basedOn w:val="35"/>
    <w:autoRedefine/>
    <w:semiHidden/>
    <w:unhideWhenUsed/>
    <w:qFormat/>
    <w:uiPriority w:val="0"/>
    <w:rPr>
      <w:color w:val="000000"/>
      <w:sz w:val="18"/>
      <w:szCs w:val="18"/>
      <w:u w:val="none"/>
    </w:rPr>
  </w:style>
  <w:style w:type="character" w:styleId="39">
    <w:name w:val="Emphasis"/>
    <w:basedOn w:val="35"/>
    <w:autoRedefine/>
    <w:qFormat/>
    <w:uiPriority w:val="0"/>
    <w:rPr>
      <w:b/>
    </w:rPr>
  </w:style>
  <w:style w:type="character" w:styleId="40">
    <w:name w:val="HTML Definition"/>
    <w:autoRedefine/>
    <w:qFormat/>
    <w:uiPriority w:val="0"/>
    <w:rPr>
      <w:rFonts w:ascii="Times New Roman" w:hAnsi="Times New Roman" w:eastAsia="宋体" w:cs="Times New Roman"/>
      <w:i/>
      <w:color w:val="337AB7"/>
      <w:sz w:val="30"/>
      <w:szCs w:val="20"/>
      <w:u w:val="none"/>
    </w:rPr>
  </w:style>
  <w:style w:type="character" w:styleId="41">
    <w:name w:val="HTML Typewriter"/>
    <w:basedOn w:val="35"/>
    <w:autoRedefine/>
    <w:semiHidden/>
    <w:unhideWhenUsed/>
    <w:qFormat/>
    <w:uiPriority w:val="0"/>
    <w:rPr>
      <w:rFonts w:hint="default" w:ascii="monospace" w:hAnsi="monospace" w:eastAsia="monospace" w:cs="monospace"/>
      <w:sz w:val="20"/>
    </w:rPr>
  </w:style>
  <w:style w:type="character" w:styleId="42">
    <w:name w:val="HTML Acronym"/>
    <w:basedOn w:val="35"/>
    <w:autoRedefine/>
    <w:semiHidden/>
    <w:unhideWhenUsed/>
    <w:qFormat/>
    <w:uiPriority w:val="0"/>
  </w:style>
  <w:style w:type="character" w:styleId="43">
    <w:name w:val="HTML Variable"/>
    <w:basedOn w:val="35"/>
    <w:autoRedefine/>
    <w:semiHidden/>
    <w:unhideWhenUsed/>
    <w:qFormat/>
    <w:uiPriority w:val="0"/>
  </w:style>
  <w:style w:type="character" w:styleId="44">
    <w:name w:val="Hyperlink"/>
    <w:basedOn w:val="35"/>
    <w:autoRedefine/>
    <w:qFormat/>
    <w:uiPriority w:val="99"/>
    <w:rPr>
      <w:rFonts w:ascii="Times New Roman" w:hAnsi="Times New Roman" w:eastAsia="宋体" w:cs="Times New Roman"/>
      <w:color w:val="337AB7"/>
      <w:sz w:val="30"/>
      <w:szCs w:val="20"/>
      <w:u w:val="single"/>
    </w:rPr>
  </w:style>
  <w:style w:type="character" w:styleId="45">
    <w:name w:val="HTML Code"/>
    <w:autoRedefine/>
    <w:qFormat/>
    <w:uiPriority w:val="0"/>
    <w:rPr>
      <w:rFonts w:hint="default" w:ascii="Menlo" w:hAnsi="Menlo" w:eastAsia="Menlo" w:cs="Menlo"/>
      <w:color w:val="C7254E"/>
      <w:sz w:val="21"/>
      <w:szCs w:val="21"/>
      <w:shd w:val="clear" w:color="auto" w:fill="F9F2F4"/>
    </w:rPr>
  </w:style>
  <w:style w:type="character" w:styleId="46">
    <w:name w:val="annotation reference"/>
    <w:autoRedefine/>
    <w:qFormat/>
    <w:uiPriority w:val="0"/>
    <w:rPr>
      <w:rFonts w:cs="Times New Roman"/>
      <w:sz w:val="21"/>
      <w:szCs w:val="21"/>
    </w:rPr>
  </w:style>
  <w:style w:type="character" w:styleId="47">
    <w:name w:val="HTML Cite"/>
    <w:basedOn w:val="35"/>
    <w:autoRedefine/>
    <w:semiHidden/>
    <w:unhideWhenUsed/>
    <w:qFormat/>
    <w:uiPriority w:val="0"/>
    <w:rPr>
      <w:vanish/>
    </w:rPr>
  </w:style>
  <w:style w:type="character" w:styleId="48">
    <w:name w:val="HTML Keyboard"/>
    <w:autoRedefine/>
    <w:qFormat/>
    <w:uiPriority w:val="0"/>
    <w:rPr>
      <w:rFonts w:ascii="Menlo" w:hAnsi="Menlo" w:eastAsia="Menlo" w:cs="Menlo"/>
      <w:color w:val="FFFFFF"/>
      <w:sz w:val="21"/>
      <w:szCs w:val="21"/>
      <w:shd w:val="clear" w:color="auto" w:fill="333333"/>
    </w:rPr>
  </w:style>
  <w:style w:type="character" w:styleId="49">
    <w:name w:val="HTML Sample"/>
    <w:autoRedefine/>
    <w:qFormat/>
    <w:uiPriority w:val="0"/>
    <w:rPr>
      <w:rFonts w:hint="default" w:ascii="Menlo" w:hAnsi="Menlo" w:eastAsia="Menlo" w:cs="Menlo"/>
      <w:sz w:val="21"/>
      <w:szCs w:val="21"/>
    </w:rPr>
  </w:style>
  <w:style w:type="paragraph" w:customStyle="1" w:styleId="50">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51">
    <w:name w:val="无间隔1"/>
    <w:basedOn w:val="1"/>
    <w:autoRedefine/>
    <w:qFormat/>
    <w:uiPriority w:val="99"/>
    <w:pPr>
      <w:spacing w:line="400" w:lineRule="exact"/>
    </w:pPr>
  </w:style>
  <w:style w:type="paragraph" w:customStyle="1" w:styleId="52">
    <w:name w:val="BodyText1I"/>
    <w:basedOn w:val="53"/>
    <w:autoRedefine/>
    <w:qFormat/>
    <w:uiPriority w:val="0"/>
    <w:pPr>
      <w:ind w:firstLine="420" w:firstLineChars="100"/>
    </w:pPr>
    <w:rPr>
      <w:szCs w:val="21"/>
    </w:rPr>
  </w:style>
  <w:style w:type="paragraph" w:customStyle="1" w:styleId="53">
    <w:name w:val="BodyText"/>
    <w:basedOn w:val="1"/>
    <w:next w:val="54"/>
    <w:autoRedefine/>
    <w:qFormat/>
    <w:uiPriority w:val="0"/>
    <w:pPr>
      <w:snapToGrid w:val="0"/>
      <w:spacing w:line="360" w:lineRule="auto"/>
    </w:pPr>
    <w:rPr>
      <w:rFonts w:ascii="Arial" w:hAnsi="Arial" w:eastAsia="仿宋_GB2312"/>
      <w:sz w:val="31"/>
    </w:rPr>
  </w:style>
  <w:style w:type="paragraph" w:customStyle="1" w:styleId="54">
    <w:name w:val="UserStyle_9"/>
    <w:autoRedefine/>
    <w:qFormat/>
    <w:uiPriority w:val="0"/>
    <w:pPr>
      <w:textAlignment w:val="baseline"/>
    </w:pPr>
    <w:rPr>
      <w:rFonts w:ascii="宋体" w:hAnsi="Times New Roman" w:eastAsia="宋体" w:cs="Times New Roman"/>
      <w:color w:val="000000"/>
      <w:sz w:val="24"/>
      <w:szCs w:val="24"/>
      <w:lang w:val="en-US" w:eastAsia="zh-CN" w:bidi="ar-SA"/>
    </w:rPr>
  </w:style>
  <w:style w:type="character" w:customStyle="1" w:styleId="55">
    <w:name w:val="正文文本 Char"/>
    <w:link w:val="15"/>
    <w:autoRedefine/>
    <w:qFormat/>
    <w:uiPriority w:val="0"/>
    <w:rPr>
      <w:rFonts w:ascii="Times New Roman" w:hAnsi="Times New Roman" w:eastAsia="宋体" w:cs="Times New Roman"/>
      <w:kern w:val="2"/>
      <w:sz w:val="21"/>
      <w:szCs w:val="20"/>
      <w:lang w:val="en-US" w:eastAsia="zh-CN" w:bidi="ar-SA"/>
    </w:rPr>
  </w:style>
  <w:style w:type="character" w:customStyle="1" w:styleId="56">
    <w:name w:val="已访问的超链接1"/>
    <w:autoRedefine/>
    <w:qFormat/>
    <w:uiPriority w:val="0"/>
    <w:rPr>
      <w:rFonts w:ascii="Times New Roman" w:hAnsi="Times New Roman" w:eastAsia="宋体" w:cs="Times New Roman"/>
      <w:color w:val="337AB7"/>
      <w:sz w:val="30"/>
      <w:szCs w:val="20"/>
      <w:u w:val="single"/>
    </w:rPr>
  </w:style>
  <w:style w:type="paragraph" w:customStyle="1" w:styleId="57">
    <w:name w:val="Char"/>
    <w:basedOn w:val="1"/>
    <w:autoRedefine/>
    <w:qFormat/>
    <w:uiPriority w:val="0"/>
    <w:pPr>
      <w:snapToGrid w:val="0"/>
      <w:spacing w:line="408" w:lineRule="auto"/>
      <w:ind w:firstLine="200" w:firstLineChars="200"/>
      <w:jc w:val="center"/>
    </w:pPr>
    <w:rPr>
      <w:rFonts w:ascii="黑体" w:hAnsi="仿宋_GB2312" w:eastAsia="仿宋_GB2312"/>
      <w:sz w:val="24"/>
      <w:szCs w:val="44"/>
    </w:rPr>
  </w:style>
  <w:style w:type="paragraph" w:customStyle="1" w:styleId="58">
    <w:name w:val="标题3"/>
    <w:basedOn w:val="1"/>
    <w:autoRedefine/>
    <w:qFormat/>
    <w:uiPriority w:val="0"/>
    <w:pPr>
      <w:widowControl/>
      <w:spacing w:line="360" w:lineRule="auto"/>
      <w:jc w:val="center"/>
    </w:pPr>
    <w:rPr>
      <w:sz w:val="30"/>
      <w:szCs w:val="20"/>
    </w:rPr>
  </w:style>
  <w:style w:type="paragraph" w:customStyle="1" w:styleId="59">
    <w:name w:val="p15"/>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0">
    <w:name w:val="z-窗体底端1"/>
    <w:basedOn w:val="1"/>
    <w:next w:val="1"/>
    <w:autoRedefine/>
    <w:qFormat/>
    <w:uiPriority w:val="0"/>
    <w:pPr>
      <w:pBdr>
        <w:top w:val="single" w:color="auto" w:sz="6" w:space="1"/>
      </w:pBdr>
      <w:jc w:val="center"/>
    </w:pPr>
    <w:rPr>
      <w:rFonts w:ascii="Arial"/>
      <w:vanish/>
      <w:sz w:val="16"/>
    </w:rPr>
  </w:style>
  <w:style w:type="paragraph" w:customStyle="1" w:styleId="61">
    <w:name w:val="样式 标题 2 + Times New Roman 四号 非加粗 段前: 5 磅 段后: 0 磅 行距: 固定值 20..."/>
    <w:basedOn w:val="5"/>
    <w:autoRedefine/>
    <w:qFormat/>
    <w:uiPriority w:val="0"/>
    <w:pPr>
      <w:spacing w:before="100" w:line="400" w:lineRule="exact"/>
    </w:pPr>
    <w:rPr>
      <w:rFonts w:ascii="Times New Roman" w:eastAsia="黑体" w:cs="宋体"/>
      <w:b/>
      <w:bCs/>
      <w:sz w:val="28"/>
    </w:rPr>
  </w:style>
  <w:style w:type="paragraph" w:customStyle="1" w:styleId="62">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63">
    <w:name w:val="p17"/>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4">
    <w:name w:val="Char Char Char Char Char Char Char Char Char Char Char Char Char Char Char Char"/>
    <w:basedOn w:val="1"/>
    <w:autoRedefine/>
    <w:qFormat/>
    <w:uiPriority w:val="0"/>
    <w:pPr>
      <w:snapToGrid w:val="0"/>
      <w:spacing w:line="360" w:lineRule="auto"/>
      <w:ind w:firstLine="200" w:firstLineChars="200"/>
    </w:pPr>
  </w:style>
  <w:style w:type="paragraph" w:customStyle="1" w:styleId="65">
    <w:name w:val="Table Paragraph"/>
    <w:basedOn w:val="1"/>
    <w:autoRedefine/>
    <w:qFormat/>
    <w:uiPriority w:val="1"/>
  </w:style>
  <w:style w:type="paragraph" w:customStyle="1" w:styleId="66">
    <w:name w:val="Char Char Char Char Char Char Char Char Char Char"/>
    <w:basedOn w:val="1"/>
    <w:autoRedefine/>
    <w:qFormat/>
    <w:uiPriority w:val="0"/>
    <w:pPr>
      <w:tabs>
        <w:tab w:val="left" w:pos="360"/>
      </w:tabs>
      <w:ind w:left="360" w:hanging="360" w:hangingChars="200"/>
    </w:pPr>
    <w:rPr>
      <w:sz w:val="24"/>
    </w:rPr>
  </w:style>
  <w:style w:type="paragraph" w:customStyle="1" w:styleId="67">
    <w:name w:val="标题3-1"/>
    <w:basedOn w:val="6"/>
    <w:autoRedefine/>
    <w:qFormat/>
    <w:uiPriority w:val="0"/>
    <w:pPr>
      <w:tabs>
        <w:tab w:val="left" w:pos="425"/>
      </w:tabs>
      <w:ind w:left="425" w:hanging="425"/>
    </w:pPr>
    <w:rPr>
      <w:sz w:val="24"/>
    </w:rPr>
  </w:style>
  <w:style w:type="paragraph" w:customStyle="1" w:styleId="68">
    <w:name w:val="z-窗体顶端1"/>
    <w:basedOn w:val="1"/>
    <w:next w:val="1"/>
    <w:autoRedefine/>
    <w:qFormat/>
    <w:uiPriority w:val="0"/>
    <w:pPr>
      <w:pBdr>
        <w:bottom w:val="single" w:color="auto" w:sz="6" w:space="1"/>
      </w:pBdr>
      <w:jc w:val="center"/>
    </w:pPr>
    <w:rPr>
      <w:rFonts w:ascii="Arial"/>
      <w:vanish/>
      <w:sz w:val="16"/>
    </w:rPr>
  </w:style>
  <w:style w:type="paragraph" w:customStyle="1" w:styleId="69">
    <w:name w:val="样式 标题 3 + (中文) 黑体 小四 非加粗 段前: 7.8 磅 段后: 0 磅 行距: 固定值 20 磅"/>
    <w:basedOn w:val="6"/>
    <w:next w:val="1"/>
    <w:autoRedefine/>
    <w:qFormat/>
    <w:uiPriority w:val="0"/>
    <w:pPr>
      <w:spacing w:before="0" w:after="0" w:line="400" w:lineRule="exact"/>
    </w:pPr>
    <w:rPr>
      <w:rFonts w:eastAsia="黑体" w:cs="宋体"/>
      <w:b w:val="0"/>
      <w:bCs w:val="0"/>
      <w:sz w:val="24"/>
      <w:szCs w:val="20"/>
    </w:rPr>
  </w:style>
  <w:style w:type="paragraph" w:customStyle="1" w:styleId="70">
    <w:name w:val="样式1"/>
    <w:basedOn w:val="1"/>
    <w:next w:val="7"/>
    <w:autoRedefine/>
    <w:qFormat/>
    <w:uiPriority w:val="0"/>
    <w:pPr>
      <w:spacing w:line="360" w:lineRule="auto"/>
      <w:ind w:firstLine="420" w:firstLineChars="200"/>
    </w:pPr>
    <w:rPr>
      <w:rFonts w:ascii="宋体" w:hAnsi="宋体"/>
      <w:szCs w:val="21"/>
    </w:rPr>
  </w:style>
  <w:style w:type="paragraph" w:customStyle="1" w:styleId="71">
    <w:name w:val="普通文字"/>
    <w:basedOn w:val="1"/>
    <w:next w:val="1"/>
    <w:autoRedefine/>
    <w:qFormat/>
    <w:uiPriority w:val="0"/>
    <w:pPr>
      <w:widowControl/>
    </w:pPr>
    <w:rPr>
      <w:rFonts w:ascii="宋体"/>
      <w:color w:val="000000"/>
      <w:szCs w:val="20"/>
    </w:rPr>
  </w:style>
  <w:style w:type="paragraph" w:customStyle="1" w:styleId="72">
    <w:name w:val="Char1 Char Char Char"/>
    <w:basedOn w:val="1"/>
    <w:autoRedefine/>
    <w:qFormat/>
    <w:uiPriority w:val="0"/>
    <w:rPr>
      <w:rFonts w:ascii="Tahoma" w:hAnsi="Tahoma"/>
      <w:sz w:val="24"/>
      <w:szCs w:val="20"/>
    </w:rPr>
  </w:style>
  <w:style w:type="paragraph" w:customStyle="1" w:styleId="73">
    <w:name w:val="_Style 6"/>
    <w:basedOn w:val="4"/>
    <w:next w:val="1"/>
    <w:autoRedefine/>
    <w:unhideWhenUsed/>
    <w:qFormat/>
    <w:uiPriority w:val="0"/>
    <w:pPr>
      <w:spacing w:line="578" w:lineRule="auto"/>
      <w:outlineLvl w:val="9"/>
    </w:pPr>
  </w:style>
  <w:style w:type="paragraph" w:customStyle="1" w:styleId="74">
    <w:name w:val="p0"/>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75">
    <w:name w:val="标题 1 Char"/>
    <w:basedOn w:val="35"/>
    <w:link w:val="4"/>
    <w:autoRedefine/>
    <w:qFormat/>
    <w:uiPriority w:val="0"/>
    <w:rPr>
      <w:b/>
      <w:bCs/>
      <w:kern w:val="44"/>
      <w:sz w:val="44"/>
      <w:szCs w:val="44"/>
    </w:rPr>
  </w:style>
  <w:style w:type="character" w:customStyle="1" w:styleId="76">
    <w:name w:val="批注文字 Char"/>
    <w:basedOn w:val="35"/>
    <w:link w:val="13"/>
    <w:autoRedefine/>
    <w:qFormat/>
    <w:uiPriority w:val="0"/>
    <w:rPr>
      <w:kern w:val="2"/>
      <w:sz w:val="21"/>
      <w:szCs w:val="24"/>
    </w:rPr>
  </w:style>
  <w:style w:type="character" w:customStyle="1" w:styleId="77">
    <w:name w:val="批注主题 Char"/>
    <w:basedOn w:val="76"/>
    <w:link w:val="31"/>
    <w:autoRedefine/>
    <w:semiHidden/>
    <w:qFormat/>
    <w:uiPriority w:val="0"/>
    <w:rPr>
      <w:b/>
      <w:bCs/>
      <w:kern w:val="2"/>
      <w:sz w:val="21"/>
      <w:szCs w:val="24"/>
    </w:rPr>
  </w:style>
  <w:style w:type="character" w:customStyle="1" w:styleId="78">
    <w:name w:val="页脚 Char"/>
    <w:basedOn w:val="35"/>
    <w:link w:val="21"/>
    <w:autoRedefine/>
    <w:qFormat/>
    <w:uiPriority w:val="99"/>
    <w:rPr>
      <w:kern w:val="2"/>
      <w:sz w:val="18"/>
      <w:szCs w:val="18"/>
    </w:rPr>
  </w:style>
  <w:style w:type="table" w:customStyle="1" w:styleId="79">
    <w:name w:val="Table Normal"/>
    <w:autoRedefine/>
    <w:semiHidden/>
    <w:unhideWhenUsed/>
    <w:qFormat/>
    <w:uiPriority w:val="2"/>
    <w:pPr>
      <w:widowControl w:val="0"/>
    </w:pPr>
    <w:rPr>
      <w:kern w:val="0"/>
      <w:sz w:val="22"/>
      <w:lang w:eastAsia="en-US"/>
    </w:rPr>
    <w:tblPr>
      <w:tblCellMar>
        <w:top w:w="0" w:type="dxa"/>
        <w:left w:w="0" w:type="dxa"/>
        <w:bottom w:w="0" w:type="dxa"/>
        <w:right w:w="0" w:type="dxa"/>
      </w:tblCellMar>
    </w:tblPr>
  </w:style>
  <w:style w:type="paragraph" w:customStyle="1" w:styleId="80">
    <w:name w:val="*正文"/>
    <w:basedOn w:val="1"/>
    <w:autoRedefine/>
    <w:qFormat/>
    <w:uiPriority w:val="0"/>
    <w:pPr>
      <w:spacing w:line="360" w:lineRule="auto"/>
      <w:ind w:firstLine="560" w:firstLineChars="200"/>
      <w:jc w:val="both"/>
    </w:pPr>
    <w:rPr>
      <w:rFonts w:ascii="仿宋_GB2312" w:hAnsi="Times New Roman" w:eastAsia="仿宋_GB2312" w:cs="Times New Roman"/>
      <w:kern w:val="2"/>
      <w:sz w:val="28"/>
      <w:szCs w:val="28"/>
      <w:lang w:eastAsia="zh-CN"/>
    </w:rPr>
  </w:style>
  <w:style w:type="paragraph" w:styleId="81">
    <w:name w:val="List Paragraph"/>
    <w:basedOn w:val="1"/>
    <w:autoRedefine/>
    <w:qFormat/>
    <w:uiPriority w:val="34"/>
    <w:pPr>
      <w:ind w:firstLine="420" w:firstLineChars="200"/>
      <w:jc w:val="both"/>
    </w:pPr>
    <w:rPr>
      <w:rFonts w:ascii="Times New Roman" w:hAnsi="Times New Roman" w:eastAsia="宋体" w:cs="Times New Roman"/>
      <w:kern w:val="2"/>
      <w:sz w:val="28"/>
      <w:szCs w:val="24"/>
      <w:lang w:eastAsia="zh-CN"/>
    </w:rPr>
  </w:style>
  <w:style w:type="character" w:customStyle="1" w:styleId="82">
    <w:name w:val="标题 4字符"/>
    <w:link w:val="7"/>
    <w:autoRedefine/>
    <w:qFormat/>
    <w:uiPriority w:val="0"/>
    <w:rPr>
      <w:rFonts w:ascii="Arial" w:hAnsi="Arial" w:eastAsia="黑体"/>
      <w:b/>
      <w:bCs/>
      <w:sz w:val="28"/>
      <w:szCs w:val="28"/>
    </w:rPr>
  </w:style>
  <w:style w:type="character" w:customStyle="1" w:styleId="83">
    <w:name w:val="hover15"/>
    <w:basedOn w:val="35"/>
    <w:autoRedefine/>
    <w:qFormat/>
    <w:uiPriority w:val="0"/>
  </w:style>
  <w:style w:type="paragraph" w:customStyle="1" w:styleId="84">
    <w:name w:val="正文_13_0"/>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85">
    <w:name w:val="pa-0"/>
    <w:basedOn w:val="1"/>
    <w:autoRedefine/>
    <w:qFormat/>
    <w:uiPriority w:val="0"/>
    <w:pPr>
      <w:widowControl/>
      <w:spacing w:line="340" w:lineRule="atLeast"/>
      <w:jc w:val="center"/>
    </w:pPr>
    <w:rPr>
      <w:rFonts w:ascii="宋体" w:hAnsi="宋体" w:cs="宋体"/>
      <w:kern w:val="0"/>
      <w:sz w:val="24"/>
    </w:rPr>
  </w:style>
  <w:style w:type="character" w:customStyle="1" w:styleId="86">
    <w:name w:val="font41"/>
    <w:basedOn w:val="35"/>
    <w:autoRedefine/>
    <w:qFormat/>
    <w:uiPriority w:val="0"/>
    <w:rPr>
      <w:rFonts w:ascii="Calibri" w:hAnsi="Calibri" w:cs="Calibri"/>
      <w:color w:val="000000"/>
      <w:sz w:val="22"/>
      <w:szCs w:val="22"/>
      <w:u w:val="none"/>
    </w:rPr>
  </w:style>
  <w:style w:type="paragraph" w:customStyle="1" w:styleId="87">
    <w:name w:val="_Style 2"/>
    <w:basedOn w:val="1"/>
    <w:autoRedefine/>
    <w:qFormat/>
    <w:uiPriority w:val="0"/>
    <w:pPr>
      <w:spacing w:after="0" w:line="240" w:lineRule="auto"/>
      <w:ind w:firstLine="420" w:firstLineChars="200"/>
    </w:pPr>
    <w:rPr>
      <w:rFonts w:ascii="Times New Roman" w:hAnsi="Times New Roman" w:eastAsia="宋体" w:cs="Times New Roman"/>
      <w:sz w:val="18"/>
      <w:szCs w:val="18"/>
    </w:rPr>
  </w:style>
  <w:style w:type="character" w:customStyle="1" w:styleId="88">
    <w:name w:val="font51"/>
    <w:basedOn w:val="35"/>
    <w:autoRedefine/>
    <w:qFormat/>
    <w:uiPriority w:val="0"/>
    <w:rPr>
      <w:rFonts w:ascii="Calibri" w:hAnsi="Calibri" w:cs="Calibri"/>
      <w:color w:val="000000"/>
      <w:sz w:val="22"/>
      <w:szCs w:val="22"/>
      <w:u w:val="none"/>
    </w:rPr>
  </w:style>
  <w:style w:type="character" w:customStyle="1" w:styleId="89">
    <w:name w:val="font01"/>
    <w:basedOn w:val="35"/>
    <w:autoRedefine/>
    <w:qFormat/>
    <w:uiPriority w:val="0"/>
    <w:rPr>
      <w:rFonts w:hint="eastAsia" w:ascii="宋体" w:hAnsi="宋体" w:eastAsia="宋体" w:cs="宋体"/>
      <w:color w:val="000000"/>
      <w:sz w:val="22"/>
      <w:szCs w:val="22"/>
      <w:u w:val="none"/>
    </w:rPr>
  </w:style>
  <w:style w:type="paragraph" w:customStyle="1" w:styleId="90">
    <w:name w:val="列出段落1"/>
    <w:basedOn w:val="1"/>
    <w:autoRedefine/>
    <w:qFormat/>
    <w:uiPriority w:val="0"/>
    <w:pPr>
      <w:ind w:firstLine="420" w:firstLineChars="200"/>
    </w:pPr>
  </w:style>
  <w:style w:type="paragraph" w:customStyle="1" w:styleId="91">
    <w:name w:val="正文缩进2"/>
    <w:basedOn w:val="1"/>
    <w:autoRedefine/>
    <w:qFormat/>
    <w:uiPriority w:val="0"/>
    <w:pPr>
      <w:ind w:firstLine="420" w:firstLineChars="200"/>
    </w:pPr>
    <w:rPr>
      <w:rFonts w:ascii="Times New Roman" w:hAnsi="Times New Roman" w:cs="Times New Roman"/>
    </w:rPr>
  </w:style>
  <w:style w:type="character" w:customStyle="1" w:styleId="92">
    <w:name w:val="标题 2 Char"/>
    <w:link w:val="5"/>
    <w:autoRedefine/>
    <w:qFormat/>
    <w:uiPriority w:val="0"/>
    <w:rPr>
      <w:rFonts w:ascii="..ì." w:eastAsia="..ì."/>
      <w:szCs w:val="20"/>
    </w:rPr>
  </w:style>
  <w:style w:type="paragraph" w:customStyle="1" w:styleId="93">
    <w:name w:val="_Style 73"/>
    <w:basedOn w:val="1"/>
    <w:next w:val="81"/>
    <w:autoRedefine/>
    <w:qFormat/>
    <w:uiPriority w:val="0"/>
    <w:pPr>
      <w:ind w:firstLine="420" w:firstLineChars="200"/>
    </w:pPr>
    <w:rPr>
      <w:rFonts w:ascii="Calibri" w:hAnsi="Calibri"/>
      <w:szCs w:val="22"/>
    </w:rPr>
  </w:style>
  <w:style w:type="character" w:customStyle="1" w:styleId="94">
    <w:name w:val="xiadan"/>
    <w:basedOn w:val="35"/>
    <w:autoRedefine/>
    <w:qFormat/>
    <w:uiPriority w:val="0"/>
    <w:rPr>
      <w:shd w:val="clear" w:fill="E4393C"/>
    </w:rPr>
  </w:style>
  <w:style w:type="character" w:customStyle="1" w:styleId="95">
    <w:name w:val="first-child"/>
    <w:basedOn w:val="35"/>
    <w:autoRedefine/>
    <w:qFormat/>
    <w:uiPriority w:val="0"/>
    <w:rPr>
      <w:color w:val="1F3149"/>
      <w:sz w:val="24"/>
      <w:szCs w:val="24"/>
    </w:rPr>
  </w:style>
  <w:style w:type="character" w:customStyle="1" w:styleId="96">
    <w:name w:val="first-child1"/>
    <w:basedOn w:val="35"/>
    <w:autoRedefine/>
    <w:qFormat/>
    <w:uiPriority w:val="0"/>
    <w:rPr>
      <w:color w:val="1F3149"/>
      <w:sz w:val="24"/>
      <w:szCs w:val="24"/>
    </w:rPr>
  </w:style>
  <w:style w:type="character" w:customStyle="1" w:styleId="97">
    <w:name w:val="fr"/>
    <w:basedOn w:val="35"/>
    <w:autoRedefine/>
    <w:qFormat/>
    <w:uiPriority w:val="0"/>
  </w:style>
  <w:style w:type="character" w:customStyle="1" w:styleId="98">
    <w:name w:val="icon_ds"/>
    <w:basedOn w:val="35"/>
    <w:autoRedefine/>
    <w:qFormat/>
    <w:uiPriority w:val="0"/>
  </w:style>
  <w:style w:type="character" w:customStyle="1" w:styleId="99">
    <w:name w:val="icon_ds1"/>
    <w:basedOn w:val="35"/>
    <w:autoRedefine/>
    <w:qFormat/>
    <w:uiPriority w:val="0"/>
    <w:rPr>
      <w:sz w:val="21"/>
      <w:szCs w:val="21"/>
    </w:rPr>
  </w:style>
  <w:style w:type="character" w:customStyle="1" w:styleId="100">
    <w:name w:val="icon_gys"/>
    <w:basedOn w:val="35"/>
    <w:autoRedefine/>
    <w:qFormat/>
    <w:uiPriority w:val="0"/>
    <w:rPr>
      <w:sz w:val="21"/>
      <w:szCs w:val="21"/>
    </w:rPr>
  </w:style>
  <w:style w:type="character" w:customStyle="1" w:styleId="101">
    <w:name w:val="redio1"/>
    <w:basedOn w:val="35"/>
    <w:autoRedefine/>
    <w:qFormat/>
    <w:uiPriority w:val="0"/>
  </w:style>
  <w:style w:type="paragraph" w:customStyle="1" w:styleId="102">
    <w:name w:val="目录 21"/>
    <w:basedOn w:val="1"/>
    <w:autoRedefine/>
    <w:qFormat/>
    <w:uiPriority w:val="1"/>
    <w:pPr>
      <w:ind w:left="100"/>
    </w:pPr>
    <w:rPr>
      <w:rFonts w:ascii="宋体" w:hAnsi="宋体" w:eastAsia="宋体"/>
      <w:sz w:val="21"/>
      <w:szCs w:val="21"/>
    </w:rPr>
  </w:style>
  <w:style w:type="character" w:customStyle="1" w:styleId="103">
    <w:name w:val="font21"/>
    <w:basedOn w:val="35"/>
    <w:autoRedefine/>
    <w:qFormat/>
    <w:uiPriority w:val="0"/>
    <w:rPr>
      <w:rFonts w:hint="eastAsia" w:ascii="宋体" w:hAnsi="宋体" w:eastAsia="宋体" w:cs="宋体"/>
      <w:color w:val="000000"/>
      <w:sz w:val="26"/>
      <w:szCs w:val="26"/>
      <w:u w:val="none"/>
    </w:rPr>
  </w:style>
  <w:style w:type="character" w:customStyle="1" w:styleId="104">
    <w:name w:val="font31"/>
    <w:basedOn w:val="35"/>
    <w:autoRedefine/>
    <w:qFormat/>
    <w:uiPriority w:val="0"/>
    <w:rPr>
      <w:rFonts w:hint="eastAsia" w:ascii="宋体" w:hAnsi="宋体" w:eastAsia="宋体" w:cs="宋体"/>
      <w:color w:val="000000"/>
      <w:sz w:val="26"/>
      <w:szCs w:val="26"/>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A61200E-0FFB-4421-B7C7-8DCD1198AF6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61</Pages>
  <Words>29528</Words>
  <Characters>32039</Characters>
  <Lines>202</Lines>
  <Paragraphs>57</Paragraphs>
  <TotalTime>4</TotalTime>
  <ScaleCrop>false</ScaleCrop>
  <LinksUpToDate>false</LinksUpToDate>
  <CharactersWithSpaces>34782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2019-05-29T10:24:00Z</dcterms:created>
  <dc:creator>微软中国</dc:creator>
  <cp:lastModifiedBy>鱼卷卷</cp:lastModifiedBy>
  <cp:lastPrinted>2019-06-03T07:51:00Z</cp:lastPrinted>
  <dcterms:modified xsi:type="dcterms:W3CDTF">2026-10-14T02:26:48Z</dcterms:modified>
  <dc:title>杨尚斌2011.1.5</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7DC82EBDB5EF485D845E6782512DF76B_13</vt:lpwstr>
  </property>
  <property fmtid="{D5CDD505-2E9C-101B-9397-08002B2CF9AE}" pid="4" name="KSOTemplateDocerSaveRecord">
    <vt:lpwstr>eyJoZGlkIjoiNDY2OGFjYzNiYTBhYzk2YmY2OWU2NzZjMWE1NmUxZGMiLCJ1c2VySWQiOiIzMTE2MDEwMTUifQ==</vt:lpwstr>
  </property>
</Properties>
</file>