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2"/>
          <w:sz w:val="32"/>
          <w:szCs w:val="32"/>
          <w:lang w:eastAsia="zh-CN"/>
        </w:rPr>
      </w:pPr>
      <w:bookmarkStart w:id="0" w:name="_Hlk174565253"/>
      <w:bookmarkStart w:id="1" w:name="_Hlk174564997"/>
      <w:r>
        <w:rPr>
          <w:rFonts w:hint="eastAsia" w:ascii="宋体" w:hAnsi="宋体" w:eastAsia="宋体" w:cs="宋体"/>
          <w:b/>
          <w:bCs/>
          <w:snapToGrid/>
          <w:color w:val="auto"/>
          <w:kern w:val="2"/>
          <w:sz w:val="32"/>
          <w:szCs w:val="32"/>
          <w:lang w:eastAsia="zh-CN"/>
        </w:rPr>
        <w:drawing>
          <wp:inline distT="0" distB="0" distL="114300" distR="114300">
            <wp:extent cx="5608320" cy="9006205"/>
            <wp:effectExtent l="0" t="0" r="0" b="635"/>
            <wp:docPr id="3" name="图片 3" descr="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件封面"/>
                    <pic:cNvPicPr>
                      <a:picLocks noChangeAspect="1"/>
                    </pic:cNvPicPr>
                  </pic:nvPicPr>
                  <pic:blipFill>
                    <a:blip r:embed="rId16"/>
                    <a:stretch>
                      <a:fillRect/>
                    </a:stretch>
                  </pic:blipFill>
                  <pic:spPr>
                    <a:xfrm>
                      <a:off x="0" y="0"/>
                      <a:ext cx="5608320" cy="9006205"/>
                    </a:xfrm>
                    <a:prstGeom prst="rect">
                      <a:avLst/>
                    </a:prstGeom>
                  </pic:spPr>
                </pic:pic>
              </a:graphicData>
            </a:graphic>
          </wp:inline>
        </w:drawing>
      </w:r>
    </w:p>
    <w:p>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pPr>
        <w:kinsoku/>
        <w:wordWrap w:val="0"/>
        <w:spacing w:line="360" w:lineRule="auto"/>
        <w:jc w:val="center"/>
        <w:outlineLvl w:val="0"/>
        <w:rPr>
          <w:rFonts w:hint="eastAsia" w:ascii="宋体" w:hAnsi="宋体" w:eastAsia="宋体" w:cs="宋体"/>
          <w:sz w:val="52"/>
          <w:szCs w:val="52"/>
          <w:lang w:eastAsia="zh-CN"/>
        </w:rPr>
      </w:pPr>
      <w:r>
        <w:rPr>
          <w:rFonts w:hint="eastAsia" w:ascii="宋体" w:hAnsi="宋体" w:eastAsia="宋体" w:cs="宋体"/>
          <w:spacing w:val="-1"/>
          <w:sz w:val="52"/>
          <w:szCs w:val="52"/>
          <w:lang w:eastAsia="zh-CN"/>
          <w14:textOutline w14:w="3848" w14:cap="flat" w14:cmpd="sng" w14:algn="ctr">
            <w14:solidFill>
              <w14:srgbClr w14:val="000000"/>
            </w14:solidFill>
            <w14:prstDash w14:val="solid"/>
            <w14:miter w14:val="0"/>
          </w14:textOutline>
        </w:rPr>
        <w:t>南阳市卧龙区人民法院融合型科技法庭采购项目竞争性磋商文件</w:t>
      </w:r>
    </w:p>
    <w:p>
      <w:pPr>
        <w:kinsoku/>
        <w:wordWrap w:val="0"/>
        <w:spacing w:line="360" w:lineRule="auto"/>
        <w:jc w:val="center"/>
        <w:rPr>
          <w:rFonts w:hint="eastAsia" w:ascii="宋体" w:hAnsi="宋体" w:eastAsia="宋体" w:cs="宋体"/>
          <w:sz w:val="52"/>
          <w:szCs w:val="52"/>
          <w:lang w:eastAsia="zh-CN"/>
        </w:rPr>
      </w:pPr>
    </w:p>
    <w:p>
      <w:pPr>
        <w:kinsoku/>
        <w:wordWrap w:val="0"/>
        <w:spacing w:line="248"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32"/>
          <w:szCs w:val="32"/>
          <w:u w:val="single"/>
          <w:lang w:eastAsia="zh-CN"/>
        </w:rPr>
        <w:t>南阳市卧龙区人民法院融合型科技法庭采购项目</w:t>
      </w: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项目编号：</w:t>
      </w:r>
      <w:r>
        <w:rPr>
          <w:rFonts w:hint="eastAsia" w:asciiTheme="minorEastAsia" w:hAnsiTheme="minorEastAsia" w:eastAsiaTheme="minorEastAsia" w:cstheme="minorEastAsia"/>
          <w:b/>
          <w:bCs/>
          <w:spacing w:val="-17"/>
          <w:sz w:val="32"/>
          <w:szCs w:val="32"/>
          <w:u w:val="single"/>
          <w:lang w:eastAsia="zh-CN"/>
        </w:rPr>
        <w:t xml:space="preserve">豫财磋商采购-2024-896     </w:t>
      </w: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标段编号：</w:t>
      </w:r>
      <w:r>
        <w:rPr>
          <w:rFonts w:hint="eastAsia" w:asciiTheme="minorEastAsia" w:hAnsiTheme="minorEastAsia" w:eastAsiaTheme="minorEastAsia" w:cstheme="minorEastAsia"/>
          <w:b/>
          <w:bCs/>
          <w:spacing w:val="-17"/>
          <w:sz w:val="32"/>
          <w:szCs w:val="32"/>
          <w:u w:val="single"/>
          <w:lang w:eastAsia="zh-CN"/>
        </w:rPr>
        <w:t xml:space="preserve"> 豫财磋商采购-2024-896-1     </w:t>
      </w: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采购人：</w:t>
      </w:r>
      <w:r>
        <w:rPr>
          <w:rFonts w:hint="eastAsia" w:asciiTheme="minorEastAsia" w:hAnsiTheme="minorEastAsia" w:eastAsiaTheme="minorEastAsia" w:cstheme="minorEastAsia"/>
          <w:b/>
          <w:bCs/>
          <w:spacing w:val="-17"/>
          <w:sz w:val="32"/>
          <w:szCs w:val="32"/>
          <w:u w:val="single"/>
          <w:lang w:eastAsia="zh-CN"/>
        </w:rPr>
        <w:t xml:space="preserve"> 南阳市卧龙区人民法院         </w:t>
      </w: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b/>
          <w:bCs/>
          <w:spacing w:val="-17"/>
          <w:sz w:val="32"/>
          <w:szCs w:val="32"/>
          <w:u w:val="single"/>
          <w:lang w:eastAsia="zh-CN"/>
        </w:rPr>
        <w:t xml:space="preserve">河南豫尧工程管理有限责任公司   </w:t>
      </w:r>
    </w:p>
    <w:p>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pPr>
        <w:pStyle w:val="9"/>
        <w:rPr>
          <w:rFonts w:hint="eastAsia"/>
          <w:lang w:eastAsia="zh-CN"/>
        </w:rPr>
      </w:pPr>
    </w:p>
    <w:p>
      <w:pPr>
        <w:pStyle w:val="10"/>
      </w:pPr>
    </w:p>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2"/>
          <w:sz w:val="32"/>
          <w:szCs w:val="32"/>
          <w:lang w:eastAsia="zh-CN"/>
        </w:rPr>
      </w:pPr>
    </w:p>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2"/>
          <w:sz w:val="32"/>
          <w:szCs w:val="32"/>
          <w:lang w:eastAsia="zh-CN"/>
        </w:rPr>
      </w:pPr>
    </w:p>
    <w:sdt>
      <w:sdtPr>
        <w:rPr>
          <w:rFonts w:hint="eastAsia" w:ascii="宋体" w:hAnsi="宋体" w:eastAsia="宋体" w:cs="宋体"/>
          <w:b/>
          <w:bCs/>
          <w:snapToGrid/>
          <w:color w:val="auto"/>
          <w:kern w:val="2"/>
          <w:sz w:val="32"/>
          <w:szCs w:val="32"/>
          <w:lang w:eastAsia="zh-CN"/>
        </w:rPr>
        <w:id w:val="147462569"/>
        <w15:color w:val="DBDBDB"/>
        <w:docPartObj>
          <w:docPartGallery w:val="Table of Contents"/>
          <w:docPartUnique/>
        </w:docPartObj>
      </w:sdtPr>
      <w:sdtEndPr>
        <w:rPr>
          <w:rFonts w:hint="eastAsia" w:ascii="Calibri" w:hAnsi="Calibri" w:eastAsia="宋体" w:cs="Times New Roman"/>
          <w:b/>
          <w:bCs/>
          <w:snapToGrid/>
          <w:color w:val="auto"/>
          <w:kern w:val="2"/>
          <w:sz w:val="21"/>
          <w:szCs w:val="32"/>
          <w:lang w:eastAsia="zh-CN"/>
        </w:rPr>
      </w:sdtEndPr>
      <w:sdtContent>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2"/>
              <w:sz w:val="32"/>
              <w:szCs w:val="32"/>
              <w:lang w:eastAsia="zh-CN"/>
            </w:rPr>
          </w:pPr>
          <w:r>
            <w:rPr>
              <w:rFonts w:hint="eastAsia" w:ascii="宋体" w:hAnsi="宋体" w:eastAsia="宋体" w:cs="宋体"/>
              <w:b/>
              <w:bCs/>
              <w:snapToGrid/>
              <w:color w:val="auto"/>
              <w:kern w:val="2"/>
              <w:sz w:val="32"/>
              <w:szCs w:val="32"/>
              <w:lang w:eastAsia="zh-CN"/>
            </w:rPr>
            <w:t>目     录</w:t>
          </w:r>
        </w:p>
        <w:p>
          <w:pPr>
            <w:widowControl w:val="0"/>
            <w:kinsoku/>
            <w:autoSpaceDE/>
            <w:autoSpaceDN/>
            <w:adjustRightInd/>
            <w:snapToGrid/>
            <w:spacing w:line="360" w:lineRule="auto"/>
            <w:jc w:val="center"/>
            <w:textAlignment w:val="auto"/>
            <w:rPr>
              <w:rFonts w:ascii="Calibri" w:hAnsi="Calibri" w:eastAsia="宋体" w:cs="Times New Roman"/>
              <w:b/>
              <w:bCs/>
              <w:snapToGrid/>
              <w:color w:val="auto"/>
              <w:kern w:val="2"/>
              <w:sz w:val="28"/>
              <w:szCs w:val="32"/>
              <w:lang w:eastAsia="zh-CN"/>
            </w:rPr>
          </w:pPr>
        </w:p>
      </w:sdtContent>
    </w:sdt>
    <w:p>
      <w:pPr>
        <w:widowControl w:val="0"/>
        <w:kinsoku/>
        <w:autoSpaceDE/>
        <w:autoSpaceDN/>
        <w:adjustRightInd/>
        <w:snapToGrid/>
        <w:spacing w:line="360" w:lineRule="auto"/>
        <w:jc w:val="center"/>
        <w:textAlignment w:val="auto"/>
        <w:rPr>
          <w:rFonts w:ascii="Calibri" w:hAnsi="Calibri" w:eastAsia="宋体" w:cs="Times New Roman"/>
          <w:b/>
          <w:bCs/>
          <w:snapToGrid/>
          <w:color w:val="auto"/>
          <w:kern w:val="2"/>
          <w:sz w:val="28"/>
          <w:szCs w:val="32"/>
          <w:lang w:eastAsia="zh-CN"/>
        </w:rPr>
      </w:pP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第一章   公开招标公告</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第二章   采购需求</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 xml:space="preserve">第三章   投标人须知 </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 xml:space="preserve">第四章   开、评标程序、评标方法和评标标准 </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第五章   政府采购合同（草案）</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第六章   投标文件格式</w:t>
      </w:r>
    </w:p>
    <w:p>
      <w:pPr>
        <w:widowControl w:val="0"/>
        <w:kinsoku/>
        <w:autoSpaceDE/>
        <w:autoSpaceDN/>
        <w:adjustRightInd/>
        <w:snapToGrid/>
        <w:spacing w:line="360" w:lineRule="auto"/>
        <w:jc w:val="center"/>
        <w:textAlignment w:val="auto"/>
        <w:rPr>
          <w:rFonts w:ascii="Calibri" w:hAnsi="Calibri" w:eastAsia="宋体" w:cs="Times New Roman"/>
          <w:b/>
          <w:bCs/>
          <w:snapToGrid/>
          <w:color w:val="auto"/>
          <w:kern w:val="2"/>
          <w:sz w:val="28"/>
          <w:szCs w:val="32"/>
          <w:lang w:eastAsia="zh-CN"/>
        </w:rPr>
        <w:sectPr>
          <w:pgSz w:w="11900" w:h="16838"/>
          <w:pgMar w:top="1334" w:right="1346" w:bottom="1315" w:left="1440" w:header="170" w:footer="964" w:gutter="0"/>
          <w:pgNumType w:start="1"/>
          <w:cols w:equalWidth="0" w:num="1">
            <w:col w:w="9120"/>
          </w:cols>
        </w:sect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bookmarkStart w:id="2" w:name="_Toc25660"/>
    </w:p>
    <w:p>
      <w:pPr>
        <w:widowControl w:val="0"/>
        <w:numPr>
          <w:ilvl w:val="0"/>
          <w:numId w:val="1"/>
        </w:numPr>
        <w:kinsoku/>
        <w:autoSpaceDE/>
        <w:autoSpaceDN/>
        <w:adjustRightInd/>
        <w:snapToGrid/>
        <w:spacing w:line="360" w:lineRule="auto"/>
        <w:jc w:val="center"/>
        <w:textAlignment w:val="auto"/>
        <w:outlineLvl w:val="0"/>
        <w:rPr>
          <w:rFonts w:ascii="Calibri" w:hAnsi="Calibri" w:eastAsia="宋体" w:cs="Times New Roman"/>
          <w:b/>
          <w:bCs/>
          <w:snapToGrid/>
          <w:color w:val="auto"/>
          <w:kern w:val="2"/>
          <w:sz w:val="28"/>
          <w:szCs w:val="32"/>
          <w:lang w:eastAsia="zh-CN"/>
        </w:rPr>
      </w:pPr>
      <w:r>
        <w:rPr>
          <w:rFonts w:hint="eastAsia" w:ascii="Calibri" w:hAnsi="Calibri" w:eastAsia="宋体" w:cs="Times New Roman"/>
          <w:b/>
          <w:bCs/>
          <w:snapToGrid/>
          <w:color w:val="auto"/>
          <w:kern w:val="2"/>
          <w:sz w:val="28"/>
          <w:szCs w:val="32"/>
          <w:lang w:eastAsia="zh-CN"/>
        </w:rPr>
        <w:t>采购公告</w:t>
      </w:r>
      <w:bookmarkEnd w:id="2"/>
      <w:bookmarkStart w:id="3" w:name="_Toc23479"/>
      <w:bookmarkStart w:id="4" w:name="_Toc503213126"/>
      <w:bookmarkStart w:id="5" w:name="_Toc22183"/>
      <w:bookmarkStart w:id="6" w:name="_Toc270604573"/>
      <w:bookmarkStart w:id="7" w:name="_Toc410126998"/>
    </w:p>
    <w:p>
      <w:pPr>
        <w:keepNext w:val="0"/>
        <w:keepLines w:val="0"/>
        <w:pageBreakBefore w:val="0"/>
        <w:kinsoku/>
        <w:overflowPunct/>
        <w:topLinePunct w:val="0"/>
        <w:autoSpaceDE/>
        <w:autoSpaceDN/>
        <w:bidi w:val="0"/>
        <w:adjustRightInd/>
        <w:snapToGrid/>
        <w:spacing w:before="180" w:line="500" w:lineRule="exact"/>
        <w:ind w:right="60"/>
        <w:jc w:val="both"/>
        <w:textAlignment w:val="auto"/>
        <w:rPr>
          <w:rFonts w:hint="eastAsia" w:ascii="宋体" w:hAnsi="宋体" w:eastAsia="宋体" w:cs="宋体"/>
          <w:b/>
          <w:bCs/>
          <w:snapToGrid/>
          <w:sz w:val="32"/>
          <w:szCs w:val="32"/>
          <w:lang w:eastAsia="zh-CN"/>
        </w:rPr>
      </w:pPr>
      <w:bookmarkStart w:id="8" w:name="_Toc23002"/>
      <w:r>
        <w:rPr>
          <w:rFonts w:hint="eastAsia" w:ascii="宋体" w:hAnsi="宋体" w:eastAsia="宋体" w:cs="宋体"/>
          <w:b/>
          <w:bCs/>
          <w:snapToGrid/>
          <w:sz w:val="32"/>
          <w:szCs w:val="32"/>
          <w:lang w:eastAsia="zh-CN"/>
        </w:rPr>
        <w:t>南阳市卧龙区人民法院融合型科技法庭采购项目采购公告</w:t>
      </w:r>
    </w:p>
    <w:p>
      <w:pPr>
        <w:keepNext w:val="0"/>
        <w:keepLines w:val="0"/>
        <w:pageBreakBefore w:val="0"/>
        <w:widowControl/>
        <w:kinsoku/>
        <w:wordWrap/>
        <w:overflowPunct/>
        <w:topLinePunct w:val="0"/>
        <w:autoSpaceDE/>
        <w:autoSpaceDN/>
        <w:bidi w:val="0"/>
        <w:adjustRightInd/>
        <w:snapToGrid/>
        <w:spacing w:before="180" w:line="500" w:lineRule="exact"/>
        <w:ind w:right="62" w:firstLine="480" w:firstLineChars="200"/>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采购人拟就下述项目以竞争性磋商方式组织采购活动，欢迎潜在供应商参与本项目磋商。</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Times New Roman"/>
          <w:snapToGrid/>
          <w:color w:val="auto"/>
          <w:sz w:val="18"/>
          <w:szCs w:val="18"/>
          <w:lang w:eastAsia="zh-CN"/>
        </w:rPr>
      </w:pPr>
      <w:r>
        <w:rPr>
          <w:rFonts w:hint="eastAsia" w:ascii="宋体" w:hAnsi="宋体" w:eastAsia="宋体" w:cs="宋体"/>
          <w:b/>
          <w:snapToGrid/>
          <w:sz w:val="24"/>
          <w:szCs w:val="24"/>
          <w:lang w:eastAsia="zh-CN"/>
        </w:rPr>
        <w:t>一、项目基本情况</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1、项目编号：</w:t>
      </w:r>
      <w:bookmarkStart w:id="9" w:name="_Hlk174549726"/>
      <w:r>
        <w:rPr>
          <w:rFonts w:hint="eastAsia" w:ascii="宋体" w:hAnsi="宋体" w:eastAsia="宋体" w:cs="宋体"/>
          <w:snapToGrid/>
          <w:sz w:val="24"/>
          <w:szCs w:val="24"/>
          <w:lang w:eastAsia="zh-CN"/>
        </w:rPr>
        <w:t>豫财磋商采购-2024-8</w:t>
      </w:r>
      <w:bookmarkEnd w:id="9"/>
      <w:r>
        <w:rPr>
          <w:rFonts w:hint="eastAsia" w:ascii="宋体" w:hAnsi="宋体" w:eastAsia="宋体" w:cs="宋体"/>
          <w:snapToGrid/>
          <w:sz w:val="24"/>
          <w:szCs w:val="24"/>
          <w:lang w:eastAsia="zh-CN"/>
        </w:rPr>
        <w:t>96</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2、项目名称：</w:t>
      </w:r>
      <w:bookmarkStart w:id="10" w:name="_Hlk174549739"/>
      <w:r>
        <w:rPr>
          <w:rFonts w:hint="eastAsia" w:ascii="宋体" w:hAnsi="宋体" w:eastAsia="宋体" w:cs="宋体"/>
          <w:snapToGrid/>
          <w:sz w:val="24"/>
          <w:szCs w:val="24"/>
          <w:lang w:eastAsia="zh-CN"/>
        </w:rPr>
        <w:t>南阳市卧龙区人民法院融合型科技法庭采购项目</w:t>
      </w:r>
      <w:bookmarkEnd w:id="10"/>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3、采购方式：竞争性磋商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4、预算金额：人民币193万元；最高限价：人民币193万元 </w:t>
      </w:r>
    </w:p>
    <w:tbl>
      <w:tblPr>
        <w:tblStyle w:val="38"/>
        <w:tblW w:w="8877" w:type="dxa"/>
        <w:tblInd w:w="-4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7"/>
        <w:gridCol w:w="1800"/>
        <w:gridCol w:w="3812"/>
        <w:gridCol w:w="1148"/>
        <w:gridCol w:w="1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17"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序号</w:t>
            </w:r>
          </w:p>
        </w:tc>
        <w:tc>
          <w:tcPr>
            <w:tcW w:w="18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包号</w:t>
            </w:r>
          </w:p>
        </w:tc>
        <w:tc>
          <w:tcPr>
            <w:tcW w:w="3812"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包名称</w:t>
            </w:r>
          </w:p>
        </w:tc>
        <w:tc>
          <w:tcPr>
            <w:tcW w:w="1148"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包预算（元）</w:t>
            </w:r>
          </w:p>
        </w:tc>
        <w:tc>
          <w:tcPr>
            <w:tcW w:w="15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617"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w:t>
            </w:r>
          </w:p>
        </w:tc>
        <w:tc>
          <w:tcPr>
            <w:tcW w:w="18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both"/>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豫财磋商采购-2024-896-1</w:t>
            </w:r>
          </w:p>
        </w:tc>
        <w:tc>
          <w:tcPr>
            <w:tcW w:w="3812"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南阳市卧龙区人民法院融合型科技法庭采购项目第一标段</w:t>
            </w:r>
          </w:p>
        </w:tc>
        <w:tc>
          <w:tcPr>
            <w:tcW w:w="1148"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744800</w:t>
            </w:r>
          </w:p>
        </w:tc>
        <w:tc>
          <w:tcPr>
            <w:tcW w:w="15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744800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617"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2</w:t>
            </w:r>
          </w:p>
        </w:tc>
        <w:tc>
          <w:tcPr>
            <w:tcW w:w="18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both"/>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豫财磋商采购-2024-896-2</w:t>
            </w:r>
          </w:p>
        </w:tc>
        <w:tc>
          <w:tcPr>
            <w:tcW w:w="3812"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南阳市卧龙区人民法院融合型科技法庭采购项目第二标段</w:t>
            </w:r>
          </w:p>
        </w:tc>
        <w:tc>
          <w:tcPr>
            <w:tcW w:w="1148"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620000</w:t>
            </w:r>
          </w:p>
        </w:tc>
        <w:tc>
          <w:tcPr>
            <w:tcW w:w="15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620000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617"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w:t>
            </w:r>
          </w:p>
        </w:tc>
        <w:tc>
          <w:tcPr>
            <w:tcW w:w="18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both"/>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豫财磋商采购-2024-896-3</w:t>
            </w:r>
          </w:p>
        </w:tc>
        <w:tc>
          <w:tcPr>
            <w:tcW w:w="3812"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南阳市卧龙区人民法院融合型科技法庭采购项目第三标段</w:t>
            </w:r>
          </w:p>
        </w:tc>
        <w:tc>
          <w:tcPr>
            <w:tcW w:w="1148"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565200</w:t>
            </w:r>
          </w:p>
        </w:tc>
        <w:tc>
          <w:tcPr>
            <w:tcW w:w="15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565200</w:t>
            </w:r>
          </w:p>
        </w:tc>
      </w:tr>
    </w:tbl>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 5、采购需求（包括但不限于标的的名称、数量、简要技术需求或服务要求等）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5.1、供货期：合同签订之日起15日历天</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5.2、采购范围：采购文件及设备清单内包含的所有内容</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5.3、质量要求：合格</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5.4、标段划分：本项目划分为三个标段</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5.5、质保期：硬件提供3年整机质保，1年上门服务，7×24小时电话响应支持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6、合同履行期限：15日历天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7、本项目是否接受联合体投标：否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8、是否接受进口产品：否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9、是否专门面向中小企业：否 </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二、申请人资格要求（须同时满足）：</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1、满足《中华人民共和国政府采购法》第二十二条规定；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2. 落实政府采购政策满足的资格要求：按照《政府采购促进中小企业发展管理办法》《财政部、司法部关于政府采购支持监狱企业发展有关问题的通知》《三部门联合发布关于促进残疾人就业政府采购政策的通知》的规定，扶持中小企业、监</w:t>
      </w:r>
      <w:bookmarkStart w:id="19" w:name="_GoBack"/>
      <w:bookmarkEnd w:id="19"/>
      <w:r>
        <w:rPr>
          <w:rFonts w:hint="eastAsia" w:ascii="宋体" w:hAnsi="宋体" w:eastAsia="宋体" w:cs="宋体"/>
          <w:snapToGrid/>
          <w:sz w:val="24"/>
          <w:szCs w:val="24"/>
          <w:lang w:eastAsia="zh-CN"/>
        </w:rPr>
        <w:t>狱企业和残疾人福利性单位发展。</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本项目支持河南省政府采购合同融资政策。</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3.本项目的特定资格要求</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3.1具有独立承担民事责任的能力；（提供有效的法人或者其他组织的营业执照等证明文件，自然人投标的需提供自然人的身份证明）</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3.2具有良好的商业信誉和健全的财务会计管理制度；（提供2023年或2024年经审计的财务报告或本公司出具的财务报表，或提供近三个月内其银行出具的资信证明）</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3.3具有履行合同所必须的设备和专业技术能力；（提供书面声明，内容不限，格式自拟）</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3.4有依法缴纳税收和社会保障资金的良好记录；（提供2024年内任意1个月纳税和社保证明材料&lt;依法免税或不需要缴纳社会保障资金的供应商，应提供相应文件证明其依法免税或不需要缴纳社会保障金的证明材料&gt;）</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3.5参加政府采购活动前三年内，在经营活动中没有重大违法记录。（提供书面声明，见格式）</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3.6根据《关于在政府采购活动中查询及使用信用记录有关问题的通知》(财库[2016]125 号) 的规定，被列入“信用中国”网站（www.creditchina.gov.cn）的“失信被执行人”（查询渠道为“中国执行信息公开网”网站(zxgk.court.gov.cn/shixin/））、“重大税收违法失信主体”或“中国政府采购网”网站（www.ccgp.gov.cn）的“政府采购严重违法失信行为记录名单”的供应商，不得参与本次采购活动。查询时间：本项目采购公告发布之后。</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3.7与采购人、采购人就本次采购的项目委托的招标代理机构以及上述机构的附属机构没有行政或经济关联。单位负责人为同一人或者存在直接控股、管理关系的不同供应商，不得参加同一合同项下的政府采购活动；（提供书面声明，内容不限，格式自拟）</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3.8 遵守国家有关法律、法规、规章。</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宋体"/>
          <w:b/>
          <w:snapToGrid/>
          <w:sz w:val="24"/>
          <w:szCs w:val="24"/>
          <w:lang w:eastAsia="zh-CN"/>
        </w:rPr>
      </w:pPr>
      <w:bookmarkStart w:id="11" w:name="_Toc172617108"/>
      <w:r>
        <w:rPr>
          <w:rFonts w:hint="eastAsia" w:ascii="宋体" w:hAnsi="宋体" w:eastAsia="宋体" w:cs="宋体"/>
          <w:b/>
          <w:snapToGrid/>
          <w:sz w:val="24"/>
          <w:szCs w:val="24"/>
          <w:lang w:eastAsia="zh-CN"/>
        </w:rPr>
        <w:t>三、落实政府采购政策需满足的资格要求:</w:t>
      </w:r>
      <w:bookmarkEnd w:id="11"/>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1.中小企业政策</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本项目不专门面向中小企业预留采购份额。</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hint="eastAsia" w:ascii="Segoe UI Symbol" w:hAnsi="Segoe UI Symbol" w:eastAsia="宋体" w:cs="Segoe UI Symbol"/>
          <w:sz w:val="24"/>
          <w:szCs w:val="24"/>
          <w:lang w:eastAsia="zh-CN"/>
        </w:rPr>
        <w:t>□</w:t>
      </w:r>
      <w:r>
        <w:rPr>
          <w:rFonts w:ascii="宋体" w:hAnsi="宋体" w:eastAsia="宋体"/>
          <w:sz w:val="24"/>
          <w:szCs w:val="24"/>
          <w:lang w:eastAsia="zh-CN"/>
        </w:rPr>
        <w:t>本项目专门面向中小企业采购。即：提供的货物全部由符合政策要求的中小/微企业制造、服务全部由符合政策要求的中小/微企业承接。中小企业划分标准所属行业</w:t>
      </w:r>
      <w:r>
        <w:rPr>
          <w:rFonts w:hint="eastAsia" w:ascii="宋体" w:hAnsi="宋体" w:eastAsia="宋体"/>
          <w:sz w:val="24"/>
          <w:szCs w:val="24"/>
          <w:lang w:eastAsia="zh-CN"/>
        </w:rPr>
        <w:t>：所有包为</w:t>
      </w:r>
      <w:r>
        <w:rPr>
          <w:rFonts w:ascii="宋体" w:hAnsi="宋体" w:eastAsia="宋体"/>
          <w:sz w:val="24"/>
          <w:szCs w:val="24"/>
          <w:lang w:eastAsia="zh-CN"/>
        </w:rPr>
        <w:t>软件和信息技术服务业</w:t>
      </w:r>
      <w:r>
        <w:rPr>
          <w:rFonts w:hint="eastAsia" w:ascii="宋体" w:hAnsi="宋体" w:eastAsia="宋体"/>
          <w:sz w:val="24"/>
          <w:szCs w:val="24"/>
          <w:lang w:eastAsia="zh-CN"/>
        </w:rPr>
        <w:t>。</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□本项目预留部分采购项目预算专门面向中小企业采购。对于预留份额，提供的货物由符合政策要求的中小/微企业制造、服务由符合政策要求的中小/微企业承接。预留份额通过以下措施进行：预留金额</w:t>
      </w:r>
      <w:r>
        <w:rPr>
          <w:rFonts w:hint="eastAsia" w:ascii="宋体" w:hAnsi="宋体" w:eastAsia="宋体"/>
          <w:sz w:val="24"/>
          <w:szCs w:val="24"/>
          <w:lang w:eastAsia="zh-CN"/>
        </w:rPr>
        <w:t xml:space="preserve"> </w:t>
      </w:r>
      <w:r>
        <w:rPr>
          <w:rFonts w:ascii="宋体" w:hAnsi="宋体" w:eastAsia="宋体"/>
          <w:sz w:val="24"/>
          <w:szCs w:val="24"/>
          <w:lang w:eastAsia="zh-CN"/>
        </w:rPr>
        <w:t xml:space="preserve"> </w:t>
      </w:r>
      <w:r>
        <w:rPr>
          <w:rFonts w:hint="eastAsia" w:ascii="宋体" w:hAnsi="宋体" w:eastAsia="宋体"/>
          <w:sz w:val="24"/>
          <w:szCs w:val="24"/>
          <w:lang w:eastAsia="zh-CN"/>
        </w:rPr>
        <w:t xml:space="preserve"> </w:t>
      </w:r>
      <w:r>
        <w:rPr>
          <w:rFonts w:ascii="宋体" w:hAnsi="宋体" w:eastAsia="宋体"/>
          <w:sz w:val="24"/>
          <w:szCs w:val="24"/>
          <w:lang w:eastAsia="zh-CN"/>
        </w:rPr>
        <w:t>万元或预留</w:t>
      </w:r>
      <w:r>
        <w:rPr>
          <w:rFonts w:hint="eastAsia" w:ascii="宋体" w:hAnsi="宋体" w:eastAsia="宋体"/>
          <w:sz w:val="24"/>
          <w:szCs w:val="24"/>
          <w:lang w:eastAsia="zh-CN"/>
        </w:rPr>
        <w:t xml:space="preserve">    </w:t>
      </w:r>
      <w:r>
        <w:rPr>
          <w:rFonts w:ascii="宋体" w:hAnsi="宋体" w:eastAsia="宋体"/>
          <w:sz w:val="24"/>
          <w:szCs w:val="24"/>
          <w:lang w:eastAsia="zh-CN"/>
        </w:rPr>
        <w:t>%份额。</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 xml:space="preserve">3.本项目支持河南省政府采购合同融资政策。 </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4.本项目是否属于政府购买服务：</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Segoe UI Symbol" w:hAnsi="Segoe UI Symbol" w:eastAsia="宋体" w:cs="Segoe UI Symbol"/>
          <w:sz w:val="24"/>
          <w:szCs w:val="24"/>
          <w:lang w:eastAsia="zh-CN"/>
        </w:rPr>
        <w:t>☑</w:t>
      </w:r>
      <w:r>
        <w:rPr>
          <w:rFonts w:ascii="宋体" w:hAnsi="宋体" w:eastAsia="宋体"/>
          <w:sz w:val="24"/>
          <w:szCs w:val="24"/>
          <w:lang w:eastAsia="zh-CN"/>
        </w:rPr>
        <w:t>否   □是，公益一类事业单位、使用事业编制且由财政拨款保障的群团组织，不得作为承接主体。</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5.本项目是否接受进口产品：</w:t>
      </w:r>
    </w:p>
    <w:p>
      <w:pPr>
        <w:keepNext w:val="0"/>
        <w:keepLines w:val="0"/>
        <w:pageBreakBefore w:val="0"/>
        <w:overflowPunct/>
        <w:topLinePunct w:val="0"/>
        <w:bidi w:val="0"/>
        <w:spacing w:line="500" w:lineRule="exact"/>
        <w:ind w:firstLine="480" w:firstLineChars="200"/>
        <w:rPr>
          <w:rFonts w:hint="eastAsia" w:ascii="宋体" w:hAnsi="宋体" w:eastAsia="宋体" w:cs="宋体"/>
          <w:snapToGrid/>
          <w:sz w:val="24"/>
          <w:szCs w:val="24"/>
          <w:lang w:eastAsia="zh-CN"/>
        </w:rPr>
      </w:pPr>
      <w:r>
        <w:rPr>
          <w:rFonts w:ascii="宋体" w:hAnsi="宋体" w:eastAsia="宋体"/>
          <w:sz w:val="24"/>
          <w:szCs w:val="24"/>
          <w:lang w:eastAsia="zh-CN"/>
        </w:rPr>
        <w:t xml:space="preserve">□接受进口产品  </w:t>
      </w:r>
      <w:r>
        <w:rPr>
          <w:rFonts w:ascii="Segoe UI Symbol" w:hAnsi="Segoe UI Symbol" w:eastAsia="宋体" w:cs="Segoe UI Symbol"/>
          <w:sz w:val="24"/>
          <w:szCs w:val="24"/>
          <w:lang w:eastAsia="zh-CN"/>
        </w:rPr>
        <w:t>☑</w:t>
      </w:r>
      <w:r>
        <w:rPr>
          <w:rFonts w:ascii="宋体" w:hAnsi="宋体" w:eastAsia="宋体"/>
          <w:sz w:val="24"/>
          <w:szCs w:val="24"/>
          <w:lang w:eastAsia="zh-CN"/>
        </w:rPr>
        <w:t>不接受进口产品</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四、获取采购文件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1.时间：2024年</w:t>
      </w:r>
      <w:r>
        <w:rPr>
          <w:rFonts w:hint="eastAsia" w:ascii="宋体" w:hAnsi="宋体" w:eastAsia="宋体" w:cs="宋体"/>
          <w:snapToGrid/>
          <w:sz w:val="24"/>
          <w:szCs w:val="24"/>
          <w:lang w:val="en-US" w:eastAsia="zh-CN"/>
        </w:rPr>
        <w:t>8</w:t>
      </w:r>
      <w:r>
        <w:rPr>
          <w:rFonts w:hint="eastAsia" w:ascii="宋体" w:hAnsi="宋体" w:eastAsia="宋体" w:cs="宋体"/>
          <w:snapToGrid/>
          <w:sz w:val="24"/>
          <w:szCs w:val="24"/>
          <w:lang w:eastAsia="zh-CN"/>
        </w:rPr>
        <w:t>月</w:t>
      </w:r>
      <w:r>
        <w:rPr>
          <w:rFonts w:hint="eastAsia" w:ascii="宋体" w:hAnsi="宋体" w:eastAsia="宋体" w:cs="宋体"/>
          <w:snapToGrid/>
          <w:sz w:val="24"/>
          <w:szCs w:val="24"/>
          <w:lang w:val="en-US" w:eastAsia="zh-CN"/>
        </w:rPr>
        <w:t>21</w:t>
      </w:r>
      <w:r>
        <w:rPr>
          <w:rFonts w:hint="eastAsia" w:ascii="宋体" w:hAnsi="宋体" w:eastAsia="宋体" w:cs="宋体"/>
          <w:snapToGrid/>
          <w:sz w:val="24"/>
          <w:szCs w:val="24"/>
          <w:lang w:eastAsia="zh-CN"/>
        </w:rPr>
        <w:t>日至2024年</w:t>
      </w:r>
      <w:r>
        <w:rPr>
          <w:rFonts w:hint="eastAsia" w:ascii="宋体" w:hAnsi="宋体" w:eastAsia="宋体" w:cs="宋体"/>
          <w:snapToGrid/>
          <w:sz w:val="24"/>
          <w:szCs w:val="24"/>
          <w:lang w:val="en-US" w:eastAsia="zh-CN"/>
        </w:rPr>
        <w:t>8</w:t>
      </w:r>
      <w:r>
        <w:rPr>
          <w:rFonts w:hint="eastAsia" w:ascii="宋体" w:hAnsi="宋体" w:eastAsia="宋体" w:cs="宋体"/>
          <w:snapToGrid/>
          <w:sz w:val="24"/>
          <w:szCs w:val="24"/>
          <w:lang w:eastAsia="zh-CN"/>
        </w:rPr>
        <w:t>月</w:t>
      </w:r>
      <w:r>
        <w:rPr>
          <w:rFonts w:hint="eastAsia" w:ascii="宋体" w:hAnsi="宋体" w:eastAsia="宋体" w:cs="宋体"/>
          <w:snapToGrid/>
          <w:sz w:val="24"/>
          <w:szCs w:val="24"/>
          <w:lang w:val="en-US" w:eastAsia="zh-CN"/>
        </w:rPr>
        <w:t>27</w:t>
      </w:r>
      <w:r>
        <w:rPr>
          <w:rFonts w:hint="eastAsia" w:ascii="宋体" w:hAnsi="宋体" w:eastAsia="宋体" w:cs="宋体"/>
          <w:snapToGrid/>
          <w:sz w:val="24"/>
          <w:szCs w:val="24"/>
          <w:lang w:eastAsia="zh-CN"/>
        </w:rPr>
        <w:t xml:space="preserve">日，每天上午08:00至12:00，下午12:00至18:00（北京时间，法定节假日除外。）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2.地点：南阳市公共资源交易中心网站https://ggzyjy.nanyang.gov.cn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4.售价：0元 </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五、响应文件提交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1.截止时间：2024年</w:t>
      </w:r>
      <w:r>
        <w:rPr>
          <w:rFonts w:hint="eastAsia" w:ascii="宋体" w:hAnsi="宋体" w:eastAsia="宋体" w:cs="宋体"/>
          <w:snapToGrid/>
          <w:sz w:val="24"/>
          <w:szCs w:val="24"/>
          <w:lang w:val="en-US" w:eastAsia="zh-CN"/>
        </w:rPr>
        <w:t>9</w:t>
      </w:r>
      <w:r>
        <w:rPr>
          <w:rFonts w:hint="eastAsia" w:ascii="宋体" w:hAnsi="宋体" w:eastAsia="宋体" w:cs="宋体"/>
          <w:snapToGrid/>
          <w:sz w:val="24"/>
          <w:szCs w:val="24"/>
          <w:lang w:eastAsia="zh-CN"/>
        </w:rPr>
        <w:t>月</w:t>
      </w:r>
      <w:r>
        <w:rPr>
          <w:rFonts w:hint="eastAsia" w:ascii="宋体" w:hAnsi="宋体" w:eastAsia="宋体" w:cs="宋体"/>
          <w:snapToGrid/>
          <w:sz w:val="24"/>
          <w:szCs w:val="24"/>
          <w:lang w:val="en-US" w:eastAsia="zh-CN"/>
        </w:rPr>
        <w:t>4</w:t>
      </w:r>
      <w:r>
        <w:rPr>
          <w:rFonts w:hint="eastAsia" w:ascii="宋体" w:hAnsi="宋体" w:eastAsia="宋体" w:cs="宋体"/>
          <w:snapToGrid/>
          <w:sz w:val="24"/>
          <w:szCs w:val="24"/>
          <w:lang w:eastAsia="zh-CN"/>
        </w:rPr>
        <w:t>日</w:t>
      </w:r>
      <w:r>
        <w:rPr>
          <w:rFonts w:hint="eastAsia" w:ascii="宋体" w:hAnsi="宋体" w:eastAsia="宋体" w:cs="宋体"/>
          <w:snapToGrid/>
          <w:sz w:val="24"/>
          <w:szCs w:val="24"/>
          <w:lang w:val="en-US" w:eastAsia="zh-CN"/>
        </w:rPr>
        <w:t>09</w:t>
      </w:r>
      <w:r>
        <w:rPr>
          <w:rFonts w:hint="eastAsia" w:ascii="宋体" w:hAnsi="宋体" w:eastAsia="宋体" w:cs="宋体"/>
          <w:snapToGrid/>
          <w:sz w:val="24"/>
          <w:szCs w:val="24"/>
          <w:lang w:eastAsia="zh-CN"/>
        </w:rPr>
        <w:t>时</w:t>
      </w:r>
      <w:r>
        <w:rPr>
          <w:rFonts w:hint="eastAsia" w:ascii="宋体" w:hAnsi="宋体" w:eastAsia="宋体" w:cs="宋体"/>
          <w:snapToGrid/>
          <w:sz w:val="24"/>
          <w:szCs w:val="24"/>
          <w:lang w:val="en-US" w:eastAsia="zh-CN"/>
        </w:rPr>
        <w:t>00</w:t>
      </w:r>
      <w:r>
        <w:rPr>
          <w:rFonts w:hint="eastAsia" w:ascii="宋体" w:hAnsi="宋体" w:eastAsia="宋体" w:cs="宋体"/>
          <w:snapToGrid/>
          <w:sz w:val="24"/>
          <w:szCs w:val="24"/>
          <w:lang w:eastAsia="zh-CN"/>
        </w:rPr>
        <w:t xml:space="preserve">分（北京时间）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2.地点：南阳市公共资源交易中心网站https://ggzyjy.nanyang.gov.cn </w:t>
      </w:r>
    </w:p>
    <w:p>
      <w:pPr>
        <w:keepNext w:val="0"/>
        <w:keepLines w:val="0"/>
        <w:pageBreakBefore w:val="0"/>
        <w:kinsoku/>
        <w:overflowPunct/>
        <w:topLinePunct w:val="0"/>
        <w:autoSpaceDE/>
        <w:autoSpaceDN/>
        <w:bidi w:val="0"/>
        <w:adjustRightInd/>
        <w:snapToGrid/>
        <w:spacing w:before="150" w:line="52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六、响应文件开启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1.时间：2024年</w:t>
      </w:r>
      <w:r>
        <w:rPr>
          <w:rFonts w:hint="eastAsia" w:ascii="宋体" w:hAnsi="宋体" w:eastAsia="宋体" w:cs="宋体"/>
          <w:snapToGrid/>
          <w:sz w:val="24"/>
          <w:szCs w:val="24"/>
          <w:lang w:val="en-US" w:eastAsia="zh-CN"/>
        </w:rPr>
        <w:t>9</w:t>
      </w:r>
      <w:r>
        <w:rPr>
          <w:rFonts w:hint="eastAsia" w:ascii="宋体" w:hAnsi="宋体" w:eastAsia="宋体" w:cs="宋体"/>
          <w:snapToGrid/>
          <w:sz w:val="24"/>
          <w:szCs w:val="24"/>
          <w:lang w:eastAsia="zh-CN"/>
        </w:rPr>
        <w:t>月</w:t>
      </w:r>
      <w:r>
        <w:rPr>
          <w:rFonts w:hint="eastAsia" w:ascii="宋体" w:hAnsi="宋体" w:eastAsia="宋体" w:cs="宋体"/>
          <w:snapToGrid/>
          <w:sz w:val="24"/>
          <w:szCs w:val="24"/>
          <w:lang w:val="en-US" w:eastAsia="zh-CN"/>
        </w:rPr>
        <w:t>4</w:t>
      </w:r>
      <w:r>
        <w:rPr>
          <w:rFonts w:hint="eastAsia" w:ascii="宋体" w:hAnsi="宋体" w:eastAsia="宋体" w:cs="宋体"/>
          <w:snapToGrid/>
          <w:sz w:val="24"/>
          <w:szCs w:val="24"/>
          <w:lang w:eastAsia="zh-CN"/>
        </w:rPr>
        <w:t>日</w:t>
      </w:r>
      <w:r>
        <w:rPr>
          <w:rFonts w:hint="eastAsia" w:ascii="宋体" w:hAnsi="宋体" w:eastAsia="宋体" w:cs="宋体"/>
          <w:snapToGrid/>
          <w:sz w:val="24"/>
          <w:szCs w:val="24"/>
          <w:lang w:val="en-US" w:eastAsia="zh-CN"/>
        </w:rPr>
        <w:t>09</w:t>
      </w:r>
      <w:r>
        <w:rPr>
          <w:rFonts w:hint="eastAsia" w:ascii="宋体" w:hAnsi="宋体" w:eastAsia="宋体" w:cs="宋体"/>
          <w:snapToGrid/>
          <w:sz w:val="24"/>
          <w:szCs w:val="24"/>
          <w:lang w:eastAsia="zh-CN"/>
        </w:rPr>
        <w:t xml:space="preserve"> 时</w:t>
      </w:r>
      <w:r>
        <w:rPr>
          <w:rFonts w:hint="eastAsia" w:ascii="宋体" w:hAnsi="宋体" w:eastAsia="宋体" w:cs="宋体"/>
          <w:snapToGrid/>
          <w:sz w:val="24"/>
          <w:szCs w:val="24"/>
          <w:lang w:val="en-US" w:eastAsia="zh-CN"/>
        </w:rPr>
        <w:t>00</w:t>
      </w:r>
      <w:r>
        <w:rPr>
          <w:rFonts w:hint="eastAsia" w:ascii="宋体" w:hAnsi="宋体" w:eastAsia="宋体" w:cs="宋体"/>
          <w:snapToGrid/>
          <w:sz w:val="24"/>
          <w:szCs w:val="24"/>
          <w:lang w:eastAsia="zh-CN"/>
        </w:rPr>
        <w:t xml:space="preserve">分（北京时间）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2.地点：南阳市公共资源交易中心网站https://ggzyjy.nanyang.gov.cn，本项目使用不见面开标，供应商无需前往现场来参与投标。 </w:t>
      </w:r>
    </w:p>
    <w:p>
      <w:pPr>
        <w:keepNext w:val="0"/>
        <w:keepLines w:val="0"/>
        <w:pageBreakBefore w:val="0"/>
        <w:kinsoku/>
        <w:overflowPunct/>
        <w:topLinePunct w:val="0"/>
        <w:autoSpaceDE/>
        <w:autoSpaceDN/>
        <w:bidi w:val="0"/>
        <w:adjustRightInd/>
        <w:snapToGrid/>
        <w:spacing w:before="150" w:line="52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七、发布公告的媒介及招标公告期限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本次招标公告在《河南省政府采购网》《南阳市公共资源交易中心网》发布， 招标公告期限为三个工作日 。  </w:t>
      </w:r>
    </w:p>
    <w:p>
      <w:pPr>
        <w:keepNext w:val="0"/>
        <w:keepLines w:val="0"/>
        <w:pageBreakBefore w:val="0"/>
        <w:kinsoku/>
        <w:overflowPunct/>
        <w:topLinePunct w:val="0"/>
        <w:autoSpaceDE/>
        <w:autoSpaceDN/>
        <w:bidi w:val="0"/>
        <w:adjustRightInd/>
        <w:snapToGrid/>
        <w:spacing w:before="150" w:line="52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八、其他补充事宜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二次报价时间及报价注意事项：请供应商在开标结束后，时刻注意系统提示信息，专家小组会在系统上发起二次报价，请供应商及时在规定的时间段内填报二次报价。二次报价结束后方可离开，不进行二次报价的视为放弃磋商。 </w:t>
      </w:r>
    </w:p>
    <w:p>
      <w:pPr>
        <w:keepNext w:val="0"/>
        <w:keepLines w:val="0"/>
        <w:pageBreakBefore w:val="0"/>
        <w:kinsoku/>
        <w:overflowPunct/>
        <w:topLinePunct w:val="0"/>
        <w:autoSpaceDE/>
        <w:autoSpaceDN/>
        <w:bidi w:val="0"/>
        <w:adjustRightInd/>
        <w:snapToGrid/>
        <w:spacing w:before="150" w:line="52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九、对本次采购提出询问，请按以下方式联系。</w:t>
      </w:r>
    </w:p>
    <w:p>
      <w:pPr>
        <w:keepNext w:val="0"/>
        <w:keepLines w:val="0"/>
        <w:pageBreakBefore w:val="0"/>
        <w:widowControl w:val="0"/>
        <w:shd w:val="clear" w:color="auto" w:fill="FFFFFF"/>
        <w:kinsoku/>
        <w:wordWrap w:val="0"/>
        <w:overflowPunct/>
        <w:topLinePunct w:val="0"/>
        <w:autoSpaceDE/>
        <w:autoSpaceDN/>
        <w:bidi w:val="0"/>
        <w:adjustRightInd/>
        <w:snapToGrid/>
        <w:spacing w:line="520" w:lineRule="exact"/>
        <w:ind w:firstLine="464" w:firstLineChars="200"/>
        <w:jc w:val="both"/>
        <w:textAlignment w:val="auto"/>
        <w:rPr>
          <w:rFonts w:hint="eastAsia" w:ascii="宋体" w:hAnsi="宋体" w:eastAsia="宋体" w:cs="宋体"/>
          <w:snapToGrid/>
          <w:color w:val="auto"/>
          <w:spacing w:val="-4"/>
          <w:kern w:val="2"/>
          <w:sz w:val="24"/>
          <w:szCs w:val="24"/>
          <w:lang w:eastAsia="zh-CN"/>
        </w:rPr>
      </w:pPr>
      <w:r>
        <w:rPr>
          <w:rFonts w:hint="eastAsia" w:ascii="宋体" w:hAnsi="宋体" w:eastAsia="宋体" w:cs="宋体"/>
          <w:snapToGrid/>
          <w:color w:val="auto"/>
          <w:spacing w:val="-4"/>
          <w:kern w:val="2"/>
          <w:sz w:val="24"/>
          <w:szCs w:val="24"/>
          <w:lang w:eastAsia="zh-CN"/>
        </w:rPr>
        <w:t xml:space="preserve">1. 采购人信息 </w:t>
      </w:r>
    </w:p>
    <w:p>
      <w:pPr>
        <w:keepNext w:val="0"/>
        <w:keepLines w:val="0"/>
        <w:pageBreakBefore w:val="0"/>
        <w:widowControl w:val="0"/>
        <w:shd w:val="clear" w:color="auto" w:fill="FFFFFF"/>
        <w:kinsoku/>
        <w:wordWrap w:val="0"/>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snapToGrid/>
          <w:color w:val="auto"/>
          <w:spacing w:val="-4"/>
          <w:kern w:val="2"/>
          <w:sz w:val="24"/>
          <w:szCs w:val="24"/>
          <w:lang w:eastAsia="zh-CN"/>
        </w:rPr>
      </w:pPr>
      <w:r>
        <w:rPr>
          <w:rFonts w:hint="eastAsia" w:ascii="宋体" w:hAnsi="宋体" w:eastAsia="宋体" w:cs="宋体"/>
          <w:snapToGrid/>
          <w:color w:val="auto"/>
          <w:spacing w:val="-4"/>
          <w:kern w:val="2"/>
          <w:sz w:val="24"/>
          <w:szCs w:val="24"/>
          <w:lang w:eastAsia="zh-CN"/>
        </w:rPr>
        <w:t xml:space="preserve">名称：南阳市卧龙区人民法院 </w:t>
      </w:r>
    </w:p>
    <w:p>
      <w:pPr>
        <w:keepNext w:val="0"/>
        <w:keepLines w:val="0"/>
        <w:pageBreakBefore w:val="0"/>
        <w:widowControl w:val="0"/>
        <w:shd w:val="clear" w:color="auto" w:fill="FFFFFF"/>
        <w:kinsoku/>
        <w:wordWrap w:val="0"/>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snapToGrid/>
          <w:color w:val="auto"/>
          <w:spacing w:val="-4"/>
          <w:kern w:val="2"/>
          <w:sz w:val="24"/>
          <w:szCs w:val="24"/>
          <w:lang w:eastAsia="zh-CN"/>
        </w:rPr>
      </w:pPr>
      <w:r>
        <w:rPr>
          <w:rFonts w:hint="eastAsia" w:ascii="宋体" w:hAnsi="宋体" w:eastAsia="宋体" w:cs="宋体"/>
          <w:snapToGrid/>
          <w:color w:val="auto"/>
          <w:spacing w:val="-4"/>
          <w:kern w:val="2"/>
          <w:sz w:val="24"/>
          <w:szCs w:val="24"/>
          <w:lang w:eastAsia="zh-CN"/>
        </w:rPr>
        <w:t xml:space="preserve">地址：南阳市人民北路968号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联系人：徐先生</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联系方式：17603771113</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2.采购代理机构信息（如有）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名称：河南豫尧工程管理有限责任公司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地址：河南省南阳市城乡一体化示范区新店乡菱新路草店村188号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联系人：马女士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联系方式：18703756881</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3.项目联系方式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项目联系人：马女士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联系方式：18703756881</w:t>
      </w:r>
    </w:p>
    <w:p>
      <w:pPr>
        <w:widowControl w:val="0"/>
        <w:kinsoku/>
        <w:wordWrap w:val="0"/>
        <w:autoSpaceDE/>
        <w:autoSpaceDN/>
        <w:adjustRightInd/>
        <w:snapToGrid/>
        <w:spacing w:after="120" w:line="360" w:lineRule="auto"/>
        <w:jc w:val="both"/>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both"/>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5"/>
          <w:kern w:val="2"/>
          <w:sz w:val="24"/>
          <w:szCs w:val="24"/>
          <w:lang w:eastAsia="zh-CN"/>
        </w:rPr>
      </w:pPr>
      <w:r>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t>第二章 采购需求</w:t>
      </w:r>
    </w:p>
    <w:p>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Cs w:val="22"/>
          <w:lang w:eastAsia="zh-CN"/>
        </w:rPr>
      </w:pPr>
    </w:p>
    <w:p>
      <w:pPr>
        <w:widowControl w:val="0"/>
        <w:kinsoku/>
        <w:wordWrap w:val="0"/>
        <w:autoSpaceDE/>
        <w:autoSpaceDN/>
        <w:adjustRightInd/>
        <w:snapToGrid/>
        <w:spacing w:after="120" w:line="360" w:lineRule="auto"/>
        <w:ind w:left="622"/>
        <w:jc w:val="both"/>
        <w:textAlignment w:val="auto"/>
        <w:rPr>
          <w:rFonts w:hint="eastAsia" w:ascii="宋体" w:hAnsi="宋体" w:eastAsia="宋体" w:cs="宋体"/>
          <w:snapToGrid/>
          <w:color w:val="auto"/>
          <w:spacing w:val="-1"/>
          <w:kern w:val="2"/>
          <w:sz w:val="24"/>
          <w:szCs w:val="24"/>
          <w:lang w:eastAsia="zh-CN"/>
          <w14:textOutline w14:w="1536" w14:cap="flat" w14:cmpd="sng" w14:algn="ctr">
            <w14:solidFill>
              <w14:srgbClr w14:val="000000"/>
            </w14:solidFill>
            <w14:prstDash w14:val="solid"/>
            <w14:miter w14:val="0"/>
          </w14:textOutline>
        </w:rPr>
      </w:pPr>
      <w:r>
        <w:rPr>
          <w:rFonts w:hint="eastAsia" w:ascii="宋体" w:hAnsi="宋体" w:eastAsia="宋体" w:cs="宋体"/>
          <w:snapToGrid/>
          <w:color w:val="auto"/>
          <w:spacing w:val="-1"/>
          <w:kern w:val="2"/>
          <w:sz w:val="24"/>
          <w:szCs w:val="24"/>
          <w:lang w:eastAsia="zh-CN"/>
          <w14:textOutline w14:w="1536" w14:cap="flat" w14:cmpd="sng" w14:algn="ctr">
            <w14:solidFill>
              <w14:srgbClr w14:val="000000"/>
            </w14:solidFill>
            <w14:prstDash w14:val="solid"/>
            <w14:miter w14:val="0"/>
          </w14:textOutline>
        </w:rPr>
        <w:t>一、采购内容及要求：</w:t>
      </w:r>
    </w:p>
    <w:tbl>
      <w:tblPr>
        <w:tblStyle w:val="23"/>
        <w:tblW w:w="9620" w:type="dxa"/>
        <w:jc w:val="center"/>
        <w:tblLayout w:type="fixed"/>
        <w:tblCellMar>
          <w:top w:w="0" w:type="dxa"/>
          <w:left w:w="108" w:type="dxa"/>
          <w:bottom w:w="0" w:type="dxa"/>
          <w:right w:w="108" w:type="dxa"/>
        </w:tblCellMar>
      </w:tblPr>
      <w:tblGrid>
        <w:gridCol w:w="402"/>
        <w:gridCol w:w="586"/>
        <w:gridCol w:w="7488"/>
        <w:gridCol w:w="602"/>
        <w:gridCol w:w="542"/>
      </w:tblGrid>
      <w:tr>
        <w:tblPrEx>
          <w:tblCellMar>
            <w:top w:w="0" w:type="dxa"/>
            <w:left w:w="108" w:type="dxa"/>
            <w:bottom w:w="0" w:type="dxa"/>
            <w:right w:w="108" w:type="dxa"/>
          </w:tblCellMar>
        </w:tblPrEx>
        <w:trPr>
          <w:trHeight w:val="1279" w:hRule="atLeast"/>
          <w:jc w:val="center"/>
        </w:trPr>
        <w:tc>
          <w:tcPr>
            <w:tcW w:w="9620" w:type="dxa"/>
            <w:gridSpan w:val="5"/>
            <w:tcBorders>
              <w:top w:val="nil"/>
              <w:left w:val="nil"/>
              <w:bottom w:val="single" w:color="auto" w:sz="4" w:space="0"/>
              <w:right w:val="nil"/>
            </w:tcBorders>
            <w:shd w:val="clear" w:color="auto" w:fill="FFFFFF"/>
            <w:vAlign w:val="center"/>
          </w:tcPr>
          <w:p>
            <w:pPr>
              <w:widowControl w:val="0"/>
              <w:kinsoku/>
              <w:autoSpaceDE/>
              <w:autoSpaceDN/>
              <w:adjustRightInd/>
              <w:snapToGrid/>
              <w:jc w:val="center"/>
              <w:textAlignment w:val="auto"/>
              <w:rPr>
                <w:rFonts w:hint="eastAsia" w:ascii="宋体" w:hAnsi="宋体" w:eastAsia="宋体" w:cs="宋体"/>
                <w:b/>
                <w:bCs/>
                <w:snapToGrid/>
                <w:sz w:val="36"/>
                <w:szCs w:val="36"/>
                <w:lang w:eastAsia="zh-CN" w:bidi="ar"/>
              </w:rPr>
            </w:pPr>
            <w:r>
              <w:rPr>
                <w:rFonts w:hint="eastAsia" w:ascii="宋体" w:hAnsi="宋体" w:eastAsia="宋体" w:cs="宋体"/>
                <w:b/>
                <w:bCs/>
                <w:snapToGrid/>
                <w:sz w:val="36"/>
                <w:szCs w:val="36"/>
                <w:lang w:eastAsia="zh-CN" w:bidi="ar"/>
              </w:rPr>
              <w:t>融合型智慧庭审系统方案院机关前端设备参数</w:t>
            </w:r>
          </w:p>
          <w:p>
            <w:pPr>
              <w:widowControl w:val="0"/>
              <w:kinsoku/>
              <w:autoSpaceDE/>
              <w:autoSpaceDN/>
              <w:adjustRightInd/>
              <w:snapToGrid/>
              <w:jc w:val="right"/>
              <w:textAlignment w:val="auto"/>
              <w:rPr>
                <w:rFonts w:hint="eastAsia" w:ascii="宋体" w:hAnsi="宋体" w:eastAsia="宋体" w:cs="宋体"/>
                <w:b/>
                <w:bCs/>
                <w:snapToGrid/>
                <w:sz w:val="28"/>
                <w:szCs w:val="28"/>
                <w:lang w:eastAsia="zh-CN" w:bidi="ar"/>
              </w:rPr>
            </w:pPr>
            <w:r>
              <w:rPr>
                <w:rFonts w:hint="eastAsia" w:ascii="宋体" w:hAnsi="宋体" w:eastAsia="宋体" w:cs="宋体"/>
                <w:b/>
                <w:bCs/>
                <w:snapToGrid/>
                <w:sz w:val="36"/>
                <w:szCs w:val="36"/>
                <w:lang w:eastAsia="zh-CN" w:bidi="ar"/>
              </w:rPr>
              <w:t xml:space="preserve">                                                          </w:t>
            </w:r>
            <w:r>
              <w:rPr>
                <w:rFonts w:hint="eastAsia" w:ascii="宋体" w:hAnsi="宋体" w:eastAsia="宋体" w:cs="宋体"/>
                <w:b/>
                <w:bCs/>
                <w:snapToGrid/>
                <w:sz w:val="28"/>
                <w:szCs w:val="28"/>
                <w:lang w:eastAsia="zh-CN" w:bidi="ar"/>
              </w:rPr>
              <w:t xml:space="preserve"> </w:t>
            </w:r>
          </w:p>
        </w:tc>
      </w:tr>
      <w:tr>
        <w:tblPrEx>
          <w:tblCellMar>
            <w:top w:w="0" w:type="dxa"/>
            <w:left w:w="108" w:type="dxa"/>
            <w:bottom w:w="0" w:type="dxa"/>
            <w:right w:w="108" w:type="dxa"/>
          </w:tblCellMar>
        </w:tblPrEx>
        <w:trPr>
          <w:trHeight w:val="1219" w:hRule="atLeast"/>
          <w:jc w:val="center"/>
        </w:trPr>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 xml:space="preserve">序号 </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设备名称</w:t>
            </w:r>
          </w:p>
        </w:tc>
        <w:tc>
          <w:tcPr>
            <w:tcW w:w="7488"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功能参数</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数量</w:t>
            </w:r>
          </w:p>
        </w:tc>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单位</w:t>
            </w:r>
          </w:p>
        </w:tc>
      </w:tr>
      <w:tr>
        <w:tblPrEx>
          <w:tblCellMar>
            <w:top w:w="0" w:type="dxa"/>
            <w:left w:w="108" w:type="dxa"/>
            <w:bottom w:w="0" w:type="dxa"/>
            <w:right w:w="108" w:type="dxa"/>
          </w:tblCellMar>
        </w:tblPrEx>
        <w:trPr>
          <w:trHeight w:val="2476" w:hRule="atLeast"/>
          <w:jc w:val="center"/>
        </w:trPr>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2"/>
                <w:szCs w:val="22"/>
                <w:lang w:eastAsia="zh-CN"/>
              </w:rPr>
            </w:pPr>
            <w:r>
              <w:rPr>
                <w:rFonts w:hint="eastAsia" w:ascii="宋体" w:hAnsi="宋体" w:eastAsia="宋体" w:cs="宋体"/>
                <w:snapToGrid/>
                <w:sz w:val="20"/>
                <w:szCs w:val="20"/>
                <w:lang w:eastAsia="zh-CN" w:bidi="ar"/>
              </w:rPr>
              <w:t>1</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2"/>
                <w:szCs w:val="22"/>
                <w:lang w:eastAsia="zh-CN"/>
              </w:rPr>
            </w:pPr>
            <w:r>
              <w:rPr>
                <w:rFonts w:hint="eastAsia" w:ascii="宋体" w:hAnsi="宋体" w:eastAsia="宋体" w:cs="宋体"/>
                <w:snapToGrid/>
                <w:sz w:val="20"/>
                <w:szCs w:val="20"/>
                <w:lang w:eastAsia="zh-CN" w:bidi="ar"/>
              </w:rPr>
              <w:t>数字庭审主机</w:t>
            </w:r>
          </w:p>
        </w:tc>
        <w:tc>
          <w:tcPr>
            <w:tcW w:w="7488"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一、数字庭审主机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 xml:space="preserve">1、专为科技法庭应用而设计的专业设备。设备应集以下六大功能于一体：音频处理器、视频无缝混矩、可编程中控、录播编解码、视频会议终端、多方互动MCU，纯嵌入式架构。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2、可视化集控:主机自带B/S、GUI可视化集控操作界面，具备场景一键调用、8路视频可视化预览及拖拽切换、视频会议及拔号呼叫管理、录播导播管理、可编程中控设备管理、音频可视化管理。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3、界面可编程：C/S可视化集控,具备可编程自定义功能，根据不同应用场景实现自定义界面。</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4、主机采用19"标准单一机箱；电信级拔插式结构设计，输入输出板卡采用可自由配置方式，支持带电插拔升级维护。前面支持不低于3.5寸液晶触摸显示屏，可以视频预览和触控操作菜单；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5、视频接口：输入3个槽位，输出2个槽位，单卡4路，支持热插拔，支持OSD叠加。提供CNAS出具的检测报告证明材料。</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6、本项目支持摄像机输入：≥6路3G-SDI输入；6路3G-SDI环路输出。证据或书记员电脑视频输入接口：≥4路DVI-I输入和 2路HDMI输入。视频输出接口：≥4路DVI-I显示输出，可扩充至8路显示输出。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 xml:space="preserve">7、音频接口：≥12路麦克风输入，自带48V幻象电源；≥6路立体声线路输入；≥4路远程解码音频输入；≥8路平衡音频输出。提供CNAS出具的检测报告证明材料。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8、可配置Dante数字音频：内置2*2Dante模块，≥2路数字音频输入输出。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9、音频处理：支持回声消除，反馈消除，环境噪声抑制，自动增益等功能；麦克风变声证人保护等音效处理。提供CNAS出具的检测报告证明材料。</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10、控制接口：≥4路红外发射接口、≥1路红外学习接口；≥4路RS232串口；≥1路RS485、≥4路I/O接口；≥2路USB接口，可USB外置光驱进行音视频实时庭审刻录，键盘鼠标操作GUI管理界面，U盘文件下载。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11、编解算法：支持H.265编码。提供CNAS出具的检测报告证明材料。</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12、音视频编解：≥10路音视频编码，每路支持双流；≥4路音视频解码；支持字幕、LOGO叠加，支持图像马赛克证人保护处理，支持图像画面移动检测实现自动视频切换。</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13、画面合成：≥2路画面合成；≥23种合成模式，2/4/6/8等；≥12种特效切换,擦除/收缩/淡入淡出等；合成分辨率≥4K且可设置。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14、远程提讯功能：远程互动支持H.323、SIP、RTSP、RTMP协议，实现设备与设备、设备与手机、设备与市场主流视频会议终端和MCU之间一键交互。提供CNAS出具的检测报告证明材料。</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15、内置4点MCU，支持联系人通信录、一键呼叫/挂断、群呼等会议管理。提供CNAS出具的检测报告证明材料。</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16、存储：内置2T硬盘，可扩展至8T；≥10路音视频实时存储；支持FTP手动/定时/结束自动上传模式；支持手动/定时预约/开机录制；支持网络直播/点播/文件查看、下载、删除等管理；支持多任务分时分录；支持硬盘文件本地视频输出端口直接回放。视频文件存储格式为MP4。</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17、支持TCP/UDP/RTSP/RTP/RTMP/ONVIF/H.323/SIP/HTTP等协议。</w:t>
            </w:r>
          </w:p>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二、嵌入式录播控制软件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1、采用嵌入式架构，内嵌于高清庭审主机中，集控界面集视预览，视频切换，云台控制，可编程中控，音频调节，直播/点播/录制等控制，互动拔号呼叫，系统管理等功能于一体；</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2、支持B/S、C/S、GUI、IOS、集控五种管理及控制方式；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3、支持可视化操控台可KVM方式切换至主机视频任一输出，键盘+鼠标即可直接对主机进行本地可视化管理；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4、可视化视频切换：不少于8路高清视频的实时预览显示，支持视频通道拖拽式切换；</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5、音频控制：可实现对音频麦克风，功放，录制，远程终端等通道音频参数的调节，支持视频内嵌音频切换路由管理；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6、中控界面可编程页面在线编辑，支持图片，文字，按键等编程应用，实现中控的集中控制管理；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7、画面合成布局，支持本地画面，远程庭审、提讯终端画面合成布局，至少具备9种常用合成布局用户现场自定义布局；</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8、录播控制：导播.直播.点播.录制/暂停/停止管理.视频文件本地回放管理，回放的音视频文件可通过矩阵直接输出至显示设备.录像文件下载/FTP上传管理；</w:t>
            </w:r>
          </w:p>
          <w:p>
            <w:pPr>
              <w:kinsoku/>
              <w:autoSpaceDE/>
              <w:autoSpaceDN/>
              <w:adjustRightInd/>
              <w:snapToGrid/>
              <w:textAlignment w:val="center"/>
              <w:rPr>
                <w:rFonts w:hint="eastAsia" w:ascii="宋体" w:hAnsi="宋体" w:eastAsia="宋体" w:cs="宋体"/>
                <w:b/>
                <w:bCs/>
                <w:snapToGrid/>
                <w:kern w:val="2"/>
                <w:sz w:val="22"/>
                <w:szCs w:val="22"/>
                <w:lang w:eastAsia="zh-CN"/>
              </w:rPr>
            </w:pPr>
            <w:r>
              <w:rPr>
                <w:rFonts w:hint="eastAsia" w:ascii="宋体" w:hAnsi="宋体" w:eastAsia="宋体" w:cs="宋体"/>
                <w:snapToGrid/>
                <w:sz w:val="20"/>
                <w:szCs w:val="20"/>
                <w:lang w:eastAsia="zh-CN" w:bidi="ar"/>
              </w:rPr>
              <w:t>9、支持自动音激励，实现庭审现场画面自动切换；</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2"/>
                <w:szCs w:val="22"/>
                <w:lang w:eastAsia="zh-CN"/>
              </w:rPr>
            </w:pPr>
            <w:r>
              <w:rPr>
                <w:rFonts w:hint="eastAsia" w:ascii="宋体" w:hAnsi="宋体" w:eastAsia="宋体" w:cs="宋体"/>
                <w:snapToGrid/>
                <w:sz w:val="20"/>
                <w:szCs w:val="20"/>
                <w:lang w:eastAsia="zh-CN" w:bidi="ar"/>
              </w:rPr>
              <w:t>2</w:t>
            </w:r>
          </w:p>
        </w:tc>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2"/>
                <w:szCs w:val="22"/>
                <w:lang w:eastAsia="zh-CN"/>
              </w:rPr>
            </w:pPr>
            <w:r>
              <w:rPr>
                <w:rFonts w:hint="eastAsia" w:ascii="宋体" w:hAnsi="宋体" w:eastAsia="宋体" w:cs="宋体"/>
                <w:snapToGrid/>
                <w:sz w:val="20"/>
                <w:szCs w:val="20"/>
                <w:lang w:eastAsia="zh-CN" w:bidi="ar"/>
              </w:rPr>
              <w:t>套</w:t>
            </w:r>
          </w:p>
        </w:tc>
      </w:tr>
      <w:tr>
        <w:tblPrEx>
          <w:tblCellMar>
            <w:top w:w="0" w:type="dxa"/>
            <w:left w:w="108" w:type="dxa"/>
            <w:bottom w:w="0" w:type="dxa"/>
            <w:right w:w="108" w:type="dxa"/>
          </w:tblCellMar>
        </w:tblPrEx>
        <w:trPr>
          <w:trHeight w:val="2429" w:hRule="atLeast"/>
          <w:jc w:val="center"/>
        </w:trPr>
        <w:tc>
          <w:tcPr>
            <w:tcW w:w="402" w:type="dxa"/>
            <w:tcBorders>
              <w:top w:val="single" w:color="auto" w:sz="4" w:space="0"/>
              <w:left w:val="single" w:color="000000" w:sz="4" w:space="0"/>
              <w:bottom w:val="single" w:color="auto"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2</w:t>
            </w:r>
          </w:p>
        </w:tc>
        <w:tc>
          <w:tcPr>
            <w:tcW w:w="586"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智慧庭审应用系统</w:t>
            </w:r>
          </w:p>
        </w:tc>
        <w:tc>
          <w:tcPr>
            <w:tcW w:w="7488"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与管理后台互联，支持对法庭庭前阶段、审理阶段审判员、当事人、书记员端应用系统功能支撑，当事人端人脸识别能力支撑。</w:t>
            </w:r>
          </w:p>
        </w:tc>
        <w:tc>
          <w:tcPr>
            <w:tcW w:w="602"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6</w:t>
            </w:r>
          </w:p>
        </w:tc>
        <w:tc>
          <w:tcPr>
            <w:tcW w:w="542"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套</w:t>
            </w:r>
          </w:p>
        </w:tc>
      </w:tr>
      <w:tr>
        <w:tblPrEx>
          <w:tblCellMar>
            <w:top w:w="0" w:type="dxa"/>
            <w:left w:w="108" w:type="dxa"/>
            <w:bottom w:w="0" w:type="dxa"/>
            <w:right w:w="108" w:type="dxa"/>
          </w:tblCellMar>
        </w:tblPrEx>
        <w:trPr>
          <w:trHeight w:val="6479" w:hRule="atLeast"/>
          <w:jc w:val="center"/>
        </w:trPr>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3</w:t>
            </w:r>
          </w:p>
        </w:tc>
        <w:tc>
          <w:tcPr>
            <w:tcW w:w="586" w:type="dxa"/>
            <w:tcBorders>
              <w:top w:val="single" w:color="000000" w:sz="4" w:space="0"/>
              <w:left w:val="single" w:color="auto" w:sz="4" w:space="0"/>
              <w:bottom w:val="single" w:color="auto"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审判员、原被告电脑</w:t>
            </w:r>
          </w:p>
        </w:tc>
        <w:tc>
          <w:tcPr>
            <w:tcW w:w="7488" w:type="dxa"/>
            <w:tcBorders>
              <w:top w:val="single" w:color="000000" w:sz="4" w:space="0"/>
              <w:left w:val="single" w:color="000000" w:sz="4" w:space="0"/>
              <w:bottom w:val="single" w:color="auto"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1、处理器：国产飞腾D2000处理器，CPU 8核2.3GHZ；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2、内存：8GB内存。支持单根内存容量最大32GB，总支持64GB容量；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3、硬盘：标配256GB NVMe SSD硬盘。最大支持1TB SSD+2TB 硬盘；</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4、显卡：独立显卡，显存2GB；</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5、网络接口：1个10/100/1000BaseT电口；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6、IO扩展：3个PCIe 3.0扩展槽位；支持Socket 3，E Key，type 2230；支持WIFI和蓝牙；</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7、安全性：支持安装TPM/TCM模块；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8、USB接口：配置3个USB2.0接口，4个USB3.0接口；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9、其他接口：1个VGA接口，1个HDMI接口，1个Audio音频接口，1个DB9串口；1个USB Type-A充电接口；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10、显示器：分辨率1920×1080，刷新率60Hz；尺寸27英寸；支持 VGA+HDMI输入；</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11、操作系统兼容性：支持国产操作系统UOS、银河麒麟等。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12、产品特色：超级快充：主机支持华为40W超级快充，半小时充电70%+，无需快充插头。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13、产品资质：具备3C、节能、国家环境认证（十环）证书；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14、售后服务：硬件提供3年整机质保，1年上门服务，7×24小时电话响应支持；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15、目录要求：硬件产品在《安可替代工程核心产品名录-1-2021》中；</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16、出厂带正版银河麒麟公安专版操作系统，支持接入公安网；</w:t>
            </w:r>
          </w:p>
          <w:p>
            <w:pPr>
              <w:kinsoku/>
              <w:autoSpaceDE/>
              <w:autoSpaceDN/>
              <w:adjustRightInd/>
              <w:snapToGrid/>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17、出厂带正版流式软件、版式软件和杀毒软件；</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30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套</w:t>
            </w:r>
          </w:p>
        </w:tc>
      </w:tr>
      <w:tr>
        <w:tblPrEx>
          <w:tblCellMar>
            <w:top w:w="0" w:type="dxa"/>
            <w:left w:w="108" w:type="dxa"/>
            <w:bottom w:w="0" w:type="dxa"/>
            <w:right w:w="108" w:type="dxa"/>
          </w:tblCellMar>
        </w:tblPrEx>
        <w:trPr>
          <w:trHeight w:val="3638" w:hRule="atLeast"/>
          <w:jc w:val="center"/>
        </w:trPr>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4</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审判员、原被告软件</w:t>
            </w:r>
          </w:p>
        </w:tc>
        <w:tc>
          <w:tcPr>
            <w:tcW w:w="7488"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1、可在庭中展示与本案高度相关的法律法规和案例辅助法官进行审判，将法律术语、法律条文进行注解展示，方便当事人理解法律条文；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2、法官在查看电子卷宗时，可对卷宗进行扫描、上传、发起归档；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3、在庭审质证阶段，法官及当事人可在线查看证据材料并进行批注，法官可将证据批量推送给指定当事人进行查看，发起电子证据举证、质证流程。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4、法官标注保存的图片，可以保存，并可以推送和取消推送；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5、庭审信息展示，包含审庭审参与人、案件信息、卷宗信息综合展示，同时并展示庭审笔录内容；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6、画面展示：可以一次开庭同时与多达三个远程提讯室视频互联，让远程提讯更能满足负责的应用场景。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7、所有当事人完成笔录签字后，可查看当事人的笔录签字，生成的文件为 PDF 格式，每页下方都会显示签字人姓名</w:t>
            </w:r>
          </w:p>
        </w:tc>
        <w:tc>
          <w:tcPr>
            <w:tcW w:w="602" w:type="dxa"/>
            <w:tcBorders>
              <w:top w:val="single" w:color="000000" w:sz="4" w:space="0"/>
              <w:left w:val="single" w:color="auto" w:sz="4" w:space="0"/>
              <w:bottom w:val="single" w:color="auto"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6</w:t>
            </w:r>
          </w:p>
        </w:tc>
        <w:tc>
          <w:tcPr>
            <w:tcW w:w="542" w:type="dxa"/>
            <w:tcBorders>
              <w:top w:val="single" w:color="000000" w:sz="4" w:space="0"/>
              <w:left w:val="single" w:color="000000" w:sz="4" w:space="0"/>
              <w:bottom w:val="single" w:color="auto"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套</w:t>
            </w:r>
          </w:p>
        </w:tc>
      </w:tr>
      <w:tr>
        <w:tblPrEx>
          <w:tblCellMar>
            <w:top w:w="0" w:type="dxa"/>
            <w:left w:w="108" w:type="dxa"/>
            <w:bottom w:w="0" w:type="dxa"/>
            <w:right w:w="108" w:type="dxa"/>
          </w:tblCellMar>
        </w:tblPrEx>
        <w:trPr>
          <w:trHeight w:val="6056" w:hRule="atLeast"/>
          <w:jc w:val="center"/>
        </w:trPr>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5</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书记员电脑</w:t>
            </w:r>
          </w:p>
        </w:tc>
        <w:tc>
          <w:tcPr>
            <w:tcW w:w="7488"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1、处理器：国产飞腾D2000处理器，CPU 8核2.3GHZ；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2、内存：8GB内存。支持单根内存容量最大32GB，总支持64GB容量；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3、硬盘：标配256GB NVMe SSD硬盘。最大支持1TB SSD+2TB 硬盘；</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4、显卡：独立显卡，显存2GB；</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5、网络接口：1个10/100/1000BaseT电口；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6、IO扩展：3个PCIe 3.0扩展槽位；支持Socket 3，E Key，type 2230；支持WIFI和蓝牙；</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7、安全性：支持安装TPM/TCM模块；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8、USB接口：配置3个USB2.0接口，4个USB3.0接口；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9、其他接口：1个VGA接口，1个HDMI接口，1个Audio音频接口，1个DB9串口；1个USB Type-A充电接口；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10、显示器：分辨率1920×1080，刷新率60Hz；尺寸27英寸；支持 VGA+HDMI输入；</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11、操作系统兼容性：支持国产操作系统UOS、银河麒麟等。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12、产品特色：超级快充：主机支持华为40W超级快充，半小时充电70%+，无需快充插头。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13、产品资质：具备3C、节能、国家环境认证（十环）证书；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14、售后服务：硬件提供3年整机质保，1年上门服务，7×24小时电话响应支持；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15、目录要求：硬件产品在《安可替代工程核心产品名录-1-2021》中；</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16、出厂带正版银河麒麟公安专版操作系统，支持接入公安网；</w:t>
            </w:r>
          </w:p>
          <w:p>
            <w:pPr>
              <w:kinsoku/>
              <w:autoSpaceDE/>
              <w:autoSpaceDN/>
              <w:adjustRightInd/>
              <w:snapToGrid/>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17、出厂带正版流式软件、版式软件和杀毒软件；</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6</w:t>
            </w:r>
          </w:p>
        </w:tc>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台</w:t>
            </w:r>
          </w:p>
        </w:tc>
      </w:tr>
      <w:tr>
        <w:tblPrEx>
          <w:tblCellMar>
            <w:top w:w="0" w:type="dxa"/>
            <w:left w:w="108" w:type="dxa"/>
            <w:bottom w:w="0" w:type="dxa"/>
            <w:right w:w="108" w:type="dxa"/>
          </w:tblCellMar>
        </w:tblPrEx>
        <w:trPr>
          <w:trHeight w:val="4803" w:hRule="atLeast"/>
          <w:jc w:val="center"/>
        </w:trPr>
        <w:tc>
          <w:tcPr>
            <w:tcW w:w="402"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6</w:t>
            </w:r>
          </w:p>
        </w:tc>
        <w:tc>
          <w:tcPr>
            <w:tcW w:w="586"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 xml:space="preserve"> 书记员应用软件</w:t>
            </w:r>
          </w:p>
        </w:tc>
        <w:tc>
          <w:tcPr>
            <w:tcW w:w="7488"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1、开庭自动展示法庭纪律，当事人权利义务，支持手动语音播放；</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2、庭审过程中，自动加载庭前预设的笔录内容；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3、可通过与现有语音识别系统对接，利用语音识别技术，实现庭审语音转写功能；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4、远程提讯可以查看远程主机 ip，可以对远程设备进行呼叫；</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5、可对庭审画面进行切换，可切换单画面、二画面、三画面、结束远程图像；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6、将原告、被告标注有异议的证据材料进行显示，点击某一证据材料查看详细标注信息，进行庭审笔录记录；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7、庭审结束时发起笔录在线签字捺印，并进行确认；</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8、支持对庭审过程进行控制，包括开始庭审、结束庭审、休庭、闭庭，及远程审讯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时画面遮挡、通道变声等操作；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9、支持庭审视频及庭审状态实时监控；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10、支持对庭审模式进行切换，包括本地庭审、远程提讯、三方庭审、互联网庭审</w:t>
            </w:r>
          </w:p>
          <w:p>
            <w:pPr>
              <w:kinsoku/>
              <w:autoSpaceDE/>
              <w:autoSpaceDN/>
              <w:adjustRightInd/>
              <w:snapToGrid/>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等模式。</w:t>
            </w:r>
          </w:p>
        </w:tc>
        <w:tc>
          <w:tcPr>
            <w:tcW w:w="602"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6</w:t>
            </w:r>
          </w:p>
        </w:tc>
        <w:tc>
          <w:tcPr>
            <w:tcW w:w="542"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套</w:t>
            </w:r>
          </w:p>
        </w:tc>
      </w:tr>
      <w:tr>
        <w:tblPrEx>
          <w:tblCellMar>
            <w:top w:w="0" w:type="dxa"/>
            <w:left w:w="108" w:type="dxa"/>
            <w:bottom w:w="0" w:type="dxa"/>
            <w:right w:w="108" w:type="dxa"/>
          </w:tblCellMar>
        </w:tblPrEx>
        <w:trPr>
          <w:trHeight w:val="2567" w:hRule="atLeast"/>
          <w:jc w:val="center"/>
        </w:trPr>
        <w:tc>
          <w:tcPr>
            <w:tcW w:w="402" w:type="dxa"/>
            <w:tcBorders>
              <w:top w:val="nil"/>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7</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智能庭审终端及软件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一、智能庭审终端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CPU:四核Cortex-A17， Android 7.1版本以上；内存 ：≥2GB DDR3，存储：≥16GB 最大可支持128GB，显示屏：10.1寸，1280*800，24位真彩色液晶手写触摸双控屏（电容屏和电磁屏）；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二、智能庭审终端软件</w:t>
            </w:r>
          </w:p>
          <w:p>
            <w:pPr>
              <w:kinsoku/>
              <w:autoSpaceDE/>
              <w:autoSpaceDN/>
              <w:adjustRightInd/>
              <w:snapToGrid/>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嵌入到签批核验终端内，实时同步书记员软件上的庭审笔录内容，当书记员软件发起签字时可语音提示，同时支持捺印，签名即捺印生成在笔录指定位置。</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kern w:val="2"/>
                <w:sz w:val="20"/>
                <w:szCs w:val="20"/>
                <w:lang w:eastAsia="zh-CN"/>
              </w:rPr>
              <w:t>6</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套</w:t>
            </w:r>
          </w:p>
        </w:tc>
      </w:tr>
      <w:tr>
        <w:tblPrEx>
          <w:tblCellMar>
            <w:top w:w="0" w:type="dxa"/>
            <w:left w:w="108" w:type="dxa"/>
            <w:bottom w:w="0" w:type="dxa"/>
            <w:right w:w="108" w:type="dxa"/>
          </w:tblCellMar>
        </w:tblPrEx>
        <w:trPr>
          <w:trHeight w:val="1171" w:hRule="atLeast"/>
          <w:jc w:val="center"/>
        </w:trPr>
        <w:tc>
          <w:tcPr>
            <w:tcW w:w="402" w:type="dxa"/>
            <w:tcBorders>
              <w:top w:val="nil"/>
              <w:left w:val="single" w:color="000000" w:sz="4" w:space="0"/>
              <w:bottom w:val="single" w:color="auto"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8</w:t>
            </w:r>
          </w:p>
        </w:tc>
        <w:tc>
          <w:tcPr>
            <w:tcW w:w="586" w:type="dxa"/>
            <w:tcBorders>
              <w:top w:val="single" w:color="000000" w:sz="4" w:space="0"/>
              <w:left w:val="single" w:color="000000" w:sz="4" w:space="0"/>
              <w:bottom w:val="single" w:color="auto"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高拍仪</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CMOS传感器、≥1000万像素；</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分辨率：3672*2754</w:t>
            </w:r>
          </w:p>
          <w:p>
            <w:pPr>
              <w:kinsoku/>
              <w:autoSpaceDE/>
              <w:autoSpaceDN/>
              <w:adjustRightInd/>
              <w:snapToGrid/>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扫描方式：支持PC软件触发、检测翻页自动扫描、定时扫描、外接脚踏键四种方式</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6</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台</w:t>
            </w:r>
          </w:p>
        </w:tc>
      </w:tr>
      <w:tr>
        <w:tblPrEx>
          <w:tblCellMar>
            <w:top w:w="0" w:type="dxa"/>
            <w:left w:w="108" w:type="dxa"/>
            <w:bottom w:w="0" w:type="dxa"/>
            <w:right w:w="108" w:type="dxa"/>
          </w:tblCellMar>
        </w:tblPrEx>
        <w:trPr>
          <w:trHeight w:val="1824" w:hRule="atLeast"/>
          <w:jc w:val="center"/>
        </w:trPr>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9</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系统集成服务</w:t>
            </w:r>
          </w:p>
        </w:tc>
        <w:tc>
          <w:tcPr>
            <w:tcW w:w="7488" w:type="dxa"/>
            <w:tcBorders>
              <w:top w:val="single" w:color="000000" w:sz="4" w:space="0"/>
              <w:left w:val="single" w:color="auto"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本次设备安装调试及审判流程管理系统数据对接等服务。</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套</w:t>
            </w:r>
          </w:p>
        </w:tc>
      </w:tr>
      <w:tr>
        <w:tblPrEx>
          <w:tblCellMar>
            <w:top w:w="0" w:type="dxa"/>
            <w:left w:w="108" w:type="dxa"/>
            <w:bottom w:w="0" w:type="dxa"/>
            <w:right w:w="108" w:type="dxa"/>
          </w:tblCellMar>
        </w:tblPrEx>
        <w:trPr>
          <w:trHeight w:val="3335" w:hRule="atLeast"/>
          <w:jc w:val="center"/>
        </w:trPr>
        <w:tc>
          <w:tcPr>
            <w:tcW w:w="402"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10</w:t>
            </w:r>
          </w:p>
        </w:tc>
        <w:tc>
          <w:tcPr>
            <w:tcW w:w="586"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互联网法庭云平台（外网）</w:t>
            </w:r>
          </w:p>
        </w:tc>
        <w:tc>
          <w:tcPr>
            <w:tcW w:w="7488" w:type="dxa"/>
            <w:tcBorders>
              <w:top w:val="single" w:color="000000" w:sz="4" w:space="0"/>
              <w:left w:val="single" w:color="000000" w:sz="4" w:space="0"/>
              <w:bottom w:val="single" w:color="auto"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具有用户及权限管理、互联网科技法庭的创建、案件排期管理、视频网关设备管理、互联庭审控制管理、当事人应用管理等；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为互联网庭审应用提供统一的当事人移动端 APP 应用程序下载；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具有人脸识别身份认证功能，用户通过认证方可登陆互联网虚拟法庭参加审；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庭审参与人均可实时看到法官、书记员、另一方当事人的音视频画面；</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支持查询互联网庭审排期安排；</w:t>
            </w:r>
          </w:p>
          <w:p>
            <w:pPr>
              <w:kinsoku/>
              <w:autoSpaceDE/>
              <w:autoSpaceDN/>
              <w:adjustRightInd/>
              <w:snapToGrid/>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支持显示当前的庭审基本信息、视频分割画面、庭审参与人员列表；</w:t>
            </w:r>
          </w:p>
        </w:tc>
        <w:tc>
          <w:tcPr>
            <w:tcW w:w="602" w:type="dxa"/>
            <w:tcBorders>
              <w:top w:val="single" w:color="000000" w:sz="4" w:space="0"/>
              <w:left w:val="single" w:color="000000" w:sz="4" w:space="0"/>
              <w:bottom w:val="single" w:color="auto"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w:t>
            </w:r>
          </w:p>
        </w:tc>
        <w:tc>
          <w:tcPr>
            <w:tcW w:w="542" w:type="dxa"/>
            <w:tcBorders>
              <w:top w:val="single" w:color="000000" w:sz="4" w:space="0"/>
              <w:left w:val="single" w:color="000000" w:sz="4" w:space="0"/>
              <w:bottom w:val="single" w:color="auto"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套/1年</w:t>
            </w:r>
          </w:p>
        </w:tc>
      </w:tr>
      <w:tr>
        <w:tblPrEx>
          <w:tblCellMar>
            <w:top w:w="0" w:type="dxa"/>
            <w:left w:w="108" w:type="dxa"/>
            <w:bottom w:w="0" w:type="dxa"/>
            <w:right w:w="108" w:type="dxa"/>
          </w:tblCellMar>
        </w:tblPrEx>
        <w:trPr>
          <w:trHeight w:val="3033" w:hRule="atLeast"/>
          <w:jc w:val="center"/>
        </w:trPr>
        <w:tc>
          <w:tcPr>
            <w:tcW w:w="402" w:type="dxa"/>
            <w:tcBorders>
              <w:top w:val="nil"/>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11</w:t>
            </w:r>
          </w:p>
        </w:tc>
        <w:tc>
          <w:tcPr>
            <w:tcW w:w="586" w:type="dxa"/>
            <w:tcBorders>
              <w:top w:val="single" w:color="000000" w:sz="4" w:space="0"/>
              <w:left w:val="single" w:color="000000" w:sz="4" w:space="0"/>
              <w:bottom w:val="single" w:color="000000"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庭审云服务</w:t>
            </w:r>
          </w:p>
        </w:tc>
        <w:tc>
          <w:tcPr>
            <w:tcW w:w="7488"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专为庭审音视频交互设计，用户提供超低延时多人音视频互动。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丢包率高达 30% 的情况下，视频依旧保持不黑屏、不花屏；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 xml:space="preserve">丢包率高达 80% 的情况下，音频依旧保持声连贯、语义可理解；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视频支持 H.264 SVC编解码协议，能够适应不同线路带宽、不同设备能力网络环境的组需求；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音频支持 G.711 、G.722 、OPUS 协议，支持 48K采样率的全带音频；</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通讯信令道支持SSL加密，媒体传输支持 AES256 加密；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单一互联网法庭支持≥ 2路互联网端当事人音视频 接入；</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提供全球部署的音视频交互云服务；</w:t>
            </w:r>
          </w:p>
          <w:p>
            <w:pPr>
              <w:kinsoku/>
              <w:autoSpaceDE/>
              <w:autoSpaceDN/>
              <w:adjustRightInd/>
              <w:snapToGrid/>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提供全年 7*24 小时云服务网上技术支持；</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lang w:eastAsia="zh-CN"/>
              </w:rPr>
            </w:pPr>
            <w:r>
              <w:rPr>
                <w:rFonts w:hint="eastAsia" w:ascii="宋体" w:hAnsi="宋体" w:eastAsia="宋体" w:cs="宋体"/>
                <w:snapToGrid/>
                <w:kern w:val="2"/>
                <w:sz w:val="20"/>
                <w:szCs w:val="20"/>
                <w:lang w:eastAsia="zh-CN"/>
              </w:rPr>
              <w:t>1</w:t>
            </w:r>
          </w:p>
        </w:tc>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lang w:eastAsia="zh-CN"/>
              </w:rPr>
            </w:pPr>
            <w:r>
              <w:rPr>
                <w:rFonts w:hint="eastAsia" w:ascii="宋体" w:hAnsi="宋体" w:eastAsia="宋体" w:cs="宋体"/>
                <w:snapToGrid/>
                <w:kern w:val="2"/>
                <w:sz w:val="20"/>
                <w:szCs w:val="20"/>
                <w:lang w:eastAsia="zh-CN"/>
              </w:rPr>
              <w:t>套</w:t>
            </w:r>
          </w:p>
        </w:tc>
      </w:tr>
      <w:tr>
        <w:tblPrEx>
          <w:tblCellMar>
            <w:top w:w="0" w:type="dxa"/>
            <w:left w:w="108" w:type="dxa"/>
            <w:bottom w:w="0" w:type="dxa"/>
            <w:right w:w="108" w:type="dxa"/>
          </w:tblCellMar>
        </w:tblPrEx>
        <w:trPr>
          <w:trHeight w:val="1824" w:hRule="atLeast"/>
          <w:jc w:val="center"/>
        </w:trPr>
        <w:tc>
          <w:tcPr>
            <w:tcW w:w="402" w:type="dxa"/>
            <w:tcBorders>
              <w:top w:val="nil"/>
              <w:left w:val="single" w:color="000000" w:sz="4" w:space="0"/>
              <w:bottom w:val="single" w:color="auto"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12</w:t>
            </w:r>
          </w:p>
        </w:tc>
        <w:tc>
          <w:tcPr>
            <w:tcW w:w="586" w:type="dxa"/>
            <w:tcBorders>
              <w:top w:val="single" w:color="000000" w:sz="4" w:space="0"/>
              <w:left w:val="single" w:color="000000"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高清视频矩阵</w:t>
            </w:r>
          </w:p>
        </w:tc>
        <w:tc>
          <w:tcPr>
            <w:tcW w:w="7488"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8*8高清视频矩阵</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w:t>
            </w:r>
          </w:p>
        </w:tc>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台</w:t>
            </w:r>
          </w:p>
        </w:tc>
      </w:tr>
      <w:tr>
        <w:tblPrEx>
          <w:tblCellMar>
            <w:top w:w="0" w:type="dxa"/>
            <w:left w:w="108" w:type="dxa"/>
            <w:bottom w:w="0" w:type="dxa"/>
            <w:right w:w="108" w:type="dxa"/>
          </w:tblCellMar>
        </w:tblPrEx>
        <w:trPr>
          <w:trHeight w:val="2126" w:hRule="atLeast"/>
          <w:jc w:val="center"/>
        </w:trPr>
        <w:tc>
          <w:tcPr>
            <w:tcW w:w="402"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13</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视频网关服务器</w:t>
            </w:r>
          </w:p>
        </w:tc>
        <w:tc>
          <w:tcPr>
            <w:tcW w:w="7488" w:type="dxa"/>
            <w:tcBorders>
              <w:top w:val="single" w:color="auto" w:sz="4" w:space="0"/>
              <w:left w:val="single" w:color="auto"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部署在法院外网 ，交互视频到互联网；</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1. 设备高度≤2U；</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2.≥ 四核处理器，≥8GB 内存；</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3. ≥2路高清音视频信号输入接口，支持2路高清视频编码；</w:t>
            </w:r>
          </w:p>
          <w:p>
            <w:pPr>
              <w:kinsoku/>
              <w:autoSpaceDE/>
              <w:autoSpaceDN/>
              <w:adjustRightInd/>
              <w:snapToGrid/>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4.≥ 2路 HDMI高清视频信号输出接口，支持2路高清视频信号实时解码；</w:t>
            </w:r>
          </w:p>
        </w:tc>
        <w:tc>
          <w:tcPr>
            <w:tcW w:w="602"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w:t>
            </w:r>
          </w:p>
        </w:tc>
        <w:tc>
          <w:tcPr>
            <w:tcW w:w="542"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套</w:t>
            </w:r>
          </w:p>
        </w:tc>
      </w:tr>
      <w:tr>
        <w:tblPrEx>
          <w:tblCellMar>
            <w:top w:w="0" w:type="dxa"/>
            <w:left w:w="108" w:type="dxa"/>
            <w:bottom w:w="0" w:type="dxa"/>
            <w:right w:w="108" w:type="dxa"/>
          </w:tblCellMar>
        </w:tblPrEx>
        <w:trPr>
          <w:trHeight w:val="1824" w:hRule="atLeast"/>
          <w:jc w:val="center"/>
        </w:trPr>
        <w:tc>
          <w:tcPr>
            <w:tcW w:w="402"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14</w:t>
            </w:r>
          </w:p>
        </w:tc>
        <w:tc>
          <w:tcPr>
            <w:tcW w:w="586"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视频网关软件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eastAsia="zh-CN" w:bidi="ar"/>
              </w:rPr>
              <w:t>与音视频云系统实时数据通信，内嵌于视频网关中，完成互联网庭审音视频交互功能。</w:t>
            </w:r>
          </w:p>
          <w:p>
            <w:pPr>
              <w:kinsoku/>
              <w:autoSpaceDE/>
              <w:autoSpaceDN/>
              <w:adjustRightInd/>
              <w:snapToGrid/>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具有计算机软件著作权登记证书及中国软件评测中心出具的软件测试报告。</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套</w:t>
            </w:r>
          </w:p>
        </w:tc>
      </w:tr>
      <w:tr>
        <w:tblPrEx>
          <w:tblCellMar>
            <w:top w:w="0" w:type="dxa"/>
            <w:left w:w="108" w:type="dxa"/>
            <w:bottom w:w="0" w:type="dxa"/>
            <w:right w:w="108" w:type="dxa"/>
          </w:tblCellMar>
        </w:tblPrEx>
        <w:trPr>
          <w:trHeight w:val="1229" w:hRule="atLeast"/>
          <w:jc w:val="center"/>
        </w:trPr>
        <w:tc>
          <w:tcPr>
            <w:tcW w:w="402" w:type="dxa"/>
            <w:tcBorders>
              <w:top w:val="nil"/>
              <w:left w:val="single" w:color="000000" w:sz="4" w:space="0"/>
              <w:bottom w:val="single" w:color="auto"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15</w:t>
            </w:r>
          </w:p>
        </w:tc>
        <w:tc>
          <w:tcPr>
            <w:tcW w:w="586" w:type="dxa"/>
            <w:tcBorders>
              <w:top w:val="single" w:color="000000" w:sz="4" w:space="0"/>
              <w:left w:val="single" w:color="000000" w:sz="4" w:space="0"/>
              <w:bottom w:val="single" w:color="auto"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线缆辅材</w:t>
            </w:r>
          </w:p>
        </w:tc>
        <w:tc>
          <w:tcPr>
            <w:tcW w:w="7488" w:type="dxa"/>
            <w:tcBorders>
              <w:top w:val="single" w:color="000000" w:sz="4" w:space="0"/>
              <w:left w:val="single" w:color="000000" w:sz="4" w:space="0"/>
              <w:bottom w:val="single" w:color="auto"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包含项目实施过程中所需满足施工要求与设备连接的各类数据传输线缆以及辅助材料。</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1</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lang w:eastAsia="zh-CN"/>
              </w:rPr>
            </w:pPr>
            <w:r>
              <w:rPr>
                <w:rFonts w:hint="eastAsia" w:ascii="宋体" w:hAnsi="宋体" w:eastAsia="宋体" w:cs="宋体"/>
                <w:snapToGrid/>
                <w:sz w:val="20"/>
                <w:szCs w:val="20"/>
                <w:lang w:eastAsia="zh-CN" w:bidi="ar"/>
              </w:rPr>
              <w:t>项</w:t>
            </w:r>
          </w:p>
        </w:tc>
      </w:tr>
    </w:tbl>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pStyle w:val="9"/>
        <w:kinsoku/>
        <w:wordWrap w:val="0"/>
        <w:spacing w:line="360" w:lineRule="auto"/>
        <w:jc w:val="both"/>
        <w:outlineLvl w:val="2"/>
        <w:rPr>
          <w:rFonts w:hint="eastAsia"/>
          <w:snapToGrid/>
          <w:color w:val="auto"/>
          <w:spacing w:val="-1"/>
          <w:kern w:val="2"/>
          <w:sz w:val="24"/>
          <w:szCs w:val="24"/>
          <w:lang w:eastAsia="zh-CN"/>
        </w:rPr>
      </w:pP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商务要求</w:t>
      </w:r>
    </w:p>
    <w:p>
      <w:pPr>
        <w:widowControl w:val="0"/>
        <w:kinsoku/>
        <w:wordWrap w:val="0"/>
        <w:autoSpaceDE/>
        <w:autoSpaceDN/>
        <w:adjustRightInd/>
        <w:snapToGrid/>
        <w:spacing w:after="120" w:line="360" w:lineRule="auto"/>
        <w:ind w:firstLine="476" w:firstLineChars="200"/>
        <w:jc w:val="both"/>
        <w:textAlignment w:val="auto"/>
        <w:rPr>
          <w:rFonts w:hint="eastAsia" w:ascii="宋体" w:hAnsi="宋体" w:eastAsia="宋体" w:cs="宋体"/>
          <w:snapToGrid/>
          <w:color w:val="auto"/>
          <w:spacing w:val="-1"/>
          <w:kern w:val="2"/>
          <w:sz w:val="24"/>
          <w:szCs w:val="24"/>
          <w:lang w:eastAsia="zh-CN"/>
        </w:rPr>
      </w:pPr>
      <w:r>
        <w:rPr>
          <w:rFonts w:hint="eastAsia" w:ascii="宋体" w:hAnsi="宋体" w:eastAsia="宋体" w:cs="宋体"/>
          <w:snapToGrid/>
          <w:color w:val="auto"/>
          <w:spacing w:val="-1"/>
          <w:kern w:val="2"/>
          <w:sz w:val="24"/>
          <w:szCs w:val="24"/>
          <w:lang w:eastAsia="zh-CN"/>
        </w:rPr>
        <w:t>1.交货时间：</w:t>
      </w:r>
      <w:r>
        <w:rPr>
          <w:rFonts w:hint="eastAsia" w:ascii="宋体" w:hAnsi="宋体" w:eastAsia="宋体" w:cs="宋体"/>
          <w:snapToGrid/>
          <w:kern w:val="2"/>
          <w:sz w:val="24"/>
          <w:szCs w:val="24"/>
          <w:lang w:eastAsia="zh-CN"/>
        </w:rPr>
        <w:t>合同签订之日起</w:t>
      </w:r>
      <w:r>
        <w:rPr>
          <w:rFonts w:hint="eastAsia" w:ascii="Calibri" w:hAnsi="Calibri" w:eastAsia="宋体" w:cs="宋体"/>
          <w:snapToGrid/>
          <w:kern w:val="2"/>
          <w:sz w:val="24"/>
          <w:szCs w:val="24"/>
          <w:lang w:eastAsia="zh-CN"/>
        </w:rPr>
        <w:t>15</w:t>
      </w:r>
      <w:r>
        <w:rPr>
          <w:rFonts w:hint="eastAsia" w:ascii="宋体" w:hAnsi="宋体" w:eastAsia="宋体" w:cs="宋体"/>
          <w:snapToGrid/>
          <w:kern w:val="2"/>
          <w:sz w:val="24"/>
          <w:szCs w:val="24"/>
          <w:lang w:eastAsia="zh-CN"/>
        </w:rPr>
        <w:t>日历天</w:t>
      </w:r>
    </w:p>
    <w:p>
      <w:pPr>
        <w:widowControl w:val="0"/>
        <w:kinsoku/>
        <w:wordWrap w:val="0"/>
        <w:autoSpaceDE/>
        <w:autoSpaceDN/>
        <w:adjustRightInd/>
        <w:snapToGrid/>
        <w:spacing w:after="120" w:line="360" w:lineRule="auto"/>
        <w:ind w:firstLine="476"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1"/>
          <w:kern w:val="2"/>
          <w:sz w:val="24"/>
          <w:szCs w:val="24"/>
          <w:lang w:eastAsia="zh-CN"/>
        </w:rPr>
        <w:t>交货地点</w:t>
      </w:r>
      <w:r>
        <w:rPr>
          <w:rFonts w:hint="eastAsia" w:ascii="宋体" w:hAnsi="宋体" w:eastAsia="宋体" w:cs="宋体"/>
          <w:snapToGrid/>
          <w:color w:val="auto"/>
          <w:spacing w:val="-2"/>
          <w:kern w:val="2"/>
          <w:sz w:val="24"/>
          <w:szCs w:val="24"/>
          <w:lang w:eastAsia="zh-CN"/>
        </w:rPr>
        <w:t>：南阳市卧龙区人民法院</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2"/>
          <w:kern w:val="2"/>
          <w:sz w:val="24"/>
          <w:szCs w:val="24"/>
          <w:lang w:eastAsia="zh-CN"/>
        </w:rPr>
      </w:pPr>
      <w:r>
        <w:rPr>
          <w:rFonts w:hint="eastAsia" w:ascii="宋体" w:hAnsi="宋体" w:eastAsia="宋体" w:cs="宋体"/>
          <w:snapToGrid/>
          <w:color w:val="auto"/>
          <w:spacing w:val="-2"/>
          <w:kern w:val="2"/>
          <w:sz w:val="24"/>
          <w:szCs w:val="24"/>
          <w:lang w:eastAsia="zh-CN"/>
        </w:rPr>
        <w:t>2.付款方式（应符合南阳市财政局关于印发《关于压缩各环节时间进一步优化政府采购营商环境的通知》（宛财购〔2022〕5号）的要求）</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2"/>
          <w:kern w:val="2"/>
          <w:sz w:val="24"/>
          <w:szCs w:val="24"/>
          <w:lang w:eastAsia="zh-CN"/>
        </w:rPr>
      </w:pPr>
      <w:r>
        <w:rPr>
          <w:rFonts w:hint="eastAsia" w:ascii="宋体" w:hAnsi="宋体" w:eastAsia="宋体" w:cs="宋体"/>
          <w:snapToGrid/>
          <w:color w:val="auto"/>
          <w:spacing w:val="-2"/>
          <w:kern w:val="2"/>
          <w:sz w:val="24"/>
          <w:szCs w:val="24"/>
          <w:lang w:eastAsia="zh-CN"/>
        </w:rPr>
        <w:t>3.包装和运输（如适用，须满足《关于印发〈商品包装政府采购需求标准（试行）〉、〈快递包装政府采购需求标准（试行）〉的通知》（财办库﹝2020﹞123号）</w:t>
      </w:r>
    </w:p>
    <w:p>
      <w:pPr>
        <w:widowControl w:val="0"/>
        <w:kinsoku/>
        <w:wordWrap w:val="0"/>
        <w:autoSpaceDE/>
        <w:autoSpaceDN/>
        <w:adjustRightInd/>
        <w:snapToGrid/>
        <w:spacing w:after="120" w:line="360" w:lineRule="auto"/>
        <w:ind w:firstLine="448"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8"/>
          <w:kern w:val="2"/>
          <w:sz w:val="24"/>
          <w:szCs w:val="24"/>
          <w:lang w:eastAsia="zh-CN"/>
        </w:rPr>
        <w:t>4.质保期</w:t>
      </w:r>
      <w:r>
        <w:rPr>
          <w:rFonts w:hint="eastAsia" w:ascii="宋体" w:hAnsi="宋体" w:eastAsia="宋体" w:cs="宋体"/>
          <w:snapToGrid/>
          <w:color w:val="auto"/>
          <w:spacing w:val="-3"/>
          <w:kern w:val="2"/>
          <w:sz w:val="24"/>
          <w:szCs w:val="24"/>
          <w:lang w:eastAsia="zh-CN"/>
        </w:rPr>
        <w:t>：</w:t>
      </w:r>
      <w:r>
        <w:rPr>
          <w:rFonts w:hint="eastAsia" w:ascii="宋体" w:hAnsi="宋体" w:eastAsia="宋体" w:cs="宋体"/>
          <w:snapToGrid/>
          <w:kern w:val="2"/>
          <w:sz w:val="24"/>
          <w:szCs w:val="24"/>
          <w:lang w:eastAsia="zh-CN"/>
        </w:rPr>
        <w:t>硬件提供3年整机质保，1年上门服务，7×24小时电话响应支持；</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5"/>
          <w:kern w:val="2"/>
          <w:sz w:val="24"/>
          <w:szCs w:val="24"/>
          <w:lang w:eastAsia="zh-CN"/>
        </w:rPr>
      </w:pPr>
      <w:r>
        <w:rPr>
          <w:rFonts w:hint="eastAsia" w:ascii="宋体" w:hAnsi="宋体" w:eastAsia="宋体" w:cs="宋体"/>
          <w:snapToGrid/>
          <w:color w:val="auto"/>
          <w:spacing w:val="-2"/>
          <w:kern w:val="2"/>
          <w:sz w:val="24"/>
          <w:szCs w:val="24"/>
          <w:lang w:eastAsia="zh-CN"/>
        </w:rPr>
        <w:t>5.</w:t>
      </w:r>
      <w:r>
        <w:rPr>
          <w:rFonts w:hint="eastAsia" w:ascii="宋体" w:hAnsi="宋体" w:eastAsia="宋体" w:cs="宋体"/>
          <w:snapToGrid/>
          <w:color w:val="auto"/>
          <w:spacing w:val="-5"/>
          <w:kern w:val="2"/>
          <w:sz w:val="24"/>
          <w:szCs w:val="24"/>
          <w:lang w:eastAsia="zh-CN"/>
        </w:rPr>
        <w:t>关于强制节能产品的要求：</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2"/>
          <w:kern w:val="2"/>
          <w:sz w:val="24"/>
          <w:szCs w:val="24"/>
          <w:lang w:eastAsia="zh-CN"/>
        </w:rPr>
      </w:pPr>
      <w:r>
        <w:rPr>
          <w:rFonts w:hint="eastAsia" w:ascii="宋体" w:hAnsi="宋体" w:eastAsia="宋体" w:cs="宋体"/>
          <w:snapToGrid/>
          <w:color w:val="auto"/>
          <w:spacing w:val="-2"/>
          <w:kern w:val="2"/>
          <w:sz w:val="24"/>
          <w:szCs w:val="24"/>
          <w:lang w:eastAsia="zh-CN"/>
        </w:rPr>
        <w:t xml:space="preserve">5.1强制采购的节能产品:计算机、打印机、显示器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2"/>
          <w:kern w:val="2"/>
          <w:sz w:val="24"/>
          <w:szCs w:val="24"/>
          <w:lang w:eastAsia="zh-CN"/>
        </w:rPr>
      </w:pPr>
      <w:r>
        <w:rPr>
          <w:rFonts w:hint="eastAsia" w:ascii="宋体" w:hAnsi="宋体" w:eastAsia="宋体" w:cs="宋体"/>
          <w:snapToGrid/>
          <w:color w:val="auto"/>
          <w:spacing w:val="-2"/>
          <w:kern w:val="2"/>
          <w:sz w:val="24"/>
          <w:szCs w:val="24"/>
          <w:lang w:eastAsia="zh-CN"/>
        </w:rPr>
        <w:t>5.2投标人所投产品如属于政府优先节能产品或环境标志产品或无线局域网产品，应提供处于有效期之内认证证书等相关证明，在评标时予以优先采购。</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2"/>
          <w:kern w:val="2"/>
          <w:sz w:val="24"/>
          <w:szCs w:val="24"/>
          <w:lang w:eastAsia="zh-CN"/>
        </w:rPr>
        <w:t>上述政策以国家发布最新为准，未尽事宜，按国家有关规定执行。</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6.验收标准及方式：</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6.1验收小组应由采购人、使用单位、受邀的第三方组成。</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6.2货物验收：</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6.3安装验收：</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货物及组装材料验收合格后方可进行安装调试，安装调试应以达到采购人正常使用为标准。中标人向验收小组发出全面验收邀请。</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6.4中标人在要求期限内不能履行合同的，采购人有权终止合同，由此造成的经济损失及社会负面影响均有中标人承担，并依法报请南阳市政府采购监督管理部门处理。</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7.□有样品，样品提供要求、方式、摆放时间及地点</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ascii="Segoe UI Symbol" w:hAnsi="Segoe UI Symbol" w:eastAsia="宋体" w:cs="Segoe UI Symbol"/>
          <w:snapToGrid/>
          <w:color w:val="auto"/>
          <w:kern w:val="2"/>
          <w:sz w:val="24"/>
          <w:szCs w:val="24"/>
          <w:lang w:eastAsia="zh-CN"/>
        </w:rPr>
        <w:t>☑</w:t>
      </w:r>
      <w:r>
        <w:rPr>
          <w:rFonts w:hint="eastAsia" w:ascii="宋体" w:hAnsi="宋体" w:eastAsia="宋体" w:cs="宋体"/>
          <w:snapToGrid/>
          <w:color w:val="auto"/>
          <w:kern w:val="2"/>
          <w:sz w:val="24"/>
          <w:szCs w:val="24"/>
          <w:lang w:eastAsia="zh-CN"/>
        </w:rPr>
        <w:t>无样品。</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8. □有演示，演示要求、内容、方式及地点。鼓励使用不见面演示。</w:t>
      </w:r>
    </w:p>
    <w:p>
      <w:pPr>
        <w:widowControl w:val="0"/>
        <w:kinsoku/>
        <w:wordWrap w:val="0"/>
        <w:autoSpaceDE/>
        <w:autoSpaceDN/>
        <w:adjustRightInd/>
        <w:snapToGrid/>
        <w:spacing w:after="12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ascii="Segoe UI Symbol" w:hAnsi="Segoe UI Symbol" w:eastAsia="宋体" w:cs="Segoe UI Symbol"/>
          <w:snapToGrid/>
          <w:color w:val="auto"/>
          <w:kern w:val="2"/>
          <w:sz w:val="24"/>
          <w:szCs w:val="24"/>
          <w:lang w:eastAsia="zh-CN"/>
        </w:rPr>
        <w:t>☑</w:t>
      </w:r>
      <w:r>
        <w:rPr>
          <w:rFonts w:hint="eastAsia" w:ascii="宋体" w:hAnsi="宋体" w:eastAsia="宋体" w:cs="宋体"/>
          <w:snapToGrid/>
          <w:color w:val="auto"/>
          <w:kern w:val="2"/>
          <w:sz w:val="24"/>
          <w:szCs w:val="24"/>
          <w:lang w:eastAsia="zh-CN"/>
        </w:rPr>
        <w:t>无演示。</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spacing w:val="-1"/>
          <w:kern w:val="2"/>
          <w:sz w:val="24"/>
          <w:szCs w:val="24"/>
          <w:lang w:eastAsia="zh-CN"/>
        </w:rPr>
      </w:pPr>
      <w:r>
        <w:rPr>
          <w:rFonts w:hint="eastAsia" w:ascii="宋体" w:hAnsi="宋体" w:eastAsia="宋体" w:cs="宋体"/>
          <w:snapToGrid/>
          <w:color w:val="auto"/>
          <w:kern w:val="2"/>
          <w:sz w:val="24"/>
          <w:szCs w:val="24"/>
          <w:lang w:eastAsia="zh-CN"/>
        </w:rPr>
        <w:t>10.</w:t>
      </w:r>
      <w:r>
        <w:rPr>
          <w:rFonts w:hint="eastAsia" w:ascii="宋体" w:hAnsi="宋体" w:eastAsia="宋体" w:cs="宋体"/>
          <w:snapToGrid/>
          <w:color w:val="auto"/>
          <w:spacing w:val="-1"/>
          <w:kern w:val="2"/>
          <w:sz w:val="24"/>
          <w:szCs w:val="24"/>
          <w:lang w:eastAsia="zh-CN"/>
        </w:rPr>
        <w:t>其他要求：中标人在供货安装调试过程中，如对采购人原设备、物品有损坏的应无偿恢复。</w:t>
      </w: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bookmarkEnd w:id="3"/>
    <w:bookmarkEnd w:id="4"/>
    <w:bookmarkEnd w:id="5"/>
    <w:bookmarkEnd w:id="6"/>
    <w:bookmarkEnd w:id="7"/>
    <w:bookmarkEnd w:id="8"/>
    <w:p>
      <w:pPr>
        <w:pStyle w:val="9"/>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bookmarkStart w:id="12" w:name="_Toc25051"/>
      <w:bookmarkStart w:id="13" w:name="_Toc270604619"/>
      <w:bookmarkStart w:id="14" w:name="_Toc503213130"/>
    </w:p>
    <w:p>
      <w:pPr>
        <w:pStyle w:val="9"/>
        <w:kinsoku/>
        <w:wordWrap w:val="0"/>
        <w:spacing w:line="360" w:lineRule="auto"/>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第三章 供应商须知</w:t>
      </w:r>
    </w:p>
    <w:p>
      <w:pPr>
        <w:pStyle w:val="9"/>
        <w:kinsoku/>
        <w:wordWrap w:val="0"/>
        <w:spacing w:line="220" w:lineRule="auto"/>
        <w:ind w:left="3861"/>
        <w:jc w:val="both"/>
        <w:rPr>
          <w:rFonts w:hint="eastAsia"/>
          <w:spacing w:val="-1"/>
          <w:sz w:val="28"/>
          <w:szCs w:val="28"/>
          <w:lang w:eastAsia="zh-CN"/>
          <w14:textOutline w14:w="1803" w14:cap="flat" w14:cmpd="sng" w14:algn="ctr">
            <w14:solidFill>
              <w14:srgbClr w14:val="000000"/>
            </w14:solidFill>
            <w14:prstDash w14:val="solid"/>
            <w14:miter w14:val="0"/>
          </w14:textOutline>
        </w:rPr>
      </w:pPr>
    </w:p>
    <w:p>
      <w:pPr>
        <w:pStyle w:val="9"/>
        <w:kinsoku/>
        <w:wordWrap w:val="0"/>
        <w:spacing w:line="220" w:lineRule="auto"/>
        <w:ind w:left="3861"/>
        <w:jc w:val="both"/>
        <w:rPr>
          <w:rFonts w:hint="eastAsia"/>
          <w:spacing w:val="-1"/>
          <w:sz w:val="28"/>
          <w:szCs w:val="28"/>
          <w:lang w:eastAsia="zh-CN"/>
          <w14:textOutline w14:w="1803" w14:cap="flat" w14:cmpd="sng" w14:algn="ctr">
            <w14:solidFill>
              <w14:srgbClr w14:val="000000"/>
            </w14:solidFill>
            <w14:prstDash w14:val="solid"/>
            <w14:miter w14:val="0"/>
          </w14:textOutline>
        </w:rPr>
      </w:pPr>
      <w:r>
        <w:rPr>
          <w:spacing w:val="-1"/>
          <w:sz w:val="28"/>
          <w:szCs w:val="28"/>
          <w:lang w:eastAsia="zh-CN"/>
          <w14:textOutline w14:w="1803" w14:cap="flat" w14:cmpd="sng" w14:algn="ctr">
            <w14:solidFill>
              <w14:srgbClr w14:val="000000"/>
            </w14:solidFill>
            <w14:prstDash w14:val="solid"/>
            <w14:miter w14:val="0"/>
          </w14:textOutline>
        </w:rPr>
        <w:t>供应商须知表</w:t>
      </w:r>
    </w:p>
    <w:tbl>
      <w:tblPr>
        <w:tblStyle w:val="23"/>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pPr>
              <w:kinsoku/>
              <w:wordWrap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pPr>
              <w:pStyle w:val="39"/>
              <w:kinsoku/>
              <w:wordWrap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39"/>
              <w:kinsoku/>
              <w:wordWrap w:val="0"/>
              <w:spacing w:before="25" w:line="207" w:lineRule="auto"/>
              <w:ind w:left="126"/>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p>
            <w:pPr>
              <w:pStyle w:val="39"/>
              <w:kinsoku/>
              <w:wordWrap w:val="0"/>
              <w:spacing w:before="25" w:line="207" w:lineRule="auto"/>
              <w:ind w:left="126"/>
              <w:jc w:val="both"/>
              <w:rPr>
                <w:rFonts w:hint="eastAsia"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pPr>
              <w:kinsoku/>
              <w:wordWrap w:val="0"/>
              <w:spacing w:before="37" w:line="238" w:lineRule="auto"/>
              <w:ind w:left="1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pPr>
              <w:pStyle w:val="39"/>
              <w:kinsoku/>
              <w:wordWrap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39"/>
              <w:kinsoku/>
              <w:wordWrap w:val="0"/>
              <w:spacing w:before="21" w:line="207"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pPr>
              <w:pStyle w:val="39"/>
              <w:kinsoku/>
              <w:wordWrap w:val="0"/>
              <w:jc w:val="both"/>
              <w:rPr>
                <w:rFonts w:hint="eastAsia" w:asciiTheme="minorEastAsia" w:hAnsiTheme="minorEastAsia" w:eastAsiaTheme="minorEastAsia" w:cstheme="minorEastAsia"/>
              </w:rPr>
            </w:pPr>
          </w:p>
          <w:p>
            <w:pPr>
              <w:kinsoku/>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tcPr>
          <w:p>
            <w:pPr>
              <w:pStyle w:val="39"/>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☑不组织</w:t>
            </w:r>
          </w:p>
          <w:p>
            <w:pPr>
              <w:pStyle w:val="39"/>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□组织，考察时间：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pPr>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tcPr>
          <w:p>
            <w:pPr>
              <w:pStyle w:val="39"/>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☑不召开</w:t>
            </w:r>
          </w:p>
          <w:p>
            <w:pPr>
              <w:pStyle w:val="39"/>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□召开，召开时间：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pPr>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pPr>
              <w:pStyle w:val="39"/>
              <w:numPr>
                <w:ilvl w:val="0"/>
                <w:numId w:val="2"/>
              </w:numPr>
              <w:kinsoku/>
              <w:wordWrap w:val="0"/>
              <w:jc w:val="both"/>
              <w:rPr>
                <w:rFonts w:hint="eastAsia" w:asciiTheme="minorEastAsia" w:hAnsiTheme="minorEastAsia" w:eastAsiaTheme="minorEastAsia" w:cstheme="minorEastAsia"/>
                <w:spacing w:val="29"/>
                <w:sz w:val="24"/>
                <w:szCs w:val="24"/>
                <w:u w:val="single"/>
                <w:lang w:eastAsia="zh-CN"/>
              </w:rPr>
            </w:pPr>
            <w:r>
              <w:rPr>
                <w:rFonts w:hint="eastAsia" w:asciiTheme="minorEastAsia" w:hAnsiTheme="minorEastAsia" w:eastAsiaTheme="minorEastAsia" w:cstheme="minorEastAsia"/>
                <w:spacing w:val="14"/>
                <w:sz w:val="24"/>
                <w:szCs w:val="24"/>
                <w:lang w:eastAsia="zh-CN"/>
              </w:rPr>
              <w:t>本项目采购标的按照中小企业划分标准属于：</w:t>
            </w:r>
            <w:r>
              <w:rPr>
                <w:rFonts w:hint="eastAsia" w:asciiTheme="minorEastAsia" w:hAnsiTheme="minorEastAsia" w:eastAsiaTheme="minorEastAsia" w:cstheme="minorEastAsia"/>
                <w:spacing w:val="14"/>
                <w:sz w:val="24"/>
                <w:szCs w:val="24"/>
                <w:u w:val="single"/>
                <w:lang w:eastAsia="zh-CN"/>
              </w:rPr>
              <w:t>软件和信息技术服务业</w:t>
            </w:r>
            <w:r>
              <w:rPr>
                <w:rFonts w:hint="eastAsia" w:asciiTheme="minorEastAsia" w:hAnsiTheme="minorEastAsia" w:eastAsiaTheme="minorEastAsia" w:cstheme="minorEastAsia"/>
                <w:spacing w:val="29"/>
                <w:sz w:val="24"/>
                <w:szCs w:val="24"/>
                <w:u w:val="single"/>
                <w:lang w:eastAsia="zh-CN"/>
              </w:rPr>
              <w:t xml:space="preserve"> </w:t>
            </w:r>
          </w:p>
          <w:p>
            <w:pPr>
              <w:pStyle w:val="39"/>
              <w:kinsoku/>
              <w:wordWrap w:val="0"/>
              <w:jc w:val="both"/>
              <w:rPr>
                <w:rFonts w:hint="eastAsia" w:asciiTheme="minorEastAsia" w:hAnsiTheme="minorEastAsia" w:eastAsiaTheme="minorEastAsia" w:cstheme="minorEastAsia"/>
                <w:spacing w:val="29"/>
                <w:sz w:val="24"/>
                <w:szCs w:val="24"/>
                <w:u w:val="single"/>
                <w:lang w:eastAsia="zh-CN"/>
              </w:rPr>
            </w:pPr>
            <w:r>
              <w:rPr>
                <w:rFonts w:hint="eastAsia" w:asciiTheme="minorEastAsia" w:hAnsiTheme="minorEastAsia" w:eastAsiaTheme="minorEastAsia" w:cstheme="minorEastAsia"/>
                <w:spacing w:val="14"/>
                <w:sz w:val="24"/>
                <w:szCs w:val="24"/>
                <w:lang w:eastAsia="zh-CN"/>
              </w:rPr>
              <w:t>□本项目专门面向中小企业采购。</w:t>
            </w:r>
          </w:p>
          <w:p>
            <w:pPr>
              <w:kinsoku/>
              <w:wordWrap w:val="0"/>
              <w:autoSpaceDE/>
              <w:autoSpaceDN/>
              <w:adjustRightInd/>
              <w:snapToGrid/>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r>
              <w:rPr>
                <w:rFonts w:hint="eastAsia" w:asciiTheme="minorEastAsia" w:hAnsiTheme="minorEastAsia" w:eastAsiaTheme="minorEastAsia" w:cstheme="minorEastAsia"/>
                <w:spacing w:val="29"/>
                <w:sz w:val="24"/>
                <w:szCs w:val="24"/>
                <w:u w:val="single"/>
                <w:lang w:eastAsia="zh-CN"/>
              </w:rPr>
              <w:t xml:space="preserve">10 </w:t>
            </w:r>
            <w:r>
              <w:rPr>
                <w:rFonts w:hint="eastAsia" w:asciiTheme="minorEastAsia" w:hAnsiTheme="minorEastAsia" w:eastAsiaTheme="minorEastAsia" w:cstheme="minorEastAsia"/>
                <w:spacing w:val="29"/>
                <w:sz w:val="24"/>
                <w:szCs w:val="24"/>
                <w:lang w:eastAsia="zh-CN"/>
              </w:rPr>
              <w:t>%。</w:t>
            </w:r>
          </w:p>
          <w:p>
            <w:pPr>
              <w:kinsoku/>
              <w:wordWrap w:val="0"/>
              <w:autoSpaceDE/>
              <w:autoSpaceDN/>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pPr>
              <w:pStyle w:val="39"/>
              <w:kinsoku/>
              <w:wordWrap w:val="0"/>
              <w:spacing w:line="269" w:lineRule="auto"/>
              <w:jc w:val="both"/>
              <w:rPr>
                <w:rFonts w:hint="eastAsia" w:asciiTheme="minorEastAsia" w:hAnsiTheme="minorEastAsia" w:eastAsiaTheme="minorEastAsia" w:cstheme="minorEastAsia"/>
                <w:lang w:eastAsia="zh-CN"/>
              </w:rPr>
            </w:pPr>
          </w:p>
          <w:p>
            <w:pPr>
              <w:kinsoku/>
              <w:wordWrap w:val="0"/>
              <w:spacing w:before="78" w:line="219" w:lineRule="auto"/>
              <w:ind w:left="37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tcPr>
          <w:p>
            <w:pPr>
              <w:kinsoku/>
              <w:wordWrap w:val="0"/>
              <w:spacing w:before="40"/>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磋商报价的特殊规定：</w:t>
            </w:r>
          </w:p>
          <w:p>
            <w:pPr>
              <w:pStyle w:val="39"/>
              <w:kinsoku/>
              <w:wordWrap w:val="0"/>
              <w:spacing w:before="1" w:line="220"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pPr>
              <w:pStyle w:val="39"/>
              <w:kinsoku/>
              <w:wordWrap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39"/>
              <w:kinsoku/>
              <w:wordWrap w:val="0"/>
              <w:spacing w:line="19" w:lineRule="exact"/>
              <w:ind w:left="200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第一标段：</w:t>
            </w:r>
            <w:r>
              <w:rPr>
                <w:rFonts w:hint="eastAsia" w:asciiTheme="minorEastAsia" w:hAnsiTheme="minorEastAsia" w:eastAsiaTheme="minorEastAsia" w:cstheme="minorEastAsia"/>
                <w:spacing w:val="-12"/>
                <w:sz w:val="24"/>
                <w:szCs w:val="24"/>
                <w:u w:val="single"/>
                <w:lang w:eastAsia="zh-CN"/>
              </w:rPr>
              <w:t>74.48</w:t>
            </w:r>
            <w:r>
              <w:rPr>
                <w:rFonts w:hint="eastAsia" w:asciiTheme="minorEastAsia" w:hAnsiTheme="minorEastAsia" w:eastAsiaTheme="minorEastAsia" w:cstheme="minorEastAsia"/>
                <w:bCs/>
                <w:sz w:val="24"/>
                <w:szCs w:val="24"/>
                <w:lang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  2024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val="en-US" w:eastAsia="zh-CN"/>
              </w:rPr>
              <w:t>9</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 xml:space="preserve">4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09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spacing w:val="14"/>
                <w:sz w:val="24"/>
                <w:szCs w:val="24"/>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eastAsia="zh-CN"/>
              </w:rPr>
              <w:t xml:space="preserve"> 2024</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9</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 xml:space="preserve">4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09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spacing w:val="14"/>
                <w:sz w:val="24"/>
                <w:szCs w:val="24"/>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 xml:space="preserve">☑否            </w:t>
            </w:r>
            <w:r>
              <w:rPr>
                <w:rFonts w:hint="eastAsia" w:asciiTheme="minorEastAsia" w:hAnsiTheme="minorEastAsia" w:eastAsiaTheme="minorEastAsia" w:cstheme="minorEastAsia"/>
                <w:sz w:val="24"/>
                <w:szCs w:val="24"/>
                <w:lang w:eastAsia="zh-CN"/>
              </w:rPr>
              <w:t>推荐的中标候选人数：3名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pPr>
              <w:pStyle w:val="39"/>
              <w:kinsoku/>
              <w:wordWrap w:val="0"/>
              <w:spacing w:before="1" w:line="220"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p>
            <w:pPr>
              <w:pStyle w:val="39"/>
              <w:kinsoku/>
              <w:wordWrap w:val="0"/>
              <w:spacing w:before="1" w:line="220" w:lineRule="auto"/>
              <w:ind w:left="126"/>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pPr>
              <w:pStyle w:val="39"/>
              <w:kinsoku/>
              <w:wordWrap w:val="0"/>
              <w:spacing w:before="1" w:line="220" w:lineRule="auto"/>
              <w:ind w:left="126"/>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收费标准：依据《河南省招标代理服务收费指导意见》豫招协〔2023〕002号文规定收</w:t>
            </w:r>
            <w:r>
              <w:rPr>
                <w:rFonts w:hint="eastAsia" w:ascii="宋体" w:hAnsi="宋体" w:eastAsia="宋体" w:cs="宋体"/>
                <w:spacing w:val="-13"/>
                <w:sz w:val="24"/>
                <w:szCs w:val="24"/>
                <w:lang w:eastAsia="zh-CN"/>
              </w:rPr>
              <w:t>取。</w:t>
            </w:r>
          </w:p>
        </w:tc>
      </w:tr>
    </w:tbl>
    <w:p>
      <w:pPr>
        <w:kinsoku/>
        <w:wordWrap w:val="0"/>
        <w:spacing w:line="371" w:lineRule="auto"/>
        <w:jc w:val="both"/>
        <w:rPr>
          <w:lang w:eastAsia="zh-CN"/>
        </w:rPr>
      </w:pPr>
    </w:p>
    <w:p>
      <w:pPr>
        <w:kinsoku/>
        <w:wordWrap w:val="0"/>
        <w:spacing w:line="243" w:lineRule="auto"/>
        <w:jc w:val="both"/>
        <w:rPr>
          <w:lang w:eastAsia="zh-CN"/>
        </w:rPr>
      </w:pPr>
    </w:p>
    <w:p>
      <w:pPr>
        <w:kinsoku/>
        <w:wordWrap w:val="0"/>
        <w:spacing w:line="244" w:lineRule="auto"/>
        <w:jc w:val="both"/>
        <w:rPr>
          <w:lang w:eastAsia="zh-CN"/>
        </w:rPr>
      </w:pPr>
    </w:p>
    <w:p>
      <w:pPr>
        <w:pStyle w:val="9"/>
        <w:kinsoku/>
        <w:wordWrap w:val="0"/>
        <w:spacing w:before="91" w:line="360" w:lineRule="auto"/>
        <w:ind w:left="3844"/>
        <w:jc w:val="both"/>
        <w:rPr>
          <w:rFonts w:hint="eastAsia"/>
          <w:sz w:val="28"/>
          <w:szCs w:val="28"/>
          <w:lang w:eastAsia="zh-CN"/>
        </w:rPr>
      </w:pPr>
      <w:r>
        <w:rPr>
          <w:spacing w:val="-1"/>
          <w:sz w:val="28"/>
          <w:szCs w:val="28"/>
          <w:lang w:eastAsia="zh-CN"/>
          <w14:textOutline w14:w="1803" w14:cap="flat" w14:cmpd="sng" w14:algn="ctr">
            <w14:solidFill>
              <w14:srgbClr w14:val="000000"/>
            </w14:solidFill>
            <w14:prstDash w14:val="solid"/>
            <w14:miter w14:val="0"/>
          </w14:textOutline>
        </w:rPr>
        <w:t>供应商须知</w:t>
      </w:r>
    </w:p>
    <w:p>
      <w:pPr>
        <w:pStyle w:val="9"/>
        <w:kinsoku/>
        <w:wordWrap w:val="0"/>
        <w:spacing w:before="270" w:line="360" w:lineRule="auto"/>
        <w:jc w:val="both"/>
        <w:rPr>
          <w:rFonts w:hint="eastAsia" w:asciiTheme="minorEastAsia" w:hAnsiTheme="minorEastAsia" w:eastAsiaTheme="minorEastAsia" w:cstheme="minorEastAsia"/>
          <w:spacing w:val="-1"/>
          <w:sz w:val="24"/>
          <w:szCs w:val="24"/>
          <w:lang w:eastAsia="zh-CN"/>
        </w:rPr>
      </w:pPr>
      <w:r>
        <w:rPr>
          <w:spacing w:val="-10"/>
          <w:sz w:val="28"/>
          <w:szCs w:val="28"/>
          <w:lang w:eastAsia="zh-CN"/>
          <w14:textOutline w14:w="1803" w14:cap="flat" w14:cmpd="sng" w14:algn="ctr">
            <w14:solidFill>
              <w14:srgbClr w14:val="000000"/>
            </w14:solidFill>
            <w14:prstDash w14:val="solid"/>
            <w14:miter w14:val="0"/>
          </w14:textOutline>
        </w:rPr>
        <w:t>一</w:t>
      </w:r>
      <w:r>
        <w:rPr>
          <w:rFonts w:hint="eastAsia"/>
          <w:spacing w:val="5"/>
          <w:sz w:val="28"/>
          <w:szCs w:val="28"/>
          <w:lang w:eastAsia="zh-CN"/>
        </w:rPr>
        <w:t>、</w:t>
      </w:r>
      <w:r>
        <w:rPr>
          <w:spacing w:val="-10"/>
          <w:sz w:val="28"/>
          <w:szCs w:val="28"/>
          <w:lang w:eastAsia="zh-CN"/>
          <w14:textOutline w14:w="1803" w14:cap="flat" w14:cmpd="sng" w14:algn="ctr">
            <w14:solidFill>
              <w14:srgbClr w14:val="000000"/>
            </w14:solidFill>
            <w14:prstDash w14:val="solid"/>
            <w14:miter w14:val="0"/>
          </w14:textOutline>
        </w:rPr>
        <w:t>说明</w:t>
      </w:r>
    </w:p>
    <w:p>
      <w:pPr>
        <w:pStyle w:val="9"/>
        <w:kinsoku/>
        <w:wordWrap w:val="0"/>
        <w:spacing w:line="360" w:lineRule="auto"/>
        <w:ind w:firstLine="478"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lang w:eastAsia="zh-CN"/>
        </w:rPr>
        <w:t>、联合体</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 采购人、采购代理机构：指依法进行政府采购的国家机关、事业单位、团体组织，及其委托的采购代理机构。本项目采购人、采购代理机构见第一章《竞争性磋商公告》。</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 供应商（也称申请人）：指向采购人提供货物、工程或者服务的法人、其他组织或者自然人。</w:t>
      </w:r>
    </w:p>
    <w:p>
      <w:pPr>
        <w:pStyle w:val="9"/>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 联合体：指两个以上的自然人、法人或者其他组织组成一个联合体，以一个供应商的身份共同参加政府采购。</w:t>
      </w:r>
    </w:p>
    <w:p>
      <w:pPr>
        <w:pStyle w:val="9"/>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2.资金来源、项目属性、科研仪器设备采购</w:t>
      </w:r>
    </w:p>
    <w:p>
      <w:pPr>
        <w:pStyle w:val="9"/>
        <w:kinsoku/>
        <w:wordWrap w:val="0"/>
        <w:spacing w:line="360" w:lineRule="auto"/>
        <w:ind w:firstLine="50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2.1 资金来源为财政性资金</w:t>
      </w:r>
      <w:r>
        <w:rPr>
          <w:rFonts w:hint="eastAsia" w:asciiTheme="minorEastAsia" w:hAnsiTheme="minorEastAsia" w:eastAsiaTheme="minorEastAsia" w:cstheme="minorEastAsia"/>
          <w:spacing w:val="7"/>
          <w:sz w:val="24"/>
          <w:szCs w:val="24"/>
          <w:u w:val="single"/>
          <w:lang w:eastAsia="zh-CN"/>
        </w:rPr>
        <w:t>74.48</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9"/>
          <w:sz w:val="24"/>
          <w:szCs w:val="24"/>
          <w:lang w:eastAsia="zh-CN"/>
        </w:rPr>
        <w:t>。</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2.2 项目属性见《供应商须知表》。</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2.3 是否属于科研仪器设备采购见《供应商须知表》。</w:t>
      </w:r>
    </w:p>
    <w:p>
      <w:pPr>
        <w:pStyle w:val="9"/>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pPr>
        <w:pStyle w:val="9"/>
        <w:kinsoku/>
        <w:wordWrap w:val="0"/>
        <w:spacing w:line="360" w:lineRule="auto"/>
        <w:ind w:firstLine="49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 若《供应商须知表》中规定了组</w:t>
      </w:r>
      <w:r>
        <w:rPr>
          <w:rFonts w:hint="eastAsia" w:asciiTheme="minorEastAsia" w:hAnsiTheme="minorEastAsia" w:eastAsiaTheme="minorEastAsia" w:cstheme="minorEastAsia"/>
          <w:spacing w:val="2"/>
          <w:sz w:val="24"/>
          <w:szCs w:val="24"/>
          <w:lang w:eastAsia="zh-CN"/>
        </w:rPr>
        <w:t>织现场考察、召开磋商前答疑会，则供应商</w:t>
      </w:r>
      <w:r>
        <w:rPr>
          <w:rFonts w:hint="eastAsia" w:asciiTheme="minorEastAsia" w:hAnsiTheme="minorEastAsia" w:eastAsiaTheme="minorEastAsia" w:cstheme="minorEastAsia"/>
          <w:spacing w:val="-3"/>
          <w:sz w:val="24"/>
          <w:szCs w:val="24"/>
          <w:lang w:eastAsia="zh-CN"/>
        </w:rPr>
        <w:t>应按要求在规定的时间和地点参加。</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 由于未参加现场考察或磋商前答疑会而导致对项目实际情况不了解，影响响应文件编制、磋商报价准确性、综合因素响应不全面等问题的，由供应商自行承担不利评审后果。</w:t>
      </w:r>
    </w:p>
    <w:p>
      <w:pPr>
        <w:pStyle w:val="9"/>
        <w:kinsoku/>
        <w:wordWrap w:val="0"/>
        <w:spacing w:line="360" w:lineRule="auto"/>
        <w:ind w:firstLine="478"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pPr>
        <w:pStyle w:val="9"/>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 采购本国货物、工程和服务</w:t>
      </w:r>
    </w:p>
    <w:p>
      <w:pPr>
        <w:pStyle w:val="9"/>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 政府采购应当采购本国货物、工程和服务。但有《中华人民共和国政府采购法》第十条规定情形的除外。</w:t>
      </w:r>
    </w:p>
    <w:p>
      <w:pPr>
        <w:pStyle w:val="9"/>
        <w:kinsoku/>
        <w:wordWrap w:val="0"/>
        <w:spacing w:line="360" w:lineRule="auto"/>
        <w:ind w:firstLine="46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 本项目如接受非本国货</w:t>
      </w:r>
      <w:r>
        <w:rPr>
          <w:rFonts w:hint="eastAsia" w:asciiTheme="minorEastAsia" w:hAnsiTheme="minorEastAsia" w:eastAsiaTheme="minorEastAsia" w:cstheme="minorEastAsia"/>
          <w:spacing w:val="-5"/>
          <w:sz w:val="24"/>
          <w:szCs w:val="24"/>
          <w:lang w:eastAsia="zh-CN"/>
        </w:rPr>
        <w:t>物、工程、服务参与磋商，则具体要求见第二</w:t>
      </w:r>
      <w:r>
        <w:rPr>
          <w:rFonts w:hint="eastAsia" w:asciiTheme="minorEastAsia" w:hAnsiTheme="minorEastAsia" w:eastAsiaTheme="minorEastAsia" w:cstheme="minorEastAsia"/>
          <w:spacing w:val="-19"/>
          <w:sz w:val="24"/>
          <w:szCs w:val="24"/>
          <w:lang w:eastAsia="zh-CN"/>
        </w:rPr>
        <w:t>章《采购需求》。</w:t>
      </w:r>
    </w:p>
    <w:p>
      <w:pPr>
        <w:pStyle w:val="9"/>
        <w:kinsoku/>
        <w:wordWrap w:val="0"/>
        <w:spacing w:line="360" w:lineRule="auto"/>
        <w:ind w:firstLine="50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 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以及南阳市财政局的具体规定。</w:t>
      </w:r>
    </w:p>
    <w:p>
      <w:pPr>
        <w:pStyle w:val="9"/>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 中小企业、监狱企业及残疾人福利性单位</w:t>
      </w:r>
    </w:p>
    <w:p>
      <w:pPr>
        <w:pStyle w:val="9"/>
        <w:kinsoku/>
        <w:wordWrap w:val="0"/>
        <w:spacing w:line="360" w:lineRule="auto"/>
        <w:ind w:firstLine="47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 中小企业定义：</w:t>
      </w:r>
    </w:p>
    <w:p>
      <w:pPr>
        <w:pStyle w:val="9"/>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4.2.1.1</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pPr>
        <w:pStyle w:val="9"/>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4.2.1.2</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供应商提供的货物、工程或者服务符合下列情形的，享受中小企业扶持政策：</w:t>
      </w:r>
    </w:p>
    <w:p>
      <w:pPr>
        <w:pStyle w:val="9"/>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pPr>
        <w:pStyle w:val="9"/>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pPr>
        <w:pStyle w:val="9"/>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pPr>
        <w:pStyle w:val="9"/>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4.2.1.3</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在货物采购项目中，供应商提供的货物既有中小企业制造货物，也有大型企业制造货物的，不享受中小企业扶持政策。</w:t>
      </w:r>
    </w:p>
    <w:p>
      <w:pPr>
        <w:pStyle w:val="9"/>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4.2.1.4</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以联合体形式参加政府采购活动，联合体各方均为中小企业的，联合体视同中小企业。其中，联合体各方均为小微企业的，联合体视同小微企业。</w:t>
      </w:r>
    </w:p>
    <w:p>
      <w:pPr>
        <w:pStyle w:val="9"/>
        <w:kinsoku/>
        <w:wordWrap w:val="0"/>
        <w:spacing w:line="360" w:lineRule="auto"/>
        <w:ind w:firstLine="46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pPr>
        <w:pStyle w:val="9"/>
        <w:kinsoku/>
        <w:wordWrap w:val="0"/>
        <w:spacing w:line="360" w:lineRule="auto"/>
        <w:ind w:firstLine="44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 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安置的残疾人占本单位在职职工人数的比例不低于25%（含25%），并且安置的残疾人人数不少于10人（含10人）；</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依法与安置的每位残疾人签订了一年以上（含一年）的劳动合同或服务协议；</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为安置的每位残疾人按月足额缴纳了基本养老、医疗、失业、工伤和生育等社会保险费；</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通过银行等金融机构向安置的每位残疾人，按月支付了不低于单位所在区县的月最低工资标准的工资；</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 本项目是否专门面向中小企业预留采购份额见第一章《竞争性磋商公告》。</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 采购标的对应的中小企业划分标准所属行业见《供应商须知表》。</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 小微企业价格评审优惠的政策调整：见第四章《评审程序、评审方法和评审标准》。</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 政府采购节能产品、环境标志产品</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4.3.1 政府采购节能产品、环境标志产品实施品目清单管理。财政部、</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lang w:eastAsia="zh-CN"/>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9"/>
        <w:kinsoku/>
        <w:wordWrap w:val="0"/>
        <w:spacing w:line="360" w:lineRule="auto"/>
        <w:ind w:firstLine="448" w:firstLineChars="200"/>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spacing w:val="-8"/>
          <w:sz w:val="24"/>
          <w:szCs w:val="24"/>
          <w:lang w:eastAsia="zh-CN"/>
        </w:rPr>
        <w:t>4.3.3 如本项目采购产品属于实施政府强制采购品目清单范围的节能产品，则</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8"/>
          <w:sz w:val="24"/>
          <w:szCs w:val="24"/>
          <w:lang w:eastAsia="zh-CN"/>
        </w:rPr>
        <w:t>所报产品必须获得国家确定的认证机构出具的、处于有效期之内的节能产品认证证书，</w:t>
      </w:r>
      <w:r>
        <w:rPr>
          <w:rFonts w:hint="eastAsia" w:asciiTheme="minorEastAsia" w:hAnsiTheme="minorEastAsia" w:eastAsiaTheme="minorEastAsia" w:cstheme="minorEastAsia"/>
          <w:b w:val="0"/>
          <w:bCs w:val="0"/>
          <w:spacing w:val="-8"/>
          <w:sz w:val="24"/>
          <w:szCs w:val="24"/>
          <w:lang w:eastAsia="zh-CN"/>
        </w:rPr>
        <w:t>否则响应无效；</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 非政府强制采购的节能产品或环境标志产品，依据品目清单和认证证书实施政府优先采购。优先采购的具体规定见第四章《评审程序、评审方法和评审标准》。（如涉及）。</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 正版软件</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 依据《财政部、</w:t>
      </w:r>
      <w:r>
        <w:fldChar w:fldCharType="begin"/>
      </w:r>
      <w:r>
        <w:rPr>
          <w:lang w:eastAsia="zh-CN"/>
        </w:rPr>
        <w:instrText xml:space="preserve">HYPERLINK "https://www.baidu.com/link?url=pV2gqlWQVIfLHb2GO1RMJVp24ETQ1a_TiqQ-2CHpcULsECvXubLhLHJTcTJbIedy&amp;wd=&amp;eqid=88c7d5f9006c2d6b0000000265780e74" \t "https://www.baidu.com/_blank"</w:instrText>
      </w:r>
      <w:r>
        <w:rPr>
          <w:rFonts w:hint="eastAsia"/>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w:t>
      </w:r>
      <w:r>
        <w:fldChar w:fldCharType="begin"/>
      </w:r>
      <w:r>
        <w:rPr>
          <w:lang w:eastAsia="zh-CN"/>
        </w:rPr>
        <w:instrText xml:space="preserve">HYPERLINK "https://www.baidu.com/link?url=pV2gqlWQVIfLHb2GO1RMJVp24ETQ1a_TiqQ-2CHpcULsECvXubLhLHJTcTJbIedy&amp;wd=&amp;eqid=88c7d5f9006c2d6b0000000265780e74" \t "https://www.baidu.com/_blank"</w:instrText>
      </w:r>
      <w:r>
        <w:rPr>
          <w:rFonts w:hint="eastAsia"/>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lang w:eastAsia="zh-CN"/>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pPr>
        <w:pStyle w:val="9"/>
        <w:kinsoku/>
        <w:wordWrap w:val="0"/>
        <w:spacing w:line="360" w:lineRule="auto"/>
        <w:ind w:firstLine="46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 各级政府部门在购置计算机办公设备时，必须采购预装正版操作系统</w:t>
      </w: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pacing w:val="-3"/>
          <w:sz w:val="24"/>
          <w:szCs w:val="24"/>
          <w:lang w:eastAsia="zh-CN"/>
        </w:rPr>
        <w:t>（国办发〔2010〕47号）、《财政部关于进一步做好政府机关使用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正版软件工作的通知》（财预〔2010〕536号）。</w:t>
      </w:r>
    </w:p>
    <w:p>
      <w:pPr>
        <w:pStyle w:val="9"/>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 网络安全专用产品</w:t>
      </w:r>
    </w:p>
    <w:p>
      <w:pPr>
        <w:pStyle w:val="9"/>
        <w:kinsoku/>
        <w:wordWrap w:val="0"/>
        <w:spacing w:line="360" w:lineRule="auto"/>
        <w:ind w:firstLine="476"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 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pPr>
        <w:pStyle w:val="9"/>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 采购需求标准</w:t>
      </w:r>
    </w:p>
    <w:p>
      <w:pPr>
        <w:pStyle w:val="9"/>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 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pPr>
        <w:pStyle w:val="9"/>
        <w:kinsoku/>
        <w:wordWrap w:val="0"/>
        <w:spacing w:line="360" w:lineRule="auto"/>
        <w:ind w:firstLine="432" w:firstLineChars="200"/>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 绿色数据中心政府采购需求标准（试行）</w:t>
      </w:r>
    </w:p>
    <w:p>
      <w:pPr>
        <w:pStyle w:val="9"/>
        <w:kinsoku/>
        <w:wordWrap w:val="0"/>
        <w:spacing w:line="360" w:lineRule="auto"/>
        <w:ind w:firstLine="432" w:firstLineChars="200"/>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pPr>
        <w:pStyle w:val="9"/>
        <w:kinsoku/>
        <w:wordWrap w:val="0"/>
        <w:spacing w:line="360" w:lineRule="auto"/>
        <w:ind w:firstLine="474"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2"/>
          <w:sz w:val="24"/>
          <w:szCs w:val="24"/>
          <w:lang w:eastAsia="zh-CN"/>
        </w:rPr>
        <w:t>5.采购费用</w:t>
      </w:r>
    </w:p>
    <w:p>
      <w:pPr>
        <w:pStyle w:val="9"/>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4"/>
          <w:sz w:val="24"/>
          <w:szCs w:val="24"/>
          <w:lang w:eastAsia="zh-CN"/>
        </w:rPr>
        <w:t>应自行承担所有与准备和参加本次采购有关的费用</w:t>
      </w:r>
      <w:r>
        <w:rPr>
          <w:rFonts w:hint="eastAsia" w:asciiTheme="minorEastAsia" w:hAnsiTheme="minorEastAsia" w:eastAsiaTheme="minorEastAsia" w:cstheme="minorEastAsia"/>
          <w:spacing w:val="-5"/>
          <w:sz w:val="24"/>
          <w:szCs w:val="24"/>
          <w:lang w:eastAsia="zh-CN"/>
        </w:rPr>
        <w:t>，无论磋商的结果如何，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河南省财政厅 </w:t>
      </w:r>
      <w:r>
        <w:rPr>
          <w:rFonts w:hint="eastAsia" w:asciiTheme="minorEastAsia" w:hAnsiTheme="minorEastAsia" w:eastAsiaTheme="minorEastAsia" w:cstheme="minorEastAsia"/>
          <w:spacing w:val="-2"/>
          <w:sz w:val="24"/>
          <w:szCs w:val="24"/>
          <w:lang w:eastAsia="zh-CN"/>
        </w:rPr>
        <w:t>。</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“货物”指供应商按采购文件规定，须向采购人提供的与本次采购相关的</w:t>
      </w:r>
      <w:r>
        <w:rPr>
          <w:rFonts w:hint="eastAsia" w:asciiTheme="minorEastAsia" w:hAnsiTheme="minorEastAsia" w:eastAsiaTheme="minorEastAsia" w:cstheme="minorEastAsia"/>
          <w:spacing w:val="-2"/>
          <w:sz w:val="24"/>
          <w:szCs w:val="24"/>
          <w:u w:val="single"/>
          <w:lang w:eastAsia="zh-CN"/>
        </w:rPr>
        <w:t xml:space="preserve">设备及附属物品 </w:t>
      </w:r>
      <w:r>
        <w:rPr>
          <w:rFonts w:hint="eastAsia" w:asciiTheme="minorEastAsia" w:hAnsiTheme="minorEastAsia" w:eastAsiaTheme="minorEastAsia" w:cstheme="minorEastAsia"/>
          <w:spacing w:val="-12"/>
          <w:sz w:val="24"/>
          <w:szCs w:val="24"/>
          <w:lang w:eastAsia="zh-CN"/>
        </w:rPr>
        <w:t>。</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6.4 “服务”指采购文件规定供应商应承担的</w:t>
      </w:r>
      <w:r>
        <w:rPr>
          <w:rFonts w:hint="eastAsia" w:asciiTheme="minorEastAsia" w:hAnsiTheme="minorEastAsia" w:eastAsiaTheme="minorEastAsia" w:cstheme="minorEastAsia"/>
          <w:spacing w:val="-2"/>
          <w:sz w:val="24"/>
          <w:szCs w:val="24"/>
          <w:u w:val="single"/>
          <w:lang w:eastAsia="zh-CN"/>
        </w:rPr>
        <w:t xml:space="preserve"> 售后及安装  </w:t>
      </w:r>
      <w:r>
        <w:rPr>
          <w:rFonts w:hint="eastAsia" w:asciiTheme="minorEastAsia" w:hAnsiTheme="minorEastAsia" w:eastAsiaTheme="minorEastAsia" w:cstheme="minorEastAsia"/>
          <w:spacing w:val="-12"/>
          <w:sz w:val="24"/>
          <w:szCs w:val="24"/>
          <w:lang w:eastAsia="zh-CN"/>
        </w:rPr>
        <w:t>服务。</w:t>
      </w:r>
    </w:p>
    <w:p>
      <w:pPr>
        <w:kinsoku/>
        <w:wordWrap w:val="0"/>
        <w:spacing w:line="292" w:lineRule="auto"/>
        <w:jc w:val="both"/>
        <w:rPr>
          <w:lang w:eastAsia="zh-CN"/>
        </w:rPr>
      </w:pPr>
    </w:p>
    <w:p>
      <w:pPr>
        <w:pStyle w:val="9"/>
        <w:kinsoku/>
        <w:wordWrap w:val="0"/>
        <w:spacing w:before="91" w:line="360" w:lineRule="auto"/>
        <w:jc w:val="both"/>
        <w:rPr>
          <w:rFonts w:hint="eastAsia"/>
          <w:sz w:val="24"/>
          <w:szCs w:val="24"/>
          <w:lang w:eastAsia="zh-CN"/>
        </w:rPr>
      </w:pPr>
      <w:r>
        <w:rPr>
          <w:spacing w:val="-1"/>
          <w:sz w:val="28"/>
          <w:szCs w:val="28"/>
          <w:lang w:eastAsia="zh-CN"/>
          <w14:textOutline w14:w="1803" w14:cap="flat" w14:cmpd="sng" w14:algn="ctr">
            <w14:solidFill>
              <w14:srgbClr w14:val="000000"/>
            </w14:solidFill>
            <w14:prstDash w14:val="solid"/>
            <w14:miter w14:val="0"/>
          </w14:textOutline>
        </w:rPr>
        <w:t>二</w:t>
      </w:r>
      <w:r>
        <w:rPr>
          <w:rFonts w:hint="eastAsia"/>
          <w:spacing w:val="-1"/>
          <w:sz w:val="28"/>
          <w:szCs w:val="28"/>
          <w:lang w:eastAsia="zh-CN"/>
        </w:rPr>
        <w:t>、</w:t>
      </w:r>
      <w:r>
        <w:rPr>
          <w:spacing w:val="-1"/>
          <w:sz w:val="28"/>
          <w:szCs w:val="28"/>
          <w:lang w:eastAsia="zh-CN"/>
          <w14:textOutline w14:w="1803" w14:cap="flat" w14:cmpd="sng" w14:algn="ctr">
            <w14:solidFill>
              <w14:srgbClr w14:val="000000"/>
            </w14:solidFill>
            <w14:prstDash w14:val="solid"/>
            <w14:miter w14:val="0"/>
          </w14:textOutline>
        </w:rPr>
        <w:t>竞争性磋商文件</w:t>
      </w:r>
    </w:p>
    <w:p>
      <w:pPr>
        <w:pStyle w:val="9"/>
        <w:kinsoku/>
        <w:wordWrap w:val="0"/>
        <w:spacing w:line="360" w:lineRule="auto"/>
        <w:ind w:firstLine="482" w:firstLineChars="200"/>
        <w:jc w:val="both"/>
        <w:rPr>
          <w:rFonts w:hint="eastAsia"/>
          <w:b/>
          <w:bCs/>
          <w:sz w:val="24"/>
          <w:szCs w:val="24"/>
          <w:lang w:eastAsia="zh-CN"/>
        </w:rPr>
      </w:pPr>
      <w:r>
        <w:rPr>
          <w:rFonts w:hint="eastAsia"/>
          <w:b/>
          <w:bCs/>
          <w:sz w:val="24"/>
          <w:szCs w:val="24"/>
          <w:lang w:eastAsia="zh-CN"/>
        </w:rPr>
        <w:t>7.</w:t>
      </w:r>
      <w:r>
        <w:rPr>
          <w:b/>
          <w:bCs/>
          <w:sz w:val="24"/>
          <w:szCs w:val="24"/>
          <w:lang w:eastAsia="zh-CN"/>
        </w:rPr>
        <w:t>竞争性磋商文件构成</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7</w:t>
      </w:r>
      <w:r>
        <w:rPr>
          <w:spacing w:val="-1"/>
          <w:sz w:val="24"/>
          <w:szCs w:val="24"/>
          <w:lang w:eastAsia="zh-CN"/>
        </w:rPr>
        <w:t>.1</w:t>
      </w:r>
      <w:r>
        <w:rPr>
          <w:rFonts w:hint="eastAsia"/>
          <w:spacing w:val="-1"/>
          <w:sz w:val="24"/>
          <w:szCs w:val="24"/>
          <w:lang w:eastAsia="zh-CN"/>
        </w:rPr>
        <w:t xml:space="preserve"> </w:t>
      </w:r>
      <w:r>
        <w:rPr>
          <w:spacing w:val="-1"/>
          <w:sz w:val="24"/>
          <w:szCs w:val="24"/>
          <w:lang w:eastAsia="zh-CN"/>
        </w:rPr>
        <w:t>竞争性磋商文件包括以下部分：</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rPr>
        <w:fldChar w:fldCharType="begin"/>
      </w:r>
      <w:r>
        <w:rPr>
          <w:spacing w:val="-1"/>
          <w:sz w:val="24"/>
          <w:szCs w:val="24"/>
          <w:lang w:eastAsia="zh-CN"/>
        </w:rPr>
        <w:instrText xml:space="preserve">HYPERLINK\l"bookmark1"</w:instrText>
      </w:r>
      <w:r>
        <w:rPr>
          <w:spacing w:val="-1"/>
          <w:sz w:val="24"/>
          <w:szCs w:val="24"/>
        </w:rPr>
        <w:fldChar w:fldCharType="separate"/>
      </w:r>
      <w:r>
        <w:rPr>
          <w:spacing w:val="-1"/>
          <w:sz w:val="24"/>
          <w:szCs w:val="24"/>
          <w:lang w:eastAsia="zh-CN"/>
        </w:rPr>
        <w:t>第一章</w:t>
      </w:r>
      <w:r>
        <w:rPr>
          <w:rFonts w:hint="eastAsia"/>
          <w:spacing w:val="-1"/>
          <w:sz w:val="24"/>
          <w:szCs w:val="24"/>
          <w:lang w:eastAsia="zh-CN"/>
        </w:rPr>
        <w:t xml:space="preserve"> 竞争性磋商公告</w:t>
      </w:r>
      <w:r>
        <w:rPr>
          <w:spacing w:val="-1"/>
          <w:sz w:val="24"/>
          <w:szCs w:val="24"/>
        </w:rPr>
        <w:fldChar w:fldCharType="end"/>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第二章</w:t>
      </w:r>
      <w:r>
        <w:rPr>
          <w:rFonts w:hint="eastAsia"/>
          <w:spacing w:val="-1"/>
          <w:sz w:val="24"/>
          <w:szCs w:val="24"/>
          <w:lang w:eastAsia="zh-CN"/>
        </w:rPr>
        <w:t xml:space="preserve"> </w:t>
      </w:r>
      <w:r>
        <w:rPr>
          <w:spacing w:val="-1"/>
          <w:sz w:val="24"/>
          <w:szCs w:val="24"/>
          <w:lang w:eastAsia="zh-CN"/>
        </w:rPr>
        <w:t>采购需求</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第三章</w:t>
      </w:r>
      <w:r>
        <w:rPr>
          <w:rFonts w:hint="eastAsia"/>
          <w:spacing w:val="-1"/>
          <w:sz w:val="24"/>
          <w:szCs w:val="24"/>
          <w:lang w:eastAsia="zh-CN"/>
        </w:rPr>
        <w:t xml:space="preserve"> </w:t>
      </w:r>
      <w:r>
        <w:rPr>
          <w:spacing w:val="-1"/>
          <w:sz w:val="24"/>
          <w:szCs w:val="24"/>
          <w:lang w:eastAsia="zh-CN"/>
        </w:rPr>
        <w:t>供应商须知</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第四章</w:t>
      </w:r>
      <w:r>
        <w:rPr>
          <w:rFonts w:hint="eastAsia"/>
          <w:spacing w:val="-1"/>
          <w:sz w:val="24"/>
          <w:szCs w:val="24"/>
          <w:lang w:eastAsia="zh-CN"/>
        </w:rPr>
        <w:t xml:space="preserve"> 评审程序、</w:t>
      </w:r>
      <w:r>
        <w:rPr>
          <w:spacing w:val="-1"/>
          <w:sz w:val="24"/>
          <w:szCs w:val="24"/>
          <w:lang w:eastAsia="zh-CN"/>
        </w:rPr>
        <w:t>评审方法和评审标准</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第五章</w:t>
      </w:r>
      <w:r>
        <w:rPr>
          <w:rFonts w:hint="eastAsia"/>
          <w:spacing w:val="-1"/>
          <w:sz w:val="24"/>
          <w:szCs w:val="24"/>
          <w:lang w:eastAsia="zh-CN"/>
        </w:rPr>
        <w:t xml:space="preserve"> 政府采购合同（草案）</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第六章</w:t>
      </w:r>
      <w:r>
        <w:rPr>
          <w:rFonts w:hint="eastAsia"/>
          <w:spacing w:val="-1"/>
          <w:sz w:val="24"/>
          <w:szCs w:val="24"/>
          <w:lang w:eastAsia="zh-CN"/>
        </w:rPr>
        <w:t xml:space="preserve"> </w:t>
      </w:r>
      <w:r>
        <w:rPr>
          <w:spacing w:val="-1"/>
          <w:sz w:val="24"/>
          <w:szCs w:val="24"/>
          <w:lang w:eastAsia="zh-CN"/>
        </w:rPr>
        <w:t>响应文件格式</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pPr>
        <w:pStyle w:val="9"/>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8.对竞争性磋商文件的澄清或修改</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pPr>
        <w:pStyle w:val="9"/>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pPr>
        <w:pStyle w:val="9"/>
        <w:kinsoku/>
        <w:wordWrap w:val="0"/>
        <w:spacing w:line="360" w:lineRule="auto"/>
        <w:ind w:firstLine="450" w:firstLineChars="200"/>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pPr>
        <w:pStyle w:val="9"/>
        <w:kinsoku/>
        <w:wordWrap w:val="0"/>
        <w:spacing w:before="179" w:line="220" w:lineRule="auto"/>
        <w:jc w:val="both"/>
        <w:rPr>
          <w:rFonts w:hint="eastAsia"/>
          <w:sz w:val="24"/>
          <w:szCs w:val="24"/>
          <w:lang w:eastAsia="zh-CN"/>
        </w:rPr>
      </w:pPr>
    </w:p>
    <w:p>
      <w:pPr>
        <w:pStyle w:val="9"/>
        <w:kinsoku/>
        <w:wordWrap w:val="0"/>
        <w:spacing w:before="91" w:line="360" w:lineRule="auto"/>
        <w:jc w:val="both"/>
        <w:rPr>
          <w:rFonts w:ascii="Arial" w:hAnsi="Arial" w:cs="Arial"/>
          <w:sz w:val="24"/>
          <w:szCs w:val="24"/>
          <w:lang w:eastAsia="zh-CN"/>
        </w:rPr>
      </w:pPr>
      <w:r>
        <w:rPr>
          <w:spacing w:val="-4"/>
          <w:sz w:val="28"/>
          <w:szCs w:val="28"/>
          <w:lang w:eastAsia="zh-CN"/>
          <w14:textOutline w14:w="1803" w14:cap="flat" w14:cmpd="sng" w14:algn="ctr">
            <w14:solidFill>
              <w14:srgbClr w14:val="000000"/>
            </w14:solidFill>
            <w14:prstDash w14:val="solid"/>
            <w14:miter w14:val="0"/>
          </w14:textOutline>
        </w:rPr>
        <w:t>三</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响应文件的编制</w:t>
      </w:r>
    </w:p>
    <w:p>
      <w:pPr>
        <w:pStyle w:val="9"/>
        <w:kinsoku/>
        <w:wordWrap w:val="0"/>
        <w:spacing w:line="360" w:lineRule="auto"/>
        <w:ind w:firstLine="478" w:firstLineChars="200"/>
        <w:jc w:val="both"/>
        <w:rPr>
          <w:rFonts w:hint="eastAsia"/>
          <w:spacing w:val="-1"/>
          <w:sz w:val="24"/>
          <w:szCs w:val="24"/>
          <w:lang w:eastAsia="zh-CN"/>
        </w:rPr>
      </w:pPr>
      <w:r>
        <w:rPr>
          <w:rFonts w:hint="eastAsia"/>
          <w:b/>
          <w:bCs/>
          <w:spacing w:val="-1"/>
          <w:sz w:val="24"/>
          <w:szCs w:val="24"/>
          <w:lang w:eastAsia="zh-CN"/>
        </w:rPr>
        <w:t>9.响应范围、竞争性磋商文件中计量单位的使用及磋商语言</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9"/>
        <w:kinsoku/>
        <w:wordWrap w:val="0"/>
        <w:spacing w:line="360" w:lineRule="auto"/>
        <w:ind w:firstLine="478" w:firstLineChars="200"/>
        <w:jc w:val="both"/>
        <w:rPr>
          <w:rFonts w:hint="eastAsia"/>
          <w:spacing w:val="-1"/>
          <w:sz w:val="24"/>
          <w:szCs w:val="24"/>
          <w:lang w:eastAsia="zh-CN"/>
        </w:rPr>
      </w:pPr>
      <w:r>
        <w:rPr>
          <w:rFonts w:hint="eastAsia"/>
          <w:b/>
          <w:bCs/>
          <w:spacing w:val="-1"/>
          <w:sz w:val="24"/>
          <w:szCs w:val="24"/>
          <w:lang w:eastAsia="zh-CN"/>
        </w:rPr>
        <w:t>10.响应文件构成</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pPr>
        <w:kinsoku/>
        <w:wordWrap w:val="0"/>
        <w:spacing w:line="360" w:lineRule="auto"/>
        <w:ind w:firstLine="480"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10.3 电子响应文件应使用CA数字证书或企业电子营业执照生成并在截止时间前上传其加密版本，根据磋商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lang w:eastAsia="zh-CN"/>
        </w:rPr>
        <w:t>否则，被视为无效响应文件，将被平台系统拒绝。</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 第四章《</w:t>
      </w:r>
      <w:r>
        <w:rPr>
          <w:rFonts w:hint="eastAsia"/>
          <w:spacing w:val="-1"/>
          <w:sz w:val="24"/>
          <w:szCs w:val="24"/>
          <w:lang w:eastAsia="zh-CN"/>
        </w:rPr>
        <w:t>评审程序、</w:t>
      </w:r>
      <w:r>
        <w:rPr>
          <w:spacing w:val="-1"/>
          <w:sz w:val="24"/>
          <w:szCs w:val="24"/>
          <w:lang w:eastAsia="zh-CN"/>
        </w:rPr>
        <w:t>评审方法和评审标准</w:t>
      </w:r>
      <w:r>
        <w:rPr>
          <w:rFonts w:hint="eastAsia" w:asciiTheme="minorEastAsia" w:hAnsiTheme="minorEastAsia" w:eastAsiaTheme="minorEastAsia" w:cstheme="minorEastAsia"/>
          <w:sz w:val="24"/>
          <w:szCs w:val="24"/>
          <w:lang w:eastAsia="zh-CN"/>
        </w:rPr>
        <w:t>》中涉及的证明文件。</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 对照第二章《采购需求》，说明所提供货物、服务或工程已对第二章《采购需求》做出了响应，或申明与第二章《采购需求》的偏差和例外。如第二章《采购需求》中要求提供证明文件的，</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应当按具体要求提供证明文件。</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认为应附的其他材料。</w:t>
      </w:r>
    </w:p>
    <w:p>
      <w:pPr>
        <w:kinsoku/>
        <w:wordWrap w:val="0"/>
        <w:spacing w:line="360" w:lineRule="auto"/>
        <w:ind w:firstLine="48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 报价均以人民币报价。</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 供应商的报价应包括为完成本项目所发生的一切费用和税费，采购人将不再支付报价以外的任何费用。供应商的报价应包括但不限于下列内容，磋商文件中有特殊规定的，从其规定。</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11.2.1 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11.2.2 服务项目按照磋商文件要求完成本项目的全部相关费用。</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 采购人不得向供应商索要或者接受其给予的赠品、回扣或者与采购无关的其他商品、服务。</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 供应商不能提供任何有选择性或可调整的报价（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lang w:eastAsia="zh-CN"/>
        </w:rPr>
        <w:t>文件另有规定的除外），否则其响应无效。</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pPr>
        <w:kinsoku/>
        <w:wordWrap w:val="0"/>
        <w:autoSpaceDE/>
        <w:autoSpaceDN/>
        <w:adjustRightInd/>
        <w:snapToGrid/>
        <w:spacing w:line="360" w:lineRule="auto"/>
        <w:ind w:firstLine="478" w:firstLineChars="200"/>
        <w:jc w:val="both"/>
        <w:textAlignment w:val="auto"/>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13.响应文件的签署、盖章</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竞争性磋商文件要求盖章的内容，一般通过CA或电子营业执照加盖电子签章。</w:t>
      </w:r>
    </w:p>
    <w:p>
      <w:pPr>
        <w:pStyle w:val="9"/>
        <w:kinsoku/>
        <w:wordWrap w:val="0"/>
        <w:spacing w:before="122" w:line="190" w:lineRule="auto"/>
        <w:jc w:val="both"/>
        <w:rPr>
          <w:rFonts w:hint="eastAsia"/>
          <w:spacing w:val="-4"/>
          <w:sz w:val="28"/>
          <w:szCs w:val="28"/>
          <w:lang w:eastAsia="zh-CN"/>
          <w14:textOutline w14:w="1803" w14:cap="flat" w14:cmpd="sng" w14:algn="ctr">
            <w14:solidFill>
              <w14:srgbClr w14:val="000000"/>
            </w14:solidFill>
            <w14:prstDash w14:val="solid"/>
            <w14:miter w14:val="0"/>
          </w14:textOutline>
        </w:rPr>
      </w:pPr>
    </w:p>
    <w:p>
      <w:pPr>
        <w:pStyle w:val="9"/>
        <w:kinsoku/>
        <w:wordWrap w:val="0"/>
        <w:spacing w:before="122" w:line="360" w:lineRule="auto"/>
        <w:jc w:val="both"/>
        <w:rPr>
          <w:rFonts w:hint="eastAsia"/>
          <w:spacing w:val="-1"/>
          <w:sz w:val="24"/>
          <w:szCs w:val="24"/>
          <w:lang w:eastAsia="zh-CN"/>
        </w:rPr>
      </w:pPr>
      <w:r>
        <w:rPr>
          <w:spacing w:val="-4"/>
          <w:sz w:val="28"/>
          <w:szCs w:val="28"/>
          <w:lang w:eastAsia="zh-CN"/>
          <w14:textOutline w14:w="1803" w14:cap="flat" w14:cmpd="sng" w14:algn="ctr">
            <w14:solidFill>
              <w14:srgbClr w14:val="000000"/>
            </w14:solidFill>
            <w14:prstDash w14:val="solid"/>
            <w14:miter w14:val="0"/>
          </w14:textOutline>
        </w:rPr>
        <w:t>四</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w:t>
      </w:r>
      <w:r>
        <w:rPr>
          <w:rFonts w:hint="eastAsia" w:ascii="Arial Unicode MS" w:hAnsi="Arial Unicode MS" w:cs="Arial Unicode MS"/>
          <w:spacing w:val="-4"/>
          <w:sz w:val="28"/>
          <w:szCs w:val="28"/>
          <w:lang w:eastAsia="zh-CN"/>
          <w14:textOutline w14:w="1803" w14:cap="flat" w14:cmpd="sng" w14:algn="ctr">
            <w14:solidFill>
              <w14:srgbClr w14:val="000000"/>
            </w14:solidFill>
            <w14:prstDash w14:val="solid"/>
            <w14:miter w14:val="0"/>
          </w14:textOutline>
        </w:rPr>
        <w:t>提</w:t>
      </w:r>
      <w:r>
        <w:rPr>
          <w:rFonts w:ascii="Arial Unicode MS" w:hAnsi="Arial Unicode MS" w:eastAsia="Arial Unicode MS" w:cs="Arial Unicode MS"/>
          <w:spacing w:val="-4"/>
          <w:sz w:val="28"/>
          <w:szCs w:val="28"/>
          <w:lang w:eastAsia="zh-CN"/>
          <w14:textOutline w14:w="1803" w14:cap="flat" w14:cmpd="sng" w14:algn="ctr">
            <w14:solidFill>
              <w14:srgbClr w14:val="000000"/>
            </w14:solidFill>
            <w14:prstDash w14:val="solid"/>
            <w14:miter w14:val="0"/>
          </w14:textOutline>
        </w:rPr>
        <w:t>交</w:t>
      </w:r>
    </w:p>
    <w:p>
      <w:pPr>
        <w:pStyle w:val="9"/>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14.响应文件的提交</w:t>
      </w:r>
    </w:p>
    <w:p>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 电子响应文件的提交是指使用南阳市公共资源交易中心网上交易系统或南阳市公共资源电子营业执照应用平台系统在上传截止时间前完成制作软件生成的加密电子响应文件的上传。未在上传截止时间前完成上传的，视为逾期提交。逾期提交的响应文件不予受理。</w:t>
      </w:r>
    </w:p>
    <w:p>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pPr>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pPr>
        <w:pStyle w:val="9"/>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pPr>
        <w:pStyle w:val="9"/>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pPr>
        <w:pStyle w:val="9"/>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上传截止时间之后，供应商不得修改或撤回电子响应文件。</w:t>
      </w:r>
    </w:p>
    <w:p>
      <w:pPr>
        <w:widowControl w:val="0"/>
        <w:kinsoku/>
        <w:wordWrap w:val="0"/>
        <w:autoSpaceDE/>
        <w:autoSpaceDN/>
        <w:adjustRightInd/>
        <w:snapToGrid/>
        <w:spacing w:after="120"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市公共资源交易电子交易平台最后一份加密电子响应文件为准。</w:t>
      </w:r>
      <w:r>
        <w:rPr>
          <w:rFonts w:hint="eastAsia" w:ascii="宋体" w:hAnsi="宋体" w:eastAsia="宋体" w:cs="宋体"/>
          <w:snapToGrid/>
          <w:color w:val="auto"/>
          <w:spacing w:val="3"/>
          <w:kern w:val="2"/>
          <w:sz w:val="24"/>
          <w:szCs w:val="24"/>
          <w:lang w:eastAsia="zh-CN"/>
        </w:rPr>
        <w:t>上传截止时间之后，供应商不得修改或撤回电子响应文件。</w:t>
      </w:r>
    </w:p>
    <w:p>
      <w:pPr>
        <w:widowControl w:val="0"/>
        <w:tabs>
          <w:tab w:val="left" w:pos="945"/>
          <w:tab w:val="left" w:pos="1155"/>
        </w:tabs>
        <w:kinsoku/>
        <w:autoSpaceDE/>
        <w:autoSpaceDN/>
        <w:adjustRightInd/>
        <w:snapToGrid/>
        <w:spacing w:after="120"/>
        <w:ind w:left="420" w:leftChars="200" w:firstLine="480" w:firstLineChars="200"/>
        <w:jc w:val="both"/>
        <w:textAlignment w:val="auto"/>
        <w:rPr>
          <w:rFonts w:ascii="Times New Roman" w:hAnsi="Times New Roman" w:eastAsia="宋体" w:cs="Times New Roman"/>
          <w:snapToGrid/>
          <w:color w:val="auto"/>
          <w:kern w:val="2"/>
          <w:sz w:val="24"/>
          <w:szCs w:val="20"/>
          <w:lang w:eastAsia="zh-CN"/>
        </w:rPr>
      </w:pPr>
    </w:p>
    <w:p>
      <w:pPr>
        <w:widowControl w:val="0"/>
        <w:kinsoku/>
        <w:autoSpaceDE/>
        <w:autoSpaceDN/>
        <w:adjustRightInd/>
        <w:snapToGrid/>
        <w:jc w:val="both"/>
        <w:textAlignment w:val="auto"/>
        <w:rPr>
          <w:rFonts w:ascii="Calibri" w:hAnsi="Calibri" w:eastAsia="宋体" w:cs="Times New Roman"/>
          <w:b/>
          <w:bCs/>
          <w:snapToGrid/>
          <w:color w:val="auto"/>
          <w:kern w:val="2"/>
          <w:sz w:val="28"/>
          <w:szCs w:val="32"/>
          <w:lang w:eastAsia="zh-CN"/>
        </w:rPr>
      </w:pPr>
    </w:p>
    <w:p>
      <w:pPr>
        <w:widowControl w:val="0"/>
        <w:kinsoku/>
        <w:autoSpaceDE/>
        <w:autoSpaceDN/>
        <w:adjustRightInd/>
        <w:snapToGrid/>
        <w:ind w:firstLine="3654" w:firstLineChars="1300"/>
        <w:jc w:val="both"/>
        <w:textAlignment w:val="auto"/>
        <w:outlineLvl w:val="0"/>
        <w:rPr>
          <w:rFonts w:ascii="Calibri" w:hAnsi="Calibri" w:eastAsia="宋体" w:cs="Times New Roman"/>
          <w:b/>
          <w:bCs/>
          <w:snapToGrid/>
          <w:color w:val="auto"/>
          <w:kern w:val="2"/>
          <w:sz w:val="28"/>
          <w:szCs w:val="32"/>
          <w:lang w:eastAsia="zh-CN"/>
        </w:rPr>
      </w:pPr>
      <w:bookmarkStart w:id="15" w:name="_Toc22804"/>
      <w:r>
        <w:rPr>
          <w:rFonts w:hint="eastAsia" w:ascii="Calibri" w:hAnsi="Calibri" w:eastAsia="宋体" w:cs="Times New Roman"/>
          <w:b/>
          <w:bCs/>
          <w:snapToGrid/>
          <w:color w:val="auto"/>
          <w:kern w:val="2"/>
          <w:sz w:val="28"/>
          <w:szCs w:val="32"/>
          <w:lang w:eastAsia="zh-CN"/>
        </w:rPr>
        <w:t>第四章 评审办法</w:t>
      </w:r>
      <w:bookmarkEnd w:id="12"/>
      <w:bookmarkEnd w:id="15"/>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一、编制、确认竞争性磋商文件</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napToGrid/>
          <w:color w:val="auto"/>
          <w:spacing w:val="3"/>
          <w:kern w:val="2"/>
          <w:sz w:val="24"/>
          <w:szCs w:val="24"/>
          <w:lang w:eastAsia="zh-CN"/>
        </w:rPr>
        <w:t>采购人或采购代理机构</w:t>
      </w:r>
      <w:r>
        <w:rPr>
          <w:rFonts w:hint="eastAsia" w:ascii="宋体" w:hAnsi="宋体" w:eastAsia="宋体" w:cs="宋体"/>
          <w:spacing w:val="3"/>
          <w:sz w:val="24"/>
          <w:szCs w:val="24"/>
          <w:lang w:eastAsia="zh-CN"/>
        </w:rPr>
        <w:t>根据采购项目特点和采购实际需求编制竞争性磋商文件，编制的竞争性磋商文件应由采购人审核并确认。</w:t>
      </w:r>
    </w:p>
    <w:p>
      <w:pPr>
        <w:widowControl w:val="0"/>
        <w:tabs>
          <w:tab w:val="left" w:pos="743"/>
        </w:tabs>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p>
    <w:p>
      <w:pPr>
        <w:widowControl w:val="0"/>
        <w:tabs>
          <w:tab w:val="left" w:pos="743"/>
        </w:tabs>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二、发布竞争性磋商公告，邀请供应商参加磋商</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竞争性磋商文件经采购人书面确认后，将在指定媒体和南阳市公共资源交易中心网发布竞争性磋商公告。供应商按照公告和竞争性磋商文件要求制作并递交响应文件。</w:t>
      </w:r>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三、组建磋商小组</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根据</w:t>
      </w:r>
      <w:r>
        <w:rPr>
          <w:rFonts w:hint="eastAsia" w:ascii="宋体" w:hAnsi="宋体" w:eastAsia="宋体" w:cs="宋体"/>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宋体" w:hAnsi="宋体" w:eastAsia="宋体" w:cs="宋体"/>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竞争性磋商小组负责对响应文件进行评审、质疑、评估、比较、评分，组织磋商和最后报价。</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评审专家应当严格遵守评审工作纪律，按照客观、公正、审慎的原则，根据磋商文件规定的评审程序、评审方法和评审标准进行独立评审。</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napToGrid/>
          <w:color w:val="auto"/>
          <w:spacing w:val="3"/>
          <w:kern w:val="2"/>
          <w:sz w:val="24"/>
          <w:szCs w:val="24"/>
          <w:lang w:eastAsia="zh-CN"/>
        </w:rPr>
        <w:t>评审活动结束，按照《河南省政府采购评审专家劳务报酬支付标准》的通知(豫财购〔2017〕9号)的规定，发放劳务报酬。</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p>
    <w:p>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b/>
          <w:bCs/>
          <w:spacing w:val="3"/>
          <w:sz w:val="24"/>
          <w:szCs w:val="24"/>
          <w:lang w:eastAsia="zh-CN"/>
        </w:rPr>
        <w:t>四、解密电子响应文件</w:t>
      </w:r>
    </w:p>
    <w:p>
      <w:pPr>
        <w:widowControl w:val="0"/>
        <w:kinsoku/>
        <w:wordWrap w:val="0"/>
        <w:autoSpaceDE/>
        <w:autoSpaceDN/>
        <w:adjustRightInd/>
        <w:snapToGrid/>
        <w:spacing w:after="120" w:line="360" w:lineRule="auto"/>
        <w:ind w:firstLine="492" w:firstLineChars="200"/>
        <w:jc w:val="both"/>
        <w:textAlignment w:val="auto"/>
        <w:outlineLvl w:val="1"/>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spacing w:val="3"/>
          <w:sz w:val="24"/>
          <w:szCs w:val="24"/>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p>
    <w:p>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b/>
          <w:bCs/>
          <w:spacing w:val="3"/>
          <w:sz w:val="24"/>
          <w:szCs w:val="24"/>
          <w:lang w:eastAsia="zh-CN"/>
        </w:rPr>
        <w:t>五、评审</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磋商小组对供应商提交的响应文件进行评审。主要对响应文件的有效性、完整性和响应程度进行审查，具体包括：</w:t>
      </w:r>
    </w:p>
    <w:p>
      <w:pPr>
        <w:widowControl w:val="0"/>
        <w:kinsoku/>
        <w:wordWrap w:val="0"/>
        <w:autoSpaceDE/>
        <w:autoSpaceDN/>
        <w:adjustRightInd/>
        <w:snapToGrid/>
        <w:spacing w:line="360" w:lineRule="auto"/>
        <w:ind w:firstLine="494" w:firstLineChars="200"/>
        <w:jc w:val="center"/>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资格性审查</w:t>
      </w:r>
    </w:p>
    <w:tbl>
      <w:tblPr>
        <w:tblStyle w:val="38"/>
        <w:tblW w:w="9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1002"/>
        <w:gridCol w:w="5276"/>
        <w:gridCol w:w="2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64"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序号</w:t>
            </w:r>
          </w:p>
        </w:tc>
        <w:tc>
          <w:tcPr>
            <w:tcW w:w="1002"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审查因素</w:t>
            </w:r>
          </w:p>
        </w:tc>
        <w:tc>
          <w:tcPr>
            <w:tcW w:w="5276"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审查内容</w:t>
            </w:r>
          </w:p>
        </w:tc>
        <w:tc>
          <w:tcPr>
            <w:tcW w:w="2536"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0" w:hRule="atLeast"/>
        </w:trPr>
        <w:tc>
          <w:tcPr>
            <w:tcW w:w="664"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p>
        </w:tc>
        <w:tc>
          <w:tcPr>
            <w:tcW w:w="1002"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满足第一章《竞争性磋商公告》供应商具备的资格要求</w:t>
            </w:r>
          </w:p>
        </w:tc>
        <w:tc>
          <w:tcPr>
            <w:tcW w:w="5276"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1具有独立承担民事责任的能力</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（提供有效的法人或者其他组织的营业执照等证明文件，自然人投标的需提供自然人的身份证明）</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2具有良好的商业信誉和健全的财务会计管理制度</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提供2023年或2024年经审计的财务报告或本公司出具的财务报表，或提供近三个月内其银行出具的资信证明</w:t>
            </w:r>
            <w:r>
              <w:rPr>
                <w:rFonts w:ascii="宋体" w:hAnsi="宋体" w:eastAsia="宋体"/>
                <w:color w:val="000000" w:themeColor="text1"/>
                <w:sz w:val="24"/>
                <w:szCs w:val="24"/>
                <w:lang w:eastAsia="zh-CN"/>
                <w14:textFill>
                  <w14:solidFill>
                    <w14:schemeClr w14:val="tx1"/>
                  </w14:solidFill>
                </w14:textFill>
              </w:rPr>
              <w:t>）</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3具有履行合同所必须的设备和专业技术能力</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（提供书面声明</w:t>
            </w:r>
            <w:r>
              <w:rPr>
                <w:rFonts w:hint="eastAsia" w:ascii="宋体" w:hAnsi="宋体" w:eastAsia="宋体"/>
                <w:color w:val="000000" w:themeColor="text1"/>
                <w:sz w:val="24"/>
                <w:szCs w:val="24"/>
                <w:lang w:eastAsia="zh-CN"/>
                <w14:textFill>
                  <w14:solidFill>
                    <w14:schemeClr w14:val="tx1"/>
                  </w14:solidFill>
                </w14:textFill>
              </w:rPr>
              <w:t>，内容</w:t>
            </w:r>
            <w:r>
              <w:rPr>
                <w:rFonts w:ascii="宋体" w:hAnsi="宋体" w:eastAsia="宋体"/>
                <w:color w:val="000000" w:themeColor="text1"/>
                <w:sz w:val="24"/>
                <w:szCs w:val="24"/>
                <w:lang w:eastAsia="zh-CN"/>
                <w14:textFill>
                  <w14:solidFill>
                    <w14:schemeClr w14:val="tx1"/>
                  </w14:solidFill>
                </w14:textFill>
              </w:rPr>
              <w:t>不限，格式自拟）</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4有依法缴纳税收和社会保障资金的良好记录</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（提供2024年</w:t>
            </w:r>
            <w:r>
              <w:rPr>
                <w:rFonts w:hint="eastAsia" w:ascii="宋体" w:hAnsi="宋体" w:eastAsia="宋体"/>
                <w:color w:val="000000" w:themeColor="text1"/>
                <w:sz w:val="24"/>
                <w:szCs w:val="24"/>
                <w:lang w:eastAsia="zh-CN"/>
                <w14:textFill>
                  <w14:solidFill>
                    <w14:schemeClr w14:val="tx1"/>
                  </w14:solidFill>
                </w14:textFill>
              </w:rPr>
              <w:t>内</w:t>
            </w:r>
            <w:r>
              <w:rPr>
                <w:rFonts w:ascii="宋体" w:hAnsi="宋体" w:eastAsia="宋体"/>
                <w:color w:val="000000" w:themeColor="text1"/>
                <w:sz w:val="24"/>
                <w:szCs w:val="24"/>
                <w:lang w:eastAsia="zh-CN"/>
                <w14:textFill>
                  <w14:solidFill>
                    <w14:schemeClr w14:val="tx1"/>
                  </w14:solidFill>
                </w14:textFill>
              </w:rPr>
              <w:t>任意1个月纳税和社保证明材料&lt;依法免税或不需要缴纳社会保障资金的供应商，应提供相应文件证明其依法免税或不需要缴纳社会保障金的证明材料&gt;）</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5参加政府采购活动前三年内，在经营活动中没有重大违法记录。（提供书面声明</w:t>
            </w:r>
            <w:r>
              <w:rPr>
                <w:rFonts w:hint="eastAsia" w:ascii="宋体" w:hAnsi="宋体" w:eastAsia="宋体"/>
                <w:color w:val="000000" w:themeColor="text1"/>
                <w:sz w:val="24"/>
                <w:szCs w:val="24"/>
                <w:lang w:eastAsia="zh-CN"/>
                <w14:textFill>
                  <w14:solidFill>
                    <w14:schemeClr w14:val="tx1"/>
                  </w14:solidFill>
                </w14:textFill>
              </w:rPr>
              <w:t>，见</w:t>
            </w:r>
            <w:r>
              <w:rPr>
                <w:rFonts w:ascii="宋体" w:hAnsi="宋体" w:eastAsia="宋体"/>
                <w:color w:val="000000" w:themeColor="text1"/>
                <w:sz w:val="24"/>
                <w:szCs w:val="24"/>
                <w:lang w:eastAsia="zh-CN"/>
                <w14:textFill>
                  <w14:solidFill>
                    <w14:schemeClr w14:val="tx1"/>
                  </w14:solidFill>
                </w14:textFill>
              </w:rPr>
              <w:t>格式）</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6根据《关于在政府采购活动中查询及使用信用记录有关问题的通知》(财库[2016]125 号) 的规定，被列入“信用中国”网站（www.creditchina.gov.cn）的“失信被执行人”（查询渠道为“中国执行信息公开网”网站(zxgk.court.gov.cn/shixin/））、“重大税收违法失信主体”或“中国政府采购网”网站（www.ccgp.gov.cn）的“政府采购严重违法失信行为记录名单”的</w:t>
            </w:r>
            <w:r>
              <w:rPr>
                <w:rFonts w:hint="eastAsia" w:ascii="宋体" w:hAnsi="宋体" w:eastAsia="宋体"/>
                <w:color w:val="000000" w:themeColor="text1"/>
                <w:sz w:val="24"/>
                <w:szCs w:val="24"/>
                <w:lang w:eastAsia="zh-CN"/>
                <w14:textFill>
                  <w14:solidFill>
                    <w14:schemeClr w14:val="tx1"/>
                  </w14:solidFill>
                </w14:textFill>
              </w:rPr>
              <w:t>供应商</w:t>
            </w:r>
            <w:r>
              <w:rPr>
                <w:rFonts w:ascii="宋体" w:hAnsi="宋体" w:eastAsia="宋体"/>
                <w:color w:val="000000" w:themeColor="text1"/>
                <w:sz w:val="24"/>
                <w:szCs w:val="24"/>
                <w:lang w:eastAsia="zh-CN"/>
                <w14:textFill>
                  <w14:solidFill>
                    <w14:schemeClr w14:val="tx1"/>
                  </w14:solidFill>
                </w14:textFill>
              </w:rPr>
              <w:t>，不得参与本次</w:t>
            </w:r>
            <w:r>
              <w:rPr>
                <w:rFonts w:hint="eastAsia" w:ascii="宋体" w:hAnsi="宋体" w:eastAsia="宋体"/>
                <w:color w:val="000000" w:themeColor="text1"/>
                <w:sz w:val="24"/>
                <w:szCs w:val="24"/>
                <w:lang w:eastAsia="zh-CN"/>
                <w14:textFill>
                  <w14:solidFill>
                    <w14:schemeClr w14:val="tx1"/>
                  </w14:solidFill>
                </w14:textFill>
              </w:rPr>
              <w:t>采购</w:t>
            </w:r>
            <w:r>
              <w:rPr>
                <w:rFonts w:ascii="宋体" w:hAnsi="宋体" w:eastAsia="宋体"/>
                <w:color w:val="000000" w:themeColor="text1"/>
                <w:sz w:val="24"/>
                <w:szCs w:val="24"/>
                <w:lang w:eastAsia="zh-CN"/>
                <w14:textFill>
                  <w14:solidFill>
                    <w14:schemeClr w14:val="tx1"/>
                  </w14:solidFill>
                </w14:textFill>
              </w:rPr>
              <w:t>活动。查询时间：本项目</w:t>
            </w:r>
            <w:r>
              <w:rPr>
                <w:rFonts w:hint="eastAsia" w:ascii="宋体" w:hAnsi="宋体" w:eastAsia="宋体"/>
                <w:color w:val="000000" w:themeColor="text1"/>
                <w:sz w:val="24"/>
                <w:szCs w:val="24"/>
                <w:lang w:eastAsia="zh-CN"/>
                <w14:textFill>
                  <w14:solidFill>
                    <w14:schemeClr w14:val="tx1"/>
                  </w14:solidFill>
                </w14:textFill>
              </w:rPr>
              <w:t>采购</w:t>
            </w:r>
            <w:r>
              <w:rPr>
                <w:rFonts w:ascii="宋体" w:hAnsi="宋体" w:eastAsia="宋体"/>
                <w:color w:val="000000" w:themeColor="text1"/>
                <w:sz w:val="24"/>
                <w:szCs w:val="24"/>
                <w:lang w:eastAsia="zh-CN"/>
                <w14:textFill>
                  <w14:solidFill>
                    <w14:schemeClr w14:val="tx1"/>
                  </w14:solidFill>
                </w14:textFill>
              </w:rPr>
              <w:t>公告发布之后。</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7与采购人、采购人就本次采购的项目委托的招标代理机构以及上述机构的附属机构没有行政或经济关联</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单位负责人为同一人或者存在直接控股、管理关系的不同供应商，不得参加同一合同项下的政府采购活动</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（提供书面声明</w:t>
            </w:r>
            <w:r>
              <w:rPr>
                <w:rFonts w:hint="eastAsia" w:ascii="宋体" w:hAnsi="宋体" w:eastAsia="宋体"/>
                <w:color w:val="000000" w:themeColor="text1"/>
                <w:sz w:val="24"/>
                <w:szCs w:val="24"/>
                <w:lang w:eastAsia="zh-CN"/>
                <w14:textFill>
                  <w14:solidFill>
                    <w14:schemeClr w14:val="tx1"/>
                  </w14:solidFill>
                </w14:textFill>
              </w:rPr>
              <w:t>，内容</w:t>
            </w:r>
            <w:r>
              <w:rPr>
                <w:rFonts w:ascii="宋体" w:hAnsi="宋体" w:eastAsia="宋体"/>
                <w:color w:val="000000" w:themeColor="text1"/>
                <w:sz w:val="24"/>
                <w:szCs w:val="24"/>
                <w:lang w:eastAsia="zh-CN"/>
                <w14:textFill>
                  <w14:solidFill>
                    <w14:schemeClr w14:val="tx1"/>
                  </w14:solidFill>
                </w14:textFill>
              </w:rPr>
              <w:t>不限，格式自拟）</w:t>
            </w:r>
          </w:p>
        </w:tc>
        <w:tc>
          <w:tcPr>
            <w:tcW w:w="2536" w:type="dxa"/>
            <w:vAlign w:val="center"/>
          </w:tcPr>
          <w:p>
            <w:pPr>
              <w:spacing w:line="360" w:lineRule="auto"/>
              <w:ind w:firstLine="480" w:firstLineChars="200"/>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供应商为企业（包括合伙企业、个体工商户）的，应提供有效的营业执照；供应商为事业单位的，应提供有效的事业单位法人证书</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供应商是非企业机构的，应提供有效的执业许可证、登记证书等证明文件；供应商是自然人的，应提供有效的自然人身份证明。</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664"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p>
        </w:tc>
        <w:tc>
          <w:tcPr>
            <w:tcW w:w="1002"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本项目的其他资格要求</w:t>
            </w:r>
          </w:p>
        </w:tc>
        <w:tc>
          <w:tcPr>
            <w:tcW w:w="5276"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如有，见第一章《竞争性磋商公告》</w:t>
            </w:r>
          </w:p>
        </w:tc>
        <w:tc>
          <w:tcPr>
            <w:tcW w:w="2536"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p>
        </w:tc>
      </w:tr>
    </w:tbl>
    <w:p>
      <w:pPr>
        <w:widowControl w:val="0"/>
        <w:numPr>
          <w:ilvl w:val="0"/>
          <w:numId w:val="3"/>
        </w:numPr>
        <w:kinsoku/>
        <w:wordWrap w:val="0"/>
        <w:autoSpaceDE/>
        <w:autoSpaceDN/>
        <w:adjustRightInd/>
        <w:snapToGrid/>
        <w:spacing w:after="120" w:line="360" w:lineRule="auto"/>
        <w:ind w:firstLine="484"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符合性审查。</w:t>
      </w:r>
    </w:p>
    <w:tbl>
      <w:tblPr>
        <w:tblStyle w:val="24"/>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639"/>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序号</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审查因素</w:t>
            </w:r>
          </w:p>
        </w:tc>
        <w:tc>
          <w:tcPr>
            <w:tcW w:w="7053"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p>
        </w:tc>
        <w:tc>
          <w:tcPr>
            <w:tcW w:w="1639"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法人</w:t>
            </w:r>
            <w:r>
              <w:rPr>
                <w:rFonts w:ascii="宋体" w:hAnsi="宋体" w:eastAsia="宋体"/>
                <w:color w:val="000000" w:themeColor="text1"/>
                <w:sz w:val="24"/>
                <w:szCs w:val="24"/>
                <w:lang w:eastAsia="zh-CN"/>
                <w14:textFill>
                  <w14:solidFill>
                    <w14:schemeClr w14:val="tx1"/>
                  </w14:solidFill>
                </w14:textFill>
              </w:rPr>
              <w:t>证明</w:t>
            </w:r>
            <w:r>
              <w:rPr>
                <w:rFonts w:hint="eastAsia" w:ascii="宋体" w:hAnsi="宋体" w:eastAsia="宋体"/>
                <w:color w:val="000000" w:themeColor="text1"/>
                <w:sz w:val="24"/>
                <w:szCs w:val="24"/>
                <w:lang w:eastAsia="zh-CN"/>
                <w14:textFill>
                  <w14:solidFill>
                    <w14:schemeClr w14:val="tx1"/>
                  </w14:solidFill>
                </w14:textFill>
              </w:rPr>
              <w:t>、授权委托书</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按磋商文件要求提供法人</w:t>
            </w:r>
            <w:r>
              <w:rPr>
                <w:rFonts w:ascii="宋体" w:hAnsi="宋体" w:eastAsia="宋体"/>
                <w:color w:val="000000" w:themeColor="text1"/>
                <w:sz w:val="24"/>
                <w:szCs w:val="24"/>
                <w:lang w:eastAsia="zh-CN"/>
                <w14:textFill>
                  <w14:solidFill>
                    <w14:schemeClr w14:val="tx1"/>
                  </w14:solidFill>
                </w14:textFill>
              </w:rPr>
              <w:t>证明、</w:t>
            </w:r>
            <w:r>
              <w:rPr>
                <w:rFonts w:hint="eastAsia" w:ascii="宋体" w:hAnsi="宋体" w:eastAsia="宋体"/>
                <w:color w:val="000000" w:themeColor="text1"/>
                <w:sz w:val="24"/>
                <w:szCs w:val="24"/>
                <w:lang w:eastAsia="zh-CN"/>
                <w14:textFill>
                  <w14:solidFill>
                    <w14:schemeClr w14:val="tx1"/>
                  </w14:solidFill>
                </w14:textFill>
              </w:rPr>
              <w:t>授权委托书（如有）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磋商</w:t>
            </w:r>
            <w:r>
              <w:rPr>
                <w:rFonts w:hint="eastAsia" w:ascii="宋体" w:hAnsi="宋体" w:eastAsia="宋体"/>
                <w:color w:val="000000" w:themeColor="text1"/>
                <w:sz w:val="24"/>
                <w:szCs w:val="24"/>
                <w14:textFill>
                  <w14:solidFill>
                    <w14:schemeClr w14:val="tx1"/>
                  </w14:solidFill>
                </w14:textFill>
              </w:rPr>
              <w:t>报价</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报价未超过磋商文件中规定的项目/采购包预算金额或者项目/ 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报价唯一性</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响应文件未出现可选择性或可调整的报价（磋商文件另有规定的除外）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磋商</w:t>
            </w:r>
            <w:r>
              <w:rPr>
                <w:rFonts w:hint="eastAsia" w:ascii="宋体" w:hAnsi="宋体" w:eastAsia="宋体"/>
                <w:color w:val="000000" w:themeColor="text1"/>
                <w:sz w:val="24"/>
                <w:szCs w:val="24"/>
                <w14:textFill>
                  <w14:solidFill>
                    <w14:schemeClr w14:val="tx1"/>
                  </w14:solidFill>
                </w14:textFill>
              </w:rPr>
              <w:t>有效期</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响应文件中磋商有效期满足采购文件中载明的磋商有效期。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实质性格式</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标记为实质性格式的文件均按磋商文件要求提供且签署、盖章。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6</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报价的修正（如有）</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不涉及报价修正，或响应文件报价出现前后不一致时，供应商对修正后的报价予以确认。（如有）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7</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质量标准</w:t>
            </w:r>
          </w:p>
        </w:tc>
        <w:tc>
          <w:tcPr>
            <w:tcW w:w="7053"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国家合格标准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8</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质保期</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响应文件中质保期满足采购文件中载明的质保期。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9</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交付时间及地点</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响应文件中交付时间及地点满足采购文件中载明的交付时间及地点。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10</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串通投标</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不存在《政府采购货物和服务招标投标管理办法》视为供应商串通投标的情形：</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（1）不同供应商的响应文件由同一单位或者个人编制；</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（2）不同供应商委托同一单位或者个人办理投标事宜；</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（3）不同供应商的响应文件载明的项目管理成员或者联系人员为同一人；</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（4）不同供应商的响应文件异常一致或者报价呈规律性差异；</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（5）不同供应商的响应文件相互混装；</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（6）不同供应商的磋商保证金从同一单位或者个人的账户转出（如有）；不存在南阳市财政局关于防范供应商串通投标促进政府采购公平竞争的通知（宛财购〔2022〕3号）供应商串通投标的情形。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lang w:eastAsia="zh-CN"/>
                <w14:textFill>
                  <w14:solidFill>
                    <w14:schemeClr w14:val="tx1"/>
                  </w14:solidFill>
                </w14:textFill>
              </w:rPr>
              <w:t>1</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其他</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w:t>
            </w:r>
          </w:p>
        </w:tc>
      </w:tr>
    </w:tbl>
    <w:p>
      <w:pPr>
        <w:widowControl w:val="0"/>
        <w:kinsoku/>
        <w:wordWrap w:val="0"/>
        <w:autoSpaceDE/>
        <w:autoSpaceDN/>
        <w:adjustRightInd/>
        <w:snapToGrid/>
        <w:spacing w:after="120" w:line="360" w:lineRule="auto"/>
        <w:jc w:val="both"/>
        <w:textAlignment w:val="auto"/>
        <w:rPr>
          <w:rFonts w:hint="eastAsia" w:ascii="宋体" w:hAnsi="宋体" w:eastAsia="宋体" w:cs="宋体"/>
          <w:spacing w:val="1"/>
          <w:sz w:val="24"/>
          <w:szCs w:val="24"/>
          <w:lang w:eastAsia="zh-CN"/>
        </w:rPr>
      </w:pP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磋商小组依据竞争性磋商文件的规定检查供应商响应文件制作内容的完整度和符合性是否符合竞争性磋商文件的各项要求。</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只有通过以上审查的供应商的响应文件，方可进入商务和技术评估，综合比较与评价。</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3.技术（服务）审查。磋商小组依据竞争性磋商文件的规定审查各供应商所响应设备的技术指标、技术性能、产品技术说明或项目方案、人员配备等是否符合最低要求。</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4.综合比较与评价。对各供应商对磋商文件的符合性和技术响应程度、项目方案或技术响应程度、综合实力、售后服务以及报价等因素，进行综合评比。</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5.未实质性响应磋商文件的响应文件按无效响应处理，磋商小组应当告知提交响应文件的供应商。</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响应文件无效的情形：</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 在资格性和符合性审查时，如发现下列情形之一的，响应文件将被视为无效：</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5.1.1 资格证明文件不全的，或者不符合竞争性磋商文件标明的资格要求的；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5.1.2 响应文件无法定代表人或负责人签字,或未提供法定代表人或负责人授权委托书、承诺书或者填写项目不齐全的；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5.1.3 授权代表人未能出具身份证明或与法定代表人或负责人授权委托人身份不符的；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5.1.4 电子响应文件未使用CA或电子营业执照认证并加密的；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5.1.5 其他不符合磋商文件实质性要求的。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5.2 在报价评审时，如发现下列情形之一的，响应文件将被视为无效：</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5.2.1 未采用人民币报价的；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5.2.2 报价具有选择性；</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5.2.3 未进行最后报价或最后报价高于采购人预算的。</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6.</w:t>
      </w:r>
      <w:r>
        <w:rPr>
          <w:rFonts w:ascii="Calibri" w:hAnsi="Calibri" w:eastAsia="宋体" w:cs="Times New Roman"/>
          <w:snapToGrid/>
          <w:color w:val="auto"/>
          <w:kern w:val="2"/>
          <w:sz w:val="24"/>
          <w:szCs w:val="24"/>
          <w:lang w:eastAsia="zh-CN"/>
        </w:rPr>
        <w:t>磋商、响应文件有关事项的澄清、说明或者更正和最后报价</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6</w:t>
      </w:r>
      <w:r>
        <w:rPr>
          <w:rFonts w:ascii="Calibri" w:hAnsi="Calibri" w:eastAsia="宋体" w:cs="Times New Roman"/>
          <w:snapToGrid/>
          <w:color w:val="auto"/>
          <w:kern w:val="2"/>
          <w:sz w:val="24"/>
          <w:szCs w:val="24"/>
          <w:lang w:eastAsia="zh-CN"/>
        </w:rPr>
        <w:t>.1</w:t>
      </w:r>
      <w:r>
        <w:rPr>
          <w:rFonts w:hint="eastAsia" w:ascii="Calibri" w:hAnsi="Calibri" w:eastAsia="宋体" w:cs="Times New Roman"/>
          <w:snapToGrid/>
          <w:color w:val="auto"/>
          <w:kern w:val="2"/>
          <w:sz w:val="24"/>
          <w:szCs w:val="24"/>
          <w:lang w:eastAsia="zh-CN"/>
        </w:rPr>
        <w:t xml:space="preserve"> </w:t>
      </w:r>
      <w:r>
        <w:rPr>
          <w:rFonts w:ascii="Calibri" w:hAnsi="Calibri" w:eastAsia="宋体" w:cs="Times New Roman"/>
          <w:snapToGrid/>
          <w:color w:val="auto"/>
          <w:kern w:val="2"/>
          <w:sz w:val="24"/>
          <w:szCs w:val="24"/>
          <w:lang w:eastAsia="zh-CN"/>
        </w:rPr>
        <w:t>磋商小组所有成员将集中与单一供应商分别进行磋商，并给予所有参加磋商的供应商平等的磋商机会。</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6</w:t>
      </w:r>
      <w:r>
        <w:rPr>
          <w:rFonts w:ascii="Calibri" w:hAnsi="Calibri" w:eastAsia="宋体" w:cs="Times New Roman"/>
          <w:snapToGrid/>
          <w:color w:val="auto"/>
          <w:kern w:val="2"/>
          <w:sz w:val="24"/>
          <w:szCs w:val="24"/>
          <w:lang w:eastAsia="zh-CN"/>
        </w:rPr>
        <w:t>.2</w:t>
      </w:r>
      <w:r>
        <w:rPr>
          <w:rFonts w:hint="eastAsia" w:ascii="Calibri" w:hAnsi="Calibri" w:eastAsia="宋体" w:cs="Times New Roman"/>
          <w:snapToGrid/>
          <w:color w:val="auto"/>
          <w:kern w:val="2"/>
          <w:sz w:val="24"/>
          <w:szCs w:val="24"/>
          <w:lang w:eastAsia="zh-CN"/>
        </w:rPr>
        <w:t xml:space="preserve"> </w:t>
      </w:r>
      <w:r>
        <w:rPr>
          <w:rFonts w:ascii="Calibri" w:hAnsi="Calibri" w:eastAsia="宋体" w:cs="Times New Roman"/>
          <w:snapToGrid/>
          <w:color w:val="auto"/>
          <w:kern w:val="2"/>
          <w:sz w:val="24"/>
          <w:szCs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6</w:t>
      </w:r>
      <w:r>
        <w:rPr>
          <w:rFonts w:ascii="Calibri" w:hAnsi="Calibri" w:eastAsia="宋体" w:cs="Times New Roman"/>
          <w:snapToGrid/>
          <w:color w:val="auto"/>
          <w:kern w:val="2"/>
          <w:sz w:val="24"/>
          <w:szCs w:val="24"/>
          <w:lang w:eastAsia="zh-CN"/>
        </w:rPr>
        <w:t>.3</w:t>
      </w:r>
      <w:r>
        <w:rPr>
          <w:rFonts w:hint="eastAsia" w:ascii="Calibri" w:hAnsi="Calibri" w:eastAsia="宋体" w:cs="Times New Roman"/>
          <w:snapToGrid/>
          <w:color w:val="auto"/>
          <w:kern w:val="2"/>
          <w:sz w:val="24"/>
          <w:szCs w:val="24"/>
          <w:lang w:eastAsia="zh-CN"/>
        </w:rPr>
        <w:t xml:space="preserve"> </w:t>
      </w:r>
      <w:r>
        <w:rPr>
          <w:rFonts w:ascii="Calibri" w:hAnsi="Calibri" w:eastAsia="宋体" w:cs="Times New Roman"/>
          <w:snapToGrid/>
          <w:color w:val="auto"/>
          <w:kern w:val="2"/>
          <w:sz w:val="24"/>
          <w:szCs w:val="24"/>
          <w:lang w:eastAsia="zh-CN"/>
        </w:rPr>
        <w:t>对磋商文件作出的实质性变动是磋商文件的有效组成部分，磋商小组应当及时</w:t>
      </w:r>
      <w:r>
        <w:rPr>
          <w:rFonts w:hint="eastAsia" w:ascii="Calibri" w:hAnsi="Calibri" w:eastAsia="宋体" w:cs="Times New Roman"/>
          <w:snapToGrid/>
          <w:color w:val="auto"/>
          <w:kern w:val="2"/>
          <w:sz w:val="24"/>
          <w:szCs w:val="24"/>
          <w:lang w:eastAsia="zh-CN"/>
        </w:rPr>
        <w:t>通过评标系统通知</w:t>
      </w:r>
      <w:r>
        <w:rPr>
          <w:rFonts w:ascii="Calibri" w:hAnsi="Calibri" w:eastAsia="宋体" w:cs="Times New Roman"/>
          <w:snapToGrid/>
          <w:color w:val="auto"/>
          <w:kern w:val="2"/>
          <w:sz w:val="24"/>
          <w:szCs w:val="24"/>
          <w:lang w:eastAsia="zh-CN"/>
        </w:rPr>
        <w:t>所有参加磋商的供应商。</w:t>
      </w:r>
      <w:r>
        <w:rPr>
          <w:rFonts w:hint="eastAsia" w:ascii="Calibri" w:hAnsi="Calibri" w:eastAsia="宋体" w:cs="Times New Roman"/>
          <w:snapToGrid/>
          <w:color w:val="auto"/>
          <w:kern w:val="2"/>
          <w:sz w:val="24"/>
          <w:szCs w:val="24"/>
          <w:lang w:eastAsia="zh-CN"/>
        </w:rPr>
        <w:t>具体磋商内容由磋商小组根据磋商实际情况确定。</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.4</w:t>
      </w:r>
      <w:r>
        <w:rPr>
          <w:rFonts w:hint="eastAsia" w:ascii="宋体" w:hAnsi="宋体" w:eastAsia="宋体" w:cs="宋体"/>
          <w:sz w:val="24"/>
          <w:szCs w:val="24"/>
          <w:lang w:eastAsia="zh-CN"/>
        </w:rPr>
        <w:t xml:space="preserve"> 供应商应当按照竞争性磋商文件的变动情况和磋商小组的要求，通过评标系统以在线形式提交承诺，并用CA或电子营业执照签章。</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6</w:t>
      </w:r>
      <w:r>
        <w:rPr>
          <w:rFonts w:ascii="宋体" w:hAnsi="宋体" w:eastAsia="宋体" w:cs="宋体"/>
          <w:sz w:val="24"/>
          <w:szCs w:val="24"/>
          <w:lang w:eastAsia="zh-CN"/>
        </w:rPr>
        <w:t>.5</w:t>
      </w:r>
      <w:r>
        <w:rPr>
          <w:rFonts w:hint="eastAsia" w:ascii="Calibri" w:hAnsi="Calibri" w:eastAsia="宋体" w:cs="宋体"/>
          <w:sz w:val="24"/>
          <w:szCs w:val="24"/>
          <w:lang w:eastAsia="zh-CN"/>
        </w:rPr>
        <w:t xml:space="preserve"> </w:t>
      </w:r>
      <w:r>
        <w:rPr>
          <w:rFonts w:ascii="宋体" w:hAnsi="宋体" w:eastAsia="宋体" w:cs="宋体"/>
          <w:sz w:val="24"/>
          <w:szCs w:val="24"/>
          <w:lang w:eastAsia="zh-CN"/>
        </w:rPr>
        <w:t>响应文件的澄清、说明或者更正：</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6</w:t>
      </w:r>
      <w:r>
        <w:rPr>
          <w:rFonts w:hint="eastAsia" w:ascii="宋体" w:hAnsi="宋体" w:eastAsia="宋体" w:cs="宋体"/>
          <w:sz w:val="24"/>
          <w:szCs w:val="24"/>
          <w:lang w:eastAsia="zh-CN"/>
        </w:rPr>
        <w:t>.5.1</w:t>
      </w:r>
      <w:r>
        <w:rPr>
          <w:rFonts w:hint="eastAsia" w:ascii="Calibri" w:hAnsi="Calibri" w:eastAsia="宋体" w:cs="宋体"/>
          <w:sz w:val="24"/>
          <w:szCs w:val="24"/>
          <w:lang w:eastAsia="zh-CN"/>
        </w:rPr>
        <w:t xml:space="preserve"> </w:t>
      </w:r>
      <w:r>
        <w:rPr>
          <w:rFonts w:hint="eastAsia" w:ascii="宋体" w:hAnsi="宋体" w:eastAsia="宋体" w:cs="宋体"/>
          <w:sz w:val="24"/>
          <w:szCs w:val="24"/>
          <w:lang w:eastAsia="zh-CN"/>
        </w:rPr>
        <w:t>磋商小组在对响应文件的有效性、完整性和响应程度进行审查时，可以要求供应商对响应文件中含义不明确、同类问题表述不一致或者有明显文字和计算错误的内容等作出必要的澄清、说明或者更正。</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6</w:t>
      </w:r>
      <w:r>
        <w:rPr>
          <w:rFonts w:hint="eastAsia" w:ascii="宋体" w:hAnsi="宋体" w:eastAsia="宋体" w:cs="宋体"/>
          <w:sz w:val="24"/>
          <w:szCs w:val="24"/>
          <w:lang w:eastAsia="zh-CN"/>
        </w:rPr>
        <w:t>.5.</w:t>
      </w:r>
      <w:r>
        <w:rPr>
          <w:rFonts w:hint="eastAsia" w:ascii="Calibri" w:hAnsi="Calibri" w:eastAsia="宋体" w:cs="宋体"/>
          <w:sz w:val="24"/>
          <w:szCs w:val="24"/>
          <w:lang w:eastAsia="zh-CN"/>
        </w:rPr>
        <w:t xml:space="preserve">2 </w:t>
      </w:r>
      <w:r>
        <w:rPr>
          <w:rFonts w:hint="eastAsia" w:ascii="宋体" w:hAnsi="宋体" w:eastAsia="宋体" w:cs="宋体"/>
          <w:sz w:val="24"/>
          <w:szCs w:val="24"/>
          <w:lang w:eastAsia="zh-CN"/>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ascii="Calibri" w:hAnsi="Calibri" w:eastAsia="宋体" w:cs="宋体"/>
          <w:sz w:val="24"/>
          <w:szCs w:val="24"/>
          <w:lang w:eastAsia="zh-CN"/>
        </w:rPr>
        <w:t>、</w:t>
      </w:r>
      <w:r>
        <w:rPr>
          <w:rFonts w:hint="eastAsia" w:ascii="宋体" w:hAnsi="宋体" w:eastAsia="宋体" w:cs="宋体"/>
          <w:sz w:val="24"/>
          <w:szCs w:val="24"/>
          <w:lang w:eastAsia="zh-CN"/>
        </w:rPr>
        <w:t>加盖公章。供应商为自然人的，应当由本人签字并附身份证明。澄清、说明或者更正文件将作为响应文件内容的一部分。</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z w:val="24"/>
          <w:szCs w:val="24"/>
          <w:lang w:eastAsia="zh-CN"/>
        </w:rPr>
        <w:t>6.6 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hint="eastAsia" w:ascii="宋体" w:hAnsi="宋体" w:eastAsia="宋体" w:cs="宋体"/>
          <w:spacing w:val="-2"/>
          <w:sz w:val="24"/>
          <w:szCs w:val="24"/>
          <w:lang w:eastAsia="zh-CN"/>
        </w:rPr>
        <w:t>政府采购竞争性磋商采购方式管理暂行办法</w:t>
      </w:r>
      <w:r>
        <w:rPr>
          <w:rFonts w:hint="eastAsia" w:ascii="宋体" w:hAnsi="宋体" w:eastAsia="宋体" w:cs="宋体"/>
          <w:sz w:val="24"/>
          <w:szCs w:val="24"/>
          <w:lang w:eastAsia="zh-CN"/>
        </w:rPr>
        <w:t>》第三条第四项规定的情形除外。最后报价是响应文件的有效组成部分。</w:t>
      </w:r>
    </w:p>
    <w:p>
      <w:pPr>
        <w:widowControl w:val="0"/>
        <w:kinsoku/>
        <w:wordWrap w:val="0"/>
        <w:autoSpaceDE/>
        <w:autoSpaceDN/>
        <w:adjustRightInd/>
        <w:snapToGrid/>
        <w:spacing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宋体" w:hAnsi="宋体" w:eastAsia="宋体" w:cs="宋体"/>
          <w:sz w:val="24"/>
          <w:szCs w:val="24"/>
          <w:lang w:eastAsia="zh-CN"/>
        </w:rPr>
        <w:t>6.7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6.8 已提交响应文件的供应商，在提交最后报价之前，可以根据磋商情况退出磋商。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7.最后报价的算术修正及政策调整</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最后报价须包含竞争性磋商文件全部内容，最后报价出现大写金额和小写金额不一致的，以大写金额为准。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8.评审方法和评审标准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8.1 本项目采用的评审方法为：综合评分法。综合评分法，是指响应文件满足磋商文件全部实质性要求且按评审因素的量化指标评审得分最高的供应商为成交候选供应商的评审方法。</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8.2 竞争性磋商文件中没有规定的评审标准不得作为评审依据。</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8.3 非政府强制采购的节能产品或环境标志产品，依据品目清单和认证证书实施政府优先采购。优先采购的具体规定（如涉及）。</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8.4 关于无线局域网认证产品政府采购清单中的产品，优先采购的具体规定（如涉及）</w:t>
      </w:r>
      <w:r>
        <w:rPr>
          <w:rFonts w:ascii="Calibri" w:hAnsi="Calibri" w:eastAsia="宋体" w:cs="Times New Roman"/>
          <w:snapToGrid/>
          <w:color w:val="auto"/>
          <w:spacing w:val="-25"/>
          <w:kern w:val="2"/>
          <w:sz w:val="24"/>
          <w:szCs w:val="24"/>
          <w:lang w:eastAsia="zh-CN"/>
        </w:rPr>
        <w:t>。</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9.确定成交候选人名单</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9.1 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pPr>
        <w:widowControl w:val="0"/>
        <w:kinsoku/>
        <w:wordWrap w:val="0"/>
        <w:autoSpaceDE/>
        <w:autoSpaceDN/>
        <w:adjustRightInd/>
        <w:snapToGrid/>
        <w:spacing w:after="120" w:line="360" w:lineRule="auto"/>
        <w:ind w:firstLine="482" w:firstLineChars="200"/>
        <w:jc w:val="both"/>
        <w:textAlignment w:val="auto"/>
        <w:rPr>
          <w:rFonts w:ascii="Calibri" w:hAnsi="Calibri" w:eastAsia="宋体" w:cs="Times New Roman"/>
          <w:b/>
          <w:bCs/>
          <w:snapToGrid/>
          <w:color w:val="auto"/>
          <w:kern w:val="2"/>
          <w:sz w:val="24"/>
          <w:szCs w:val="24"/>
          <w:lang w:eastAsia="zh-CN"/>
        </w:rPr>
      </w:pPr>
      <w:r>
        <w:rPr>
          <w:rFonts w:hint="eastAsia" w:ascii="Calibri" w:hAnsi="Calibri" w:eastAsia="宋体" w:cs="宋体"/>
          <w:b/>
          <w:bCs/>
          <w:sz w:val="24"/>
          <w:szCs w:val="24"/>
          <w:lang w:eastAsia="zh-CN"/>
        </w:rPr>
        <w:t>9.2 磋商小组要对评分汇总情况进行复核，特别是对排名第一的、报价最低的、响应文件被认定为无效的情形进行重点复核。</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宋体"/>
          <w:sz w:val="24"/>
          <w:szCs w:val="24"/>
          <w:lang w:eastAsia="zh-CN"/>
        </w:rPr>
      </w:pPr>
      <w:r>
        <w:rPr>
          <w:rFonts w:hint="eastAsia" w:ascii="Calibri" w:hAnsi="Calibri" w:eastAsia="宋体" w:cs="宋体"/>
          <w:sz w:val="24"/>
          <w:szCs w:val="24"/>
          <w:lang w:eastAsia="zh-CN"/>
        </w:rPr>
        <w:t>9.3 ☑ 磋商小组根据上述供应商排序，依次推荐排序前3名的供应商为成交候选供应商。采购人应当自收到评审报告之日起5个工作日内在评审报告推荐的成交候选人中按顺序确定成交供应商。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□采购人书面授权磋商小组直接确定成交供应商。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10.报告违法行为</w:t>
      </w:r>
    </w:p>
    <w:p>
      <w:pPr>
        <w:widowControl w:val="0"/>
        <w:kinsoku/>
        <w:wordWrap w:val="0"/>
        <w:autoSpaceDE/>
        <w:autoSpaceDN/>
        <w:adjustRightInd/>
        <w:snapToGrid/>
        <w:spacing w:after="120" w:line="360" w:lineRule="auto"/>
        <w:ind w:firstLine="480" w:firstLineChars="200"/>
        <w:jc w:val="both"/>
        <w:textAlignment w:val="auto"/>
        <w:rPr>
          <w:rFonts w:hAnsi="Calibri" w:eastAsia="宋体" w:cs="Times New Roman"/>
          <w:snapToGrid/>
          <w:color w:val="auto"/>
          <w:kern w:val="2"/>
          <w:szCs w:val="24"/>
          <w:lang w:eastAsia="zh-CN"/>
        </w:rPr>
      </w:pPr>
      <w:r>
        <w:rPr>
          <w:rFonts w:hint="eastAsia" w:ascii="Calibri" w:hAnsi="Calibri" w:eastAsia="宋体" w:cs="宋体"/>
          <w:sz w:val="24"/>
          <w:szCs w:val="24"/>
          <w:lang w:eastAsia="zh-CN"/>
        </w:rPr>
        <w:t>10.1 磋商小组在评审过程中发现供应商有行贿、提供虚假材料或者串通等违法行为时，有向采购人、采购代理机构或者有关部门报告的职责。</w:t>
      </w:r>
    </w:p>
    <w:p>
      <w:pPr>
        <w:widowControl w:val="0"/>
        <w:kinsoku/>
        <w:wordWrap w:val="0"/>
        <w:autoSpaceDE/>
        <w:autoSpaceDN/>
        <w:adjustRightInd/>
        <w:snapToGrid/>
        <w:spacing w:before="78" w:after="120" w:line="221" w:lineRule="auto"/>
        <w:jc w:val="center"/>
        <w:textAlignment w:val="auto"/>
        <w:outlineLvl w:val="1"/>
        <w:rPr>
          <w:rFonts w:ascii="Calibri" w:hAnsi="Calibri" w:eastAsia="宋体" w:cs="Times New Roman"/>
          <w:snapToGrid/>
          <w:color w:val="auto"/>
          <w:spacing w:val="-2"/>
          <w:kern w:val="2"/>
          <w:sz w:val="24"/>
          <w:szCs w:val="24"/>
          <w:lang w:eastAsia="zh-CN"/>
          <w14:textOutline w14:w="1536" w14:cap="flat" w14:cmpd="sng" w14:algn="ctr">
            <w14:solidFill>
              <w14:srgbClr w14:val="000000"/>
            </w14:solidFill>
            <w14:prstDash w14:val="solid"/>
            <w14:miter w14:val="0"/>
          </w14:textOutline>
        </w:rPr>
      </w:pPr>
      <w:r>
        <w:rPr>
          <w:rFonts w:ascii="Calibri" w:hAnsi="Calibri" w:eastAsia="宋体" w:cs="Times New Roman"/>
          <w:snapToGrid/>
          <w:color w:val="auto"/>
          <w:spacing w:val="-2"/>
          <w:kern w:val="2"/>
          <w:sz w:val="24"/>
          <w:szCs w:val="24"/>
          <w:lang w:eastAsia="zh-CN"/>
          <w14:textOutline w14:w="1536" w14:cap="flat" w14:cmpd="sng" w14:algn="ctr">
            <w14:solidFill>
              <w14:srgbClr w14:val="000000"/>
            </w14:solidFill>
            <w14:prstDash w14:val="solid"/>
            <w14:miter w14:val="0"/>
          </w14:textOutline>
        </w:rPr>
        <w:t>评审标准</w:t>
      </w:r>
    </w:p>
    <w:p>
      <w:pPr>
        <w:widowControl w:val="0"/>
        <w:kinsoku/>
        <w:snapToGrid/>
        <w:textAlignment w:val="auto"/>
        <w:rPr>
          <w:rFonts w:ascii="宋体" w:hAnsi="Times New Roman" w:eastAsia="宋体" w:cs="宋体"/>
          <w:snapToGrid/>
          <w:sz w:val="24"/>
          <w:szCs w:val="24"/>
          <w:lang w:eastAsia="zh-CN"/>
        </w:rPr>
      </w:pPr>
    </w:p>
    <w:tbl>
      <w:tblPr>
        <w:tblStyle w:val="38"/>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1449"/>
        <w:gridCol w:w="751"/>
        <w:gridCol w:w="1228"/>
        <w:gridCol w:w="4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61" w:type="dxa"/>
          </w:tcPr>
          <w:p>
            <w:pPr>
              <w:widowControl w:val="0"/>
              <w:kinsoku/>
              <w:wordWrap w:val="0"/>
              <w:autoSpaceDE/>
              <w:autoSpaceDN/>
              <w:adjustRightInd/>
              <w:snapToGrid/>
              <w:spacing w:before="40" w:line="208" w:lineRule="auto"/>
              <w:ind w:left="198"/>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3"/>
                <w:kern w:val="2"/>
                <w:sz w:val="24"/>
                <w:szCs w:val="24"/>
                <w:lang w:eastAsia="zh-CN"/>
                <w14:textOutline w14:w="1536" w14:cap="flat" w14:cmpd="sng" w14:algn="ctr">
                  <w14:solidFill>
                    <w14:srgbClr w14:val="000000"/>
                  </w14:solidFill>
                  <w14:prstDash w14:val="solid"/>
                  <w14:miter w14:val="0"/>
                </w14:textOutline>
              </w:rPr>
              <w:t>序号</w:t>
            </w:r>
          </w:p>
        </w:tc>
        <w:tc>
          <w:tcPr>
            <w:tcW w:w="1449" w:type="dxa"/>
          </w:tcPr>
          <w:p>
            <w:pPr>
              <w:widowControl w:val="0"/>
              <w:kinsoku/>
              <w:wordWrap w:val="0"/>
              <w:autoSpaceDE/>
              <w:autoSpaceDN/>
              <w:adjustRightInd/>
              <w:snapToGrid/>
              <w:spacing w:before="40" w:line="208" w:lineRule="auto"/>
              <w:ind w:left="268"/>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2"/>
                <w:kern w:val="2"/>
                <w:sz w:val="24"/>
                <w:szCs w:val="24"/>
                <w:lang w:eastAsia="zh-CN"/>
                <w14:textOutline w14:w="1536" w14:cap="flat" w14:cmpd="sng" w14:algn="ctr">
                  <w14:solidFill>
                    <w14:srgbClr w14:val="000000"/>
                  </w14:solidFill>
                  <w14:prstDash w14:val="solid"/>
                  <w14:miter w14:val="0"/>
                </w14:textOutline>
              </w:rPr>
              <w:t>评分因素</w:t>
            </w:r>
          </w:p>
        </w:tc>
        <w:tc>
          <w:tcPr>
            <w:tcW w:w="751" w:type="dxa"/>
          </w:tcPr>
          <w:p>
            <w:pPr>
              <w:widowControl w:val="0"/>
              <w:kinsoku/>
              <w:wordWrap w:val="0"/>
              <w:autoSpaceDE/>
              <w:autoSpaceDN/>
              <w:adjustRightInd/>
              <w:snapToGrid/>
              <w:spacing w:before="40" w:line="208" w:lineRule="auto"/>
              <w:ind w:firstLine="232" w:firstLineChars="1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4"/>
                <w:kern w:val="2"/>
                <w:sz w:val="24"/>
                <w:szCs w:val="24"/>
                <w:lang w:eastAsia="zh-CN"/>
                <w14:textOutline w14:w="1536" w14:cap="flat" w14:cmpd="sng" w14:algn="ctr">
                  <w14:solidFill>
                    <w14:srgbClr w14:val="000000"/>
                  </w14:solidFill>
                  <w14:prstDash w14:val="solid"/>
                  <w14:miter w14:val="0"/>
                </w14:textOutline>
              </w:rPr>
              <w:t>分值</w:t>
            </w:r>
          </w:p>
        </w:tc>
        <w:tc>
          <w:tcPr>
            <w:tcW w:w="6178" w:type="dxa"/>
            <w:gridSpan w:val="2"/>
          </w:tcPr>
          <w:p>
            <w:pPr>
              <w:widowControl w:val="0"/>
              <w:kinsoku/>
              <w:wordWrap w:val="0"/>
              <w:autoSpaceDE/>
              <w:autoSpaceDN/>
              <w:adjustRightInd/>
              <w:snapToGrid/>
              <w:spacing w:before="40" w:line="208" w:lineRule="auto"/>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2"/>
                <w:kern w:val="2"/>
                <w:sz w:val="24"/>
                <w:szCs w:val="24"/>
                <w:lang w:eastAsia="zh-CN"/>
                <w14:textOutline w14:w="1536" w14:cap="flat" w14:cmpd="sng" w14:algn="ctr">
                  <w14:solidFill>
                    <w14:srgbClr w14:val="000000"/>
                  </w14:solidFill>
                  <w14:prstDash w14:val="solid"/>
                  <w14:miter w14:val="0"/>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761" w:type="dxa"/>
            <w:vAlign w:val="center"/>
          </w:tcPr>
          <w:p>
            <w:pPr>
              <w:kinsoku/>
              <w:wordWrap w:val="0"/>
              <w:jc w:val="center"/>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r>
              <w:rPr>
                <w:rFonts w:hint="eastAsia" w:ascii="宋体" w:hAnsi="宋体" w:eastAsia="宋体" w:cs="宋体"/>
                <w:lang w:eastAsia="zh-CN"/>
              </w:rPr>
              <w:t>1</w:t>
            </w:r>
          </w:p>
        </w:tc>
        <w:tc>
          <w:tcPr>
            <w:tcW w:w="1449" w:type="dxa"/>
            <w:vAlign w:val="center"/>
          </w:tcPr>
          <w:p>
            <w:pPr>
              <w:kinsoku/>
              <w:wordWrap w:val="0"/>
              <w:spacing w:line="295" w:lineRule="auto"/>
              <w:jc w:val="both"/>
              <w:rPr>
                <w:rFonts w:hint="eastAsia" w:ascii="宋体" w:hAnsi="宋体" w:eastAsia="宋体" w:cs="宋体"/>
              </w:rPr>
            </w:pPr>
          </w:p>
          <w:p>
            <w:pPr>
              <w:widowControl w:val="0"/>
              <w:kinsoku/>
              <w:wordWrap w:val="0"/>
              <w:autoSpaceDE/>
              <w:autoSpaceDN/>
              <w:adjustRightInd/>
              <w:snapToGrid/>
              <w:spacing w:before="78" w:line="219" w:lineRule="auto"/>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3"/>
                <w:kern w:val="2"/>
                <w:sz w:val="24"/>
                <w:szCs w:val="24"/>
                <w:lang w:eastAsia="zh-CN"/>
              </w:rPr>
              <w:t>磋商报价</w:t>
            </w:r>
          </w:p>
        </w:tc>
        <w:tc>
          <w:tcPr>
            <w:tcW w:w="751" w:type="dxa"/>
          </w:tcPr>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40" w:firstLineChars="100"/>
              <w:jc w:val="both"/>
              <w:rPr>
                <w:rFonts w:hint="eastAsia" w:ascii="宋体" w:hAnsi="宋体" w:eastAsia="宋体" w:cs="宋体"/>
              </w:rPr>
            </w:pPr>
            <w:r>
              <w:rPr>
                <w:rFonts w:hint="eastAsia" w:ascii="宋体" w:hAnsi="宋体" w:eastAsia="宋体" w:cs="宋体"/>
                <w:sz w:val="24"/>
                <w:szCs w:val="24"/>
                <w:lang w:eastAsia="zh-CN"/>
              </w:rPr>
              <w:t>30分</w:t>
            </w:r>
          </w:p>
        </w:tc>
        <w:tc>
          <w:tcPr>
            <w:tcW w:w="6178" w:type="dxa"/>
            <w:gridSpan w:val="2"/>
          </w:tcPr>
          <w:p>
            <w:pPr>
              <w:spacing w:line="360" w:lineRule="auto"/>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 xml:space="preserve">满足招标文件要求且投标价格最低的投标报价为评标基准价，其价格分为满分30分，其他投标人的价格分按照下列公式计算： </w:t>
            </w:r>
          </w:p>
          <w:p>
            <w:pPr>
              <w:spacing w:line="360" w:lineRule="auto"/>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 xml:space="preserve">报价得分=（评标基准价/投标报价）×30%×100 </w:t>
            </w:r>
          </w:p>
          <w:p>
            <w:pPr>
              <w:spacing w:line="360" w:lineRule="auto"/>
              <w:ind w:firstLine="480" w:firstLineChars="200"/>
              <w:rPr>
                <w:rFonts w:hint="eastAsia" w:ascii="宋体" w:hAnsi="宋体" w:eastAsia="宋体" w:cs="宋体"/>
                <w:snapToGrid/>
                <w:color w:val="auto"/>
                <w:kern w:val="2"/>
                <w:sz w:val="24"/>
                <w:szCs w:val="24"/>
                <w:lang w:eastAsia="zh-CN"/>
              </w:rPr>
            </w:pPr>
            <w:r>
              <w:rPr>
                <w:rFonts w:hint="eastAsia" w:ascii="宋体" w:hAnsi="宋体" w:cs="宋体"/>
                <w:kern w:val="2"/>
                <w:sz w:val="24"/>
                <w:szCs w:val="24"/>
                <w:lang w:eastAsia="zh-CN"/>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10%后参与评审。参与优惠企业的报价=投标报价*（1-10%）。对于同时属于小微企业、监狱企业或残疾人福利性单位的，不重复进行投标报价扣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restart"/>
            <w:vAlign w:val="center"/>
          </w:tcPr>
          <w:p>
            <w:pPr>
              <w:kinsoku/>
              <w:wordWrap w:val="0"/>
              <w:jc w:val="center"/>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2</w:t>
            </w:r>
          </w:p>
        </w:tc>
        <w:tc>
          <w:tcPr>
            <w:tcW w:w="1449" w:type="dxa"/>
            <w:vMerge w:val="restart"/>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napToGrid/>
                <w:color w:val="auto"/>
                <w:spacing w:val="-13"/>
                <w:kern w:val="2"/>
                <w:sz w:val="24"/>
                <w:szCs w:val="24"/>
                <w:lang w:eastAsia="zh-CN"/>
              </w:rPr>
            </w:pPr>
            <w:r>
              <w:rPr>
                <w:rFonts w:hint="eastAsia" w:ascii="宋体" w:hAnsi="宋体" w:eastAsia="宋体" w:cs="宋体"/>
                <w:spacing w:val="-13"/>
                <w:sz w:val="24"/>
                <w:szCs w:val="24"/>
                <w:lang w:eastAsia="zh-CN"/>
              </w:rPr>
              <w:t>技术部分</w:t>
            </w:r>
          </w:p>
        </w:tc>
        <w:tc>
          <w:tcPr>
            <w:tcW w:w="751" w:type="dxa"/>
            <w:vMerge w:val="restart"/>
          </w:tcPr>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50分</w:t>
            </w:r>
          </w:p>
        </w:tc>
        <w:tc>
          <w:tcPr>
            <w:tcW w:w="1228" w:type="dxa"/>
            <w:vAlign w:val="center"/>
          </w:tcPr>
          <w:p>
            <w:pPr>
              <w:kinsoku/>
              <w:autoSpaceDE/>
              <w:autoSpaceDN/>
              <w:adjustRightInd/>
              <w:snapToGrid/>
              <w:spacing w:line="360" w:lineRule="auto"/>
              <w:textAlignment w:val="auto"/>
              <w:rPr>
                <w:rFonts w:hint="eastAsia" w:ascii="宋体" w:hAnsi="宋体" w:eastAsia="宋体" w:cs="宋体"/>
                <w:snapToGrid/>
                <w:color w:val="auto"/>
                <w:sz w:val="24"/>
                <w:szCs w:val="24"/>
                <w:lang w:eastAsia="zh-CN" w:bidi="ar"/>
              </w:rPr>
            </w:pPr>
            <w:r>
              <w:rPr>
                <w:rFonts w:hint="eastAsia" w:ascii="宋体" w:hAnsi="宋体" w:eastAsia="宋体" w:cs="宋体"/>
                <w:snapToGrid/>
                <w:color w:val="auto"/>
                <w:sz w:val="24"/>
                <w:szCs w:val="24"/>
                <w:lang w:eastAsia="zh-CN" w:bidi="ar"/>
              </w:rPr>
              <w:t>技术指标响应情况</w:t>
            </w:r>
          </w:p>
          <w:p>
            <w:pPr>
              <w:kinsoku/>
              <w:wordWrap w:val="0"/>
              <w:spacing w:before="26" w:line="228" w:lineRule="auto"/>
              <w:ind w:left="111" w:right="103" w:firstLine="4"/>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（3</w:t>
            </w:r>
            <w:r>
              <w:rPr>
                <w:rFonts w:hint="eastAsia" w:ascii="宋体" w:hAnsi="宋体" w:cs="宋体"/>
                <w:color w:val="auto"/>
                <w:sz w:val="24"/>
                <w:szCs w:val="24"/>
                <w:lang w:eastAsia="zh-CN"/>
              </w:rPr>
              <w:t>0</w:t>
            </w:r>
            <w:r>
              <w:rPr>
                <w:rFonts w:hint="eastAsia" w:ascii="宋体" w:hAnsi="宋体" w:eastAsia="宋体" w:cs="宋体"/>
                <w:color w:val="auto"/>
                <w:sz w:val="24"/>
                <w:szCs w:val="24"/>
                <w:lang w:eastAsia="zh-CN"/>
              </w:rPr>
              <w:t>分）</w:t>
            </w:r>
          </w:p>
        </w:tc>
        <w:tc>
          <w:tcPr>
            <w:tcW w:w="4950" w:type="dxa"/>
            <w:vAlign w:val="center"/>
          </w:tcPr>
          <w:p>
            <w:pPr>
              <w:widowControl w:val="0"/>
              <w:kinsoku/>
              <w:autoSpaceDE/>
              <w:autoSpaceDN/>
              <w:adjustRightInd/>
              <w:snapToGrid/>
              <w:spacing w:line="460" w:lineRule="exact"/>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评标委员会根据各供应商所投产品的技术响应情况进行评价，完全满足招标文件要求得30分。</w:t>
            </w:r>
          </w:p>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技术参数与招标文件有负偏差，或未达到招标文件要求指标的每有一项扣</w:t>
            </w:r>
            <w:r>
              <w:rPr>
                <w:rFonts w:hint="eastAsia"/>
                <w:color w:val="auto"/>
                <w:sz w:val="24"/>
                <w:szCs w:val="24"/>
                <w:lang w:eastAsia="zh-CN"/>
              </w:rPr>
              <w:t xml:space="preserve"> </w:t>
            </w:r>
            <w:r>
              <w:rPr>
                <w:rFonts w:hint="eastAsia" w:ascii="宋体" w:hAnsi="宋体" w:eastAsia="宋体"/>
                <w:color w:val="auto"/>
                <w:sz w:val="24"/>
                <w:szCs w:val="24"/>
                <w:lang w:eastAsia="zh-CN"/>
              </w:rPr>
              <w:t>3</w:t>
            </w:r>
            <w:r>
              <w:rPr>
                <w:rFonts w:hint="eastAsia" w:ascii="宋体" w:hAnsi="宋体" w:eastAsia="宋体" w:cs="宋体"/>
                <w:color w:val="auto"/>
                <w:sz w:val="24"/>
                <w:szCs w:val="24"/>
                <w:lang w:eastAsia="zh-CN"/>
              </w:rPr>
              <w:t>分，扣完为止。（投标人须提供相关的产品说明书或检测报告或技术产品彩页或技术白皮书或认证证书作为参数支撑材料，以投标文件中加盖供应商公章的清晰复印件为准（如技术参数中有要求的证明文件，以技术参数中需提供的证明文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continue"/>
            <w:vAlign w:val="center"/>
          </w:tcPr>
          <w:p>
            <w:pPr>
              <w:kinsoku/>
              <w:wordWrap w:val="0"/>
              <w:jc w:val="center"/>
              <w:rPr>
                <w:rFonts w:hint="eastAsia" w:ascii="宋体" w:hAnsi="宋体" w:eastAsia="宋体" w:cs="宋体"/>
                <w:spacing w:val="-13"/>
                <w:sz w:val="24"/>
                <w:szCs w:val="24"/>
                <w:lang w:eastAsia="zh-CN"/>
              </w:rPr>
            </w:pPr>
          </w:p>
        </w:tc>
        <w:tc>
          <w:tcPr>
            <w:tcW w:w="1449" w:type="dxa"/>
            <w:vMerge w:val="continue"/>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pacing w:val="-13"/>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widowControl w:val="0"/>
              <w:kinsoku/>
              <w:autoSpaceDE/>
              <w:autoSpaceDN/>
              <w:adjustRightInd/>
              <w:snapToGrid/>
              <w:spacing w:line="460" w:lineRule="exact"/>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项目实施方案</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根据供应商提供的设备供货、安装、调试、验收方案进行评审，方案完善、</w:t>
            </w:r>
            <w:r>
              <w:rPr>
                <w:rFonts w:hint="eastAsia" w:ascii="宋体" w:hAnsi="宋体" w:eastAsia="宋体" w:cs="宋体"/>
                <w:color w:val="auto"/>
                <w:sz w:val="24"/>
                <w:lang w:eastAsia="zh-CN"/>
              </w:rPr>
              <w:t>合理、可行：优：5分，良：3分，一般：1分。</w:t>
            </w:r>
            <w:r>
              <w:rPr>
                <w:rFonts w:hint="eastAsia" w:ascii="宋体" w:hAnsi="宋体" w:eastAsia="宋体"/>
                <w:color w:val="000000" w:themeColor="text1"/>
                <w:lang w:eastAsia="zh-CN"/>
                <w14:textFill>
                  <w14:solidFill>
                    <w14:schemeClr w14:val="tx1"/>
                  </w14:solidFill>
                </w14:textFill>
              </w:rPr>
              <w:t>不提供实施方案的不得分。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continue"/>
            <w:vAlign w:val="center"/>
          </w:tcPr>
          <w:p>
            <w:pPr>
              <w:kinsoku/>
              <w:wordWrap w:val="0"/>
              <w:jc w:val="center"/>
              <w:rPr>
                <w:rFonts w:hint="eastAsia" w:ascii="宋体" w:hAnsi="宋体" w:eastAsia="宋体" w:cs="宋体"/>
                <w:spacing w:val="-13"/>
                <w:sz w:val="24"/>
                <w:szCs w:val="24"/>
                <w:lang w:eastAsia="zh-CN"/>
              </w:rPr>
            </w:pPr>
          </w:p>
        </w:tc>
        <w:tc>
          <w:tcPr>
            <w:tcW w:w="1449" w:type="dxa"/>
            <w:vMerge w:val="continue"/>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pacing w:val="-13"/>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widowControl w:val="0"/>
              <w:kinsoku/>
              <w:autoSpaceDE/>
              <w:autoSpaceDN/>
              <w:adjustRightInd/>
              <w:snapToGrid/>
              <w:spacing w:line="460" w:lineRule="exact"/>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售后服务计划</w:t>
            </w:r>
            <w:r>
              <w:rPr>
                <w:rFonts w:hint="eastAsia" w:ascii="宋体" w:hAnsi="宋体" w:eastAsia="宋体" w:cs="宋体"/>
                <w:color w:val="auto"/>
                <w:sz w:val="24"/>
                <w:szCs w:val="24"/>
                <w:lang w:eastAsia="zh-CN"/>
              </w:rPr>
              <w:t>（5分）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根据供应商提供的售后服务计划（售后服务计划可行性、响应时间、到达现场时间、质保期及免费升级时间等）进行评审，方案完善、</w:t>
            </w:r>
            <w:r>
              <w:rPr>
                <w:rFonts w:hint="eastAsia" w:ascii="宋体" w:hAnsi="宋体" w:eastAsia="宋体" w:cs="宋体"/>
                <w:color w:val="auto"/>
                <w:sz w:val="24"/>
                <w:lang w:eastAsia="zh-CN"/>
              </w:rPr>
              <w:t>合理、可行：优：5分，良：3分，一般：1分。</w:t>
            </w:r>
            <w:r>
              <w:rPr>
                <w:rFonts w:hint="eastAsia" w:ascii="宋体" w:hAnsi="宋体" w:eastAsia="宋体"/>
                <w:color w:val="000000" w:themeColor="text1"/>
                <w:lang w:eastAsia="zh-CN"/>
                <w14:textFill>
                  <w14:solidFill>
                    <w14:schemeClr w14:val="tx1"/>
                  </w14:solidFill>
                </w14:textFill>
              </w:rPr>
              <w:t>没有售后服务计划的不得分。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continue"/>
            <w:vAlign w:val="center"/>
          </w:tcPr>
          <w:p>
            <w:pPr>
              <w:kinsoku/>
              <w:wordWrap w:val="0"/>
              <w:jc w:val="center"/>
              <w:rPr>
                <w:rFonts w:hint="eastAsia" w:ascii="宋体" w:hAnsi="宋体" w:eastAsia="宋体" w:cs="宋体"/>
                <w:spacing w:val="-13"/>
                <w:sz w:val="24"/>
                <w:szCs w:val="24"/>
                <w:lang w:eastAsia="zh-CN"/>
              </w:rPr>
            </w:pPr>
          </w:p>
        </w:tc>
        <w:tc>
          <w:tcPr>
            <w:tcW w:w="1449" w:type="dxa"/>
            <w:vMerge w:val="continue"/>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pacing w:val="-13"/>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widowControl w:val="0"/>
              <w:kinsoku/>
              <w:autoSpaceDE/>
              <w:autoSpaceDN/>
              <w:adjustRightInd/>
              <w:snapToGrid/>
              <w:spacing w:line="460" w:lineRule="exact"/>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培训方案</w:t>
            </w:r>
          </w:p>
          <w:p>
            <w:pPr>
              <w:kinsoku/>
              <w:wordWrap w:val="0"/>
              <w:spacing w:before="26" w:line="228" w:lineRule="auto"/>
              <w:ind w:left="111" w:right="103" w:firstLine="4"/>
              <w:jc w:val="both"/>
              <w:rPr>
                <w:rFonts w:hint="eastAsia" w:ascii="宋体" w:hAnsi="宋体" w:eastAsia="宋体" w:cs="宋体"/>
                <w:spacing w:val="-13"/>
                <w:sz w:val="24"/>
                <w:szCs w:val="24"/>
              </w:rPr>
            </w:pPr>
            <w:r>
              <w:rPr>
                <w:rFonts w:hint="eastAsia" w:ascii="宋体" w:hAnsi="宋体" w:eastAsia="宋体" w:cs="宋体"/>
                <w:color w:val="auto"/>
                <w:sz w:val="24"/>
                <w:szCs w:val="24"/>
                <w:lang w:eastAsia="zh-CN"/>
              </w:rPr>
              <w:t>（5分）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根据供应商提供的培训方案（现场培训服务、培训方式）进行评审，方案完善、</w:t>
            </w:r>
            <w:r>
              <w:rPr>
                <w:rFonts w:hint="eastAsia" w:ascii="宋体" w:hAnsi="宋体" w:eastAsia="宋体" w:cs="宋体"/>
                <w:color w:val="auto"/>
                <w:sz w:val="24"/>
                <w:lang w:eastAsia="zh-CN"/>
              </w:rPr>
              <w:t>合理、可行：优：5分，良：3分，一般：1分。不提供培训方案的不得分。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continue"/>
            <w:vAlign w:val="center"/>
          </w:tcPr>
          <w:p>
            <w:pPr>
              <w:kinsoku/>
              <w:wordWrap w:val="0"/>
              <w:jc w:val="center"/>
              <w:rPr>
                <w:rFonts w:hint="eastAsia" w:ascii="宋体" w:hAnsi="宋体" w:eastAsia="宋体" w:cs="宋体"/>
                <w:spacing w:val="-13"/>
                <w:sz w:val="24"/>
                <w:szCs w:val="24"/>
                <w:lang w:eastAsia="zh-CN"/>
              </w:rPr>
            </w:pPr>
          </w:p>
        </w:tc>
        <w:tc>
          <w:tcPr>
            <w:tcW w:w="1449" w:type="dxa"/>
            <w:vMerge w:val="continue"/>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pacing w:val="-13"/>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widowControl w:val="0"/>
              <w:kinsoku/>
              <w:autoSpaceDE/>
              <w:autoSpaceDN/>
              <w:adjustRightInd/>
              <w:snapToGrid/>
              <w:spacing w:line="460" w:lineRule="exact"/>
              <w:jc w:val="center"/>
              <w:textAlignment w:val="auto"/>
              <w:rPr>
                <w:rFonts w:hint="eastAsia" w:ascii="宋体" w:hAnsi="宋体" w:eastAsia="宋体" w:cs="宋体"/>
                <w:snapToGrid/>
                <w:color w:val="auto"/>
                <w:kern w:val="2"/>
                <w:sz w:val="24"/>
                <w:szCs w:val="22"/>
                <w:lang w:eastAsia="zh-CN"/>
              </w:rPr>
            </w:pPr>
            <w:r>
              <w:rPr>
                <w:rFonts w:hint="eastAsia" w:ascii="宋体" w:hAnsi="宋体" w:eastAsia="宋体" w:cs="宋体"/>
                <w:snapToGrid/>
                <w:color w:val="auto"/>
                <w:kern w:val="2"/>
                <w:sz w:val="24"/>
                <w:szCs w:val="22"/>
                <w:lang w:eastAsia="zh-CN"/>
              </w:rPr>
              <w:t>项目重点难点分析（5分）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lang w:eastAsia="zh-CN"/>
              </w:rPr>
              <w:t>针对项目重点难点分析，所应对规避措施，合理化建议等内容进行打分，优：5分，良：3分，一般：1分。</w:t>
            </w:r>
            <w:r>
              <w:rPr>
                <w:rFonts w:hint="eastAsia" w:ascii="宋体" w:hAnsi="宋体" w:eastAsia="宋体"/>
                <w:color w:val="000000" w:themeColor="text1"/>
                <w:lang w:eastAsia="zh-CN"/>
                <w14:textFill>
                  <w14:solidFill>
                    <w14:schemeClr w14:val="tx1"/>
                  </w14:solidFill>
                </w14:textFill>
              </w:rPr>
              <w:t>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761" w:type="dxa"/>
            <w:vMerge w:val="restart"/>
            <w:vAlign w:val="center"/>
          </w:tcPr>
          <w:p>
            <w:pPr>
              <w:kinsoku/>
              <w:wordWrap w:val="0"/>
              <w:jc w:val="center"/>
              <w:rPr>
                <w:rFonts w:hint="eastAsia" w:ascii="宋体" w:hAnsi="宋体" w:eastAsia="宋体" w:cs="宋体"/>
                <w:lang w:eastAsia="zh-CN"/>
              </w:rPr>
            </w:pPr>
            <w:r>
              <w:rPr>
                <w:rFonts w:hint="eastAsia" w:ascii="宋体" w:hAnsi="宋体" w:eastAsia="宋体" w:cs="宋体"/>
                <w:lang w:eastAsia="zh-CN"/>
              </w:rPr>
              <w:t>3</w:t>
            </w:r>
          </w:p>
        </w:tc>
        <w:tc>
          <w:tcPr>
            <w:tcW w:w="1449" w:type="dxa"/>
            <w:vMerge w:val="restart"/>
            <w:vAlign w:val="center"/>
          </w:tcPr>
          <w:p>
            <w:pPr>
              <w:widowControl w:val="0"/>
              <w:kinsoku/>
              <w:wordWrap w:val="0"/>
              <w:autoSpaceDE/>
              <w:autoSpaceDN/>
              <w:adjustRightInd/>
              <w:snapToGrid/>
              <w:spacing w:before="157" w:line="220" w:lineRule="auto"/>
              <w:ind w:left="148"/>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2"/>
                <w:kern w:val="2"/>
                <w:sz w:val="24"/>
                <w:szCs w:val="24"/>
                <w:lang w:eastAsia="zh-CN"/>
              </w:rPr>
              <w:t>综合部分</w:t>
            </w:r>
          </w:p>
        </w:tc>
        <w:tc>
          <w:tcPr>
            <w:tcW w:w="751" w:type="dxa"/>
            <w:vMerge w:val="restart"/>
          </w:tcPr>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rPr>
            </w:pPr>
            <w:r>
              <w:rPr>
                <w:rFonts w:hint="eastAsia" w:ascii="宋体" w:hAnsi="宋体" w:eastAsia="宋体" w:cs="宋体"/>
                <w:spacing w:val="-13"/>
                <w:sz w:val="24"/>
                <w:szCs w:val="24"/>
                <w:lang w:eastAsia="zh-CN"/>
              </w:rPr>
              <w:t>20分</w:t>
            </w:r>
          </w:p>
        </w:tc>
        <w:tc>
          <w:tcPr>
            <w:tcW w:w="1228" w:type="dxa"/>
          </w:tcPr>
          <w:p>
            <w:pPr>
              <w:kinsoku/>
              <w:wordWrap w:val="0"/>
              <w:spacing w:before="26" w:line="228" w:lineRule="auto"/>
              <w:ind w:left="111" w:right="103" w:firstLine="4"/>
              <w:jc w:val="both"/>
              <w:rPr>
                <w:rFonts w:hint="eastAsia" w:ascii="宋体" w:hAnsi="宋体" w:eastAsia="宋体" w:cs="宋体"/>
                <w:spacing w:val="-13"/>
                <w:sz w:val="24"/>
                <w:szCs w:val="24"/>
                <w:lang w:eastAsia="zh-CN"/>
              </w:rPr>
            </w:pPr>
          </w:p>
          <w:p>
            <w:pPr>
              <w:kinsoku/>
              <w:wordWrap w:val="0"/>
              <w:spacing w:before="26" w:line="228" w:lineRule="auto"/>
              <w:ind w:left="111" w:right="103" w:firstLine="4"/>
              <w:jc w:val="both"/>
              <w:rPr>
                <w:rFonts w:hint="eastAsia" w:ascii="宋体" w:hAnsi="宋体" w:eastAsia="宋体" w:cs="宋体"/>
                <w:spacing w:val="-13"/>
                <w:sz w:val="24"/>
                <w:szCs w:val="24"/>
              </w:rPr>
            </w:pPr>
            <w:r>
              <w:rPr>
                <w:rFonts w:hint="eastAsia" w:ascii="宋体" w:hAnsi="宋体" w:eastAsia="宋体" w:cs="宋体"/>
                <w:spacing w:val="-13"/>
                <w:sz w:val="24"/>
                <w:szCs w:val="24"/>
                <w:lang w:eastAsia="zh-CN"/>
              </w:rPr>
              <w:t>信用评价（2分）</w:t>
            </w:r>
          </w:p>
        </w:tc>
        <w:tc>
          <w:tcPr>
            <w:tcW w:w="4950" w:type="dxa"/>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根据《南阳市政府采购信用评价实施办法》，投标人登录“南阳市政府采购信用管理系统”打印并提交《南阳市政府采购供应商信用记录表》，诚信评价为三星级的加 1 分，四星级的加 2 分，其他不得分。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761" w:type="dxa"/>
            <w:vMerge w:val="continue"/>
            <w:vAlign w:val="center"/>
          </w:tcPr>
          <w:p>
            <w:pPr>
              <w:kinsoku/>
              <w:wordWrap w:val="0"/>
              <w:jc w:val="center"/>
              <w:rPr>
                <w:rFonts w:hint="eastAsia" w:ascii="宋体" w:hAnsi="宋体" w:eastAsia="宋体" w:cs="宋体"/>
                <w:lang w:eastAsia="zh-CN"/>
              </w:rPr>
            </w:pPr>
          </w:p>
        </w:tc>
        <w:tc>
          <w:tcPr>
            <w:tcW w:w="1449" w:type="dxa"/>
            <w:vMerge w:val="continue"/>
            <w:vAlign w:val="center"/>
          </w:tcPr>
          <w:p>
            <w:pPr>
              <w:widowControl w:val="0"/>
              <w:kinsoku/>
              <w:wordWrap w:val="0"/>
              <w:autoSpaceDE/>
              <w:autoSpaceDN/>
              <w:adjustRightInd/>
              <w:snapToGrid/>
              <w:spacing w:before="157" w:line="220" w:lineRule="auto"/>
              <w:ind w:left="148"/>
              <w:jc w:val="both"/>
              <w:textAlignment w:val="auto"/>
              <w:rPr>
                <w:rFonts w:hint="eastAsia" w:ascii="宋体" w:hAnsi="宋体" w:eastAsia="宋体" w:cs="宋体"/>
                <w:snapToGrid/>
                <w:color w:val="auto"/>
                <w:spacing w:val="-2"/>
                <w:kern w:val="2"/>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kinsoku/>
              <w:autoSpaceDE/>
              <w:autoSpaceDN/>
              <w:adjustRightInd/>
              <w:snapToGrid/>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企业业绩</w:t>
            </w:r>
          </w:p>
          <w:p>
            <w:pPr>
              <w:kinsoku/>
              <w:wordWrap w:val="0"/>
              <w:spacing w:before="26" w:line="228" w:lineRule="auto"/>
              <w:ind w:right="103"/>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供应商</w:t>
            </w:r>
            <w:r>
              <w:rPr>
                <w:rFonts w:hint="eastAsia" w:ascii="宋体" w:hAnsi="宋体" w:cs="宋体"/>
                <w:color w:val="auto"/>
                <w:sz w:val="24"/>
                <w:szCs w:val="24"/>
                <w:lang w:eastAsia="zh-CN"/>
              </w:rPr>
              <w:t>2020</w:t>
            </w:r>
            <w:r>
              <w:rPr>
                <w:rFonts w:hint="eastAsia" w:ascii="宋体" w:hAnsi="宋体" w:eastAsia="宋体" w:cs="宋体"/>
                <w:color w:val="auto"/>
                <w:sz w:val="24"/>
                <w:szCs w:val="24"/>
                <w:lang w:eastAsia="zh-CN"/>
              </w:rPr>
              <w:t>年</w:t>
            </w:r>
            <w:r>
              <w:rPr>
                <w:rFonts w:hint="eastAsia" w:ascii="宋体" w:hAnsi="宋体" w:cs="宋体"/>
                <w:color w:val="auto"/>
                <w:sz w:val="24"/>
                <w:szCs w:val="24"/>
                <w:lang w:eastAsia="zh-CN"/>
              </w:rPr>
              <w:t>1</w:t>
            </w:r>
            <w:r>
              <w:rPr>
                <w:rFonts w:hint="eastAsia" w:ascii="宋体" w:hAnsi="宋体" w:eastAsia="宋体" w:cs="宋体"/>
                <w:color w:val="auto"/>
                <w:sz w:val="24"/>
                <w:szCs w:val="24"/>
                <w:lang w:eastAsia="zh-CN"/>
              </w:rPr>
              <w:t>月</w:t>
            </w:r>
            <w:r>
              <w:rPr>
                <w:rFonts w:hint="eastAsia" w:ascii="宋体" w:hAnsi="宋体" w:cs="宋体"/>
                <w:color w:val="auto"/>
                <w:sz w:val="24"/>
                <w:szCs w:val="24"/>
                <w:lang w:eastAsia="zh-CN"/>
              </w:rPr>
              <w:t>1</w:t>
            </w:r>
            <w:r>
              <w:rPr>
                <w:rFonts w:hint="eastAsia" w:ascii="宋体" w:hAnsi="宋体" w:eastAsia="宋体" w:cs="宋体"/>
                <w:color w:val="auto"/>
                <w:sz w:val="24"/>
                <w:szCs w:val="24"/>
                <w:lang w:eastAsia="zh-CN"/>
              </w:rPr>
              <w:t>日以来，签订有类似业绩，每份得</w:t>
            </w:r>
            <w:r>
              <w:rPr>
                <w:rFonts w:hint="eastAsia" w:ascii="宋体" w:hAnsi="宋体" w:cs="宋体"/>
                <w:color w:val="auto"/>
                <w:sz w:val="24"/>
                <w:szCs w:val="24"/>
                <w:lang w:eastAsia="zh-CN"/>
              </w:rPr>
              <w:t>2</w:t>
            </w:r>
            <w:r>
              <w:rPr>
                <w:rFonts w:hint="eastAsia" w:ascii="宋体" w:hAnsi="宋体" w:eastAsia="宋体" w:cs="宋体"/>
                <w:color w:val="auto"/>
                <w:sz w:val="24"/>
                <w:szCs w:val="24"/>
                <w:lang w:eastAsia="zh-CN"/>
              </w:rPr>
              <w:t>分，最多得6分。（</w:t>
            </w:r>
            <w:r>
              <w:rPr>
                <w:rFonts w:hint="eastAsia" w:ascii="宋体" w:hAnsi="宋体" w:eastAsia="宋体" w:cs="宋体"/>
                <w:color w:val="auto"/>
                <w:sz w:val="24"/>
                <w:szCs w:val="24"/>
                <w:lang w:eastAsia="zh-CN" w:bidi="ar"/>
              </w:rPr>
              <w:t>以企业诚信库中上传</w:t>
            </w:r>
            <w:r>
              <w:rPr>
                <w:rFonts w:hint="eastAsia" w:ascii="宋体" w:hAnsi="宋体" w:eastAsia="宋体" w:cs="宋体"/>
                <w:sz w:val="24"/>
                <w:szCs w:val="24"/>
                <w:lang w:eastAsia="zh-CN" w:bidi="ar"/>
              </w:rPr>
              <w:t>中标通知书和合同为准，时间以合同签订日期为准</w:t>
            </w:r>
            <w:r>
              <w:rPr>
                <w:rFonts w:hint="eastAsia" w:ascii="宋体" w:hAnsi="宋体" w:eastAsia="宋体" w:cs="宋体"/>
                <w:color w:val="auto"/>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jc w:val="center"/>
              <w:rPr>
                <w:rFonts w:hint="eastAsia" w:ascii="宋体" w:hAnsi="宋体" w:eastAsia="宋体" w:cs="宋体"/>
                <w:lang w:eastAsia="zh-CN"/>
              </w:rPr>
            </w:pPr>
          </w:p>
        </w:tc>
        <w:tc>
          <w:tcPr>
            <w:tcW w:w="1449" w:type="dxa"/>
            <w:vMerge w:val="continue"/>
            <w:vAlign w:val="center"/>
          </w:tcPr>
          <w:p>
            <w:pPr>
              <w:widowControl w:val="0"/>
              <w:kinsoku/>
              <w:wordWrap w:val="0"/>
              <w:autoSpaceDE/>
              <w:autoSpaceDN/>
              <w:adjustRightInd/>
              <w:snapToGrid/>
              <w:spacing w:before="157" w:line="220" w:lineRule="auto"/>
              <w:ind w:left="148"/>
              <w:jc w:val="both"/>
              <w:textAlignment w:val="auto"/>
              <w:rPr>
                <w:rFonts w:hint="eastAsia" w:ascii="宋体" w:hAnsi="宋体" w:eastAsia="宋体" w:cs="宋体"/>
                <w:snapToGrid/>
                <w:color w:val="auto"/>
                <w:spacing w:val="-2"/>
                <w:kern w:val="2"/>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Merge w:val="restart"/>
            <w:vAlign w:val="center"/>
          </w:tcPr>
          <w:p>
            <w:pPr>
              <w:kinsoku/>
              <w:autoSpaceDE/>
              <w:autoSpaceDN/>
              <w:adjustRightInd/>
              <w:snapToGrid/>
              <w:spacing w:line="360" w:lineRule="auto"/>
              <w:textAlignment w:val="auto"/>
              <w:rPr>
                <w:rFonts w:hint="eastAsia" w:ascii="宋体" w:hAnsi="宋体" w:eastAsia="宋体" w:cs="宋体"/>
                <w:snapToGrid/>
                <w:color w:val="auto"/>
                <w:sz w:val="24"/>
                <w:szCs w:val="24"/>
                <w:lang w:eastAsia="zh-CN" w:bidi="ar"/>
              </w:rPr>
            </w:pPr>
          </w:p>
          <w:p>
            <w:pPr>
              <w:kinsoku/>
              <w:autoSpaceDE/>
              <w:autoSpaceDN/>
              <w:adjustRightInd/>
              <w:snapToGrid/>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bidi="ar"/>
              </w:rPr>
              <w:t>企业综合实力（12分）</w:t>
            </w: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投标人或制造商具有服务管理体系认证证书 (ISO/IEC 20000-1)，范围含法庭类系统服务的得2分。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spacing w:before="33" w:line="235" w:lineRule="auto"/>
              <w:ind w:left="76" w:right="23" w:firstLine="2"/>
              <w:jc w:val="both"/>
              <w:rPr>
                <w:lang w:eastAsia="zh-CN"/>
              </w:rPr>
            </w:pPr>
          </w:p>
        </w:tc>
        <w:tc>
          <w:tcPr>
            <w:tcW w:w="1449" w:type="dxa"/>
            <w:vMerge w:val="continue"/>
            <w:vAlign w:val="center"/>
          </w:tcPr>
          <w:p>
            <w:pPr>
              <w:kinsoku/>
              <w:wordWrap w:val="0"/>
              <w:spacing w:before="33" w:line="235" w:lineRule="auto"/>
              <w:ind w:left="76" w:right="23" w:firstLine="2"/>
              <w:jc w:val="both"/>
              <w:rPr>
                <w:lang w:eastAsia="zh-CN"/>
              </w:rPr>
            </w:pPr>
          </w:p>
        </w:tc>
        <w:tc>
          <w:tcPr>
            <w:tcW w:w="751" w:type="dxa"/>
            <w:vMerge w:val="continue"/>
          </w:tcPr>
          <w:p>
            <w:pPr>
              <w:kinsoku/>
              <w:wordWrap w:val="0"/>
              <w:spacing w:before="33" w:line="235" w:lineRule="auto"/>
              <w:ind w:left="76" w:right="23" w:firstLine="2"/>
              <w:jc w:val="both"/>
              <w:rPr>
                <w:lang w:eastAsia="zh-CN"/>
              </w:rPr>
            </w:pPr>
          </w:p>
        </w:tc>
        <w:tc>
          <w:tcPr>
            <w:tcW w:w="1228" w:type="dxa"/>
            <w:vMerge w:val="continue"/>
            <w:vAlign w:val="center"/>
          </w:tcPr>
          <w:p>
            <w:pPr>
              <w:kinsoku/>
              <w:wordWrap w:val="0"/>
              <w:spacing w:before="33" w:line="235" w:lineRule="auto"/>
              <w:ind w:left="76" w:right="23" w:firstLine="2"/>
              <w:jc w:val="both"/>
              <w:rPr>
                <w:lang w:eastAsia="zh-CN"/>
              </w:rPr>
            </w:pP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投标人或制造商具有商品售后服务认证证书，范围含法庭系统的售后服务的得2分。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449"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751" w:type="dxa"/>
            <w:vMerge w:val="continue"/>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228"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投标人或制造商具有质量管理体系认证证书(ISO9001)、范围含主机的设计、开发、生产等相关得2分。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449"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751" w:type="dxa"/>
            <w:vMerge w:val="continue"/>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228"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投标人或制造商具有知识产权认证证书(GB/T 29490) 、范围含法庭系统的设计、开发等相关的知识产权管理的得3分。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449"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751" w:type="dxa"/>
            <w:vMerge w:val="continue"/>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228"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为保证庭审管理平台及庭审软件无纸化庭审效果，厂商需要提供电子卷宗的存储方法，（地市级以上的政府部门出具的有效证明材料）得3分。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210" w:type="dxa"/>
            <w:gridSpan w:val="2"/>
          </w:tcPr>
          <w:p>
            <w:pPr>
              <w:widowControl w:val="0"/>
              <w:kinsoku/>
              <w:wordWrap w:val="0"/>
              <w:autoSpaceDE/>
              <w:autoSpaceDN/>
              <w:adjustRightInd/>
              <w:snapToGrid/>
              <w:spacing w:before="42" w:line="206" w:lineRule="auto"/>
              <w:ind w:left="932"/>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3"/>
                <w:kern w:val="2"/>
                <w:sz w:val="24"/>
                <w:szCs w:val="24"/>
                <w:lang w:eastAsia="zh-CN"/>
              </w:rPr>
              <w:t>合计</w:t>
            </w:r>
          </w:p>
        </w:tc>
        <w:tc>
          <w:tcPr>
            <w:tcW w:w="751" w:type="dxa"/>
          </w:tcPr>
          <w:p>
            <w:pPr>
              <w:kinsoku/>
              <w:wordWrap w:val="0"/>
              <w:spacing w:before="59" w:line="202" w:lineRule="auto"/>
              <w:ind w:left="265"/>
              <w:jc w:val="both"/>
              <w:rPr>
                <w:rFonts w:hint="eastAsia" w:ascii="宋体" w:hAnsi="宋体" w:eastAsia="宋体" w:cs="宋体"/>
                <w:sz w:val="24"/>
                <w:szCs w:val="24"/>
              </w:rPr>
            </w:pPr>
            <w:r>
              <w:rPr>
                <w:rFonts w:hint="eastAsia" w:ascii="宋体" w:hAnsi="宋体" w:eastAsia="宋体" w:cs="宋体"/>
                <w:spacing w:val="9"/>
                <w:sz w:val="24"/>
                <w:szCs w:val="24"/>
              </w:rPr>
              <w:t>100</w:t>
            </w:r>
          </w:p>
        </w:tc>
        <w:tc>
          <w:tcPr>
            <w:tcW w:w="6178" w:type="dxa"/>
            <w:gridSpan w:val="2"/>
          </w:tcPr>
          <w:p>
            <w:pPr>
              <w:kinsoku/>
              <w:wordWrap w:val="0"/>
              <w:jc w:val="both"/>
              <w:rPr>
                <w:rFonts w:hint="eastAsia" w:ascii="宋体" w:hAnsi="宋体" w:eastAsia="宋体" w:cs="宋体"/>
              </w:rPr>
            </w:pPr>
          </w:p>
        </w:tc>
      </w:tr>
      <w:bookmarkEnd w:id="13"/>
      <w:bookmarkEnd w:id="14"/>
    </w:tbl>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11.有下列情况之一的，采购人或采购代理机构宣布本项目终止：</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11.1 因情况变化，不再符合规定的竞争性磋商采购方式适用情形的；</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11.2 出现影响采购公正的违法、违规行为的；</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11.3 法律法规规定的其他情况。</w:t>
      </w:r>
    </w:p>
    <w:p>
      <w:pPr>
        <w:kinsoku/>
        <w:wordWrap w:val="0"/>
        <w:spacing w:line="360" w:lineRule="auto"/>
        <w:ind w:firstLine="480" w:firstLineChars="200"/>
        <w:jc w:val="both"/>
        <w:rPr>
          <w:rFonts w:hint="eastAsia" w:ascii="仿宋_GB2312" w:hAnsi="仿宋_GB2312" w:eastAsia="仿宋_GB2312" w:cs="仿宋_GB2312"/>
          <w:b/>
          <w:sz w:val="28"/>
          <w:szCs w:val="28"/>
          <w:lang w:eastAsia="zh-CN"/>
        </w:rPr>
      </w:pPr>
      <w:r>
        <w:rPr>
          <w:rFonts w:hint="eastAsia" w:ascii="宋体" w:hAnsi="宋体" w:eastAsia="宋体" w:cs="宋体"/>
          <w:sz w:val="24"/>
          <w:szCs w:val="24"/>
          <w:lang w:eastAsia="zh-CN"/>
        </w:rPr>
        <w:t>12.若本项目属于政府购买服务项目，将按照《政府采购竞争性磋商采购方式管理暂行办法》和《财政部关于政府采购竞争性磋商采购方式管理暂行办法有关问题的补充通知》（财库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lang w:eastAsia="zh-CN"/>
        </w:rPr>
        <w:t>124号）等规定执行。</w:t>
      </w:r>
    </w:p>
    <w:bookmarkEnd w:id="0"/>
    <w:p>
      <w:pPr>
        <w:kinsoku/>
        <w:wordWrap w:val="0"/>
        <w:spacing w:line="360" w:lineRule="auto"/>
        <w:jc w:val="both"/>
        <w:rPr>
          <w:rFonts w:hint="eastAsia" w:ascii="宋体" w:hAnsi="宋体" w:eastAsia="宋体" w:cs="宋体"/>
          <w:b/>
          <w:bCs/>
          <w:sz w:val="24"/>
          <w:szCs w:val="24"/>
          <w:lang w:eastAsia="zh-CN"/>
        </w:rPr>
      </w:pPr>
    </w:p>
    <w:p>
      <w:pPr>
        <w:kinsoku/>
        <w:wordWrap w:val="0"/>
        <w:spacing w:line="360" w:lineRule="auto"/>
        <w:jc w:val="both"/>
        <w:rPr>
          <w:rFonts w:hint="eastAsia" w:ascii="宋体" w:hAnsi="宋体" w:eastAsia="宋体" w:cs="宋体"/>
          <w:sz w:val="24"/>
          <w:szCs w:val="24"/>
          <w:lang w:eastAsia="zh-CN"/>
        </w:rPr>
      </w:pPr>
      <w:bookmarkStart w:id="16" w:name="_Hlk174565281"/>
      <w:r>
        <w:rPr>
          <w:rFonts w:hint="eastAsia" w:ascii="宋体" w:hAnsi="宋体" w:eastAsia="宋体" w:cs="宋体"/>
          <w:b/>
          <w:bCs/>
          <w:sz w:val="24"/>
          <w:szCs w:val="24"/>
          <w:lang w:eastAsia="zh-CN"/>
        </w:rPr>
        <w:t>六、成交通知及签订合同</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1.成交结果公布</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 成交供应商确定后，采购人或采购代理机构将在“河南省政府采购网”和“南阳市公共资源交易中心网”上发布成交公告。</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1.2 如项目终止，成交结果公告以“河南省政府采购网”发布的为准。</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2.发出成交通知书</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2.1 根据成交结果，采购人或采购代理机构通过“南阳市公共资源交易中心公共服务平台或电子营业执照应用平台”向成交供应商发出电子成交通知书，成交供应商可登陆南阳市公共资源交易平台会员系统或电子营业执照应用平台，自行打印加盖电子签章的成交通知书。</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2.2 《成交通知书》是签订政府采购合同的重要依据，对采购人与成交供应商具有法律效力。</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3.签订合同</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3.1 成交供应商和采购人应在《成交通知书》发出后及时签订政府采购合同，逾期无故不签订的，按《政府采购竞争性磋商采购方式管理暂行办法》及有关规定处理。</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3.2 竞争性磋商文件、响应文件、供应商在磋商过程中的承诺以及确认材料，均为合同的有效组成部分。</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3.3 如果成交供应商不按其响应文件承诺和竞争性磋商文件要求签订政府采购合同，采购人将取消其成交资格。</w:t>
      </w:r>
    </w:p>
    <w:p>
      <w:pPr>
        <w:kinsoku/>
        <w:wordWrap w:val="0"/>
        <w:spacing w:line="360" w:lineRule="auto"/>
        <w:ind w:firstLine="480" w:firstLineChars="200"/>
        <w:jc w:val="both"/>
        <w:rPr>
          <w:rFonts w:hint="eastAsia" w:ascii="宋体" w:hAnsi="宋体" w:eastAsia="宋体" w:cs="宋体"/>
          <w:sz w:val="24"/>
          <w:szCs w:val="24"/>
          <w:lang w:eastAsia="zh-CN"/>
        </w:rPr>
      </w:pPr>
    </w:p>
    <w:p>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七、质疑与答复</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在线接收，请质疑人上传质疑函原件扫描件到南阳市公共资源交易系统或南阳市公共资源电子营业执照应用平台并电话通知到项目负责人。</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pPr>
        <w:pStyle w:val="8"/>
        <w:kinsoku/>
        <w:wordWrap w:val="0"/>
        <w:spacing w:line="360" w:lineRule="auto"/>
        <w:ind w:firstLine="488" w:firstLineChars="200"/>
        <w:jc w:val="both"/>
        <w:rPr>
          <w:rFonts w:hint="eastAsia" w:ascii="宋体" w:hAnsi="宋体" w:eastAsia="宋体" w:cs="宋体"/>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pPr>
        <w:kinsoku/>
        <w:wordWrap w:val="0"/>
        <w:spacing w:line="360" w:lineRule="auto"/>
        <w:jc w:val="both"/>
        <w:rPr>
          <w:rFonts w:hint="eastAsia" w:ascii="宋体" w:hAnsi="宋体" w:eastAsia="宋体" w:cs="宋体"/>
          <w:b/>
          <w:bCs/>
          <w:sz w:val="24"/>
          <w:szCs w:val="24"/>
          <w:lang w:eastAsia="zh-CN"/>
        </w:rPr>
      </w:pPr>
    </w:p>
    <w:p>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八、注意事项</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1.如对竞争性磋商文件有疑问，应于响应文件递交截止时间前1工作日向采购人或采购代理机构提出。</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2.供应商必须由法定代表人或授权代表参加磋商，随时接受磋商小组的询问、质疑，并按照磋商小组的要求答复。</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3.供应商自行承担参加竞争性磋商的全部费用。</w:t>
      </w:r>
    </w:p>
    <w:p>
      <w:pPr>
        <w:kinsoku/>
        <w:wordWrap w:val="0"/>
        <w:spacing w:line="360" w:lineRule="auto"/>
        <w:ind w:firstLine="480"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4.本竞争性磋商文件最终解释权归采购代理机构。</w:t>
      </w:r>
    </w:p>
    <w:p>
      <w:pPr>
        <w:kinsoku/>
        <w:wordWrap w:val="0"/>
        <w:spacing w:line="360" w:lineRule="auto"/>
        <w:jc w:val="both"/>
        <w:rPr>
          <w:rFonts w:hint="eastAsia" w:asciiTheme="minorEastAsia" w:hAnsiTheme="minorEastAsia" w:eastAsiaTheme="minorEastAsia" w:cstheme="minorEastAsia"/>
          <w:b/>
          <w:bCs/>
          <w:spacing w:val="2"/>
          <w:position w:val="17"/>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2"/>
          <w:position w:val="17"/>
          <w:sz w:val="24"/>
          <w:szCs w:val="24"/>
          <w:lang w:eastAsia="zh-CN"/>
        </w:rPr>
      </w:pPr>
    </w:p>
    <w:p>
      <w:pPr>
        <w:kinsoku/>
        <w:wordWrap w:val="0"/>
        <w:spacing w:line="360" w:lineRule="auto"/>
        <w:rPr>
          <w:rFonts w:hint="eastAsia" w:asciiTheme="minorEastAsia" w:hAnsiTheme="minorEastAsia" w:eastAsiaTheme="minorEastAsia" w:cstheme="minorEastAsia"/>
          <w:b/>
          <w:bCs/>
          <w:spacing w:val="2"/>
          <w:position w:val="17"/>
          <w:sz w:val="32"/>
          <w:szCs w:val="32"/>
          <w:lang w:eastAsia="zh-CN"/>
        </w:rPr>
      </w:pPr>
    </w:p>
    <w:p>
      <w:pPr>
        <w:kinsoku/>
        <w:wordWrap w:val="0"/>
        <w:spacing w:line="360" w:lineRule="auto"/>
        <w:jc w:val="both"/>
        <w:rPr>
          <w:rFonts w:hint="eastAsia" w:asciiTheme="minorEastAsia" w:hAnsiTheme="minorEastAsia" w:eastAsiaTheme="minorEastAsia" w:cstheme="minorEastAsia"/>
          <w:b/>
          <w:bCs/>
          <w:spacing w:val="2"/>
          <w:position w:val="17"/>
          <w:sz w:val="32"/>
          <w:szCs w:val="32"/>
          <w:lang w:eastAsia="zh-CN"/>
        </w:rPr>
      </w:pPr>
    </w:p>
    <w:p>
      <w:pPr>
        <w:kinsoku/>
        <w:wordWrap w:val="0"/>
        <w:spacing w:line="360" w:lineRule="auto"/>
        <w:jc w:val="center"/>
        <w:rPr>
          <w:rFonts w:hint="eastAsia"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pPr>
        <w:kinsoku/>
        <w:wordWrap w:val="0"/>
        <w:spacing w:line="360" w:lineRule="auto"/>
        <w:ind w:firstLine="430" w:firstLineChars="200"/>
        <w:jc w:val="both"/>
        <w:rPr>
          <w:rFonts w:hint="eastAsia" w:ascii="宋体" w:hAnsi="宋体" w:eastAsia="宋体" w:cs="宋体"/>
          <w:sz w:val="24"/>
          <w:szCs w:val="24"/>
          <w:lang w:eastAsia="zh-CN"/>
        </w:r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pPr>
        <w:kinsoku/>
        <w:wordWrap w:val="0"/>
        <w:spacing w:line="360" w:lineRule="auto"/>
        <w:ind w:firstLine="480" w:firstLineChars="200"/>
        <w:jc w:val="both"/>
        <w:rPr>
          <w:rFonts w:hint="eastAsia" w:ascii="宋体" w:hAnsi="宋体" w:eastAsia="宋体" w:cs="宋体"/>
          <w:sz w:val="24"/>
          <w:szCs w:val="24"/>
          <w:lang w:eastAsia="zh-CN"/>
        </w:rPr>
      </w:pPr>
    </w:p>
    <w:bookmarkEnd w:id="16"/>
    <w:p>
      <w:pPr>
        <w:kinsoku/>
        <w:wordWrap w:val="0"/>
        <w:spacing w:line="360" w:lineRule="auto"/>
        <w:ind w:firstLine="480" w:firstLineChars="200"/>
        <w:jc w:val="both"/>
        <w:rPr>
          <w:rFonts w:hint="eastAsia" w:ascii="宋体" w:hAnsi="宋体" w:eastAsia="宋体" w:cs="宋体"/>
          <w:sz w:val="24"/>
          <w:szCs w:val="24"/>
          <w:lang w:eastAsia="zh-CN"/>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lang w:eastAsia="zh-CN"/>
        </w:rPr>
      </w:pPr>
      <w:bookmarkStart w:id="17" w:name="_Hlk174565366"/>
      <w: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t>第五章 合同草案条款</w:t>
      </w:r>
    </w:p>
    <w:p>
      <w:pPr>
        <w:pStyle w:val="9"/>
        <w:kinsoku/>
        <w:wordWrap w:val="0"/>
        <w:spacing w:line="360" w:lineRule="auto"/>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说明：</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2.合同条款中应规定，乙方完全遵守《中华人民共和国妇女权益保障法》中关于劳动和社会保障权益的有关要求。</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3.对于通过预留采购项目、预留专门采购包等措施签订的采购合同，应当明确标注本合同为中小企业预留合同。</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4.政府采购合同（草案）4.政府采购合同设定预付款支付方式的，预付款支付比例原则上不低于合同金额的50%；对于中小企业，预付款支付比例原则上不低于合同金额的70%。</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7.当采购项目涉及数据中心相关设备、运维服务时，采购需求应当符合《绿色数据中</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心政府采购需求标准（试行）》（财库〔2023〕7号）的有关要求，并在合同中明确对相关指标的验收方式和违约责任。</w:t>
      </w:r>
    </w:p>
    <w:p>
      <w:pPr>
        <w:pStyle w:val="9"/>
        <w:kinsoku/>
        <w:wordWrap w:val="0"/>
        <w:spacing w:line="220" w:lineRule="auto"/>
        <w:ind w:left="9"/>
        <w:jc w:val="both"/>
        <w:rPr>
          <w:rFonts w:hint="eastAsia"/>
          <w:sz w:val="24"/>
          <w:szCs w:val="24"/>
          <w:lang w:eastAsia="zh-CN"/>
        </w:rPr>
      </w:pPr>
    </w:p>
    <w:p>
      <w:pPr>
        <w:kinsoku/>
        <w:wordWrap w:val="0"/>
        <w:spacing w:line="220" w:lineRule="auto"/>
        <w:jc w:val="both"/>
        <w:rPr>
          <w:sz w:val="24"/>
          <w:szCs w:val="24"/>
          <w:lang w:eastAsia="zh-CN"/>
        </w:rPr>
        <w:sectPr>
          <w:headerReference r:id="rId3" w:type="default"/>
          <w:footerReference r:id="rId4" w:type="default"/>
          <w:pgSz w:w="11907" w:h="16840"/>
          <w:pgMar w:top="1440" w:right="1800" w:bottom="1440" w:left="1800" w:header="878" w:footer="886" w:gutter="0"/>
          <w:pgNumType w:start="1"/>
          <w:cols w:space="720" w:num="1"/>
        </w:sectPr>
      </w:pPr>
    </w:p>
    <w:p>
      <w:pPr>
        <w:pStyle w:val="9"/>
        <w:kinsoku/>
        <w:wordWrap w:val="0"/>
        <w:spacing w:before="353" w:line="360" w:lineRule="auto"/>
        <w:ind w:left="2654"/>
        <w:jc w:val="both"/>
        <w:rPr>
          <w:rFonts w:hint="eastAsia" w:ascii="Arial"/>
          <w:sz w:val="21"/>
          <w:lang w:eastAsia="zh-CN"/>
        </w:rPr>
      </w:pPr>
      <w:r>
        <w:rPr>
          <w:spacing w:val="-5"/>
          <w:sz w:val="36"/>
          <w:szCs w:val="36"/>
          <w:lang w:eastAsia="zh-CN"/>
          <w14:textOutline w14:w="2311" w14:cap="flat" w14:cmpd="sng" w14:algn="ctr">
            <w14:solidFill>
              <w14:srgbClr w14:val="000000"/>
            </w14:solidFill>
            <w14:prstDash w14:val="solid"/>
            <w14:miter w14:val="0"/>
          </w14:textOutline>
        </w:rPr>
        <w:t>第六章</w:t>
      </w:r>
      <w:r>
        <w:rPr>
          <w:rFonts w:hint="eastAsia"/>
          <w:spacing w:val="-5"/>
          <w:sz w:val="36"/>
          <w:szCs w:val="36"/>
          <w:lang w:eastAsia="zh-CN"/>
          <w14:textOutline w14:w="2311" w14:cap="flat" w14:cmpd="sng" w14:algn="ctr">
            <w14:solidFill>
              <w14:srgbClr w14:val="000000"/>
            </w14:solidFill>
            <w14:prstDash w14:val="solid"/>
            <w14:miter w14:val="0"/>
          </w14:textOutline>
        </w:rPr>
        <w:t xml:space="preserve"> </w:t>
      </w:r>
      <w:r>
        <w:rPr>
          <w:spacing w:val="-5"/>
          <w:sz w:val="36"/>
          <w:szCs w:val="36"/>
          <w:lang w:eastAsia="zh-CN"/>
          <w14:textOutline w14:w="2311" w14:cap="flat" w14:cmpd="sng" w14:algn="ctr">
            <w14:solidFill>
              <w14:srgbClr w14:val="000000"/>
            </w14:solidFill>
            <w14:prstDash w14:val="solid"/>
            <w14:miter w14:val="0"/>
          </w14:textOutline>
        </w:rPr>
        <w:t>响应文件格式</w:t>
      </w:r>
    </w:p>
    <w:p>
      <w:pPr>
        <w:pStyle w:val="9"/>
        <w:kinsoku/>
        <w:wordWrap w:val="0"/>
        <w:spacing w:line="360" w:lineRule="auto"/>
        <w:jc w:val="both"/>
        <w:rPr>
          <w:rFonts w:hint="eastAsia"/>
          <w:sz w:val="24"/>
          <w:szCs w:val="24"/>
          <w:lang w:eastAsia="zh-CN"/>
        </w:rPr>
      </w:pPr>
      <w:r>
        <w:rPr>
          <w:spacing w:val="-1"/>
          <w:sz w:val="24"/>
          <w:szCs w:val="24"/>
          <w:lang w:eastAsia="zh-CN"/>
          <w14:textOutline w14:w="1536" w14:cap="flat" w14:cmpd="sng" w14:algn="ctr">
            <w14:solidFill>
              <w14:srgbClr w14:val="000000"/>
            </w14:solidFill>
            <w14:prstDash w14:val="solid"/>
            <w14:miter w14:val="0"/>
          </w14:textOutline>
        </w:rPr>
        <w:t>供应商编制文件须知</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1.供应商按照本部分的顺序编制响应文件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pPr>
        <w:pStyle w:val="9"/>
        <w:kinsoku/>
        <w:wordWrap w:val="0"/>
        <w:spacing w:line="360" w:lineRule="auto"/>
        <w:jc w:val="both"/>
        <w:rPr>
          <w:rFonts w:hint="eastAsia"/>
          <w:sz w:val="24"/>
          <w:szCs w:val="24"/>
          <w:lang w:eastAsia="zh-CN"/>
        </w:rPr>
      </w:pPr>
      <w:r>
        <w:rPr>
          <w:rFonts w:hint="eastAsia" w:ascii="Arial" w:hAnsi="Arial" w:cs="Arial"/>
          <w:spacing w:val="-1"/>
          <w:sz w:val="24"/>
          <w:szCs w:val="24"/>
          <w:lang w:eastAsia="zh-CN"/>
        </w:rPr>
        <w:t>2.</w:t>
      </w:r>
      <w:r>
        <w:rPr>
          <w:spacing w:val="-1"/>
          <w:sz w:val="24"/>
          <w:szCs w:val="24"/>
          <w:lang w:eastAsia="zh-CN"/>
        </w:rPr>
        <w:t>全部声明和问题的回答及所附材料必须是真实的、准确的和完整</w:t>
      </w:r>
      <w:r>
        <w:rPr>
          <w:spacing w:val="-2"/>
          <w:sz w:val="24"/>
          <w:szCs w:val="24"/>
          <w:lang w:eastAsia="zh-CN"/>
        </w:rPr>
        <w:t>的。</w:t>
      </w:r>
    </w:p>
    <w:p>
      <w:pPr>
        <w:kinsoku/>
        <w:wordWrap w:val="0"/>
        <w:spacing w:line="219" w:lineRule="auto"/>
        <w:jc w:val="both"/>
        <w:rPr>
          <w:sz w:val="24"/>
          <w:szCs w:val="24"/>
          <w:lang w:eastAsia="zh-CN"/>
        </w:rPr>
        <w:sectPr>
          <w:headerReference r:id="rId5" w:type="default"/>
          <w:footerReference r:id="rId6" w:type="default"/>
          <w:pgSz w:w="11907" w:h="16840"/>
          <w:pgMar w:top="1440" w:right="1800" w:bottom="1440" w:left="1800" w:header="878" w:footer="886" w:gutter="0"/>
          <w:cols w:space="720" w:num="1"/>
        </w:sect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一、响应函格式</w:t>
      </w: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center"/>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响应函</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lang w:eastAsia="zh-CN"/>
        </w:rPr>
        <w:t>：</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根据贵方项目编号为____________的竞争性磋商文件要求，签字代表_________（全名、职务）经正式授权并代表_________（供应商名称、地址）提交包含响应文件组成第1项至第</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项的响应文件电子版本一份。</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据此函，签字代表宣布同意并郑重承诺如下：</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1、我方递交的响应文件中所有的资料均为真实的、准确的，无任何虚假内容。若存在有虚假内容，我方愿意承担法律责任。</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2、我方已详细审查全部竞争性磋商文件，包括修改文件（如有的话）以及全部参考资料和有关附件。我们完全理解并同意放弃对这方面有不明白及误解的权利。</w:t>
      </w:r>
    </w:p>
    <w:p>
      <w:pPr>
        <w:pStyle w:val="9"/>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pPr>
        <w:pStyle w:val="9"/>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4、我方保证，严格遵守</w:t>
      </w:r>
      <w:r>
        <w:rPr>
          <w:rFonts w:hint="eastAsia" w:asciiTheme="minorEastAsia" w:hAnsiTheme="minorEastAsia" w:eastAsiaTheme="minorEastAsia" w:cstheme="minorEastAsia"/>
          <w:sz w:val="24"/>
          <w:szCs w:val="24"/>
          <w:lang w:eastAsia="zh-CN"/>
        </w:rPr>
        <w:t>《中华人民共和国政府采购法》《中华人民共和国政府采购法实施条例》</w:t>
      </w:r>
      <w:r>
        <w:rPr>
          <w:rFonts w:hint="eastAsia"/>
          <w:sz w:val="24"/>
          <w:szCs w:val="24"/>
          <w:lang w:eastAsia="zh-CN"/>
        </w:rPr>
        <w:t>《政府采购竞争性磋商采购方式管理暂行办法》</w:t>
      </w:r>
      <w:r>
        <w:rPr>
          <w:rFonts w:hint="eastAsia" w:asciiTheme="minorEastAsia" w:hAnsiTheme="minorEastAsia" w:eastAsiaTheme="minorEastAsia" w:cstheme="minorEastAsia"/>
          <w:spacing w:val="-3"/>
          <w:sz w:val="24"/>
          <w:szCs w:val="24"/>
          <w:lang w:eastAsia="zh-CN"/>
        </w:rPr>
        <w:t>及其他相关法律法规的规定，若有违反上述法律法规的行为，愿意接受处罚并承担相应的法律责任。</w:t>
      </w:r>
    </w:p>
    <w:p>
      <w:pPr>
        <w:pStyle w:val="9"/>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5、本承诺将成为合同不可分割的一部分，与合同具有同等的法律效力。</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p>
    <w:p>
      <w:pPr>
        <w:kinsoku/>
        <w:wordWrap w:val="0"/>
        <w:spacing w:line="360" w:lineRule="auto"/>
        <w:ind w:firstLine="1170" w:firstLineChars="5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供应商名称（公章）：</w:t>
      </w:r>
    </w:p>
    <w:p>
      <w:pPr>
        <w:kinsoku/>
        <w:wordWrap w:val="0"/>
        <w:spacing w:line="360" w:lineRule="auto"/>
        <w:ind w:firstLine="1170" w:firstLineChars="5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法定代表人或负责人或被授权人签名（或盖章）：</w:t>
      </w:r>
    </w:p>
    <w:p>
      <w:pPr>
        <w:widowControl w:val="0"/>
        <w:kinsoku/>
        <w:wordWrap w:val="0"/>
        <w:spacing w:line="360" w:lineRule="auto"/>
        <w:ind w:firstLine="1200" w:firstLineChars="5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二、法定代表人或负责人授权委托书格式：</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center"/>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法定代表人或负责人授权委托书</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lang w:eastAsia="zh-CN"/>
        </w:rPr>
        <w:t>：</w:t>
      </w:r>
    </w:p>
    <w:p>
      <w:pPr>
        <w:kinsoku/>
        <w:wordWrap w:val="0"/>
        <w:spacing w:line="360" w:lineRule="auto"/>
        <w:ind w:firstLine="702" w:firstLineChars="3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我_________（姓名）系_________（供应商名称）的法定代表人或负责人，现授权委托本单位在职职工（姓名）以我方的名义参加项目的竞争性磋商活动，并代表我方全权办理针对上述项目的具体事务和签署相关文件。我方对被授权人的签名事项负全部责任。</w:t>
      </w:r>
    </w:p>
    <w:p>
      <w:pPr>
        <w:kinsoku/>
        <w:wordWrap w:val="0"/>
        <w:spacing w:line="360" w:lineRule="auto"/>
        <w:ind w:firstLine="48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在撤销授权的书面通知以前，本授权书一直有效。被授权人在授权书有效期内签署的所有文件不因授权的撤销而失效。</w:t>
      </w:r>
    </w:p>
    <w:p>
      <w:pPr>
        <w:kinsoku/>
        <w:wordWrap w:val="0"/>
        <w:spacing w:line="360" w:lineRule="auto"/>
        <w:ind w:firstLine="48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被授权人无转委托权，特此委托。</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ind w:firstLine="2574" w:firstLineChars="11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法定代表人或负责人签名（或盖章）：</w:t>
      </w:r>
    </w:p>
    <w:p>
      <w:pPr>
        <w:kinsoku/>
        <w:wordWrap w:val="0"/>
        <w:spacing w:line="360" w:lineRule="auto"/>
        <w:ind w:firstLine="2574" w:firstLineChars="11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被授权人签名（或盖章）：</w:t>
      </w:r>
    </w:p>
    <w:p>
      <w:pPr>
        <w:kinsoku/>
        <w:wordWrap w:val="0"/>
        <w:spacing w:line="360" w:lineRule="auto"/>
        <w:ind w:firstLine="2574" w:firstLineChars="11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职务：</w:t>
      </w:r>
    </w:p>
    <w:p>
      <w:pPr>
        <w:kinsoku/>
        <w:wordWrap w:val="0"/>
        <w:spacing w:line="360" w:lineRule="auto"/>
        <w:ind w:firstLine="2634" w:firstLineChars="1126"/>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联系电话：</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法定代表人或负责人、被授权人身份证复印件</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ind w:firstLine="6786" w:firstLineChars="2900"/>
        <w:jc w:val="both"/>
        <w:rPr>
          <w:rFonts w:hint="eastAsia" w:asciiTheme="minorEastAsia" w:hAnsiTheme="minorEastAsia" w:eastAsiaTheme="minorEastAsia" w:cstheme="minorEastAsia"/>
          <w:spacing w:val="-3"/>
          <w:sz w:val="24"/>
          <w:szCs w:val="24"/>
          <w:lang w:eastAsia="zh-CN"/>
        </w:rPr>
      </w:pPr>
    </w:p>
    <w:p>
      <w:pPr>
        <w:kinsoku/>
        <w:wordWrap w:val="0"/>
        <w:spacing w:line="360" w:lineRule="auto"/>
        <w:ind w:firstLine="5382" w:firstLineChars="23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供应商公章：</w:t>
      </w:r>
    </w:p>
    <w:p>
      <w:pPr>
        <w:widowControl w:val="0"/>
        <w:kinsoku/>
        <w:wordWrap w:val="0"/>
        <w:spacing w:line="360" w:lineRule="auto"/>
        <w:ind w:firstLine="5280" w:firstLineChars="2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numPr>
          <w:ilvl w:val="0"/>
          <w:numId w:val="4"/>
        </w:num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rPr>
        <w:t>报价一览表格式：</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tbl>
      <w:tblPr>
        <w:tblStyle w:val="23"/>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磋商报价</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供货期</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免费质保期</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bl>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供应商（公章）：法定代表人（负责人）或授权代表（签字）：</w:t>
      </w:r>
    </w:p>
    <w:p>
      <w:pPr>
        <w:widowControl w:val="0"/>
        <w:kinsoku/>
        <w:wordWrap w:val="0"/>
        <w:spacing w:line="360" w:lineRule="auto"/>
        <w:jc w:val="both"/>
        <w:rPr>
          <w:rFonts w:hint="eastAsia"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pPr>
        <w:numPr>
          <w:ilvl w:val="0"/>
          <w:numId w:val="4"/>
        </w:num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pacing w:val="-3"/>
          <w:sz w:val="24"/>
          <w:szCs w:val="24"/>
          <w:lang w:eastAsia="zh-CN"/>
        </w:rPr>
        <w:t>近三年内在经营活动</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中没有重大违法记录的声明等；</w:t>
      </w: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审计或财务报告说明：</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1.提供本单位经会计师事务所出具的审计报告或本公司出具的财务报表或提供银行出具的证明文件。银行出具的证明文件应能说明该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与银行之间业务往来正常，企业信誉良好等。</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提供企业有关财务会计制度。</w:t>
      </w: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近三年内在经营活动中没有重大违法记录的声明（格式）</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（法定代表人或其授权代表）代表</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lang w:eastAsia="zh-CN"/>
        </w:rPr>
        <w:t>公司全称）向本项目的采购人和采购代理机构郑重声明如下：</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我公司近三年来的经营活动中，未因违法经营受到刑事处罚或者责令停产停业、吊销许可证或者执照、较大数额罚款等行政处罚。</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特此声明。</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供应商（盖章）：</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法定代表人或其授权代表（签字）：</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numPr>
          <w:ilvl w:val="0"/>
          <w:numId w:val="4"/>
        </w:num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分项报价一览表、技术偏差表、商务偏差表、</w:t>
      </w:r>
      <w:bookmarkEnd w:id="17"/>
      <w:r>
        <w:rPr>
          <w:rFonts w:hint="eastAsia" w:asciiTheme="minorEastAsia" w:hAnsiTheme="minorEastAsia" w:eastAsiaTheme="minorEastAsia" w:cstheme="minorEastAsia"/>
          <w:b/>
          <w:bCs/>
          <w:spacing w:val="-3"/>
          <w:sz w:val="24"/>
          <w:szCs w:val="24"/>
          <w:lang w:eastAsia="zh-CN"/>
        </w:rPr>
        <w:t>项目实施及技术服务方案等；</w:t>
      </w:r>
    </w:p>
    <w:p>
      <w:pPr>
        <w:spacing w:line="360" w:lineRule="auto"/>
        <w:rPr>
          <w:rFonts w:hint="eastAsia" w:asciiTheme="minorEastAsia" w:hAnsiTheme="minorEastAsia" w:eastAsiaTheme="minorEastAsia" w:cstheme="minorEastAsia"/>
          <w:b/>
          <w:bCs/>
          <w:spacing w:val="-3"/>
          <w:sz w:val="24"/>
          <w:szCs w:val="24"/>
          <w:lang w:eastAsia="zh-CN"/>
        </w:rPr>
      </w:pPr>
      <w:r>
        <w:rPr>
          <w:rFonts w:hint="eastAsia" w:ascii="宋体" w:hAnsi="宋体" w:eastAsia="宋体"/>
          <w:color w:val="000000" w:themeColor="text1"/>
          <w:lang w:eastAsia="zh-CN"/>
          <w14:textFill>
            <w14:solidFill>
              <w14:schemeClr w14:val="tx1"/>
            </w14:solidFill>
          </w14:textFill>
        </w:rPr>
        <w:t>（包括但不限于以下格式或</w:t>
      </w:r>
      <w:r>
        <w:rPr>
          <w:rFonts w:ascii="宋体" w:hAnsi="宋体" w:eastAsia="宋体"/>
          <w:color w:val="000000" w:themeColor="text1"/>
          <w:lang w:eastAsia="zh-CN"/>
          <w14:textFill>
            <w14:solidFill>
              <w14:schemeClr w14:val="tx1"/>
            </w14:solidFill>
          </w14:textFill>
        </w:rPr>
        <w:t>内容</w:t>
      </w:r>
      <w:r>
        <w:rPr>
          <w:rFonts w:hint="eastAsia" w:ascii="宋体" w:hAnsi="宋体" w:eastAsia="宋体"/>
          <w:color w:val="000000" w:themeColor="text1"/>
          <w:lang w:eastAsia="zh-CN"/>
          <w14:textFill>
            <w14:solidFill>
              <w14:schemeClr w14:val="tx1"/>
            </w14:solidFill>
          </w14:textFill>
        </w:rPr>
        <w:t>）</w:t>
      </w:r>
    </w:p>
    <w:bookmarkEnd w:id="1"/>
    <w:p>
      <w:pPr>
        <w:kinsoku/>
        <w:wordWrap w:val="0"/>
        <w:jc w:val="both"/>
        <w:rPr>
          <w:rFonts w:hint="eastAsia" w:asciiTheme="minorEastAsia" w:hAnsiTheme="minorEastAsia" w:eastAsiaTheme="minorEastAsia" w:cstheme="minorEastAsia"/>
          <w:b/>
          <w:sz w:val="24"/>
          <w:szCs w:val="24"/>
          <w:lang w:eastAsia="zh-CN"/>
        </w:rPr>
        <w:sectPr>
          <w:headerReference r:id="rId11" w:type="default"/>
          <w:footerReference r:id="rId12" w:type="default"/>
          <w:pgSz w:w="11907" w:h="16840"/>
          <w:pgMar w:top="1440" w:right="1800" w:bottom="1440" w:left="1800" w:header="851" w:footer="992" w:gutter="0"/>
          <w:cols w:space="720" w:num="1"/>
          <w:docGrid w:linePitch="332" w:charSpace="0"/>
        </w:sectPr>
      </w:pPr>
    </w:p>
    <w:p>
      <w:pPr>
        <w:kinsoku/>
        <w:wordWrap w:val="0"/>
        <w:jc w:val="center"/>
        <w:rPr>
          <w:rFonts w:hint="eastAsia" w:asciiTheme="minorEastAsia" w:hAnsiTheme="minorEastAsia" w:eastAsiaTheme="minorEastAsia" w:cstheme="minorEastAsia"/>
          <w:b/>
          <w:sz w:val="28"/>
          <w:szCs w:val="28"/>
          <w:lang w:eastAsia="zh-CN"/>
        </w:rPr>
      </w:pPr>
      <w:bookmarkStart w:id="18" w:name="_Hlk174565647"/>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23"/>
        <w:tblpPr w:leftFromText="180" w:rightFromText="180" w:vertAnchor="text" w:horzAnchor="page" w:tblpX="1670" w:tblpY="348"/>
        <w:tblOverlap w:val="never"/>
        <w:tblW w:w="14574" w:type="dxa"/>
        <w:tblInd w:w="0" w:type="dxa"/>
        <w:tblLayout w:type="fixed"/>
        <w:tblCellMar>
          <w:top w:w="0" w:type="dxa"/>
          <w:left w:w="108" w:type="dxa"/>
          <w:bottom w:w="0" w:type="dxa"/>
          <w:right w:w="108" w:type="dxa"/>
        </w:tblCellMar>
      </w:tblPr>
      <w:tblGrid>
        <w:gridCol w:w="710"/>
        <w:gridCol w:w="283"/>
        <w:gridCol w:w="958"/>
        <w:gridCol w:w="1276"/>
        <w:gridCol w:w="2977"/>
        <w:gridCol w:w="1559"/>
        <w:gridCol w:w="850"/>
        <w:gridCol w:w="993"/>
        <w:gridCol w:w="993"/>
        <w:gridCol w:w="1275"/>
        <w:gridCol w:w="1418"/>
        <w:gridCol w:w="1282"/>
      </w:tblGrid>
      <w:tr>
        <w:tblPrEx>
          <w:tblCellMar>
            <w:top w:w="0" w:type="dxa"/>
            <w:left w:w="108" w:type="dxa"/>
            <w:bottom w:w="0" w:type="dxa"/>
            <w:right w:w="108" w:type="dxa"/>
          </w:tblCellMar>
        </w:tblPrEx>
        <w:trPr>
          <w:trHeight w:val="522" w:hRule="exact"/>
        </w:trPr>
        <w:tc>
          <w:tcPr>
            <w:tcW w:w="3227" w:type="dxa"/>
            <w:gridSpan w:val="4"/>
            <w:tcBorders>
              <w:top w:val="nil"/>
              <w:left w:val="nil"/>
              <w:bottom w:val="single" w:color="auto" w:sz="4" w:space="0"/>
              <w:right w:val="nil"/>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供应商名称（公章）：</w:t>
            </w:r>
          </w:p>
        </w:tc>
        <w:tc>
          <w:tcPr>
            <w:tcW w:w="4536" w:type="dxa"/>
            <w:gridSpan w:val="2"/>
            <w:tcBorders>
              <w:top w:val="nil"/>
              <w:left w:val="nil"/>
              <w:bottom w:val="single" w:color="auto" w:sz="4" w:space="0"/>
              <w:right w:val="nil"/>
            </w:tcBorders>
            <w:vAlign w:val="center"/>
          </w:tcPr>
          <w:p>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vAlign w:val="center"/>
          </w:tcPr>
          <w:p>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tcPr>
          <w:p>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vAlign w:val="center"/>
          </w:tcPr>
          <w:p>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vAlign w:val="center"/>
          </w:tcPr>
          <w:p>
            <w:pPr>
              <w:kinsoku/>
              <w:wordWrap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282" w:type="dxa"/>
            <w:tcBorders>
              <w:top w:val="nil"/>
              <w:left w:val="nil"/>
              <w:bottom w:val="single" w:color="auto" w:sz="4" w:space="0"/>
              <w:right w:val="nil"/>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p>
        </w:tc>
      </w:tr>
      <w:tr>
        <w:tblPrEx>
          <w:tblCellMar>
            <w:top w:w="0" w:type="dxa"/>
            <w:left w:w="108" w:type="dxa"/>
            <w:bottom w:w="0" w:type="dxa"/>
            <w:right w:w="108" w:type="dxa"/>
          </w:tblCellMar>
        </w:tblPrEx>
        <w:trPr>
          <w:trHeight w:val="688"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gridSpan w:val="2"/>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jc w:val="both"/>
              <w:rPr>
                <w:rFonts w:hint="eastAsia" w:asciiTheme="minorEastAsia" w:hAnsiTheme="minorEastAsia" w:eastAsiaTheme="minorEastAsia" w:cstheme="minorEastAsia"/>
                <w:lang w:eastAsia="zh-CN"/>
              </w:rPr>
            </w:pPr>
          </w:p>
        </w:tc>
        <w:tc>
          <w:tcPr>
            <w:tcW w:w="993"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单价</w:t>
            </w:r>
          </w:p>
        </w:tc>
        <w:tc>
          <w:tcPr>
            <w:tcW w:w="1418"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282"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atLeast"/>
        </w:trPr>
        <w:tc>
          <w:tcPr>
            <w:tcW w:w="993" w:type="dxa"/>
            <w:gridSpan w:val="2"/>
            <w:tcBorders>
              <w:top w:val="single" w:color="auto" w:sz="4" w:space="0"/>
              <w:left w:val="single" w:color="auto" w:sz="4" w:space="0"/>
              <w:bottom w:val="single" w:color="auto" w:sz="4" w:space="0"/>
              <w:right w:val="single" w:color="auto" w:sz="4" w:space="0"/>
            </w:tcBorders>
          </w:tcPr>
          <w:p>
            <w:pPr>
              <w:kinsoku/>
              <w:wordWrap w:val="0"/>
              <w:spacing w:line="360" w:lineRule="auto"/>
              <w:jc w:val="both"/>
              <w:rPr>
                <w:rFonts w:hint="eastAsia" w:asciiTheme="minorEastAsia" w:hAnsiTheme="minorEastAsia" w:eastAsiaTheme="minorEastAsia" w:cstheme="minorEastAsia"/>
                <w:sz w:val="24"/>
                <w:szCs w:val="24"/>
                <w:lang w:eastAsia="zh-CN"/>
              </w:rPr>
            </w:pPr>
          </w:p>
        </w:tc>
        <w:tc>
          <w:tcPr>
            <w:tcW w:w="13581" w:type="dxa"/>
            <w:gridSpan w:val="10"/>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报价金额合计（大写）：</w:t>
            </w:r>
          </w:p>
        </w:tc>
      </w:tr>
    </w:tbl>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ind w:firstLine="240" w:firstLineChars="100"/>
        <w:jc w:val="both"/>
        <w:rPr>
          <w:rFonts w:hint="eastAsia" w:asciiTheme="minorEastAsia" w:hAnsiTheme="minorEastAsia" w:eastAsiaTheme="minorEastAsia" w:cstheme="minorEastAsia"/>
          <w:sz w:val="24"/>
          <w:szCs w:val="24"/>
          <w:lang w:eastAsia="zh-CN"/>
        </w:rPr>
      </w:pPr>
    </w:p>
    <w:bookmarkEnd w:id="18"/>
    <w:p>
      <w:pPr>
        <w:kinsoku/>
        <w:wordWrap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cols w:space="720" w:num="1"/>
          <w:docGrid w:linePitch="332" w:charSpace="0"/>
        </w:sectPr>
      </w:pPr>
    </w:p>
    <w:p>
      <w:pPr>
        <w:kinsoku/>
        <w:wordWrap w:val="0"/>
        <w:spacing w:line="240" w:lineRule="atLeast"/>
        <w:jc w:val="both"/>
        <w:rPr>
          <w:rFonts w:hint="eastAsia" w:asciiTheme="minorEastAsia" w:hAnsiTheme="minorEastAsia" w:eastAsiaTheme="minorEastAsia" w:cstheme="minorEastAsia"/>
          <w:b/>
          <w:bCs/>
          <w:sz w:val="24"/>
          <w:szCs w:val="24"/>
          <w:lang w:eastAsia="zh-CN"/>
        </w:rPr>
      </w:pPr>
    </w:p>
    <w:p>
      <w:pPr>
        <w:kinsoku/>
        <w:wordWrap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pPr>
        <w:kinsoku/>
        <w:wordWrap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采购规格</w:t>
            </w:r>
          </w:p>
        </w:tc>
        <w:tc>
          <w:tcPr>
            <w:tcW w:w="1337"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响应规格</w:t>
            </w:r>
          </w:p>
        </w:tc>
        <w:tc>
          <w:tcPr>
            <w:tcW w:w="1276"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pPr>
        <w:kinsoku/>
        <w:wordWrap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供应商（公章）：法定代表人（负责人）或授权代表（签字）：</w:t>
      </w:r>
    </w:p>
    <w:p>
      <w:pPr>
        <w:widowControl w:val="0"/>
        <w:kinsoku/>
        <w:wordWrap w:val="0"/>
        <w:spacing w:line="360" w:lineRule="auto"/>
        <w:ind w:firstLine="450" w:firstLineChars="200"/>
        <w:jc w:val="both"/>
        <w:rPr>
          <w:rFonts w:hint="eastAsia"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b/>
          <w:sz w:val="24"/>
          <w:szCs w:val="24"/>
          <w:lang w:eastAsia="zh-CN"/>
        </w:rPr>
      </w:pPr>
    </w:p>
    <w:p>
      <w:pPr>
        <w:kinsoku/>
        <w:wordWrap w:val="0"/>
        <w:spacing w:line="360" w:lineRule="auto"/>
        <w:jc w:val="both"/>
        <w:rPr>
          <w:rFonts w:hint="eastAsia" w:asciiTheme="minorEastAsia" w:hAnsiTheme="minorEastAsia" w:eastAsiaTheme="minorEastAsia" w:cstheme="minorEastAsia"/>
          <w:b/>
          <w:sz w:val="24"/>
          <w:szCs w:val="24"/>
          <w:lang w:eastAsia="zh-CN"/>
        </w:rPr>
      </w:pPr>
    </w:p>
    <w:p>
      <w:pPr>
        <w:kinsoku/>
        <w:wordWrap w:val="0"/>
        <w:spacing w:line="360" w:lineRule="auto"/>
        <w:jc w:val="both"/>
        <w:rPr>
          <w:rFonts w:hint="eastAsia" w:asciiTheme="minorEastAsia" w:hAnsiTheme="minorEastAsia" w:eastAsiaTheme="minorEastAsia" w:cstheme="minorEastAsia"/>
          <w:b/>
          <w:sz w:val="24"/>
          <w:szCs w:val="24"/>
          <w:lang w:eastAsia="zh-CN"/>
        </w:rPr>
      </w:pPr>
    </w:p>
    <w:p>
      <w:pPr>
        <w:kinsoku/>
        <w:wordWrap w:val="0"/>
        <w:ind w:firstLine="482"/>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spacing w:line="240" w:lineRule="atLeas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商务偏差表</w:t>
      </w: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                                   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采购文件</w:t>
            </w: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w:t>
            </w: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6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bl>
    <w:p>
      <w:pPr>
        <w:kinsoku/>
        <w:wordWrap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lang w:eastAsia="zh-CN"/>
        </w:rPr>
        <w:t>供应商</w:t>
      </w:r>
      <w:r>
        <w:rPr>
          <w:rFonts w:hint="eastAsia" w:asciiTheme="minorEastAsia" w:hAnsiTheme="minorEastAsia" w:eastAsiaTheme="minorEastAsia" w:cstheme="minorEastAsia"/>
          <w:b/>
          <w:sz w:val="24"/>
          <w:szCs w:val="24"/>
          <w:lang w:eastAsia="zh-CN"/>
        </w:rPr>
        <w:t>（公章）：法定代表人（负责人）或授权代表（签字）：</w:t>
      </w:r>
    </w:p>
    <w:p>
      <w:pPr>
        <w:widowControl w:val="0"/>
        <w:kinsoku/>
        <w:wordWrap w:val="0"/>
        <w:spacing w:line="360" w:lineRule="auto"/>
        <w:jc w:val="both"/>
        <w:rPr>
          <w:rFonts w:hint="eastAsia"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六、供应商诚信承诺书</w:t>
      </w:r>
    </w:p>
    <w:p>
      <w:pPr>
        <w:kinsoku/>
        <w:wordWrap w:val="0"/>
        <w:spacing w:line="360" w:lineRule="auto"/>
        <w:jc w:val="both"/>
        <w:rPr>
          <w:rFonts w:hint="eastAsia" w:asciiTheme="minorEastAsia" w:hAnsiTheme="minorEastAsia" w:eastAsiaTheme="minorEastAsia" w:cstheme="minorEastAsia"/>
          <w:b/>
          <w:bCs/>
          <w:sz w:val="24"/>
          <w:szCs w:val="24"/>
          <w:lang w:eastAsia="zh-CN"/>
        </w:rPr>
      </w:pPr>
    </w:p>
    <w:p>
      <w:pPr>
        <w:pStyle w:val="9"/>
        <w:kinsoku/>
        <w:wordWrap w:val="0"/>
        <w:spacing w:line="360" w:lineRule="auto"/>
        <w:jc w:val="cente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诚信承诺书</w:t>
      </w:r>
    </w:p>
    <w:p>
      <w:pPr>
        <w:kinsoku/>
        <w:wordWrap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ind w:firstLine="1562" w:firstLineChars="651"/>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承诺人法定地址：</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授权代表（签字或盖章）：</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电话：</w:t>
      </w:r>
    </w:p>
    <w:p>
      <w:pPr>
        <w:widowControl w:val="0"/>
        <w:kinsoku/>
        <w:wordWrap w:val="0"/>
        <w:spacing w:line="360" w:lineRule="auto"/>
        <w:ind w:firstLine="1568" w:firstLineChars="700"/>
        <w:jc w:val="both"/>
        <w:rPr>
          <w:rFonts w:hint="eastAsia"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bCs/>
          <w:spacing w:val="-3"/>
          <w:sz w:val="24"/>
          <w:szCs w:val="24"/>
          <w:lang w:eastAsia="zh-CN"/>
        </w:rPr>
        <w:t>七、供应商认为需要的其他文件资料</w:t>
      </w:r>
    </w:p>
    <w:p>
      <w:pPr>
        <w:pStyle w:val="9"/>
        <w:kinsoku/>
        <w:wordWrap w:val="0"/>
        <w:spacing w:line="360" w:lineRule="auto"/>
        <w:jc w:val="center"/>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t>中小企业声明函（货物）格式</w:t>
      </w: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50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0"/>
          <w:sz w:val="24"/>
          <w:szCs w:val="24"/>
          <w:lang w:eastAsia="zh-CN"/>
        </w:rPr>
        <w:t>库﹝2020﹞46号）的规定，本公司（联合体）参加（单位名称）的（项目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pacing w:val="14"/>
          <w:sz w:val="24"/>
          <w:szCs w:val="24"/>
          <w:lang w:eastAsia="zh-CN"/>
        </w:rPr>
        <w:t>采购活动，</w:t>
      </w:r>
      <w:r>
        <w:rPr>
          <w:rFonts w:hint="eastAsia" w:asciiTheme="minorEastAsia" w:hAnsiTheme="minorEastAsia" w:eastAsiaTheme="minorEastAsia" w:cstheme="minorEastAsia"/>
          <w:spacing w:val="-86"/>
          <w:sz w:val="24"/>
          <w:szCs w:val="24"/>
          <w:lang w:eastAsia="zh-CN"/>
        </w:rPr>
        <w:t>提</w:t>
      </w:r>
      <w:r>
        <w:rPr>
          <w:rFonts w:hint="eastAsia" w:asciiTheme="minorEastAsia" w:hAnsiTheme="minorEastAsia" w:eastAsiaTheme="minorEastAsia" w:cstheme="minorEastAsia"/>
          <w:spacing w:val="14"/>
          <w:sz w:val="24"/>
          <w:szCs w:val="24"/>
          <w:lang w:eastAsia="zh-CN"/>
        </w:rPr>
        <w:t>供的货物全部由符合政策要求的</w:t>
      </w:r>
      <w:r>
        <w:rPr>
          <w:rFonts w:hint="eastAsia" w:asciiTheme="minorEastAsia" w:hAnsiTheme="minorEastAsia" w:eastAsiaTheme="minorEastAsia" w:cstheme="minorEastAsia"/>
          <w:spacing w:val="13"/>
          <w:sz w:val="24"/>
          <w:szCs w:val="24"/>
          <w:lang w:eastAsia="zh-CN"/>
        </w:rPr>
        <w:t>中小企业制造。相关企业（含联合体</w:t>
      </w:r>
      <w:r>
        <w:rPr>
          <w:rFonts w:hint="eastAsia" w:asciiTheme="minorEastAsia" w:hAnsiTheme="minorEastAsia" w:eastAsiaTheme="minorEastAsia" w:cstheme="minorEastAsia"/>
          <w:spacing w:val="8"/>
          <w:sz w:val="24"/>
          <w:szCs w:val="24"/>
          <w:lang w:eastAsia="zh-CN"/>
        </w:rPr>
        <w:t>中的中小企业、签订分包意向协议的中小企业）的具体情况如下：</w:t>
      </w:r>
    </w:p>
    <w:p>
      <w:pPr>
        <w:pStyle w:val="9"/>
        <w:kinsoku/>
        <w:wordWrap w:val="0"/>
        <w:spacing w:line="360" w:lineRule="auto"/>
        <w:ind w:firstLine="5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w:t>
      </w:r>
      <w:r>
        <w:rPr>
          <w:rFonts w:hint="eastAsia" w:asciiTheme="minorEastAsia" w:hAnsiTheme="minorEastAsia" w:eastAsiaTheme="minorEastAsia" w:cstheme="minorEastAsia"/>
          <w:spacing w:val="7"/>
          <w:sz w:val="24"/>
          <w:szCs w:val="24"/>
          <w:u w:val="single"/>
          <w:lang w:eastAsia="zh-CN"/>
        </w:rPr>
        <w:t>（标的名称</w:t>
      </w:r>
      <w:r>
        <w:rPr>
          <w:rFonts w:hint="eastAsia" w:asciiTheme="minorEastAsia" w:hAnsiTheme="minorEastAsia" w:eastAsiaTheme="minorEastAsia" w:cstheme="minorEastAsia"/>
          <w:spacing w:val="-41"/>
          <w:sz w:val="24"/>
          <w:szCs w:val="24"/>
          <w:u w:val="single"/>
          <w:lang w:eastAsia="zh-CN"/>
        </w:rPr>
        <w:t>）</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pacing w:val="7"/>
          <w:sz w:val="24"/>
          <w:szCs w:val="24"/>
          <w:lang w:eastAsia="zh-CN"/>
        </w:rPr>
        <w:t>属于</w:t>
      </w:r>
      <w:r>
        <w:rPr>
          <w:rFonts w:hint="eastAsia" w:asciiTheme="minorEastAsia" w:hAnsiTheme="minorEastAsia" w:eastAsiaTheme="minorEastAsia" w:cstheme="minorEastAsia"/>
          <w:spacing w:val="7"/>
          <w:sz w:val="24"/>
          <w:szCs w:val="24"/>
          <w:u w:val="single"/>
          <w:lang w:eastAsia="zh-CN"/>
        </w:rPr>
        <w:t>（采购文件中明确的所属行业）</w:t>
      </w:r>
      <w:r>
        <w:rPr>
          <w:rFonts w:hint="eastAsia" w:asciiTheme="minorEastAsia" w:hAnsiTheme="minorEastAsia" w:eastAsiaTheme="minorEastAsia" w:cstheme="minorEastAsia"/>
          <w:spacing w:val="7"/>
          <w:sz w:val="24"/>
          <w:szCs w:val="24"/>
          <w:lang w:eastAsia="zh-CN"/>
        </w:rPr>
        <w:t>行业；制造商为</w:t>
      </w:r>
      <w:r>
        <w:rPr>
          <w:rFonts w:hint="eastAsia" w:asciiTheme="minorEastAsia" w:hAnsiTheme="minorEastAsia" w:eastAsiaTheme="minorEastAsia" w:cstheme="minorEastAsia"/>
          <w:spacing w:val="7"/>
          <w:sz w:val="24"/>
          <w:szCs w:val="24"/>
          <w:u w:val="single"/>
          <w:lang w:eastAsia="zh-CN"/>
        </w:rPr>
        <w:t>（企业名</w:t>
      </w:r>
      <w:r>
        <w:rPr>
          <w:rFonts w:hint="eastAsia" w:asciiTheme="minorEastAsia" w:hAnsiTheme="minorEastAsia" w:eastAsiaTheme="minorEastAsia" w:cstheme="minorEastAsia"/>
          <w:spacing w:val="3"/>
          <w:sz w:val="24"/>
          <w:szCs w:val="24"/>
          <w:u w:val="single"/>
          <w:lang w:eastAsia="zh-CN"/>
        </w:rPr>
        <w:t>称</w:t>
      </w:r>
      <w:r>
        <w:rPr>
          <w:rFonts w:hint="eastAsia" w:asciiTheme="minorEastAsia" w:hAnsiTheme="minorEastAsia" w:eastAsiaTheme="minorEastAsia" w:cstheme="minorEastAsia"/>
          <w:spacing w:val="-40"/>
          <w:sz w:val="24"/>
          <w:szCs w:val="24"/>
          <w:u w:val="single"/>
          <w:lang w:eastAsia="zh-CN"/>
        </w:rPr>
        <w:t>）</w:t>
      </w:r>
      <w:r>
        <w:rPr>
          <w:rFonts w:hint="eastAsia" w:asciiTheme="minorEastAsia" w:hAnsiTheme="minorEastAsia" w:eastAsiaTheme="minorEastAsia" w:cstheme="minorEastAsia"/>
          <w:spacing w:val="-40"/>
          <w:sz w:val="24"/>
          <w:szCs w:val="24"/>
          <w:lang w:eastAsia="zh-CN"/>
        </w:rPr>
        <w:t>，</w:t>
      </w:r>
      <w:r>
        <w:rPr>
          <w:rFonts w:hint="eastAsia" w:asciiTheme="minorEastAsia" w:hAnsiTheme="minorEastAsia" w:eastAsiaTheme="minorEastAsia" w:cstheme="minorEastAsia"/>
          <w:spacing w:val="3"/>
          <w:sz w:val="24"/>
          <w:szCs w:val="24"/>
          <w:lang w:eastAsia="zh-CN"/>
        </w:rPr>
        <w:t>从业人员</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人，</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，属于</w:t>
      </w:r>
      <w:r>
        <w:rPr>
          <w:rFonts w:hint="eastAsia" w:asciiTheme="minorEastAsia" w:hAnsiTheme="minorEastAsia" w:eastAsiaTheme="minorEastAsia" w:cstheme="minorEastAsia"/>
          <w:spacing w:val="2"/>
          <w:sz w:val="24"/>
          <w:szCs w:val="24"/>
          <w:u w:val="single"/>
          <w:lang w:eastAsia="zh-CN"/>
        </w:rPr>
        <w:t>（中型企业、小型企业、微型企业</w:t>
      </w:r>
      <w:r>
        <w:rPr>
          <w:rFonts w:hint="eastAsia" w:asciiTheme="minorEastAsia" w:hAnsiTheme="minorEastAsia" w:eastAsiaTheme="minorEastAsia" w:cstheme="minorEastAsia"/>
          <w:spacing w:val="-51"/>
          <w:sz w:val="24"/>
          <w:szCs w:val="24"/>
          <w:u w:val="single"/>
          <w:lang w:eastAsia="zh-CN"/>
        </w:rPr>
        <w:t>）</w:t>
      </w:r>
      <w:r>
        <w:rPr>
          <w:rFonts w:hint="eastAsia" w:asciiTheme="minorEastAsia" w:hAnsiTheme="minorEastAsia" w:eastAsiaTheme="minorEastAsia" w:cstheme="minorEastAsia"/>
          <w:spacing w:val="-51"/>
          <w:sz w:val="24"/>
          <w:szCs w:val="24"/>
          <w:lang w:eastAsia="zh-CN"/>
        </w:rPr>
        <w:t>；</w:t>
      </w:r>
    </w:p>
    <w:p>
      <w:pPr>
        <w:pStyle w:val="9"/>
        <w:kinsoku/>
        <w:wordWrap w:val="0"/>
        <w:spacing w:line="360" w:lineRule="auto"/>
        <w:ind w:firstLine="51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w:t>
      </w:r>
      <w:r>
        <w:rPr>
          <w:rFonts w:hint="eastAsia" w:asciiTheme="minorEastAsia" w:hAnsiTheme="minorEastAsia" w:eastAsiaTheme="minorEastAsia" w:cstheme="minorEastAsia"/>
          <w:spacing w:val="7"/>
          <w:sz w:val="24"/>
          <w:szCs w:val="24"/>
          <w:u w:val="single"/>
          <w:lang w:eastAsia="zh-CN"/>
        </w:rPr>
        <w:t>（标的名称</w:t>
      </w:r>
      <w:r>
        <w:rPr>
          <w:rFonts w:hint="eastAsia" w:asciiTheme="minorEastAsia" w:hAnsiTheme="minorEastAsia" w:eastAsiaTheme="minorEastAsia" w:cstheme="minorEastAsia"/>
          <w:spacing w:val="-43"/>
          <w:sz w:val="24"/>
          <w:szCs w:val="24"/>
          <w:u w:val="single"/>
          <w:lang w:eastAsia="zh-CN"/>
        </w:rPr>
        <w:t>）</w:t>
      </w:r>
      <w:r>
        <w:rPr>
          <w:rFonts w:hint="eastAsia" w:asciiTheme="minorEastAsia" w:hAnsiTheme="minorEastAsia" w:eastAsiaTheme="minorEastAsia" w:cstheme="minorEastAsia"/>
          <w:spacing w:val="-43"/>
          <w:sz w:val="24"/>
          <w:szCs w:val="24"/>
          <w:lang w:eastAsia="zh-CN"/>
        </w:rPr>
        <w:t>，</w:t>
      </w:r>
      <w:r>
        <w:rPr>
          <w:rFonts w:hint="eastAsia" w:asciiTheme="minorEastAsia" w:hAnsiTheme="minorEastAsia" w:eastAsiaTheme="minorEastAsia" w:cstheme="minorEastAsia"/>
          <w:spacing w:val="7"/>
          <w:sz w:val="24"/>
          <w:szCs w:val="24"/>
          <w:lang w:eastAsia="zh-CN"/>
        </w:rPr>
        <w:t>属于</w:t>
      </w:r>
      <w:r>
        <w:rPr>
          <w:rFonts w:hint="eastAsia" w:asciiTheme="minorEastAsia" w:hAnsiTheme="minorEastAsia" w:eastAsiaTheme="minorEastAsia" w:cstheme="minorEastAsia"/>
          <w:spacing w:val="7"/>
          <w:sz w:val="24"/>
          <w:szCs w:val="24"/>
          <w:u w:val="single"/>
          <w:lang w:eastAsia="zh-CN"/>
        </w:rPr>
        <w:t>（采购文件中明确的所属行业）</w:t>
      </w:r>
      <w:r>
        <w:rPr>
          <w:rFonts w:hint="eastAsia" w:asciiTheme="minorEastAsia" w:hAnsiTheme="minorEastAsia" w:eastAsiaTheme="minorEastAsia" w:cstheme="minorEastAsia"/>
          <w:spacing w:val="7"/>
          <w:sz w:val="24"/>
          <w:szCs w:val="24"/>
          <w:lang w:eastAsia="zh-CN"/>
        </w:rPr>
        <w:t>行业；制造商为</w:t>
      </w:r>
      <w:r>
        <w:rPr>
          <w:rFonts w:hint="eastAsia" w:asciiTheme="minorEastAsia" w:hAnsiTheme="minorEastAsia" w:eastAsiaTheme="minorEastAsia" w:cstheme="minorEastAsia"/>
          <w:spacing w:val="7"/>
          <w:sz w:val="24"/>
          <w:szCs w:val="24"/>
          <w:u w:val="single"/>
          <w:lang w:eastAsia="zh-CN"/>
        </w:rPr>
        <w:t>（企业名</w:t>
      </w:r>
      <w:r>
        <w:rPr>
          <w:rFonts w:hint="eastAsia" w:asciiTheme="minorEastAsia" w:hAnsiTheme="minorEastAsia" w:eastAsiaTheme="minorEastAsia" w:cstheme="minorEastAsia"/>
          <w:spacing w:val="-5"/>
          <w:sz w:val="24"/>
          <w:szCs w:val="24"/>
          <w:u w:val="single"/>
          <w:lang w:eastAsia="zh-CN"/>
        </w:rPr>
        <w:t>称</w:t>
      </w:r>
      <w:r>
        <w:rPr>
          <w:rFonts w:hint="eastAsia" w:asciiTheme="minorEastAsia" w:hAnsiTheme="minorEastAsia" w:eastAsiaTheme="minorEastAsia" w:cstheme="minorEastAsia"/>
          <w:spacing w:val="-59"/>
          <w:w w:val="94"/>
          <w:sz w:val="24"/>
          <w:szCs w:val="24"/>
          <w:u w:val="single"/>
          <w:lang w:eastAsia="zh-CN"/>
        </w:rPr>
        <w:t>）</w:t>
      </w:r>
      <w:r>
        <w:rPr>
          <w:rFonts w:hint="eastAsia" w:asciiTheme="minorEastAsia" w:hAnsiTheme="minorEastAsia" w:eastAsiaTheme="minorEastAsia" w:cstheme="minorEastAsia"/>
          <w:spacing w:val="-59"/>
          <w:w w:val="94"/>
          <w:sz w:val="24"/>
          <w:szCs w:val="24"/>
          <w:lang w:eastAsia="zh-CN"/>
        </w:rPr>
        <w:t>，</w:t>
      </w:r>
      <w:r>
        <w:rPr>
          <w:rFonts w:hint="eastAsia" w:asciiTheme="minorEastAsia" w:hAnsiTheme="minorEastAsia" w:eastAsiaTheme="minorEastAsia" w:cstheme="minorEastAsia"/>
          <w:spacing w:val="-5"/>
          <w:sz w:val="24"/>
          <w:szCs w:val="24"/>
          <w:lang w:eastAsia="zh-CN"/>
        </w:rPr>
        <w:t>从业人员</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5"/>
          <w:sz w:val="24"/>
          <w:szCs w:val="24"/>
          <w:lang w:eastAsia="zh-CN"/>
        </w:rPr>
        <w:t>人，营业收入为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5"/>
          <w:sz w:val="24"/>
          <w:szCs w:val="24"/>
          <w:lang w:eastAsia="zh-CN"/>
        </w:rPr>
        <w:t>万元，资产总额为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5"/>
          <w:sz w:val="24"/>
          <w:szCs w:val="24"/>
          <w:lang w:eastAsia="zh-CN"/>
        </w:rPr>
        <w:t>万元，属于</w:t>
      </w:r>
      <w:r>
        <w:rPr>
          <w:rFonts w:hint="eastAsia" w:asciiTheme="minorEastAsia" w:hAnsiTheme="minorEastAsia" w:eastAsiaTheme="minorEastAsia" w:cstheme="minorEastAsia"/>
          <w:spacing w:val="-5"/>
          <w:sz w:val="24"/>
          <w:szCs w:val="24"/>
          <w:u w:val="single"/>
          <w:lang w:eastAsia="zh-CN"/>
        </w:rPr>
        <w:t>（中</w:t>
      </w:r>
      <w:r>
        <w:rPr>
          <w:rFonts w:hint="eastAsia" w:asciiTheme="minorEastAsia" w:hAnsiTheme="minorEastAsia" w:eastAsiaTheme="minorEastAsia" w:cstheme="minorEastAsia"/>
          <w:spacing w:val="9"/>
          <w:sz w:val="24"/>
          <w:szCs w:val="24"/>
          <w:u w:val="single"/>
          <w:lang w:eastAsia="zh-CN"/>
        </w:rPr>
        <w:t>型企业、小型企业、微型企业</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pPr>
        <w:pStyle w:val="9"/>
        <w:kinsoku/>
        <w:wordWrap w:val="0"/>
        <w:spacing w:line="360" w:lineRule="auto"/>
        <w:ind w:firstLine="496"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以上企业，不属于大企业的分支机构，不存在控股股东为大企业的情形，也不存在与大企业的负责人为同一人的情形。</w:t>
      </w:r>
    </w:p>
    <w:p>
      <w:pPr>
        <w:pStyle w:val="9"/>
        <w:kinsoku/>
        <w:wordWrap w:val="0"/>
        <w:spacing w:line="360" w:lineRule="auto"/>
        <w:ind w:firstLine="496"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本企业对上述声明内容的真实性负责。如有虚假，将依法承担相应责任。</w:t>
      </w:r>
    </w:p>
    <w:p>
      <w:pPr>
        <w:pStyle w:val="9"/>
        <w:kinsoku/>
        <w:wordWrap w:val="0"/>
        <w:spacing w:line="360" w:lineRule="auto"/>
        <w:ind w:firstLine="496" w:firstLineChars="200"/>
        <w:jc w:val="both"/>
        <w:rPr>
          <w:rFonts w:hint="eastAsia" w:asciiTheme="minorEastAsia" w:hAnsiTheme="minorEastAsia" w:eastAsiaTheme="minorEastAsia" w:cstheme="minorEastAsia"/>
          <w:spacing w:val="4"/>
          <w:sz w:val="24"/>
          <w:szCs w:val="24"/>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4444" w:firstLineChars="2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p>
    <w:p>
      <w:pPr>
        <w:kinsoku/>
        <w:wordWrap w:val="0"/>
        <w:spacing w:line="360" w:lineRule="auto"/>
        <w:ind w:firstLine="4560" w:firstLineChars="19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pStyle w:val="9"/>
        <w:kinsoku/>
        <w:wordWrap w:val="0"/>
        <w:spacing w:line="360" w:lineRule="auto"/>
        <w:ind w:firstLine="10080" w:firstLineChars="4200"/>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jc w:val="both"/>
        <w:rPr>
          <w:rFonts w:hint="eastAsia"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pPr>
        <w:pStyle w:val="9"/>
        <w:kinsoku/>
        <w:wordWrap w:val="0"/>
        <w:spacing w:line="360" w:lineRule="auto"/>
        <w:jc w:val="center"/>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t>中小企业声明函（工程、服务）格式</w:t>
      </w: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50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pacing w:val="10"/>
          <w:sz w:val="24"/>
          <w:szCs w:val="24"/>
          <w:lang w:eastAsia="zh-CN"/>
        </w:rPr>
        <w:t>库﹝2020﹞46 号）</w:t>
      </w:r>
      <w:r>
        <w:rPr>
          <w:rFonts w:hint="eastAsia" w:asciiTheme="minorEastAsia" w:hAnsiTheme="minorEastAsia" w:eastAsiaTheme="minorEastAsia" w:cstheme="minorEastAsia"/>
          <w:spacing w:val="-66"/>
          <w:sz w:val="24"/>
          <w:szCs w:val="24"/>
          <w:lang w:eastAsia="zh-CN"/>
        </w:rPr>
        <w:t xml:space="preserve"> </w:t>
      </w:r>
      <w:r>
        <w:rPr>
          <w:rFonts w:hint="eastAsia" w:asciiTheme="minorEastAsia" w:hAnsiTheme="minorEastAsia" w:eastAsiaTheme="minorEastAsia" w:cstheme="minorEastAsia"/>
          <w:spacing w:val="10"/>
          <w:sz w:val="24"/>
          <w:szCs w:val="24"/>
          <w:lang w:eastAsia="zh-CN"/>
        </w:rPr>
        <w:t>的规定，本公司（联合体）参加（单位名称）</w:t>
      </w:r>
      <w:r>
        <w:rPr>
          <w:rFonts w:hint="eastAsia" w:asciiTheme="minorEastAsia" w:hAnsiTheme="minorEastAsia" w:eastAsiaTheme="minorEastAsia" w:cstheme="minorEastAsia"/>
          <w:spacing w:val="-67"/>
          <w:sz w:val="24"/>
          <w:szCs w:val="24"/>
          <w:lang w:eastAsia="zh-CN"/>
        </w:rPr>
        <w:t xml:space="preserve"> </w:t>
      </w:r>
      <w:r>
        <w:rPr>
          <w:rFonts w:hint="eastAsia" w:asciiTheme="minorEastAsia" w:hAnsiTheme="minorEastAsia" w:eastAsiaTheme="minorEastAsia" w:cstheme="minorEastAsia"/>
          <w:spacing w:val="10"/>
          <w:sz w:val="24"/>
          <w:szCs w:val="24"/>
          <w:lang w:eastAsia="zh-CN"/>
        </w:rPr>
        <w:t>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2"/>
          <w:sz w:val="24"/>
          <w:szCs w:val="24"/>
          <w:lang w:eastAsia="zh-CN"/>
        </w:rPr>
        <w:t>采购活动，工程的施工单位全部为符合政策要求</w:t>
      </w:r>
      <w:r>
        <w:rPr>
          <w:rFonts w:hint="eastAsia" w:asciiTheme="minorEastAsia" w:hAnsiTheme="minorEastAsia" w:eastAsiaTheme="minorEastAsia" w:cstheme="minorEastAsia"/>
          <w:spacing w:val="11"/>
          <w:sz w:val="24"/>
          <w:szCs w:val="24"/>
          <w:lang w:eastAsia="zh-CN"/>
        </w:rPr>
        <w:t>的中小企业（或者：服务全部由符</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5"/>
          <w:sz w:val="24"/>
          <w:szCs w:val="24"/>
          <w:lang w:eastAsia="zh-CN"/>
        </w:rPr>
        <w:t>合政策要求的中小企业承接）。相关企业（含联合体中的中小企业</w:t>
      </w:r>
      <w:r>
        <w:rPr>
          <w:rFonts w:hint="eastAsia" w:asciiTheme="minorEastAsia" w:hAnsiTheme="minorEastAsia" w:eastAsiaTheme="minorEastAsia" w:cstheme="minorEastAsia"/>
          <w:spacing w:val="4"/>
          <w:sz w:val="24"/>
          <w:szCs w:val="24"/>
          <w:lang w:eastAsia="zh-CN"/>
        </w:rPr>
        <w:t>、签订分包意向协</w:t>
      </w:r>
      <w:r>
        <w:rPr>
          <w:rFonts w:hint="eastAsia" w:asciiTheme="minorEastAsia" w:hAnsiTheme="minorEastAsia" w:eastAsiaTheme="minorEastAsia" w:cstheme="minorEastAsia"/>
          <w:spacing w:val="6"/>
          <w:sz w:val="24"/>
          <w:szCs w:val="24"/>
          <w:lang w:eastAsia="zh-CN"/>
        </w:rPr>
        <w:t>议的中小企业）</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6"/>
          <w:sz w:val="24"/>
          <w:szCs w:val="24"/>
          <w:lang w:eastAsia="zh-CN"/>
        </w:rPr>
        <w:t>的具体情况如下：</w:t>
      </w:r>
    </w:p>
    <w:p>
      <w:pPr>
        <w:pStyle w:val="9"/>
        <w:kinsoku/>
        <w:wordWrap w:val="0"/>
        <w:spacing w:line="360" w:lineRule="auto"/>
        <w:ind w:firstLine="5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1.</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w:t>
      </w:r>
      <w:r>
        <w:rPr>
          <w:rFonts w:hint="eastAsia" w:asciiTheme="minorEastAsia" w:hAnsiTheme="minorEastAsia" w:eastAsiaTheme="minorEastAsia" w:cstheme="minorEastAsia"/>
          <w:spacing w:val="7"/>
          <w:sz w:val="24"/>
          <w:szCs w:val="24"/>
          <w:lang w:eastAsia="zh-CN"/>
        </w:rPr>
        <w:t>（承接）企业</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万元</w:t>
      </w:r>
      <w:r>
        <w:rPr>
          <w:rFonts w:hint="eastAsia" w:asciiTheme="minorEastAsia" w:hAnsiTheme="minorEastAsia" w:eastAsiaTheme="minorEastAsia" w:cstheme="minorEastAsia"/>
          <w:spacing w:val="-26"/>
          <w:sz w:val="24"/>
          <w:szCs w:val="24"/>
          <w:lang w:eastAsia="zh-CN"/>
        </w:rPr>
        <w:t xml:space="preserve"> </w:t>
      </w:r>
      <w:r>
        <w:rPr>
          <w:rFonts w:hint="eastAsia" w:asciiTheme="minorEastAsia" w:hAnsiTheme="minorEastAsia" w:eastAsiaTheme="minorEastAsia" w:cstheme="minorEastAsia"/>
          <w:spacing w:val="8"/>
          <w:position w:val="6"/>
          <w:sz w:val="16"/>
          <w:szCs w:val="16"/>
          <w:lang w:eastAsia="zh-CN"/>
        </w:rPr>
        <w:t>1</w:t>
      </w:r>
      <w:r>
        <w:rPr>
          <w:rFonts w:hint="eastAsia" w:asciiTheme="minorEastAsia" w:hAnsiTheme="minorEastAsia" w:eastAsiaTheme="minorEastAsia" w:cstheme="minorEastAsia"/>
          <w:spacing w:val="-12"/>
          <w:position w:val="6"/>
          <w:sz w:val="16"/>
          <w:szCs w:val="16"/>
          <w:lang w:eastAsia="zh-CN"/>
        </w:rPr>
        <w:t xml:space="preserve"> </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（中型企业、小型企业、微型企业</w:t>
      </w:r>
      <w:r>
        <w:rPr>
          <w:rFonts w:hint="eastAsia" w:asciiTheme="minorEastAsia" w:hAnsiTheme="minorEastAsia" w:eastAsiaTheme="minorEastAsia" w:cstheme="minorEastAsia"/>
          <w:spacing w:val="-50"/>
          <w:sz w:val="24"/>
          <w:szCs w:val="24"/>
          <w:u w:val="single"/>
          <w:lang w:eastAsia="zh-CN"/>
        </w:rPr>
        <w:t>）</w:t>
      </w:r>
      <w:r>
        <w:rPr>
          <w:rFonts w:hint="eastAsia" w:asciiTheme="minorEastAsia" w:hAnsiTheme="minorEastAsia" w:eastAsiaTheme="minorEastAsia" w:cstheme="minorEastAsia"/>
          <w:spacing w:val="-50"/>
          <w:sz w:val="24"/>
          <w:szCs w:val="24"/>
          <w:lang w:eastAsia="zh-CN"/>
        </w:rPr>
        <w:t>；</w:t>
      </w:r>
    </w:p>
    <w:p>
      <w:pPr>
        <w:pStyle w:val="9"/>
        <w:kinsoku/>
        <w:wordWrap w:val="0"/>
        <w:spacing w:line="360" w:lineRule="auto"/>
        <w:ind w:firstLine="50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行业；承建（承接）企业</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0"/>
          <w:sz w:val="24"/>
          <w:szCs w:val="24"/>
          <w:lang w:eastAsia="zh-CN"/>
        </w:rPr>
        <w:t>万元，属于</w:t>
      </w:r>
      <w:r>
        <w:rPr>
          <w:rFonts w:hint="eastAsia" w:asciiTheme="minorEastAsia" w:hAnsiTheme="minorEastAsia" w:eastAsiaTheme="minorEastAsia" w:cstheme="minorEastAsia"/>
          <w:spacing w:val="10"/>
          <w:sz w:val="24"/>
          <w:szCs w:val="24"/>
          <w:u w:val="single"/>
          <w:lang w:eastAsia="zh-CN"/>
        </w:rPr>
        <w:t>（中型企业、小型企业、微型企业</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pPr>
        <w:pStyle w:val="9"/>
        <w:kinsoku/>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17"/>
          <w:sz w:val="24"/>
          <w:szCs w:val="24"/>
          <w:lang w:eastAsia="zh-CN"/>
        </w:rPr>
        <w:t>以上企业，不属于大企业的分支机构，不存在控股股东</w:t>
      </w:r>
      <w:r>
        <w:rPr>
          <w:rFonts w:hint="eastAsia" w:asciiTheme="minorEastAsia" w:hAnsiTheme="minorEastAsia" w:eastAsiaTheme="minorEastAsia" w:cstheme="minorEastAsia"/>
          <w:spacing w:val="10"/>
          <w:position w:val="17"/>
          <w:sz w:val="24"/>
          <w:szCs w:val="24"/>
          <w:lang w:eastAsia="zh-CN"/>
        </w:rPr>
        <w:t>为大企业的情形，也不</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存在与大企业的负责人为同一人的情形。</w:t>
      </w:r>
    </w:p>
    <w:p>
      <w:pPr>
        <w:pStyle w:val="9"/>
        <w:kinsoku/>
        <w:wordWrap w:val="0"/>
        <w:spacing w:line="360" w:lineRule="auto"/>
        <w:ind w:firstLine="52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本企业对上述声明内容的真实性负责。如有虚假，将依法承担相应责任。</w:t>
      </w: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5050" w:firstLineChars="25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pPr>
        <w:kinsoku/>
        <w:wordWrap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pStyle w:val="9"/>
        <w:kinsoku/>
        <w:wordWrap w:val="0"/>
        <w:spacing w:line="360" w:lineRule="auto"/>
        <w:jc w:val="both"/>
        <w:rPr>
          <w:rFonts w:hint="eastAsia" w:asciiTheme="minorEastAsia" w:hAnsiTheme="minorEastAsia" w:eastAsiaTheme="minorEastAsia" w:cstheme="minorEastAsia"/>
          <w:spacing w:val="9"/>
          <w:position w:val="5"/>
          <w:sz w:val="24"/>
          <w:szCs w:val="24"/>
          <w:lang w:eastAsia="zh-CN"/>
        </w:rPr>
      </w:pP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pPr>
        <w:pStyle w:val="9"/>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残疾人福利性单位声明函格式</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业政府采购政策的通知》（财库〔2017〕141号）的规定，本单位</w:t>
      </w: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lang w:eastAsia="zh-CN"/>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lang w:eastAsia="zh-CN"/>
        </w:rPr>
        <w:t>：</w:t>
      </w:r>
    </w:p>
    <w:p>
      <w:pPr>
        <w:pStyle w:val="9"/>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14:textOutline w14:w="1536" w14:cap="flat" w14:cmpd="sng" w14:algn="ctr">
            <w14:solidFill>
              <w14:srgbClr w14:val="000000"/>
            </w14:solidFill>
            <w14:prstDash w14:val="solid"/>
            <w14:miter w14:val="0"/>
          </w14:textOutline>
        </w:rPr>
        <w:t>不属于符合条件的残疾人福利性单位。</w:t>
      </w:r>
    </w:p>
    <w:p>
      <w:pPr>
        <w:pStyle w:val="9"/>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14:textOutline w14:w="1536" w14:cap="flat" w14:cmpd="sng" w14:algn="ctr">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lang w:eastAsia="zh-CN"/>
        </w:rPr>
        <w:t>且本单位参加</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8"/>
          <w:sz w:val="24"/>
          <w:szCs w:val="24"/>
          <w:lang w:eastAsia="zh-CN"/>
        </w:rPr>
        <w:t xml:space="preserve"> </w:t>
      </w:r>
      <w:r>
        <w:rPr>
          <w:rFonts w:hint="eastAsia" w:asciiTheme="minorEastAsia" w:hAnsiTheme="minorEastAsia" w:eastAsiaTheme="minorEastAsia" w:cstheme="minorEastAsia"/>
          <w:spacing w:val="10"/>
          <w:sz w:val="24"/>
          <w:szCs w:val="24"/>
          <w:lang w:eastAsia="zh-CN"/>
        </w:rPr>
        <w:t>单位的</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10"/>
          <w:sz w:val="24"/>
          <w:szCs w:val="24"/>
          <w:lang w:eastAsia="zh-CN"/>
        </w:rPr>
        <w:t>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71"/>
          <w:sz w:val="24"/>
          <w:szCs w:val="24"/>
          <w:lang w:eastAsia="zh-CN"/>
        </w:rPr>
        <w:t xml:space="preserve"> </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14:textOutline w14:w="1536" w14:cap="flat" w14:cmpd="sng" w14:algn="ctr">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lang w:eastAsia="zh-CN"/>
          <w14:textOutline w14:w="1536" w14:cap="flat" w14:cmpd="sng" w14:algn="ctr">
            <w14:solidFill>
              <w14:srgbClr w14:val="000000"/>
            </w14:solidFill>
            <w14:prstDash w14:val="solid"/>
            <w14:miter w14:val="0"/>
          </w14:textOutline>
        </w:rPr>
        <w:t>承担相应责任。</w:t>
      </w: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5120" w:firstLineChars="20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pPr>
        <w:kinsoku/>
        <w:wordWrap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pStyle w:val="9"/>
        <w:kinsoku/>
        <w:wordWrap w:val="0"/>
        <w:spacing w:line="360" w:lineRule="auto"/>
        <w:ind w:firstLine="6960" w:firstLineChars="2900"/>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ascii="宋体" w:hAnsi="宋体"/>
          <w:b/>
          <w:sz w:val="28"/>
          <w:szCs w:val="28"/>
          <w:lang w:eastAsia="zh-CN"/>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监狱企业声明函格式</w:t>
      </w:r>
    </w:p>
    <w:p>
      <w:pPr>
        <w:kinsoku/>
        <w:wordWrap w:val="0"/>
        <w:spacing w:line="360" w:lineRule="auto"/>
        <w:jc w:val="both"/>
        <w:rPr>
          <w:rFonts w:ascii="宋体" w:hAnsi="宋体"/>
          <w:b/>
          <w:sz w:val="28"/>
          <w:szCs w:val="28"/>
          <w:lang w:eastAsia="zh-CN"/>
        </w:rPr>
      </w:pPr>
    </w:p>
    <w:p>
      <w:pPr>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pPr>
        <w:tabs>
          <w:tab w:val="left" w:pos="4860"/>
        </w:tabs>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p>
    <w:p>
      <w:pPr>
        <w:tabs>
          <w:tab w:val="left" w:pos="4860"/>
        </w:tabs>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pPr>
        <w:kinsoku/>
        <w:wordWrap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b/>
          <w:bCs/>
          <w:sz w:val="24"/>
          <w:szCs w:val="24"/>
          <w:lang w:eastAsia="zh-CN"/>
        </w:rPr>
      </w:pP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val="zh-CN" w:eastAsia="zh-CN"/>
        </w:rPr>
      </w:pP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val="zh-CN" w:eastAsia="zh-CN"/>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Theme="minorEastAsia" w:hAnsiTheme="minorEastAsia" w:eastAsiaTheme="minorEastAsia" w:cstheme="minorEastAsia"/>
          <w:lang w:eastAsia="zh-CN"/>
          <w14:textOutline w14:w="2311" w14:cap="flat" w14:cmpd="sng" w14:algn="ctr">
            <w14:solidFill>
              <w14:srgbClr w14:val="000000"/>
            </w14:solidFill>
            <w14:prstDash w14:val="solid"/>
            <w14:miter w14:val="0"/>
          </w14:textOutline>
        </w:rPr>
      </w:pPr>
    </w:p>
    <w:sectPr>
      <w:headerReference r:id="rId13" w:type="default"/>
      <w:footerReference r:id="rId14"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
    <w:altName w:val="Arial"/>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Arial Unicode MS">
    <w:altName w:val="HONOR Sans"/>
    <w:panose1 w:val="020B0604020202020204"/>
    <w:charset w:val="00"/>
    <w:family w:val="auto"/>
    <w:pitch w:val="default"/>
    <w:sig w:usb0="00000000" w:usb1="00000000" w:usb2="00000000" w:usb3="00000000" w:csb0="00000000" w:csb1="00000000"/>
  </w:font>
  <w:font w:name="HONOR Sans">
    <w:panose1 w:val="00000200000000000000"/>
    <w:charset w:val="86"/>
    <w:family w:val="auto"/>
    <w:pitch w:val="default"/>
    <w:sig w:usb0="E10006FF" w:usb1="D005207B" w:usb2="00010008" w:usb3="00000000" w:csb0="600401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116336"/>
    </w:sdtPr>
    <w:sdtContent>
      <w:p>
        <w:pPr>
          <w:pStyle w:val="15"/>
        </w:pPr>
        <w:r>
          <w:fldChar w:fldCharType="begin"/>
        </w:r>
        <w:r>
          <w:instrText xml:space="preserve">PAGE   \* MERGEFORMAT</w:instrText>
        </w:r>
        <w:r>
          <w:fldChar w:fldCharType="separate"/>
        </w:r>
        <w:r>
          <w:rPr>
            <w:lang w:val="zh-CN" w:eastAsia="zh-CN"/>
          </w:rPr>
          <w:t>2</w:t>
        </w:r>
        <w:r>
          <w:fldChar w:fldCharType="end"/>
        </w:r>
      </w:p>
    </w:sdtContent>
  </w:sdt>
  <w:p>
    <w:pPr>
      <w:spacing w:line="189" w:lineRule="auto"/>
      <w:ind w:left="4435"/>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59264;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XgrkC0CAABXBAAADgAAAGRycy9lMm9Eb2MueG1srVTNjtMw&#10;EL4j8Q6W7zRpEatSNV2VrYqQKnalBXF2HaeJ5D/ZbpPyAPAGnLhw3+fqc/DZabpo4bAHLs7YM/7G&#10;3zczmV93SpKDcL4xuqDjUU6J0NyUjd4V9POn9aspJT4wXTJptCjoUXh6vXj5Yt7amZiY2shSOAIQ&#10;7WetLWgdgp1lmee1UMyPjBUazso4xQK2bpeVjrVAVzKb5PlV1hpXWme48B6nq95Jz4juOYCmqhou&#10;VobvldChR3VCsgBKvm6sp4v02qoSPNxWlReByIKCaUgrksDexjVbzNls55itG35+AnvOE55wUqzR&#10;SHqBWrHAyN41f0GphjvjTRVG3KisJ5IUAYtx/kSb+5pZkbhAam8vovv/B8s/Hu4cacqCTt5SoplC&#10;xU8/vp9+Ppx+fSM4g0Ct9TPE3VtEhu6d6dA2w7nHYeTdVU7FLxgR+CHv8SKv6ALh8dJ0Mp3mcHH4&#10;hg3ws8fr1vnwXhhFolFQh/olWdlh40MfOoTEbNqsGylTDaUmbUGvXr/J04WLB+BSI0ck0T82WqHb&#10;dmdmW1MeQcyZvje85esGyTfMhzvm0Ax4MMYl3GKppEESc7YoqY37+q/zGI8awUtJi+YqqMYsUSI/&#10;aNQOgGEw3GBsB0Pv1Y1Bt44xhpYnExdckINZOaO+YIaWMQdcTHNkKmgYzJvQNzhmkIvlMgWh2ywL&#10;G31veYSO4nm73AcImHSNovRKnLVCv6XKnGcjNvSf+xT1+D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6vsSv1QAAAAgBAAAPAAAAAAAAAAEAIAAAACIAAABkcnMvZG93bnJldi54bWxQSwECFAAU&#10;AAAACACHTuJAGXgrkC0CAABXBAAADgAAAAAAAAABACAAAAAkAQAAZHJzL2Uyb0RvYy54bWxQSwUG&#10;AAAAAAYABgBZAQAAwwUAAAAA&#10;">
              <v:fill on="f" focussize="0,0"/>
              <v:stroke on="f" weight="0.5pt"/>
              <v:imagedata o:title=""/>
              <o:lock v:ext="edit" aspectratio="f"/>
              <v:textbox inset="0mm,0mm,0mm,0mm" style="mso-fit-shape-to-text:t;">
                <w:txbxContent>
                  <w:p>
                    <w:pPr>
                      <w:pStyle w:val="15"/>
                      <w:rPr>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7C6B"/>
    <w:multiLevelType w:val="singleLevel"/>
    <w:tmpl w:val="97267C6B"/>
    <w:lvl w:ilvl="0" w:tentative="0">
      <w:start w:val="1"/>
      <w:numFmt w:val="decimal"/>
      <w:suff w:val="nothing"/>
      <w:lvlText w:val="%1、"/>
      <w:lvlJc w:val="left"/>
    </w:lvl>
  </w:abstractNum>
  <w:abstractNum w:abstractNumId="1">
    <w:nsid w:val="9E6DCEF1"/>
    <w:multiLevelType w:val="singleLevel"/>
    <w:tmpl w:val="9E6DCEF1"/>
    <w:lvl w:ilvl="0" w:tentative="0">
      <w:start w:val="1"/>
      <w:numFmt w:val="chineseCounting"/>
      <w:suff w:val="space"/>
      <w:lvlText w:val="第%1章"/>
      <w:lvlJc w:val="left"/>
      <w:rPr>
        <w:rFonts w:hint="eastAsia"/>
      </w:rPr>
    </w:lvl>
  </w:abstractNum>
  <w:abstractNum w:abstractNumId="2">
    <w:nsid w:val="D9A2EE1E"/>
    <w:multiLevelType w:val="singleLevel"/>
    <w:tmpl w:val="D9A2EE1E"/>
    <w:lvl w:ilvl="0" w:tentative="0">
      <w:start w:val="2"/>
      <w:numFmt w:val="decimal"/>
      <w:lvlText w:val="%1."/>
      <w:lvlJc w:val="left"/>
      <w:pPr>
        <w:tabs>
          <w:tab w:val="left" w:pos="312"/>
        </w:tabs>
      </w:pPr>
    </w:lvl>
  </w:abstractNum>
  <w:abstractNum w:abstractNumId="3">
    <w:nsid w:val="6643FA8D"/>
    <w:multiLevelType w:val="singleLevel"/>
    <w:tmpl w:val="6643FA8D"/>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c3M2Y5NzIzMDFlZjAyY2Q4Njk5ODkyYjFjNzBiNTQifQ=="/>
  </w:docVars>
  <w:rsids>
    <w:rsidRoot w:val="00DF0CD8"/>
    <w:rsid w:val="00004EAF"/>
    <w:rsid w:val="001A6AF7"/>
    <w:rsid w:val="00390BD3"/>
    <w:rsid w:val="00407378"/>
    <w:rsid w:val="0045646E"/>
    <w:rsid w:val="00460D50"/>
    <w:rsid w:val="005817E6"/>
    <w:rsid w:val="006179B1"/>
    <w:rsid w:val="006C3C49"/>
    <w:rsid w:val="007C0BFE"/>
    <w:rsid w:val="007E61E6"/>
    <w:rsid w:val="007E7A08"/>
    <w:rsid w:val="007F7CD2"/>
    <w:rsid w:val="0092013A"/>
    <w:rsid w:val="00967A43"/>
    <w:rsid w:val="00A72878"/>
    <w:rsid w:val="00B374C0"/>
    <w:rsid w:val="00BC65D5"/>
    <w:rsid w:val="00C87505"/>
    <w:rsid w:val="00D95DAE"/>
    <w:rsid w:val="00DF0CD8"/>
    <w:rsid w:val="00F710CA"/>
    <w:rsid w:val="00F7351C"/>
    <w:rsid w:val="02980B47"/>
    <w:rsid w:val="0304627B"/>
    <w:rsid w:val="03F005BF"/>
    <w:rsid w:val="044C330C"/>
    <w:rsid w:val="049308F0"/>
    <w:rsid w:val="05C82C12"/>
    <w:rsid w:val="064B2778"/>
    <w:rsid w:val="06731CDB"/>
    <w:rsid w:val="06BD7DF4"/>
    <w:rsid w:val="08743EB7"/>
    <w:rsid w:val="08896F10"/>
    <w:rsid w:val="08DF64FD"/>
    <w:rsid w:val="095962AF"/>
    <w:rsid w:val="09A960A9"/>
    <w:rsid w:val="0A2175C7"/>
    <w:rsid w:val="0A4E3858"/>
    <w:rsid w:val="0A530F50"/>
    <w:rsid w:val="0ADC6029"/>
    <w:rsid w:val="0C272EF4"/>
    <w:rsid w:val="0C450913"/>
    <w:rsid w:val="0CF167FE"/>
    <w:rsid w:val="0E3E7CBD"/>
    <w:rsid w:val="0EE83C0B"/>
    <w:rsid w:val="0F130CAE"/>
    <w:rsid w:val="0FF95996"/>
    <w:rsid w:val="0FFF7484"/>
    <w:rsid w:val="103E1E24"/>
    <w:rsid w:val="10832DEB"/>
    <w:rsid w:val="11E54B27"/>
    <w:rsid w:val="11F10D0E"/>
    <w:rsid w:val="13504EE3"/>
    <w:rsid w:val="13D318D3"/>
    <w:rsid w:val="14184102"/>
    <w:rsid w:val="142A46A5"/>
    <w:rsid w:val="146A4EE4"/>
    <w:rsid w:val="147A2410"/>
    <w:rsid w:val="14B05372"/>
    <w:rsid w:val="156F62EF"/>
    <w:rsid w:val="15C27640"/>
    <w:rsid w:val="164E1E13"/>
    <w:rsid w:val="16655340"/>
    <w:rsid w:val="16882EF5"/>
    <w:rsid w:val="16FD3ABE"/>
    <w:rsid w:val="172F0E42"/>
    <w:rsid w:val="196A0814"/>
    <w:rsid w:val="1B7E3953"/>
    <w:rsid w:val="1BFF6021"/>
    <w:rsid w:val="1C587110"/>
    <w:rsid w:val="1CC05665"/>
    <w:rsid w:val="1D7F2147"/>
    <w:rsid w:val="1D996CC8"/>
    <w:rsid w:val="1DA01659"/>
    <w:rsid w:val="1E6454A8"/>
    <w:rsid w:val="1FCD677B"/>
    <w:rsid w:val="1FCF1E87"/>
    <w:rsid w:val="208E4164"/>
    <w:rsid w:val="21A07893"/>
    <w:rsid w:val="23554AEF"/>
    <w:rsid w:val="23645F64"/>
    <w:rsid w:val="23F5677C"/>
    <w:rsid w:val="23FB5E39"/>
    <w:rsid w:val="244A2A1D"/>
    <w:rsid w:val="2564491D"/>
    <w:rsid w:val="25B83A87"/>
    <w:rsid w:val="266463E7"/>
    <w:rsid w:val="26E9311B"/>
    <w:rsid w:val="277B168E"/>
    <w:rsid w:val="28032F0B"/>
    <w:rsid w:val="2A3D0E7D"/>
    <w:rsid w:val="2A924A38"/>
    <w:rsid w:val="2AE32E31"/>
    <w:rsid w:val="2C88257A"/>
    <w:rsid w:val="2CD208B5"/>
    <w:rsid w:val="2E6C7ED8"/>
    <w:rsid w:val="2EA57FA1"/>
    <w:rsid w:val="2EF243BC"/>
    <w:rsid w:val="30EF0857"/>
    <w:rsid w:val="3140197F"/>
    <w:rsid w:val="31E05F1C"/>
    <w:rsid w:val="320C16C0"/>
    <w:rsid w:val="32672625"/>
    <w:rsid w:val="32831B16"/>
    <w:rsid w:val="32F6583E"/>
    <w:rsid w:val="333A48FA"/>
    <w:rsid w:val="334A1323"/>
    <w:rsid w:val="33D92F7A"/>
    <w:rsid w:val="343B4BAB"/>
    <w:rsid w:val="34B2130C"/>
    <w:rsid w:val="350E12EA"/>
    <w:rsid w:val="354173ED"/>
    <w:rsid w:val="35992C99"/>
    <w:rsid w:val="360F3354"/>
    <w:rsid w:val="37BD0585"/>
    <w:rsid w:val="37CA6352"/>
    <w:rsid w:val="38533A18"/>
    <w:rsid w:val="396226AE"/>
    <w:rsid w:val="39D064A8"/>
    <w:rsid w:val="3AB900AC"/>
    <w:rsid w:val="3B223EA3"/>
    <w:rsid w:val="3B84135B"/>
    <w:rsid w:val="3BAF7174"/>
    <w:rsid w:val="3D660BE0"/>
    <w:rsid w:val="3DC47494"/>
    <w:rsid w:val="3E822DE3"/>
    <w:rsid w:val="3EB41E07"/>
    <w:rsid w:val="41F66AB4"/>
    <w:rsid w:val="4269758A"/>
    <w:rsid w:val="43D372D6"/>
    <w:rsid w:val="44B74AB0"/>
    <w:rsid w:val="44C27AD5"/>
    <w:rsid w:val="45300AE7"/>
    <w:rsid w:val="463F4C16"/>
    <w:rsid w:val="46832AB5"/>
    <w:rsid w:val="46942B8F"/>
    <w:rsid w:val="48956DF4"/>
    <w:rsid w:val="498A3D49"/>
    <w:rsid w:val="4BBB7B8C"/>
    <w:rsid w:val="4CB97E79"/>
    <w:rsid w:val="4CBA2C7D"/>
    <w:rsid w:val="4CFD651E"/>
    <w:rsid w:val="4E5C03B2"/>
    <w:rsid w:val="4F53436C"/>
    <w:rsid w:val="4F867D89"/>
    <w:rsid w:val="4FA36E2B"/>
    <w:rsid w:val="4FF44B94"/>
    <w:rsid w:val="50CD1D3A"/>
    <w:rsid w:val="50DF62FA"/>
    <w:rsid w:val="51474CD4"/>
    <w:rsid w:val="51E16CC2"/>
    <w:rsid w:val="53221324"/>
    <w:rsid w:val="538452A3"/>
    <w:rsid w:val="53D00CD5"/>
    <w:rsid w:val="554355EF"/>
    <w:rsid w:val="554A067A"/>
    <w:rsid w:val="562B2D19"/>
    <w:rsid w:val="566F2249"/>
    <w:rsid w:val="56F130AE"/>
    <w:rsid w:val="571C70F4"/>
    <w:rsid w:val="578C1E3F"/>
    <w:rsid w:val="58122B18"/>
    <w:rsid w:val="5818537A"/>
    <w:rsid w:val="582157B7"/>
    <w:rsid w:val="583737A8"/>
    <w:rsid w:val="595B0D84"/>
    <w:rsid w:val="59791FCF"/>
    <w:rsid w:val="59C70462"/>
    <w:rsid w:val="5A9F3CAF"/>
    <w:rsid w:val="5B942EAB"/>
    <w:rsid w:val="5BFB1656"/>
    <w:rsid w:val="5C805C3A"/>
    <w:rsid w:val="5CED210B"/>
    <w:rsid w:val="5DD33159"/>
    <w:rsid w:val="5E401EE1"/>
    <w:rsid w:val="5E862024"/>
    <w:rsid w:val="5FE54AEF"/>
    <w:rsid w:val="5FE62E42"/>
    <w:rsid w:val="604F0C94"/>
    <w:rsid w:val="60811390"/>
    <w:rsid w:val="60E905BC"/>
    <w:rsid w:val="611C486A"/>
    <w:rsid w:val="612C3317"/>
    <w:rsid w:val="613320B7"/>
    <w:rsid w:val="64596BA4"/>
    <w:rsid w:val="64B4350F"/>
    <w:rsid w:val="64C17C5F"/>
    <w:rsid w:val="64E32222"/>
    <w:rsid w:val="660C0310"/>
    <w:rsid w:val="674A54CB"/>
    <w:rsid w:val="68187662"/>
    <w:rsid w:val="68740EAF"/>
    <w:rsid w:val="691A37DC"/>
    <w:rsid w:val="695F7E2D"/>
    <w:rsid w:val="6A443604"/>
    <w:rsid w:val="6AA22005"/>
    <w:rsid w:val="6ACC2E0B"/>
    <w:rsid w:val="6B6B37C9"/>
    <w:rsid w:val="6B9F656F"/>
    <w:rsid w:val="6DA528C6"/>
    <w:rsid w:val="6DAF0580"/>
    <w:rsid w:val="6DD02520"/>
    <w:rsid w:val="6DE17F47"/>
    <w:rsid w:val="6E1128F7"/>
    <w:rsid w:val="6E6B7F83"/>
    <w:rsid w:val="6EE2110B"/>
    <w:rsid w:val="70411D13"/>
    <w:rsid w:val="70DD756D"/>
    <w:rsid w:val="718B602C"/>
    <w:rsid w:val="721362FC"/>
    <w:rsid w:val="7222612A"/>
    <w:rsid w:val="727D45B0"/>
    <w:rsid w:val="727F5D14"/>
    <w:rsid w:val="74143D3D"/>
    <w:rsid w:val="7571756C"/>
    <w:rsid w:val="76102BC1"/>
    <w:rsid w:val="76337044"/>
    <w:rsid w:val="768D73E4"/>
    <w:rsid w:val="778B45A3"/>
    <w:rsid w:val="77AC443F"/>
    <w:rsid w:val="786749F3"/>
    <w:rsid w:val="78F607B2"/>
    <w:rsid w:val="79924211"/>
    <w:rsid w:val="79A15AC2"/>
    <w:rsid w:val="79BD77DF"/>
    <w:rsid w:val="79D91008"/>
    <w:rsid w:val="7BC65611"/>
    <w:rsid w:val="7C2C76E7"/>
    <w:rsid w:val="7DAB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43"/>
    <w:qFormat/>
    <w:uiPriority w:val="1"/>
    <w:pPr>
      <w:widowControl w:val="0"/>
      <w:kinsoku/>
      <w:autoSpaceDE/>
      <w:autoSpaceDN/>
      <w:adjustRightInd/>
      <w:snapToGrid/>
      <w:ind w:left="1197" w:right="1454"/>
      <w:jc w:val="center"/>
      <w:textAlignment w:val="auto"/>
      <w:outlineLvl w:val="0"/>
    </w:pPr>
    <w:rPr>
      <w:rFonts w:ascii="Microsoft JhengHei" w:hAnsi="Microsoft JhengHei" w:eastAsia="Microsoft JhengHei" w:cs="Microsoft JhengHei"/>
      <w:b/>
      <w:bCs/>
      <w:snapToGrid/>
      <w:color w:val="auto"/>
      <w:kern w:val="2"/>
      <w:sz w:val="32"/>
      <w:szCs w:val="32"/>
      <w:lang w:val="zh-CN" w:eastAsia="zh-CN" w:bidi="zh-CN"/>
    </w:rPr>
  </w:style>
  <w:style w:type="paragraph" w:styleId="3">
    <w:name w:val="heading 2"/>
    <w:basedOn w:val="1"/>
    <w:next w:val="1"/>
    <w:link w:val="44"/>
    <w:qFormat/>
    <w:uiPriority w:val="0"/>
    <w:pPr>
      <w:keepNext/>
      <w:keepLines/>
      <w:widowControl w:val="0"/>
      <w:kinsoku/>
      <w:autoSpaceDE/>
      <w:autoSpaceDN/>
      <w:adjustRightInd/>
      <w:snapToGrid/>
      <w:spacing w:before="260" w:after="260" w:line="413" w:lineRule="auto"/>
      <w:jc w:val="both"/>
      <w:textAlignment w:val="auto"/>
      <w:outlineLvl w:val="1"/>
    </w:pPr>
    <w:rPr>
      <w:rFonts w:eastAsia="黑体" w:cs="Times New Roman"/>
      <w:b/>
      <w:snapToGrid/>
      <w:color w:val="auto"/>
      <w:kern w:val="2"/>
      <w:sz w:val="32"/>
      <w:szCs w:val="20"/>
      <w:lang w:eastAsia="zh-CN"/>
    </w:rPr>
  </w:style>
  <w:style w:type="paragraph" w:styleId="4">
    <w:name w:val="heading 3"/>
    <w:basedOn w:val="1"/>
    <w:next w:val="1"/>
    <w:link w:val="45"/>
    <w:qFormat/>
    <w:uiPriority w:val="0"/>
    <w:pPr>
      <w:keepNext/>
      <w:keepLines/>
      <w:widowControl w:val="0"/>
      <w:kinsoku/>
      <w:autoSpaceDE/>
      <w:autoSpaceDN/>
      <w:adjustRightInd/>
      <w:snapToGrid/>
      <w:spacing w:line="416" w:lineRule="auto"/>
      <w:jc w:val="both"/>
      <w:textAlignment w:val="auto"/>
      <w:outlineLvl w:val="2"/>
    </w:pPr>
    <w:rPr>
      <w:rFonts w:ascii="Calibri" w:hAnsi="Calibri" w:eastAsia="宋体" w:cs="Times New Roman"/>
      <w:b/>
      <w:bCs/>
      <w:snapToGrid/>
      <w:color w:val="auto"/>
      <w:kern w:val="2"/>
      <w:sz w:val="24"/>
      <w:szCs w:val="32"/>
      <w:lang w:eastAsia="zh-CN"/>
    </w:rPr>
  </w:style>
  <w:style w:type="paragraph" w:styleId="5">
    <w:name w:val="heading 4"/>
    <w:basedOn w:val="1"/>
    <w:next w:val="1"/>
    <w:link w:val="46"/>
    <w:qFormat/>
    <w:uiPriority w:val="0"/>
    <w:pPr>
      <w:keepNext/>
      <w:keepLines/>
      <w:widowControl w:val="0"/>
      <w:kinsoku/>
      <w:autoSpaceDE/>
      <w:autoSpaceDN/>
      <w:adjustRightInd/>
      <w:snapToGrid/>
      <w:spacing w:line="376" w:lineRule="auto"/>
      <w:jc w:val="both"/>
      <w:textAlignment w:val="auto"/>
      <w:outlineLvl w:val="3"/>
    </w:pPr>
    <w:rPr>
      <w:rFonts w:ascii="Cambria" w:hAnsi="Cambria" w:eastAsia="宋体" w:cs="Times New Roman"/>
      <w:b/>
      <w:bCs/>
      <w:snapToGrid/>
      <w:color w:val="auto"/>
      <w:kern w:val="2"/>
      <w:sz w:val="24"/>
      <w:szCs w:val="28"/>
      <w:lang w:eastAsia="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widowControl w:val="0"/>
      <w:kinsoku/>
      <w:autoSpaceDE/>
      <w:autoSpaceDN/>
      <w:adjustRightInd/>
      <w:snapToGrid/>
      <w:ind w:left="420" w:leftChars="200"/>
      <w:jc w:val="both"/>
      <w:textAlignment w:val="auto"/>
    </w:pPr>
    <w:rPr>
      <w:rFonts w:ascii="Calibri" w:hAnsi="Calibri" w:eastAsia="宋体" w:cs="Times New Roman"/>
      <w:snapToGrid/>
      <w:color w:val="auto"/>
      <w:kern w:val="2"/>
      <w:szCs w:val="22"/>
      <w:lang w:eastAsia="zh-CN"/>
    </w:rPr>
  </w:style>
  <w:style w:type="paragraph" w:styleId="7">
    <w:name w:val="Normal Indent"/>
    <w:basedOn w:val="1"/>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2"/>
      <w:lang w:eastAsia="zh-CN"/>
    </w:rPr>
  </w:style>
  <w:style w:type="paragraph" w:styleId="8">
    <w:name w:val="annotation text"/>
    <w:basedOn w:val="1"/>
    <w:link w:val="67"/>
    <w:qFormat/>
    <w:uiPriority w:val="0"/>
  </w:style>
  <w:style w:type="paragraph" w:styleId="9">
    <w:name w:val="Body Text"/>
    <w:basedOn w:val="1"/>
    <w:next w:val="10"/>
    <w:link w:val="40"/>
    <w:qFormat/>
    <w:uiPriority w:val="0"/>
    <w:rPr>
      <w:rFonts w:ascii="宋体" w:hAnsi="宋体" w:eastAsia="宋体" w:cs="宋体"/>
      <w:sz w:val="31"/>
      <w:szCs w:val="31"/>
    </w:rPr>
  </w:style>
  <w:style w:type="paragraph" w:customStyle="1" w:styleId="10">
    <w:name w:val="Default"/>
    <w:next w:val="1"/>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11">
    <w:name w:val="Body Text Indent"/>
    <w:basedOn w:val="1"/>
    <w:next w:val="1"/>
    <w:qFormat/>
    <w:uiPriority w:val="0"/>
    <w:pPr>
      <w:tabs>
        <w:tab w:val="left" w:pos="0"/>
      </w:tabs>
      <w:ind w:firstLine="538" w:firstLineChars="192"/>
    </w:pPr>
    <w:rPr>
      <w:rFonts w:ascii="Tahoma" w:hAnsi="Tahoma"/>
      <w:kern w:val="2"/>
      <w:sz w:val="28"/>
      <w:szCs w:val="24"/>
    </w:rPr>
  </w:style>
  <w:style w:type="paragraph" w:styleId="12">
    <w:name w:val="Plain Text"/>
    <w:basedOn w:val="1"/>
    <w:link w:val="47"/>
    <w:qFormat/>
    <w:uiPriority w:val="0"/>
    <w:pPr>
      <w:widowControl w:val="0"/>
      <w:kinsoku/>
      <w:autoSpaceDE/>
      <w:autoSpaceDN/>
      <w:adjustRightInd/>
      <w:snapToGrid/>
      <w:jc w:val="both"/>
      <w:textAlignment w:val="auto"/>
    </w:pPr>
    <w:rPr>
      <w:rFonts w:ascii="宋体" w:hAnsi="Calibri" w:eastAsia="宋体" w:cs="Times New Roman"/>
      <w:snapToGrid/>
      <w:color w:val="auto"/>
      <w:kern w:val="2"/>
      <w:lang w:eastAsia="zh-CN"/>
    </w:rPr>
  </w:style>
  <w:style w:type="paragraph" w:styleId="13">
    <w:name w:val="Body Text Indent 2"/>
    <w:basedOn w:val="1"/>
    <w:link w:val="48"/>
    <w:qFormat/>
    <w:uiPriority w:val="0"/>
    <w:pPr>
      <w:widowControl w:val="0"/>
      <w:kinsoku/>
      <w:autoSpaceDE/>
      <w:autoSpaceDN/>
      <w:adjustRightInd/>
      <w:snapToGrid/>
      <w:ind w:firstLine="630"/>
      <w:jc w:val="both"/>
      <w:textAlignment w:val="auto"/>
    </w:pPr>
    <w:rPr>
      <w:rFonts w:ascii="Ari" w:hAnsi="Calibri" w:eastAsia="宋体" w:cs="Times New Roman"/>
      <w:snapToGrid/>
      <w:color w:val="auto"/>
      <w:kern w:val="2"/>
      <w:sz w:val="32"/>
      <w:szCs w:val="20"/>
      <w:lang w:eastAsia="zh-CN"/>
    </w:rPr>
  </w:style>
  <w:style w:type="paragraph" w:styleId="14">
    <w:name w:val="Balloon Text"/>
    <w:basedOn w:val="1"/>
    <w:link w:val="49"/>
    <w:qFormat/>
    <w:uiPriority w:val="0"/>
    <w:pPr>
      <w:widowControl w:val="0"/>
      <w:kinsoku/>
      <w:autoSpaceDE/>
      <w:autoSpaceDN/>
      <w:adjustRightInd/>
      <w:snapToGrid/>
      <w:jc w:val="both"/>
      <w:textAlignment w:val="auto"/>
    </w:pPr>
    <w:rPr>
      <w:rFonts w:ascii="Calibri" w:hAnsi="Calibri" w:eastAsia="宋体" w:cs="Times New Roman"/>
      <w:snapToGrid/>
      <w:color w:val="auto"/>
      <w:kern w:val="2"/>
      <w:sz w:val="18"/>
      <w:szCs w:val="18"/>
      <w:lang w:eastAsia="zh-CN"/>
    </w:rPr>
  </w:style>
  <w:style w:type="paragraph" w:styleId="15">
    <w:name w:val="footer"/>
    <w:basedOn w:val="1"/>
    <w:link w:val="65"/>
    <w:qFormat/>
    <w:uiPriority w:val="99"/>
    <w:pPr>
      <w:tabs>
        <w:tab w:val="center" w:pos="4153"/>
        <w:tab w:val="right" w:pos="8306"/>
      </w:tabs>
      <w:jc w:val="center"/>
    </w:pPr>
    <w:rPr>
      <w:rFonts w:ascii="Tahoma" w:hAnsi="Tahoma"/>
      <w:kern w:val="2"/>
      <w:sz w:val="18"/>
      <w:szCs w:val="18"/>
    </w:rPr>
  </w:style>
  <w:style w:type="paragraph" w:styleId="16">
    <w:name w:val="header"/>
    <w:basedOn w:val="1"/>
    <w:link w:val="66"/>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7">
    <w:name w:val="toc 1"/>
    <w:basedOn w:val="1"/>
    <w:next w:val="1"/>
    <w:qFormat/>
    <w:uiPriority w:val="0"/>
    <w:pPr>
      <w:widowControl w:val="0"/>
      <w:kinsoku/>
      <w:autoSpaceDE/>
      <w:autoSpaceDN/>
      <w:adjustRightInd/>
      <w:snapToGrid/>
      <w:jc w:val="both"/>
      <w:textAlignment w:val="auto"/>
    </w:pPr>
    <w:rPr>
      <w:rFonts w:ascii="Calibri" w:hAnsi="Calibri" w:eastAsia="宋体" w:cs="Times New Roman"/>
      <w:snapToGrid/>
      <w:color w:val="auto"/>
      <w:kern w:val="2"/>
      <w:szCs w:val="22"/>
      <w:lang w:eastAsia="zh-CN"/>
    </w:rPr>
  </w:style>
  <w:style w:type="paragraph" w:styleId="18">
    <w:name w:val="Body Text 2"/>
    <w:basedOn w:val="1"/>
    <w:link w:val="42"/>
    <w:qFormat/>
    <w:uiPriority w:val="0"/>
    <w:pPr>
      <w:widowControl w:val="0"/>
      <w:kinsoku/>
      <w:autoSpaceDE/>
      <w:autoSpaceDN/>
      <w:adjustRightInd/>
      <w:snapToGrid/>
      <w:spacing w:after="120" w:line="480" w:lineRule="auto"/>
      <w:jc w:val="both"/>
      <w:textAlignment w:val="auto"/>
    </w:pPr>
    <w:rPr>
      <w:rFonts w:ascii="Calibri" w:hAnsi="Calibri" w:eastAsia="宋体" w:cs="Times New Roman"/>
      <w:snapToGrid/>
      <w:color w:val="auto"/>
      <w:kern w:val="2"/>
      <w:szCs w:val="22"/>
      <w:lang w:eastAsia="zh-CN"/>
    </w:rPr>
  </w:style>
  <w:style w:type="paragraph" w:styleId="19">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20">
    <w:name w:val="Normal (Web)"/>
    <w:basedOn w:val="1"/>
    <w:qFormat/>
    <w:uiPriority w:val="0"/>
    <w:pPr>
      <w:kinsoku/>
      <w:autoSpaceDE/>
      <w:autoSpaceDN/>
      <w:adjustRightInd/>
      <w:snapToGrid/>
      <w:spacing w:before="100" w:beforeAutospacing="1" w:after="100" w:afterAutospacing="1" w:line="320" w:lineRule="atLeast"/>
      <w:textAlignment w:val="auto"/>
    </w:pPr>
    <w:rPr>
      <w:rFonts w:ascii="宋体" w:hAnsi="宋体" w:eastAsia="宋体" w:cs="Times New Roman"/>
      <w:snapToGrid/>
      <w:color w:val="auto"/>
      <w:sz w:val="18"/>
      <w:szCs w:val="18"/>
      <w:lang w:eastAsia="zh-CN"/>
    </w:rPr>
  </w:style>
  <w:style w:type="paragraph" w:styleId="21">
    <w:name w:val="Body Text First Indent"/>
    <w:basedOn w:val="9"/>
    <w:link w:val="41"/>
    <w:qFormat/>
    <w:uiPriority w:val="0"/>
    <w:pPr>
      <w:spacing w:after="120"/>
      <w:ind w:firstLine="420" w:firstLineChars="100"/>
    </w:pPr>
    <w:rPr>
      <w:rFonts w:ascii="Arial" w:hAnsi="Arial" w:eastAsia="Arial" w:cs="Arial"/>
      <w:sz w:val="21"/>
      <w:szCs w:val="21"/>
    </w:rPr>
  </w:style>
  <w:style w:type="paragraph" w:styleId="22">
    <w:name w:val="Body Text First Indent 2"/>
    <w:basedOn w:val="11"/>
    <w:next w:val="1"/>
    <w:unhideWhenUsed/>
    <w:qFormat/>
    <w:uiPriority w:val="0"/>
    <w:pPr>
      <w:spacing w:after="120"/>
      <w:ind w:left="420" w:leftChars="200" w:firstLine="420" w:firstLineChars="200"/>
    </w:pPr>
    <w:rPr>
      <w:rFonts w:ascii="宋体" w:hAnsi="Courier New"/>
      <w:spacing w:val="-4"/>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FollowedHyperlink"/>
    <w:basedOn w:val="25"/>
    <w:qFormat/>
    <w:uiPriority w:val="0"/>
    <w:rPr>
      <w:color w:val="444444"/>
      <w:sz w:val="21"/>
      <w:szCs w:val="21"/>
      <w:u w:val="none"/>
    </w:rPr>
  </w:style>
  <w:style w:type="character" w:styleId="28">
    <w:name w:val="HTML Definition"/>
    <w:basedOn w:val="25"/>
    <w:qFormat/>
    <w:uiPriority w:val="0"/>
  </w:style>
  <w:style w:type="character" w:styleId="29">
    <w:name w:val="HTML Typewriter"/>
    <w:basedOn w:val="25"/>
    <w:qFormat/>
    <w:uiPriority w:val="0"/>
    <w:rPr>
      <w:rFonts w:hint="default" w:ascii="monospace" w:hAnsi="monospace" w:eastAsia="monospace" w:cs="monospace"/>
      <w:sz w:val="20"/>
    </w:rPr>
  </w:style>
  <w:style w:type="character" w:styleId="30">
    <w:name w:val="HTML Acronym"/>
    <w:basedOn w:val="25"/>
    <w:qFormat/>
    <w:uiPriority w:val="0"/>
  </w:style>
  <w:style w:type="character" w:styleId="31">
    <w:name w:val="HTML Variable"/>
    <w:basedOn w:val="25"/>
    <w:qFormat/>
    <w:uiPriority w:val="0"/>
  </w:style>
  <w:style w:type="character" w:styleId="32">
    <w:name w:val="Hyperlink"/>
    <w:basedOn w:val="25"/>
    <w:qFormat/>
    <w:uiPriority w:val="0"/>
    <w:rPr>
      <w:color w:val="444444"/>
      <w:sz w:val="21"/>
      <w:szCs w:val="21"/>
      <w:u w:val="none"/>
    </w:rPr>
  </w:style>
  <w:style w:type="character" w:styleId="33">
    <w:name w:val="HTML Code"/>
    <w:basedOn w:val="25"/>
    <w:qFormat/>
    <w:uiPriority w:val="0"/>
    <w:rPr>
      <w:rFonts w:hint="default" w:ascii="monospace" w:hAnsi="monospace" w:eastAsia="monospace" w:cs="monospace"/>
      <w:sz w:val="20"/>
    </w:rPr>
  </w:style>
  <w:style w:type="character" w:styleId="34">
    <w:name w:val="HTML Cite"/>
    <w:basedOn w:val="25"/>
    <w:qFormat/>
    <w:uiPriority w:val="0"/>
  </w:style>
  <w:style w:type="character" w:styleId="35">
    <w:name w:val="HTML Keyboard"/>
    <w:basedOn w:val="25"/>
    <w:qFormat/>
    <w:uiPriority w:val="0"/>
    <w:rPr>
      <w:rFonts w:ascii="monospace" w:hAnsi="monospace" w:eastAsia="monospace" w:cs="monospace"/>
      <w:sz w:val="20"/>
    </w:rPr>
  </w:style>
  <w:style w:type="character" w:styleId="36">
    <w:name w:val="HTML Sample"/>
    <w:basedOn w:val="25"/>
    <w:qFormat/>
    <w:uiPriority w:val="0"/>
    <w:rPr>
      <w:rFonts w:hint="default" w:ascii="monospace" w:hAnsi="monospace" w:eastAsia="monospace" w:cs="monospace"/>
    </w:rPr>
  </w:style>
  <w:style w:type="paragraph" w:customStyle="1" w:styleId="37">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style>
  <w:style w:type="character" w:customStyle="1" w:styleId="40">
    <w:name w:val="正文文本 字符"/>
    <w:basedOn w:val="25"/>
    <w:link w:val="9"/>
    <w:qFormat/>
    <w:uiPriority w:val="0"/>
    <w:rPr>
      <w:rFonts w:ascii="宋体" w:hAnsi="宋体" w:cs="宋体"/>
      <w:snapToGrid w:val="0"/>
      <w:color w:val="000000"/>
      <w:sz w:val="31"/>
      <w:szCs w:val="31"/>
      <w:lang w:eastAsia="en-US"/>
    </w:rPr>
  </w:style>
  <w:style w:type="character" w:customStyle="1" w:styleId="41">
    <w:name w:val="正文文本首行缩进 字符"/>
    <w:basedOn w:val="40"/>
    <w:link w:val="21"/>
    <w:qFormat/>
    <w:uiPriority w:val="0"/>
    <w:rPr>
      <w:rFonts w:ascii="Arial" w:hAnsi="Arial" w:eastAsia="Arial" w:cs="Arial"/>
      <w:snapToGrid w:val="0"/>
      <w:color w:val="000000"/>
      <w:sz w:val="21"/>
      <w:szCs w:val="21"/>
      <w:lang w:eastAsia="en-US"/>
    </w:rPr>
  </w:style>
  <w:style w:type="character" w:customStyle="1" w:styleId="42">
    <w:name w:val="正文文本 2 字符"/>
    <w:basedOn w:val="25"/>
    <w:link w:val="18"/>
    <w:qFormat/>
    <w:uiPriority w:val="0"/>
    <w:rPr>
      <w:rFonts w:ascii="Calibri" w:hAnsi="Calibri"/>
      <w:kern w:val="2"/>
      <w:sz w:val="21"/>
      <w:szCs w:val="22"/>
    </w:rPr>
  </w:style>
  <w:style w:type="character" w:customStyle="1" w:styleId="43">
    <w:name w:val="标题 1 字符"/>
    <w:basedOn w:val="25"/>
    <w:link w:val="2"/>
    <w:qFormat/>
    <w:uiPriority w:val="1"/>
    <w:rPr>
      <w:rFonts w:ascii="Microsoft JhengHei" w:hAnsi="Microsoft JhengHei" w:eastAsia="Microsoft JhengHei" w:cs="Microsoft JhengHei"/>
      <w:b/>
      <w:bCs/>
      <w:kern w:val="2"/>
      <w:sz w:val="32"/>
      <w:szCs w:val="32"/>
      <w:lang w:val="zh-CN" w:bidi="zh-CN"/>
    </w:rPr>
  </w:style>
  <w:style w:type="character" w:customStyle="1" w:styleId="44">
    <w:name w:val="标题 2 字符"/>
    <w:basedOn w:val="25"/>
    <w:link w:val="3"/>
    <w:qFormat/>
    <w:uiPriority w:val="0"/>
    <w:rPr>
      <w:rFonts w:ascii="Arial" w:hAnsi="Arial" w:eastAsia="黑体"/>
      <w:b/>
      <w:kern w:val="2"/>
      <w:sz w:val="32"/>
    </w:rPr>
  </w:style>
  <w:style w:type="character" w:customStyle="1" w:styleId="45">
    <w:name w:val="标题 3 字符"/>
    <w:basedOn w:val="25"/>
    <w:link w:val="4"/>
    <w:qFormat/>
    <w:uiPriority w:val="0"/>
    <w:rPr>
      <w:rFonts w:ascii="Calibri" w:hAnsi="Calibri"/>
      <w:b/>
      <w:bCs/>
      <w:kern w:val="2"/>
      <w:sz w:val="24"/>
      <w:szCs w:val="32"/>
    </w:rPr>
  </w:style>
  <w:style w:type="character" w:customStyle="1" w:styleId="46">
    <w:name w:val="标题 4 字符"/>
    <w:basedOn w:val="25"/>
    <w:link w:val="5"/>
    <w:qFormat/>
    <w:uiPriority w:val="0"/>
    <w:rPr>
      <w:rFonts w:ascii="Cambria" w:hAnsi="Cambria"/>
      <w:b/>
      <w:bCs/>
      <w:kern w:val="2"/>
      <w:sz w:val="24"/>
      <w:szCs w:val="28"/>
    </w:rPr>
  </w:style>
  <w:style w:type="character" w:customStyle="1" w:styleId="47">
    <w:name w:val="纯文本 字符"/>
    <w:basedOn w:val="25"/>
    <w:link w:val="12"/>
    <w:qFormat/>
    <w:uiPriority w:val="0"/>
    <w:rPr>
      <w:rFonts w:ascii="宋体" w:hAnsi="Calibri"/>
      <w:kern w:val="2"/>
      <w:sz w:val="21"/>
      <w:szCs w:val="21"/>
    </w:rPr>
  </w:style>
  <w:style w:type="character" w:customStyle="1" w:styleId="48">
    <w:name w:val="正文文本缩进 2 字符"/>
    <w:basedOn w:val="25"/>
    <w:link w:val="13"/>
    <w:qFormat/>
    <w:uiPriority w:val="0"/>
    <w:rPr>
      <w:rFonts w:ascii="Ari" w:hAnsi="Calibri"/>
      <w:kern w:val="2"/>
      <w:sz w:val="32"/>
    </w:rPr>
  </w:style>
  <w:style w:type="character" w:customStyle="1" w:styleId="49">
    <w:name w:val="批注框文本 字符"/>
    <w:basedOn w:val="25"/>
    <w:link w:val="14"/>
    <w:qFormat/>
    <w:uiPriority w:val="0"/>
    <w:rPr>
      <w:rFonts w:ascii="Calibri" w:hAnsi="Calibri"/>
      <w:kern w:val="2"/>
      <w:sz w:val="18"/>
      <w:szCs w:val="18"/>
    </w:rPr>
  </w:style>
  <w:style w:type="paragraph" w:customStyle="1" w:styleId="50">
    <w:name w:val="表格文字"/>
    <w:basedOn w:val="1"/>
    <w:next w:val="9"/>
    <w:qFormat/>
    <w:uiPriority w:val="0"/>
    <w:pPr>
      <w:widowControl w:val="0"/>
      <w:kinsoku/>
      <w:autoSpaceDE/>
      <w:autoSpaceDN/>
      <w:snapToGrid/>
      <w:spacing w:line="420" w:lineRule="atLeast"/>
      <w:jc w:val="both"/>
    </w:pPr>
    <w:rPr>
      <w:rFonts w:ascii="Calibri" w:hAnsi="Calibri" w:eastAsia="宋体" w:cs="Times New Roman"/>
      <w:snapToGrid/>
      <w:color w:val="auto"/>
      <w:szCs w:val="22"/>
      <w:lang w:eastAsia="zh-CN"/>
    </w:rPr>
  </w:style>
  <w:style w:type="paragraph" w:customStyle="1" w:styleId="51">
    <w:name w:val="列出段落1"/>
    <w:basedOn w:val="1"/>
    <w:qFormat/>
    <w:uiPriority w:val="99"/>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character" w:customStyle="1" w:styleId="52">
    <w:name w:val="font151"/>
    <w:basedOn w:val="25"/>
    <w:qFormat/>
    <w:uiPriority w:val="0"/>
    <w:rPr>
      <w:rFonts w:hint="eastAsia" w:ascii="宋体" w:hAnsi="宋体" w:eastAsia="宋体" w:cs="宋体"/>
      <w:color w:val="000000"/>
      <w:sz w:val="24"/>
      <w:szCs w:val="24"/>
      <w:u w:val="none"/>
    </w:rPr>
  </w:style>
  <w:style w:type="character" w:customStyle="1" w:styleId="53">
    <w:name w:val="font131"/>
    <w:basedOn w:val="25"/>
    <w:qFormat/>
    <w:uiPriority w:val="0"/>
    <w:rPr>
      <w:rFonts w:hint="eastAsia" w:ascii="楷体" w:hAnsi="楷体" w:eastAsia="楷体" w:cs="楷体"/>
      <w:color w:val="000000"/>
      <w:sz w:val="24"/>
      <w:szCs w:val="24"/>
      <w:u w:val="none"/>
    </w:rPr>
  </w:style>
  <w:style w:type="character" w:customStyle="1" w:styleId="54">
    <w:name w:val="font161"/>
    <w:basedOn w:val="25"/>
    <w:qFormat/>
    <w:uiPriority w:val="0"/>
    <w:rPr>
      <w:rFonts w:hint="eastAsia" w:ascii="楷体" w:hAnsi="楷体" w:eastAsia="楷体" w:cs="楷体"/>
      <w:color w:val="000000"/>
      <w:sz w:val="24"/>
      <w:szCs w:val="24"/>
      <w:u w:val="none"/>
    </w:rPr>
  </w:style>
  <w:style w:type="paragraph" w:customStyle="1" w:styleId="55">
    <w:name w:val="TOC 标题1"/>
    <w:basedOn w:val="2"/>
    <w:next w:val="1"/>
    <w:qFormat/>
    <w:uiPriority w:val="0"/>
    <w:pPr>
      <w:spacing w:before="480" w:line="276" w:lineRule="auto"/>
      <w:outlineLvl w:val="9"/>
    </w:pPr>
    <w:rPr>
      <w:rFonts w:ascii="仿宋" w:hAnsi="仿宋" w:eastAsia="仿宋" w:cs="Times New Roman"/>
      <w:color w:val="000000"/>
      <w:kern w:val="0"/>
    </w:rPr>
  </w:style>
  <w:style w:type="character" w:customStyle="1" w:styleId="56">
    <w:name w:val="hover15"/>
    <w:basedOn w:val="25"/>
    <w:qFormat/>
    <w:uiPriority w:val="0"/>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无间隔1"/>
    <w:basedOn w:val="1"/>
    <w:qFormat/>
    <w:uiPriority w:val="0"/>
    <w:pPr>
      <w:widowControl w:val="0"/>
      <w:kinsoku/>
      <w:autoSpaceDE/>
      <w:autoSpaceDN/>
      <w:adjustRightInd/>
      <w:snapToGrid/>
      <w:spacing w:line="400" w:lineRule="exact"/>
      <w:jc w:val="both"/>
      <w:textAlignment w:val="auto"/>
    </w:pPr>
    <w:rPr>
      <w:rFonts w:ascii="Times New Roman" w:hAnsi="Times New Roman" w:eastAsia="宋体" w:cs="Times New Roman"/>
      <w:snapToGrid/>
      <w:kern w:val="2"/>
      <w:sz w:val="24"/>
      <w:szCs w:val="28"/>
      <w:lang w:eastAsia="zh-CN"/>
    </w:rPr>
  </w:style>
  <w:style w:type="paragraph" w:styleId="59">
    <w:name w:val="List Paragraph"/>
    <w:basedOn w:val="1"/>
    <w:qFormat/>
    <w:uiPriority w:val="1"/>
    <w:pPr>
      <w:widowControl w:val="0"/>
      <w:kinsoku/>
      <w:autoSpaceDE/>
      <w:autoSpaceDN/>
      <w:adjustRightInd/>
      <w:snapToGrid/>
      <w:ind w:left="1077" w:hanging="421"/>
      <w:jc w:val="both"/>
      <w:textAlignment w:val="auto"/>
    </w:pPr>
    <w:rPr>
      <w:rFonts w:ascii="宋体" w:hAnsi="宋体" w:eastAsia="宋体" w:cs="宋体"/>
      <w:snapToGrid/>
      <w:color w:val="auto"/>
      <w:kern w:val="2"/>
      <w:szCs w:val="22"/>
      <w:lang w:val="zh-CN" w:eastAsia="zh-CN" w:bidi="zh-CN"/>
    </w:rPr>
  </w:style>
  <w:style w:type="paragraph" w:customStyle="1" w:styleId="60">
    <w:name w:val="Table Paragraph"/>
    <w:basedOn w:val="1"/>
    <w:qFormat/>
    <w:uiPriority w:val="1"/>
    <w:pPr>
      <w:widowControl w:val="0"/>
      <w:kinsoku/>
      <w:autoSpaceDE/>
      <w:autoSpaceDN/>
      <w:adjustRightInd/>
      <w:snapToGrid/>
      <w:jc w:val="both"/>
      <w:textAlignment w:val="auto"/>
    </w:pPr>
    <w:rPr>
      <w:rFonts w:ascii="Calibri" w:hAnsi="Calibri" w:eastAsia="宋体" w:cs="Times New Roman"/>
      <w:snapToGrid/>
      <w:color w:val="auto"/>
      <w:kern w:val="2"/>
      <w:szCs w:val="22"/>
      <w:lang w:eastAsia="zh-CN"/>
    </w:rPr>
  </w:style>
  <w:style w:type="paragraph" w:customStyle="1" w:styleId="61">
    <w:name w:val="文档正文"/>
    <w:basedOn w:val="1"/>
    <w:qFormat/>
    <w:uiPriority w:val="0"/>
    <w:pPr>
      <w:widowControl w:val="0"/>
      <w:kinsoku/>
      <w:autoSpaceDE/>
      <w:autoSpaceDN/>
      <w:snapToGrid/>
      <w:spacing w:line="480" w:lineRule="atLeast"/>
      <w:ind w:firstLine="567"/>
      <w:jc w:val="both"/>
    </w:pPr>
    <w:rPr>
      <w:rFonts w:ascii="仿宋_GB2312" w:hAnsi="Calibri" w:eastAsia="仿宋_GB2312" w:cs="Times New Roman"/>
      <w:snapToGrid/>
      <w:color w:val="auto"/>
      <w:sz w:val="28"/>
      <w:szCs w:val="20"/>
      <w:lang w:eastAsia="zh-CN"/>
    </w:rPr>
  </w:style>
  <w:style w:type="paragraph" w:customStyle="1" w:styleId="62">
    <w:name w:val="正文_5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63">
    <w:name w:val="font101"/>
    <w:basedOn w:val="25"/>
    <w:qFormat/>
    <w:uiPriority w:val="0"/>
    <w:rPr>
      <w:rFonts w:hint="default" w:ascii="等线" w:hAnsi="等线" w:eastAsia="等线" w:cs="等线"/>
      <w:color w:val="000000"/>
      <w:sz w:val="20"/>
      <w:szCs w:val="20"/>
      <w:u w:val="none"/>
    </w:rPr>
  </w:style>
  <w:style w:type="character" w:customStyle="1" w:styleId="64">
    <w:name w:val="font01"/>
    <w:basedOn w:val="25"/>
    <w:qFormat/>
    <w:uiPriority w:val="0"/>
    <w:rPr>
      <w:rFonts w:hint="default" w:ascii="等线" w:hAnsi="等线" w:eastAsia="等线" w:cs="等线"/>
      <w:color w:val="FF0000"/>
      <w:sz w:val="20"/>
      <w:szCs w:val="20"/>
      <w:u w:val="none"/>
    </w:rPr>
  </w:style>
  <w:style w:type="character" w:customStyle="1" w:styleId="65">
    <w:name w:val="页脚 字符"/>
    <w:basedOn w:val="25"/>
    <w:link w:val="15"/>
    <w:qFormat/>
    <w:uiPriority w:val="99"/>
    <w:rPr>
      <w:rFonts w:ascii="Tahoma" w:hAnsi="Tahoma" w:eastAsia="Arial" w:cs="Arial"/>
      <w:snapToGrid w:val="0"/>
      <w:color w:val="000000"/>
      <w:kern w:val="2"/>
      <w:sz w:val="18"/>
      <w:szCs w:val="18"/>
      <w:lang w:eastAsia="en-US"/>
    </w:rPr>
  </w:style>
  <w:style w:type="character" w:customStyle="1" w:styleId="66">
    <w:name w:val="页眉 字符"/>
    <w:basedOn w:val="25"/>
    <w:link w:val="16"/>
    <w:qFormat/>
    <w:uiPriority w:val="0"/>
    <w:rPr>
      <w:rFonts w:ascii="Tahoma" w:hAnsi="Tahoma" w:eastAsia="Arial" w:cs="Arial"/>
      <w:snapToGrid w:val="0"/>
      <w:color w:val="000000"/>
      <w:kern w:val="2"/>
      <w:sz w:val="18"/>
      <w:szCs w:val="18"/>
      <w:lang w:eastAsia="en-US"/>
    </w:rPr>
  </w:style>
  <w:style w:type="character" w:customStyle="1" w:styleId="67">
    <w:name w:val="批注文字 字符"/>
    <w:basedOn w:val="25"/>
    <w:link w:val="8"/>
    <w:qFormat/>
    <w:uiPriority w:val="0"/>
    <w:rPr>
      <w:rFonts w:ascii="Arial" w:hAnsi="Arial" w:eastAsia="Arial" w:cs="Arial"/>
      <w:snapToGrid w:val="0"/>
      <w:color w:val="000000"/>
      <w:sz w:val="21"/>
      <w:szCs w:val="21"/>
      <w:lang w:eastAsia="en-US"/>
    </w:rPr>
  </w:style>
  <w:style w:type="character" w:customStyle="1" w:styleId="68">
    <w:name w:val="first-child"/>
    <w:basedOn w:val="25"/>
    <w:qFormat/>
    <w:uiPriority w:val="0"/>
  </w:style>
  <w:style w:type="character" w:customStyle="1" w:styleId="69">
    <w:name w:val="first-child1"/>
    <w:basedOn w:val="25"/>
    <w:qFormat/>
    <w:uiPriority w:val="0"/>
  </w:style>
  <w:style w:type="character" w:customStyle="1" w:styleId="70">
    <w:name w:val="nth-child(n+2)"/>
    <w:basedOn w:val="25"/>
    <w:qFormat/>
    <w:uiPriority w:val="0"/>
  </w:style>
  <w:style w:type="character" w:customStyle="1" w:styleId="71">
    <w:name w:val="layui-layer-tabnow"/>
    <w:basedOn w:val="25"/>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26034</Words>
  <Characters>27877</Characters>
  <Lines>221</Lines>
  <Paragraphs>62</Paragraphs>
  <TotalTime>0</TotalTime>
  <ScaleCrop>false</ScaleCrop>
  <LinksUpToDate>false</LinksUpToDate>
  <CharactersWithSpaces>28768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happy杨</cp:lastModifiedBy>
  <dcterms:modified xsi:type="dcterms:W3CDTF">2024-08-19T12:52:44Z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2052-12.1.0.15990</vt:lpwstr>
  </property>
  <property fmtid="{D5CDD505-2E9C-101B-9397-08002B2CF9AE}" pid="5" name="ICV">
    <vt:lpwstr>8DC1B6AC3E51449489DD02ED1E885BF7_12</vt:lpwstr>
  </property>
</Properties>
</file>