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p>
    <w:p>
      <w:pPr>
        <w:jc w:val="center"/>
        <w:rPr>
          <w:rFonts w:hint="eastAsia" w:ascii="黑体" w:hAnsi="黑体" w:eastAsia="黑体"/>
          <w:b/>
          <w:sz w:val="32"/>
          <w:szCs w:val="32"/>
          <w:lang w:eastAsia="zh-CN"/>
        </w:rPr>
      </w:pPr>
      <w:r>
        <w:rPr>
          <w:rFonts w:hint="eastAsia" w:ascii="黑体" w:hAnsi="黑体" w:eastAsia="黑体"/>
          <w:b/>
          <w:sz w:val="32"/>
          <w:szCs w:val="32"/>
          <w:lang w:eastAsia="zh-CN"/>
        </w:rPr>
        <w:t>荥阳市机关事务中心购置荥阳市人民武装部搬迁设施项目</w:t>
      </w:r>
    </w:p>
    <w:p>
      <w:pPr>
        <w:pStyle w:val="38"/>
        <w:spacing w:line="400" w:lineRule="exact"/>
        <w:ind w:firstLine="2570" w:firstLineChars="800"/>
        <w:rPr>
          <w:b/>
          <w:bCs/>
          <w:sz w:val="32"/>
          <w:szCs w:val="32"/>
        </w:rPr>
      </w:pPr>
    </w:p>
    <w:p>
      <w:pPr>
        <w:pStyle w:val="38"/>
        <w:spacing w:line="400" w:lineRule="exact"/>
        <w:ind w:firstLine="2570" w:firstLineChars="800"/>
        <w:rPr>
          <w:b/>
          <w:bCs/>
          <w:sz w:val="32"/>
          <w:szCs w:val="32"/>
        </w:rPr>
      </w:pPr>
    </w:p>
    <w:p>
      <w:pPr>
        <w:pStyle w:val="38"/>
        <w:spacing w:line="400" w:lineRule="exact"/>
        <w:ind w:firstLine="2570" w:firstLineChars="800"/>
        <w:rPr>
          <w:rFonts w:hint="default" w:eastAsia="宋体"/>
          <w:b/>
          <w:bCs/>
          <w:sz w:val="32"/>
          <w:szCs w:val="32"/>
          <w:lang w:val="en-US" w:eastAsia="zh-CN"/>
        </w:rPr>
      </w:pPr>
      <w:r>
        <w:rPr>
          <w:rFonts w:hint="eastAsia"/>
          <w:b/>
          <w:bCs/>
          <w:sz w:val="32"/>
          <w:szCs w:val="32"/>
        </w:rPr>
        <w:t>项目编号：荥财公开-2024-</w:t>
      </w:r>
      <w:r>
        <w:rPr>
          <w:rFonts w:hint="eastAsia"/>
          <w:b/>
          <w:bCs/>
          <w:sz w:val="32"/>
          <w:szCs w:val="32"/>
          <w:lang w:val="en-US" w:eastAsia="zh-CN"/>
        </w:rPr>
        <w:t>15</w:t>
      </w:r>
    </w:p>
    <w:p>
      <w:pPr>
        <w:rPr>
          <w:rFonts w:ascii="宋体" w:hAnsi="宋体"/>
          <w:b/>
          <w:sz w:val="28"/>
        </w:rPr>
      </w:pPr>
    </w:p>
    <w:p>
      <w:pPr>
        <w:jc w:val="center"/>
        <w:rPr>
          <w:rFonts w:ascii="黑体" w:hAnsi="黑体" w:eastAsia="黑体"/>
          <w:b/>
          <w:sz w:val="72"/>
          <w:szCs w:val="72"/>
        </w:rPr>
      </w:pPr>
    </w:p>
    <w:p>
      <w:pPr>
        <w:jc w:val="center"/>
        <w:rPr>
          <w:rFonts w:ascii="黑体" w:hAnsi="黑体" w:eastAsia="黑体"/>
          <w:b/>
          <w:sz w:val="72"/>
          <w:szCs w:val="72"/>
        </w:rPr>
      </w:pPr>
      <w:r>
        <w:rPr>
          <w:rFonts w:hint="eastAsia" w:ascii="黑体" w:hAnsi="黑体" w:eastAsia="黑体"/>
          <w:b/>
          <w:sz w:val="72"/>
          <w:szCs w:val="72"/>
        </w:rPr>
        <w:t>招 标 文 件</w:t>
      </w:r>
    </w:p>
    <w:p>
      <w:pPr>
        <w:jc w:val="center"/>
        <w:rPr>
          <w:rFonts w:ascii="宋体" w:hAnsi="宋体"/>
          <w:b/>
          <w:sz w:val="28"/>
          <w:szCs w:val="30"/>
        </w:rPr>
      </w:pPr>
    </w:p>
    <w:p>
      <w:pPr>
        <w:jc w:val="center"/>
        <w:rPr>
          <w:rFonts w:ascii="宋体" w:hAnsi="宋体"/>
          <w:b/>
          <w:sz w:val="28"/>
          <w:szCs w:val="30"/>
        </w:rPr>
      </w:pPr>
    </w:p>
    <w:p>
      <w:pPr>
        <w:widowControl/>
        <w:spacing w:line="360" w:lineRule="auto"/>
        <w:ind w:right="283" w:rightChars="135"/>
        <w:jc w:val="center"/>
        <w:rPr>
          <w:rFonts w:ascii="仿宋_GB2312" w:eastAsia="仿宋_GB2312"/>
          <w:b/>
          <w:bCs/>
          <w:spacing w:val="-20"/>
          <w:sz w:val="28"/>
          <w:szCs w:val="28"/>
        </w:rPr>
      </w:pPr>
    </w:p>
    <w:p>
      <w:pPr>
        <w:widowControl/>
        <w:spacing w:line="360" w:lineRule="auto"/>
        <w:rPr>
          <w:rFonts w:ascii="仿宋_GB2312" w:eastAsia="仿宋_GB2312"/>
          <w:sz w:val="44"/>
          <w:szCs w:val="44"/>
        </w:rPr>
      </w:pPr>
    </w:p>
    <w:p>
      <w:pPr>
        <w:widowControl/>
        <w:spacing w:line="600" w:lineRule="auto"/>
        <w:ind w:firstLine="2168" w:firstLineChars="600"/>
        <w:rPr>
          <w:rFonts w:ascii="宋体" w:hAnsi="宋体"/>
          <w:b/>
          <w:sz w:val="36"/>
          <w:szCs w:val="36"/>
        </w:rPr>
      </w:pPr>
    </w:p>
    <w:p>
      <w:pPr>
        <w:widowControl/>
        <w:spacing w:line="600" w:lineRule="auto"/>
        <w:ind w:firstLine="2168" w:firstLineChars="600"/>
        <w:rPr>
          <w:rFonts w:ascii="宋体" w:hAnsi="宋体"/>
          <w:b/>
          <w:sz w:val="36"/>
          <w:szCs w:val="36"/>
        </w:rPr>
      </w:pPr>
    </w:p>
    <w:p>
      <w:pPr>
        <w:widowControl/>
        <w:spacing w:line="600" w:lineRule="auto"/>
        <w:ind w:firstLine="1928" w:firstLineChars="600"/>
        <w:rPr>
          <w:rFonts w:ascii="宋体" w:hAnsi="宋体"/>
          <w:b/>
          <w:sz w:val="32"/>
          <w:szCs w:val="32"/>
        </w:rPr>
      </w:pPr>
    </w:p>
    <w:p>
      <w:pPr>
        <w:widowControl/>
        <w:spacing w:line="600" w:lineRule="auto"/>
        <w:ind w:firstLine="1928" w:firstLineChars="600"/>
        <w:rPr>
          <w:rFonts w:ascii="宋体" w:hAnsi="宋体"/>
          <w:b/>
          <w:sz w:val="32"/>
          <w:szCs w:val="32"/>
        </w:rPr>
      </w:pPr>
      <w:r>
        <w:rPr>
          <w:rFonts w:hint="eastAsia" w:ascii="宋体" w:hAnsi="宋体"/>
          <w:b/>
          <w:sz w:val="32"/>
          <w:szCs w:val="32"/>
        </w:rPr>
        <w:t>采购单位：</w:t>
      </w:r>
      <w:r>
        <w:rPr>
          <w:rFonts w:hint="eastAsia" w:ascii="宋体" w:hAnsi="宋体"/>
          <w:b/>
          <w:sz w:val="32"/>
          <w:szCs w:val="32"/>
          <w:lang w:eastAsia="zh-CN"/>
        </w:rPr>
        <w:t>荥阳市机关事务中心</w:t>
      </w:r>
      <w:r>
        <w:rPr>
          <w:rFonts w:hint="eastAsia" w:ascii="宋体" w:hAnsi="宋体"/>
          <w:b/>
          <w:sz w:val="32"/>
          <w:szCs w:val="32"/>
        </w:rPr>
        <w:t xml:space="preserve"> </w:t>
      </w:r>
    </w:p>
    <w:p>
      <w:pPr>
        <w:widowControl/>
        <w:spacing w:line="600" w:lineRule="auto"/>
        <w:ind w:firstLine="1928" w:firstLineChars="600"/>
        <w:rPr>
          <w:rFonts w:hint="eastAsia" w:ascii="宋体" w:hAnsi="宋体" w:eastAsia="宋体"/>
          <w:b/>
          <w:sz w:val="32"/>
          <w:szCs w:val="32"/>
          <w:lang w:eastAsia="zh-CN"/>
        </w:rPr>
      </w:pPr>
      <w:r>
        <w:rPr>
          <w:rFonts w:hint="eastAsia" w:ascii="宋体" w:hAnsi="宋体"/>
          <w:b/>
          <w:sz w:val="32"/>
          <w:szCs w:val="32"/>
        </w:rPr>
        <w:t>代理机构：</w:t>
      </w:r>
      <w:r>
        <w:rPr>
          <w:rFonts w:hint="eastAsia" w:ascii="宋体" w:hAnsi="宋体"/>
          <w:b/>
          <w:sz w:val="32"/>
          <w:szCs w:val="32"/>
          <w:lang w:eastAsia="zh-CN"/>
        </w:rPr>
        <w:t>河南鹏轩工程管理有限公司</w:t>
      </w:r>
    </w:p>
    <w:p>
      <w:pPr>
        <w:spacing w:line="600" w:lineRule="auto"/>
        <w:ind w:firstLine="1928" w:firstLineChars="600"/>
        <w:rPr>
          <w:rFonts w:ascii="宋体" w:hAnsi="宋体"/>
          <w:b/>
          <w:sz w:val="32"/>
          <w:szCs w:val="32"/>
        </w:rPr>
        <w:sectPr>
          <w:headerReference r:id="rId3" w:type="default"/>
          <w:footerReference r:id="rId4" w:type="default"/>
          <w:pgSz w:w="11906" w:h="16838"/>
          <w:pgMar w:top="1418" w:right="1418" w:bottom="1418" w:left="1418" w:header="851" w:footer="992" w:gutter="0"/>
          <w:cols w:space="720" w:num="1"/>
          <w:docGrid w:type="lines" w:linePitch="312" w:charSpace="0"/>
        </w:sectPr>
      </w:pPr>
      <w:r>
        <w:rPr>
          <w:rFonts w:hint="eastAsia" w:ascii="宋体" w:hAnsi="宋体"/>
          <w:b/>
          <w:sz w:val="32"/>
          <w:szCs w:val="32"/>
        </w:rPr>
        <w:t>编制日期：二零二</w:t>
      </w:r>
      <w:r>
        <w:rPr>
          <w:rFonts w:hint="eastAsia" w:ascii="宋体" w:hAnsi="宋体"/>
          <w:b/>
          <w:sz w:val="32"/>
          <w:szCs w:val="32"/>
          <w:lang w:eastAsia="zh-CN"/>
        </w:rPr>
        <w:t>四</w:t>
      </w:r>
      <w:r>
        <w:rPr>
          <w:rFonts w:hint="eastAsia" w:ascii="宋体" w:hAnsi="宋体"/>
          <w:b/>
          <w:sz w:val="32"/>
          <w:szCs w:val="32"/>
        </w:rPr>
        <w:t>年</w:t>
      </w:r>
      <w:r>
        <w:rPr>
          <w:rFonts w:hint="eastAsia" w:ascii="宋体" w:hAnsi="宋体"/>
          <w:b/>
          <w:sz w:val="32"/>
          <w:szCs w:val="32"/>
          <w:lang w:eastAsia="zh-CN"/>
        </w:rPr>
        <w:t>五</w:t>
      </w:r>
      <w:r>
        <w:rPr>
          <w:rFonts w:hint="eastAsia" w:ascii="宋体" w:hAnsi="宋体"/>
          <w:b/>
          <w:sz w:val="32"/>
          <w:szCs w:val="32"/>
        </w:rPr>
        <w:t>月</w:t>
      </w:r>
    </w:p>
    <w:p>
      <w:pPr>
        <w:spacing w:line="360" w:lineRule="auto"/>
        <w:jc w:val="center"/>
        <w:rPr>
          <w:rFonts w:ascii="宋体" w:hAnsi="宋体"/>
          <w:b/>
          <w:sz w:val="36"/>
          <w:szCs w:val="36"/>
        </w:rPr>
      </w:pPr>
    </w:p>
    <w:p>
      <w:pPr>
        <w:spacing w:line="360" w:lineRule="auto"/>
        <w:jc w:val="center"/>
        <w:rPr>
          <w:rFonts w:ascii="宋体" w:hAnsi="宋体"/>
          <w:b/>
          <w:sz w:val="36"/>
          <w:szCs w:val="36"/>
        </w:rPr>
      </w:pPr>
      <w:r>
        <w:rPr>
          <w:rFonts w:hint="eastAsia" w:ascii="宋体" w:hAnsi="宋体"/>
          <w:b/>
          <w:sz w:val="36"/>
          <w:szCs w:val="36"/>
        </w:rPr>
        <w:t>目    录</w:t>
      </w:r>
    </w:p>
    <w:p>
      <w:pPr>
        <w:pStyle w:val="16"/>
        <w:tabs>
          <w:tab w:val="right" w:leader="dot" w:pos="9638"/>
        </w:tabs>
        <w:spacing w:line="480" w:lineRule="auto"/>
      </w:pPr>
      <w:r>
        <w:rPr>
          <w:rFonts w:hint="eastAsia" w:ascii="宋体" w:hAnsi="宋体" w:cs="宋体"/>
          <w:sz w:val="24"/>
        </w:rPr>
        <w:fldChar w:fldCharType="begin"/>
      </w:r>
      <w:r>
        <w:rPr>
          <w:rFonts w:hint="eastAsia" w:ascii="宋体" w:hAnsi="宋体" w:cs="宋体"/>
          <w:sz w:val="24"/>
        </w:rPr>
        <w:instrText xml:space="preserve">TOC \o "1-3" \h \u </w:instrText>
      </w:r>
      <w:r>
        <w:rPr>
          <w:rFonts w:hint="eastAsia" w:ascii="宋体" w:hAnsi="宋体" w:cs="宋体"/>
          <w:sz w:val="24"/>
        </w:rPr>
        <w:fldChar w:fldCharType="separate"/>
      </w:r>
      <w:r>
        <w:rPr>
          <w:rFonts w:hint="eastAsia" w:ascii="宋体" w:hAnsi="宋体" w:cs="宋体"/>
        </w:rPr>
        <w:fldChar w:fldCharType="begin"/>
      </w:r>
      <w:r>
        <w:rPr>
          <w:rFonts w:hint="eastAsia" w:ascii="宋体" w:hAnsi="宋体" w:cs="宋体"/>
        </w:rPr>
        <w:instrText xml:space="preserve"> HYPERLINK \l _Toc1214 </w:instrText>
      </w:r>
      <w:r>
        <w:rPr>
          <w:rFonts w:hint="eastAsia" w:ascii="宋体" w:hAnsi="宋体" w:cs="宋体"/>
        </w:rPr>
        <w:fldChar w:fldCharType="separate"/>
      </w:r>
      <w:r>
        <w:rPr>
          <w:rFonts w:hint="eastAsia"/>
        </w:rPr>
        <w:t>第一章 招标公告</w:t>
      </w:r>
      <w:r>
        <w:tab/>
      </w:r>
      <w:r>
        <w:fldChar w:fldCharType="begin"/>
      </w:r>
      <w:r>
        <w:instrText xml:space="preserve"> PAGEREF _Toc1214 </w:instrText>
      </w:r>
      <w:r>
        <w:fldChar w:fldCharType="separate"/>
      </w:r>
      <w:r>
        <w:t>3</w:t>
      </w:r>
      <w:r>
        <w:fldChar w:fldCharType="end"/>
      </w:r>
      <w:r>
        <w:rPr>
          <w:rFonts w:hint="eastAsia" w:ascii="宋体" w:hAnsi="宋体" w:cs="宋体"/>
        </w:rPr>
        <w:fldChar w:fldCharType="end"/>
      </w:r>
    </w:p>
    <w:p>
      <w:pPr>
        <w:pStyle w:val="16"/>
        <w:tabs>
          <w:tab w:val="right" w:leader="dot" w:pos="9638"/>
        </w:tabs>
        <w:spacing w:line="480" w:lineRule="auto"/>
      </w:pPr>
      <w:r>
        <w:rPr>
          <w:rFonts w:hint="eastAsia" w:ascii="宋体" w:hAnsi="宋体" w:eastAsia="宋体" w:cs="宋体"/>
        </w:rPr>
        <w:fldChar w:fldCharType="begin"/>
      </w:r>
      <w:r>
        <w:rPr>
          <w:rFonts w:hint="eastAsia" w:ascii="宋体" w:hAnsi="宋体" w:eastAsia="宋体" w:cs="宋体"/>
        </w:rPr>
        <w:instrText xml:space="preserve"> HYPERLINK \l _Toc8468 </w:instrText>
      </w:r>
      <w:r>
        <w:rPr>
          <w:rFonts w:hint="eastAsia" w:ascii="宋体" w:hAnsi="宋体" w:eastAsia="宋体" w:cs="宋体"/>
        </w:rPr>
        <w:fldChar w:fldCharType="separate"/>
      </w:r>
      <w:r>
        <w:rPr>
          <w:rFonts w:hint="eastAsia"/>
          <w:szCs w:val="30"/>
        </w:rPr>
        <w:t>第二章 投标人须知</w:t>
      </w:r>
      <w:r>
        <w:tab/>
      </w:r>
      <w:r>
        <w:fldChar w:fldCharType="begin"/>
      </w:r>
      <w:r>
        <w:instrText xml:space="preserve"> PAGEREF _Toc8468 </w:instrText>
      </w:r>
      <w:r>
        <w:fldChar w:fldCharType="separate"/>
      </w:r>
      <w:r>
        <w:t>7</w:t>
      </w:r>
      <w:r>
        <w:fldChar w:fldCharType="end"/>
      </w:r>
      <w:r>
        <w:rPr>
          <w:rFonts w:hint="eastAsia" w:ascii="宋体" w:hAnsi="宋体" w:eastAsia="宋体" w:cs="宋体"/>
        </w:rPr>
        <w:fldChar w:fldCharType="end"/>
      </w:r>
    </w:p>
    <w:p>
      <w:pPr>
        <w:pStyle w:val="16"/>
        <w:tabs>
          <w:tab w:val="right" w:leader="dot" w:pos="9638"/>
        </w:tabs>
        <w:spacing w:line="480" w:lineRule="auto"/>
      </w:pPr>
      <w:r>
        <w:rPr>
          <w:rFonts w:hint="eastAsia" w:ascii="宋体" w:hAnsi="宋体" w:eastAsia="宋体" w:cs="宋体"/>
        </w:rPr>
        <w:fldChar w:fldCharType="begin"/>
      </w:r>
      <w:r>
        <w:rPr>
          <w:rFonts w:hint="eastAsia" w:ascii="宋体" w:hAnsi="宋体" w:eastAsia="宋体" w:cs="宋体"/>
        </w:rPr>
        <w:instrText xml:space="preserve"> HYPERLINK \l _Toc23863 </w:instrText>
      </w:r>
      <w:r>
        <w:rPr>
          <w:rFonts w:hint="eastAsia" w:ascii="宋体" w:hAnsi="宋体" w:eastAsia="宋体" w:cs="宋体"/>
        </w:rPr>
        <w:fldChar w:fldCharType="separate"/>
      </w:r>
      <w:r>
        <w:rPr>
          <w:rFonts w:hint="eastAsia"/>
          <w:szCs w:val="30"/>
        </w:rPr>
        <w:t>第三章 评标办法（综合评估法）</w:t>
      </w:r>
      <w:r>
        <w:tab/>
      </w:r>
      <w:r>
        <w:fldChar w:fldCharType="begin"/>
      </w:r>
      <w:r>
        <w:instrText xml:space="preserve"> PAGEREF _Toc23863 </w:instrText>
      </w:r>
      <w:r>
        <w:fldChar w:fldCharType="separate"/>
      </w:r>
      <w:r>
        <w:t>25</w:t>
      </w:r>
      <w:r>
        <w:fldChar w:fldCharType="end"/>
      </w:r>
      <w:r>
        <w:rPr>
          <w:rFonts w:hint="eastAsia" w:ascii="宋体" w:hAnsi="宋体" w:eastAsia="宋体" w:cs="宋体"/>
        </w:rPr>
        <w:fldChar w:fldCharType="end"/>
      </w:r>
    </w:p>
    <w:p>
      <w:pPr>
        <w:pStyle w:val="16"/>
        <w:tabs>
          <w:tab w:val="right" w:leader="dot" w:pos="9638"/>
        </w:tabs>
        <w:spacing w:line="480" w:lineRule="auto"/>
      </w:pPr>
      <w:r>
        <w:rPr>
          <w:rFonts w:hint="eastAsia" w:ascii="宋体" w:hAnsi="宋体" w:eastAsia="宋体" w:cs="宋体"/>
        </w:rPr>
        <w:fldChar w:fldCharType="begin"/>
      </w:r>
      <w:r>
        <w:rPr>
          <w:rFonts w:hint="eastAsia" w:ascii="宋体" w:hAnsi="宋体" w:eastAsia="宋体" w:cs="宋体"/>
        </w:rPr>
        <w:instrText xml:space="preserve"> HYPERLINK \l _Toc30468 </w:instrText>
      </w:r>
      <w:r>
        <w:rPr>
          <w:rFonts w:hint="eastAsia" w:ascii="宋体" w:hAnsi="宋体" w:eastAsia="宋体" w:cs="宋体"/>
        </w:rPr>
        <w:fldChar w:fldCharType="separate"/>
      </w:r>
      <w:r>
        <w:rPr>
          <w:rFonts w:hint="eastAsia"/>
          <w:szCs w:val="30"/>
        </w:rPr>
        <w:t>第四章 合同条款及</w:t>
      </w:r>
      <w:r>
        <w:rPr>
          <w:rFonts w:hint="eastAsia"/>
          <w:szCs w:val="30"/>
          <w:highlight w:val="none"/>
        </w:rPr>
        <w:t>格式</w:t>
      </w:r>
      <w:r>
        <w:tab/>
      </w:r>
      <w:r>
        <w:fldChar w:fldCharType="begin"/>
      </w:r>
      <w:r>
        <w:instrText xml:space="preserve"> PAGEREF _Toc30468 </w:instrText>
      </w:r>
      <w:r>
        <w:fldChar w:fldCharType="separate"/>
      </w:r>
      <w:r>
        <w:t>30</w:t>
      </w:r>
      <w:r>
        <w:fldChar w:fldCharType="end"/>
      </w:r>
      <w:r>
        <w:rPr>
          <w:rFonts w:hint="eastAsia" w:ascii="宋体" w:hAnsi="宋体" w:eastAsia="宋体" w:cs="宋体"/>
        </w:rPr>
        <w:fldChar w:fldCharType="end"/>
      </w:r>
    </w:p>
    <w:p>
      <w:pPr>
        <w:pStyle w:val="16"/>
        <w:tabs>
          <w:tab w:val="right" w:leader="dot" w:pos="9638"/>
        </w:tabs>
        <w:spacing w:line="480" w:lineRule="auto"/>
      </w:pPr>
      <w:r>
        <w:rPr>
          <w:rFonts w:hint="eastAsia" w:ascii="宋体" w:hAnsi="宋体" w:eastAsia="宋体" w:cs="宋体"/>
        </w:rPr>
        <w:fldChar w:fldCharType="begin"/>
      </w:r>
      <w:r>
        <w:rPr>
          <w:rFonts w:hint="eastAsia" w:ascii="宋体" w:hAnsi="宋体" w:eastAsia="宋体" w:cs="宋体"/>
        </w:rPr>
        <w:instrText xml:space="preserve"> HYPERLINK \l _Toc10368 </w:instrText>
      </w:r>
      <w:r>
        <w:rPr>
          <w:rFonts w:hint="eastAsia" w:ascii="宋体" w:hAnsi="宋体" w:eastAsia="宋体" w:cs="宋体"/>
        </w:rPr>
        <w:fldChar w:fldCharType="separate"/>
      </w:r>
      <w:r>
        <w:rPr>
          <w:rFonts w:hint="eastAsia"/>
          <w:szCs w:val="30"/>
        </w:rPr>
        <w:t>第五章 技术参数</w:t>
      </w:r>
      <w:r>
        <w:tab/>
      </w:r>
      <w:r>
        <w:fldChar w:fldCharType="begin"/>
      </w:r>
      <w:r>
        <w:instrText xml:space="preserve"> PAGEREF _Toc10368 </w:instrText>
      </w:r>
      <w:r>
        <w:fldChar w:fldCharType="separate"/>
      </w:r>
      <w:r>
        <w:t>36</w:t>
      </w:r>
      <w:r>
        <w:fldChar w:fldCharType="end"/>
      </w:r>
      <w:r>
        <w:rPr>
          <w:rFonts w:hint="eastAsia" w:ascii="宋体" w:hAnsi="宋体" w:eastAsia="宋体" w:cs="宋体"/>
        </w:rPr>
        <w:fldChar w:fldCharType="end"/>
      </w:r>
    </w:p>
    <w:p>
      <w:pPr>
        <w:pStyle w:val="16"/>
        <w:tabs>
          <w:tab w:val="right" w:leader="dot" w:pos="9638"/>
        </w:tabs>
        <w:spacing w:line="480" w:lineRule="auto"/>
      </w:pPr>
      <w:r>
        <w:rPr>
          <w:rFonts w:hint="eastAsia" w:ascii="宋体" w:hAnsi="宋体" w:eastAsia="宋体" w:cs="宋体"/>
        </w:rPr>
        <w:fldChar w:fldCharType="begin"/>
      </w:r>
      <w:r>
        <w:rPr>
          <w:rFonts w:hint="eastAsia" w:ascii="宋体" w:hAnsi="宋体" w:eastAsia="宋体" w:cs="宋体"/>
        </w:rPr>
        <w:instrText xml:space="preserve"> HYPERLINK \l _Toc6038 </w:instrText>
      </w:r>
      <w:r>
        <w:rPr>
          <w:rFonts w:hint="eastAsia" w:ascii="宋体" w:hAnsi="宋体" w:eastAsia="宋体" w:cs="宋体"/>
        </w:rPr>
        <w:fldChar w:fldCharType="separate"/>
      </w:r>
      <w:r>
        <w:rPr>
          <w:rFonts w:hint="eastAsia"/>
          <w:szCs w:val="30"/>
        </w:rPr>
        <w:t>第六章  其他要求</w:t>
      </w:r>
      <w:r>
        <w:tab/>
      </w:r>
      <w:r>
        <w:fldChar w:fldCharType="begin"/>
      </w:r>
      <w:r>
        <w:instrText xml:space="preserve"> PAGEREF _Toc6038 </w:instrText>
      </w:r>
      <w:r>
        <w:fldChar w:fldCharType="separate"/>
      </w:r>
      <w:r>
        <w:t>36</w:t>
      </w:r>
      <w:r>
        <w:fldChar w:fldCharType="end"/>
      </w:r>
      <w:r>
        <w:rPr>
          <w:rFonts w:hint="eastAsia" w:ascii="宋体" w:hAnsi="宋体" w:eastAsia="宋体" w:cs="宋体"/>
        </w:rPr>
        <w:fldChar w:fldCharType="end"/>
      </w:r>
    </w:p>
    <w:p>
      <w:pPr>
        <w:pStyle w:val="16"/>
        <w:tabs>
          <w:tab w:val="right" w:leader="dot" w:pos="9638"/>
        </w:tabs>
        <w:spacing w:line="480" w:lineRule="auto"/>
      </w:pPr>
      <w:r>
        <w:rPr>
          <w:rFonts w:hint="eastAsia" w:ascii="宋体" w:hAnsi="宋体" w:eastAsia="宋体" w:cs="宋体"/>
        </w:rPr>
        <w:fldChar w:fldCharType="begin"/>
      </w:r>
      <w:r>
        <w:rPr>
          <w:rFonts w:hint="eastAsia" w:ascii="宋体" w:hAnsi="宋体" w:eastAsia="宋体" w:cs="宋体"/>
        </w:rPr>
        <w:instrText xml:space="preserve"> HYPERLINK \l _Toc32552 </w:instrText>
      </w:r>
      <w:r>
        <w:rPr>
          <w:rFonts w:hint="eastAsia" w:ascii="宋体" w:hAnsi="宋体" w:eastAsia="宋体" w:cs="宋体"/>
        </w:rPr>
        <w:fldChar w:fldCharType="separate"/>
      </w:r>
      <w:r>
        <w:rPr>
          <w:rFonts w:hint="eastAsia"/>
          <w:szCs w:val="30"/>
        </w:rPr>
        <w:t>第七章 投标文件格式</w:t>
      </w:r>
      <w:r>
        <w:tab/>
      </w:r>
      <w:r>
        <w:fldChar w:fldCharType="begin"/>
      </w:r>
      <w:r>
        <w:instrText xml:space="preserve"> PAGEREF _Toc32552 </w:instrText>
      </w:r>
      <w:r>
        <w:fldChar w:fldCharType="separate"/>
      </w:r>
      <w:r>
        <w:t>78</w:t>
      </w:r>
      <w:r>
        <w:fldChar w:fldCharType="end"/>
      </w:r>
      <w:r>
        <w:rPr>
          <w:rFonts w:hint="eastAsia" w:ascii="宋体" w:hAnsi="宋体" w:eastAsia="宋体" w:cs="宋体"/>
        </w:rPr>
        <w:fldChar w:fldCharType="end"/>
      </w:r>
    </w:p>
    <w:p>
      <w:pPr>
        <w:pStyle w:val="12"/>
        <w:tabs>
          <w:tab w:val="right" w:leader="dot" w:pos="9638"/>
        </w:tabs>
        <w:spacing w:line="480" w:lineRule="auto"/>
      </w:pPr>
      <w:r>
        <w:rPr>
          <w:rFonts w:hint="eastAsia" w:ascii="宋体" w:hAnsi="宋体" w:eastAsia="宋体" w:cs="宋体"/>
        </w:rPr>
        <w:fldChar w:fldCharType="begin"/>
      </w:r>
      <w:r>
        <w:rPr>
          <w:rFonts w:hint="eastAsia" w:ascii="宋体" w:hAnsi="宋体" w:eastAsia="宋体" w:cs="宋体"/>
        </w:rPr>
        <w:instrText xml:space="preserve"> HYPERLINK \l _Toc28393 </w:instrText>
      </w:r>
      <w:r>
        <w:rPr>
          <w:rFonts w:hint="eastAsia" w:ascii="宋体" w:hAnsi="宋体" w:eastAsia="宋体" w:cs="宋体"/>
        </w:rPr>
        <w:fldChar w:fldCharType="separate"/>
      </w:r>
      <w:r>
        <w:rPr>
          <w:rFonts w:hint="eastAsia" w:ascii="宋体" w:hAnsi="宋体" w:cs="宋体"/>
          <w:kern w:val="0"/>
        </w:rPr>
        <w:t xml:space="preserve"> 一、投标函及投标函附录</w:t>
      </w:r>
      <w:r>
        <w:tab/>
      </w:r>
      <w:r>
        <w:fldChar w:fldCharType="begin"/>
      </w:r>
      <w:r>
        <w:instrText xml:space="preserve"> PAGEREF _Toc28393 </w:instrText>
      </w:r>
      <w:r>
        <w:fldChar w:fldCharType="separate"/>
      </w:r>
      <w:r>
        <w:t>80</w:t>
      </w:r>
      <w:r>
        <w:fldChar w:fldCharType="end"/>
      </w:r>
      <w:r>
        <w:rPr>
          <w:rFonts w:hint="eastAsia" w:ascii="宋体" w:hAnsi="宋体" w:eastAsia="宋体" w:cs="宋体"/>
        </w:rPr>
        <w:fldChar w:fldCharType="end"/>
      </w:r>
    </w:p>
    <w:p>
      <w:pPr>
        <w:pStyle w:val="18"/>
        <w:tabs>
          <w:tab w:val="right" w:leader="dot" w:pos="9638"/>
        </w:tabs>
        <w:spacing w:line="480" w:lineRule="auto"/>
        <w:ind w:firstLine="420" w:firstLineChars="200"/>
      </w:pPr>
      <w:r>
        <w:rPr>
          <w:rFonts w:hint="eastAsia" w:ascii="宋体" w:hAnsi="宋体" w:eastAsia="宋体" w:cs="宋体"/>
        </w:rPr>
        <w:fldChar w:fldCharType="begin"/>
      </w:r>
      <w:r>
        <w:rPr>
          <w:rFonts w:hint="eastAsia" w:ascii="宋体" w:hAnsi="宋体" w:eastAsia="宋体" w:cs="宋体"/>
        </w:rPr>
        <w:instrText xml:space="preserve"> HYPERLINK \l _Toc16001 </w:instrText>
      </w:r>
      <w:r>
        <w:rPr>
          <w:rFonts w:hint="eastAsia" w:ascii="宋体" w:hAnsi="宋体" w:eastAsia="宋体" w:cs="宋体"/>
        </w:rPr>
        <w:fldChar w:fldCharType="separate"/>
      </w:r>
      <w:r>
        <w:rPr>
          <w:rFonts w:hint="eastAsia" w:ascii="宋体" w:hAnsi="宋体" w:eastAsia="宋体" w:cs="宋体"/>
        </w:rPr>
        <w:t>（二）投标函附表</w:t>
      </w:r>
      <w:r>
        <w:tab/>
      </w:r>
      <w:r>
        <w:fldChar w:fldCharType="begin"/>
      </w:r>
      <w:r>
        <w:instrText xml:space="preserve"> PAGEREF _Toc16001 </w:instrText>
      </w:r>
      <w:r>
        <w:fldChar w:fldCharType="separate"/>
      </w:r>
      <w:r>
        <w:t>82</w:t>
      </w:r>
      <w:r>
        <w:fldChar w:fldCharType="end"/>
      </w:r>
      <w:r>
        <w:rPr>
          <w:rFonts w:hint="eastAsia" w:ascii="宋体" w:hAnsi="宋体" w:eastAsia="宋体" w:cs="宋体"/>
        </w:rPr>
        <w:fldChar w:fldCharType="end"/>
      </w:r>
    </w:p>
    <w:p>
      <w:pPr>
        <w:pStyle w:val="12"/>
        <w:tabs>
          <w:tab w:val="right" w:leader="dot" w:pos="9638"/>
        </w:tabs>
        <w:spacing w:line="480" w:lineRule="auto"/>
      </w:pPr>
      <w:r>
        <w:rPr>
          <w:rFonts w:hint="eastAsia" w:ascii="宋体" w:hAnsi="宋体" w:eastAsia="宋体" w:cs="宋体"/>
        </w:rPr>
        <w:fldChar w:fldCharType="begin"/>
      </w:r>
      <w:r>
        <w:rPr>
          <w:rFonts w:hint="eastAsia" w:ascii="宋体" w:hAnsi="宋体" w:eastAsia="宋体" w:cs="宋体"/>
        </w:rPr>
        <w:instrText xml:space="preserve"> HYPERLINK \l _Toc30188 </w:instrText>
      </w:r>
      <w:r>
        <w:rPr>
          <w:rFonts w:hint="eastAsia" w:ascii="宋体" w:hAnsi="宋体" w:eastAsia="宋体" w:cs="宋体"/>
        </w:rPr>
        <w:fldChar w:fldCharType="separate"/>
      </w:r>
      <w:r>
        <w:rPr>
          <w:rFonts w:hint="eastAsia" w:ascii="宋体" w:hAnsi="宋体" w:cs="宋体"/>
          <w:kern w:val="0"/>
        </w:rPr>
        <w:t>二、法定代表人身份证明</w:t>
      </w:r>
      <w:r>
        <w:tab/>
      </w:r>
      <w:r>
        <w:fldChar w:fldCharType="begin"/>
      </w:r>
      <w:r>
        <w:instrText xml:space="preserve"> PAGEREF _Toc30188 </w:instrText>
      </w:r>
      <w:r>
        <w:fldChar w:fldCharType="separate"/>
      </w:r>
      <w:r>
        <w:t>83</w:t>
      </w:r>
      <w:r>
        <w:fldChar w:fldCharType="end"/>
      </w:r>
      <w:r>
        <w:rPr>
          <w:rFonts w:hint="eastAsia" w:ascii="宋体" w:hAnsi="宋体" w:eastAsia="宋体" w:cs="宋体"/>
        </w:rPr>
        <w:fldChar w:fldCharType="end"/>
      </w:r>
    </w:p>
    <w:p>
      <w:pPr>
        <w:pStyle w:val="12"/>
        <w:tabs>
          <w:tab w:val="right" w:leader="dot" w:pos="9638"/>
        </w:tabs>
        <w:spacing w:line="480" w:lineRule="auto"/>
      </w:pPr>
      <w:r>
        <w:rPr>
          <w:rFonts w:hint="eastAsia" w:ascii="宋体" w:hAnsi="宋体" w:eastAsia="宋体" w:cs="宋体"/>
        </w:rPr>
        <w:fldChar w:fldCharType="begin"/>
      </w:r>
      <w:r>
        <w:rPr>
          <w:rFonts w:hint="eastAsia" w:ascii="宋体" w:hAnsi="宋体" w:eastAsia="宋体" w:cs="宋体"/>
        </w:rPr>
        <w:instrText xml:space="preserve"> HYPERLINK \l _Toc24099 </w:instrText>
      </w:r>
      <w:r>
        <w:rPr>
          <w:rFonts w:hint="eastAsia" w:ascii="宋体" w:hAnsi="宋体" w:eastAsia="宋体" w:cs="宋体"/>
        </w:rPr>
        <w:fldChar w:fldCharType="separate"/>
      </w:r>
      <w:r>
        <w:rPr>
          <w:rFonts w:hint="eastAsia" w:ascii="宋体" w:hAnsi="宋体" w:cs="宋体"/>
          <w:kern w:val="0"/>
        </w:rPr>
        <w:t>三、授权委托书</w:t>
      </w:r>
      <w:r>
        <w:tab/>
      </w:r>
      <w:r>
        <w:fldChar w:fldCharType="begin"/>
      </w:r>
      <w:r>
        <w:instrText xml:space="preserve"> PAGEREF _Toc24099 </w:instrText>
      </w:r>
      <w:r>
        <w:fldChar w:fldCharType="separate"/>
      </w:r>
      <w:r>
        <w:t>84</w:t>
      </w:r>
      <w:r>
        <w:fldChar w:fldCharType="end"/>
      </w:r>
      <w:r>
        <w:rPr>
          <w:rFonts w:hint="eastAsia" w:ascii="宋体" w:hAnsi="宋体" w:eastAsia="宋体" w:cs="宋体"/>
        </w:rPr>
        <w:fldChar w:fldCharType="end"/>
      </w:r>
    </w:p>
    <w:p>
      <w:pPr>
        <w:pStyle w:val="12"/>
        <w:tabs>
          <w:tab w:val="right" w:leader="dot" w:pos="9638"/>
        </w:tabs>
        <w:spacing w:line="480" w:lineRule="auto"/>
      </w:pPr>
      <w:r>
        <w:rPr>
          <w:rFonts w:hint="eastAsia" w:ascii="宋体" w:hAnsi="宋体" w:eastAsia="宋体" w:cs="宋体"/>
        </w:rPr>
        <w:fldChar w:fldCharType="begin"/>
      </w:r>
      <w:r>
        <w:rPr>
          <w:rFonts w:hint="eastAsia" w:ascii="宋体" w:hAnsi="宋体" w:eastAsia="宋体" w:cs="宋体"/>
        </w:rPr>
        <w:instrText xml:space="preserve"> HYPERLINK \l _Toc20362 </w:instrText>
      </w:r>
      <w:r>
        <w:rPr>
          <w:rFonts w:hint="eastAsia" w:ascii="宋体" w:hAnsi="宋体" w:eastAsia="宋体" w:cs="宋体"/>
        </w:rPr>
        <w:fldChar w:fldCharType="separate"/>
      </w:r>
      <w:r>
        <w:rPr>
          <w:rFonts w:hint="eastAsia" w:ascii="宋体" w:hAnsi="宋体" w:cs="宋体"/>
          <w:kern w:val="0"/>
        </w:rPr>
        <w:t>四、报价明细表</w:t>
      </w:r>
      <w:r>
        <w:tab/>
      </w:r>
      <w:r>
        <w:fldChar w:fldCharType="begin"/>
      </w:r>
      <w:r>
        <w:instrText xml:space="preserve"> PAGEREF _Toc20362 </w:instrText>
      </w:r>
      <w:r>
        <w:fldChar w:fldCharType="separate"/>
      </w:r>
      <w:r>
        <w:t>85</w:t>
      </w:r>
      <w:r>
        <w:fldChar w:fldCharType="end"/>
      </w:r>
      <w:r>
        <w:rPr>
          <w:rFonts w:hint="eastAsia" w:ascii="宋体" w:hAnsi="宋体" w:eastAsia="宋体" w:cs="宋体"/>
        </w:rPr>
        <w:fldChar w:fldCharType="end"/>
      </w:r>
    </w:p>
    <w:p>
      <w:pPr>
        <w:pStyle w:val="12"/>
        <w:tabs>
          <w:tab w:val="right" w:leader="dot" w:pos="9638"/>
        </w:tabs>
        <w:spacing w:line="480" w:lineRule="auto"/>
      </w:pPr>
      <w:r>
        <w:rPr>
          <w:rFonts w:hint="eastAsia" w:ascii="宋体" w:hAnsi="宋体" w:eastAsia="宋体" w:cs="宋体"/>
        </w:rPr>
        <w:fldChar w:fldCharType="begin"/>
      </w:r>
      <w:r>
        <w:rPr>
          <w:rFonts w:hint="eastAsia" w:ascii="宋体" w:hAnsi="宋体" w:eastAsia="宋体" w:cs="宋体"/>
        </w:rPr>
        <w:instrText xml:space="preserve"> HYPERLINK \l _Toc12590 </w:instrText>
      </w:r>
      <w:r>
        <w:rPr>
          <w:rFonts w:hint="eastAsia" w:ascii="宋体" w:hAnsi="宋体" w:eastAsia="宋体" w:cs="宋体"/>
        </w:rPr>
        <w:fldChar w:fldCharType="separate"/>
      </w:r>
      <w:r>
        <w:rPr>
          <w:rFonts w:hint="eastAsia" w:ascii="宋体" w:hAnsi="宋体" w:cs="宋体"/>
          <w:kern w:val="0"/>
        </w:rPr>
        <w:t>五、资格审查资料</w:t>
      </w:r>
      <w:r>
        <w:tab/>
      </w:r>
      <w:r>
        <w:fldChar w:fldCharType="begin"/>
      </w:r>
      <w:r>
        <w:instrText xml:space="preserve"> PAGEREF _Toc12590 </w:instrText>
      </w:r>
      <w:r>
        <w:fldChar w:fldCharType="separate"/>
      </w:r>
      <w:r>
        <w:t>86</w:t>
      </w:r>
      <w:r>
        <w:fldChar w:fldCharType="end"/>
      </w:r>
      <w:r>
        <w:rPr>
          <w:rFonts w:hint="eastAsia" w:ascii="宋体" w:hAnsi="宋体" w:eastAsia="宋体" w:cs="宋体"/>
        </w:rPr>
        <w:fldChar w:fldCharType="end"/>
      </w:r>
    </w:p>
    <w:p>
      <w:pPr>
        <w:pStyle w:val="12"/>
        <w:tabs>
          <w:tab w:val="right" w:leader="dot" w:pos="9638"/>
        </w:tabs>
        <w:spacing w:line="480" w:lineRule="auto"/>
      </w:pPr>
      <w:r>
        <w:rPr>
          <w:rFonts w:hint="eastAsia" w:ascii="宋体" w:hAnsi="宋体" w:eastAsia="宋体" w:cs="宋体"/>
        </w:rPr>
        <w:fldChar w:fldCharType="begin"/>
      </w:r>
      <w:r>
        <w:rPr>
          <w:rFonts w:hint="eastAsia" w:ascii="宋体" w:hAnsi="宋体" w:eastAsia="宋体" w:cs="宋体"/>
        </w:rPr>
        <w:instrText xml:space="preserve"> HYPERLINK \l _Toc18966 </w:instrText>
      </w:r>
      <w:r>
        <w:rPr>
          <w:rFonts w:hint="eastAsia" w:ascii="宋体" w:hAnsi="宋体" w:eastAsia="宋体" w:cs="宋体"/>
        </w:rPr>
        <w:fldChar w:fldCharType="separate"/>
      </w:r>
      <w:r>
        <w:rPr>
          <w:rFonts w:hint="eastAsia" w:ascii="宋体" w:hAnsi="宋体" w:cs="宋体"/>
          <w:kern w:val="0"/>
        </w:rPr>
        <w:t>六、技术部分和综合部分</w:t>
      </w:r>
      <w:r>
        <w:tab/>
      </w:r>
      <w:r>
        <w:fldChar w:fldCharType="begin"/>
      </w:r>
      <w:r>
        <w:instrText xml:space="preserve"> PAGEREF _Toc18966 </w:instrText>
      </w:r>
      <w:r>
        <w:fldChar w:fldCharType="separate"/>
      </w:r>
      <w:r>
        <w:t>87</w:t>
      </w:r>
      <w:r>
        <w:fldChar w:fldCharType="end"/>
      </w:r>
      <w:r>
        <w:rPr>
          <w:rFonts w:hint="eastAsia" w:ascii="宋体" w:hAnsi="宋体" w:eastAsia="宋体" w:cs="宋体"/>
        </w:rPr>
        <w:fldChar w:fldCharType="end"/>
      </w:r>
    </w:p>
    <w:p>
      <w:pPr>
        <w:pStyle w:val="12"/>
        <w:tabs>
          <w:tab w:val="right" w:leader="dot" w:pos="9638"/>
        </w:tabs>
        <w:spacing w:line="480" w:lineRule="auto"/>
      </w:pPr>
      <w:r>
        <w:rPr>
          <w:rFonts w:hint="eastAsia" w:ascii="宋体" w:hAnsi="宋体" w:eastAsia="宋体" w:cs="宋体"/>
        </w:rPr>
        <w:fldChar w:fldCharType="begin"/>
      </w:r>
      <w:r>
        <w:rPr>
          <w:rFonts w:hint="eastAsia" w:ascii="宋体" w:hAnsi="宋体" w:eastAsia="宋体" w:cs="宋体"/>
        </w:rPr>
        <w:instrText xml:space="preserve"> HYPERLINK \l _Toc22863 </w:instrText>
      </w:r>
      <w:r>
        <w:rPr>
          <w:rFonts w:hint="eastAsia" w:ascii="宋体" w:hAnsi="宋体" w:eastAsia="宋体" w:cs="宋体"/>
        </w:rPr>
        <w:fldChar w:fldCharType="separate"/>
      </w:r>
      <w:r>
        <w:rPr>
          <w:rFonts w:hint="eastAsia" w:ascii="宋体" w:hAnsi="宋体" w:cs="宋体"/>
          <w:kern w:val="0"/>
        </w:rPr>
        <w:t>七、技术要求响应与偏差表</w:t>
      </w:r>
      <w:r>
        <w:tab/>
      </w:r>
      <w:r>
        <w:fldChar w:fldCharType="begin"/>
      </w:r>
      <w:r>
        <w:instrText xml:space="preserve"> PAGEREF _Toc22863 </w:instrText>
      </w:r>
      <w:r>
        <w:fldChar w:fldCharType="separate"/>
      </w:r>
      <w:r>
        <w:t>88</w:t>
      </w:r>
      <w:r>
        <w:fldChar w:fldCharType="end"/>
      </w:r>
      <w:r>
        <w:rPr>
          <w:rFonts w:hint="eastAsia" w:ascii="宋体" w:hAnsi="宋体" w:eastAsia="宋体" w:cs="宋体"/>
        </w:rPr>
        <w:fldChar w:fldCharType="end"/>
      </w:r>
    </w:p>
    <w:p>
      <w:pPr>
        <w:pStyle w:val="12"/>
        <w:tabs>
          <w:tab w:val="right" w:leader="dot" w:pos="9638"/>
        </w:tabs>
        <w:spacing w:line="480" w:lineRule="auto"/>
      </w:pPr>
      <w:r>
        <w:rPr>
          <w:rFonts w:hint="eastAsia" w:ascii="宋体" w:hAnsi="宋体" w:eastAsia="宋体" w:cs="宋体"/>
        </w:rPr>
        <w:fldChar w:fldCharType="begin"/>
      </w:r>
      <w:r>
        <w:rPr>
          <w:rFonts w:hint="eastAsia" w:ascii="宋体" w:hAnsi="宋体" w:eastAsia="宋体" w:cs="宋体"/>
        </w:rPr>
        <w:instrText xml:space="preserve"> HYPERLINK \l _Toc28653 </w:instrText>
      </w:r>
      <w:r>
        <w:rPr>
          <w:rFonts w:hint="eastAsia" w:ascii="宋体" w:hAnsi="宋体" w:eastAsia="宋体" w:cs="宋体"/>
        </w:rPr>
        <w:fldChar w:fldCharType="separate"/>
      </w:r>
      <w:r>
        <w:rPr>
          <w:rFonts w:hint="eastAsia" w:ascii="宋体" w:hAnsi="宋体" w:cs="宋体"/>
          <w:kern w:val="0"/>
          <w:lang w:eastAsia="zh-CN"/>
        </w:rPr>
        <w:t>八</w:t>
      </w:r>
      <w:r>
        <w:rPr>
          <w:rFonts w:hint="eastAsia" w:ascii="宋体" w:hAnsi="宋体" w:cs="宋体"/>
          <w:kern w:val="0"/>
        </w:rPr>
        <w:t>、反商业贿赂承诺书</w:t>
      </w:r>
      <w:r>
        <w:tab/>
      </w:r>
      <w:r>
        <w:fldChar w:fldCharType="begin"/>
      </w:r>
      <w:r>
        <w:instrText xml:space="preserve"> PAGEREF _Toc28653 </w:instrText>
      </w:r>
      <w:r>
        <w:fldChar w:fldCharType="separate"/>
      </w:r>
      <w:r>
        <w:t>89</w:t>
      </w:r>
      <w:r>
        <w:fldChar w:fldCharType="end"/>
      </w:r>
      <w:r>
        <w:rPr>
          <w:rFonts w:hint="eastAsia" w:ascii="宋体" w:hAnsi="宋体" w:eastAsia="宋体" w:cs="宋体"/>
        </w:rPr>
        <w:fldChar w:fldCharType="end"/>
      </w:r>
    </w:p>
    <w:p>
      <w:pPr>
        <w:pStyle w:val="12"/>
        <w:tabs>
          <w:tab w:val="right" w:leader="dot" w:pos="9638"/>
        </w:tabs>
        <w:spacing w:line="480" w:lineRule="auto"/>
      </w:pPr>
      <w:r>
        <w:rPr>
          <w:rFonts w:hint="eastAsia" w:ascii="宋体" w:hAnsi="宋体" w:eastAsia="宋体" w:cs="宋体"/>
        </w:rPr>
        <w:fldChar w:fldCharType="begin"/>
      </w:r>
      <w:r>
        <w:rPr>
          <w:rFonts w:hint="eastAsia" w:ascii="宋体" w:hAnsi="宋体" w:eastAsia="宋体" w:cs="宋体"/>
        </w:rPr>
        <w:instrText xml:space="preserve"> HYPERLINK \l _Toc15206 </w:instrText>
      </w:r>
      <w:r>
        <w:rPr>
          <w:rFonts w:hint="eastAsia" w:ascii="宋体" w:hAnsi="宋体" w:eastAsia="宋体" w:cs="宋体"/>
        </w:rPr>
        <w:fldChar w:fldCharType="separate"/>
      </w:r>
      <w:r>
        <w:rPr>
          <w:rFonts w:hint="eastAsia" w:ascii="宋体" w:hAnsi="宋体" w:cs="宋体"/>
          <w:kern w:val="0"/>
          <w:lang w:eastAsia="zh-CN"/>
        </w:rPr>
        <w:t>九</w:t>
      </w:r>
      <w:r>
        <w:rPr>
          <w:rFonts w:hint="eastAsia" w:ascii="宋体" w:hAnsi="宋体" w:cs="宋体"/>
          <w:kern w:val="0"/>
        </w:rPr>
        <w:t>、中小微企业声明函</w:t>
      </w:r>
      <w:r>
        <w:tab/>
      </w:r>
      <w:r>
        <w:fldChar w:fldCharType="begin"/>
      </w:r>
      <w:r>
        <w:instrText xml:space="preserve"> PAGEREF _Toc15206 </w:instrText>
      </w:r>
      <w:r>
        <w:fldChar w:fldCharType="separate"/>
      </w:r>
      <w:r>
        <w:t>90</w:t>
      </w:r>
      <w:r>
        <w:fldChar w:fldCharType="end"/>
      </w:r>
      <w:r>
        <w:rPr>
          <w:rFonts w:hint="eastAsia" w:ascii="宋体" w:hAnsi="宋体" w:eastAsia="宋体" w:cs="宋体"/>
        </w:rPr>
        <w:fldChar w:fldCharType="end"/>
      </w:r>
    </w:p>
    <w:p>
      <w:pPr>
        <w:pStyle w:val="12"/>
        <w:tabs>
          <w:tab w:val="right" w:leader="dot" w:pos="9638"/>
        </w:tabs>
        <w:spacing w:line="480" w:lineRule="auto"/>
      </w:pPr>
      <w:r>
        <w:rPr>
          <w:rFonts w:hint="eastAsia" w:ascii="宋体" w:hAnsi="宋体" w:eastAsia="宋体" w:cs="宋体"/>
        </w:rPr>
        <w:fldChar w:fldCharType="begin"/>
      </w:r>
      <w:r>
        <w:rPr>
          <w:rFonts w:hint="eastAsia" w:ascii="宋体" w:hAnsi="宋体" w:eastAsia="宋体" w:cs="宋体"/>
        </w:rPr>
        <w:instrText xml:space="preserve"> HYPERLINK \l _Toc22125 </w:instrText>
      </w:r>
      <w:r>
        <w:rPr>
          <w:rFonts w:hint="eastAsia" w:ascii="宋体" w:hAnsi="宋体" w:eastAsia="宋体" w:cs="宋体"/>
        </w:rPr>
        <w:fldChar w:fldCharType="separate"/>
      </w:r>
      <w:r>
        <w:rPr>
          <w:rFonts w:hint="eastAsia" w:ascii="宋体" w:hAnsi="宋体" w:cs="宋体"/>
          <w:kern w:val="0"/>
        </w:rPr>
        <w:t>十、残疾人福利性单位声明函</w:t>
      </w:r>
      <w:r>
        <w:tab/>
      </w:r>
      <w:r>
        <w:fldChar w:fldCharType="begin"/>
      </w:r>
      <w:r>
        <w:instrText xml:space="preserve"> PAGEREF _Toc22125 </w:instrText>
      </w:r>
      <w:r>
        <w:fldChar w:fldCharType="separate"/>
      </w:r>
      <w:r>
        <w:t>91</w:t>
      </w:r>
      <w:r>
        <w:fldChar w:fldCharType="end"/>
      </w:r>
      <w:r>
        <w:rPr>
          <w:rFonts w:hint="eastAsia" w:ascii="宋体" w:hAnsi="宋体" w:eastAsia="宋体" w:cs="宋体"/>
        </w:rPr>
        <w:fldChar w:fldCharType="end"/>
      </w:r>
    </w:p>
    <w:p>
      <w:pPr>
        <w:pStyle w:val="12"/>
        <w:tabs>
          <w:tab w:val="right" w:leader="dot" w:pos="9638"/>
        </w:tabs>
        <w:spacing w:line="480" w:lineRule="auto"/>
      </w:pPr>
      <w:r>
        <w:rPr>
          <w:rFonts w:hint="eastAsia" w:ascii="宋体" w:hAnsi="宋体" w:eastAsia="宋体" w:cs="宋体"/>
        </w:rPr>
        <w:fldChar w:fldCharType="begin"/>
      </w:r>
      <w:r>
        <w:rPr>
          <w:rFonts w:hint="eastAsia" w:ascii="宋体" w:hAnsi="宋体" w:eastAsia="宋体" w:cs="宋体"/>
        </w:rPr>
        <w:instrText xml:space="preserve"> HYPERLINK \l _Toc19117 </w:instrText>
      </w:r>
      <w:r>
        <w:rPr>
          <w:rFonts w:hint="eastAsia" w:ascii="宋体" w:hAnsi="宋体" w:eastAsia="宋体" w:cs="宋体"/>
        </w:rPr>
        <w:fldChar w:fldCharType="separate"/>
      </w:r>
      <w:r>
        <w:rPr>
          <w:rFonts w:hint="eastAsia" w:ascii="宋体" w:hAnsi="宋体" w:cs="宋体"/>
          <w:kern w:val="0"/>
        </w:rPr>
        <w:t>十</w:t>
      </w:r>
      <w:r>
        <w:rPr>
          <w:rFonts w:hint="eastAsia" w:ascii="宋体" w:hAnsi="宋体" w:cs="宋体"/>
          <w:kern w:val="0"/>
          <w:lang w:eastAsia="zh-CN"/>
        </w:rPr>
        <w:t>一</w:t>
      </w:r>
      <w:r>
        <w:rPr>
          <w:rFonts w:hint="eastAsia" w:ascii="宋体" w:hAnsi="宋体" w:cs="宋体"/>
          <w:kern w:val="0"/>
        </w:rPr>
        <w:t>、其他材料</w:t>
      </w:r>
      <w:r>
        <w:tab/>
      </w:r>
      <w:r>
        <w:fldChar w:fldCharType="begin"/>
      </w:r>
      <w:r>
        <w:instrText xml:space="preserve"> PAGEREF _Toc19117 </w:instrText>
      </w:r>
      <w:r>
        <w:fldChar w:fldCharType="separate"/>
      </w:r>
      <w:r>
        <w:t>92</w:t>
      </w:r>
      <w:r>
        <w:fldChar w:fldCharType="end"/>
      </w:r>
      <w:r>
        <w:rPr>
          <w:rFonts w:hint="eastAsia" w:ascii="宋体" w:hAnsi="宋体" w:eastAsia="宋体" w:cs="宋体"/>
        </w:rPr>
        <w:fldChar w:fldCharType="end"/>
      </w:r>
    </w:p>
    <w:p>
      <w:pPr>
        <w:pStyle w:val="9"/>
        <w:spacing w:line="480" w:lineRule="auto"/>
        <w:rPr>
          <w:rFonts w:ascii="宋体" w:hAnsi="宋体"/>
          <w:sz w:val="24"/>
        </w:rPr>
      </w:pPr>
      <w:r>
        <w:rPr>
          <w:rFonts w:hint="eastAsia" w:ascii="宋体" w:hAnsi="宋体" w:eastAsia="宋体" w:cs="宋体"/>
        </w:rPr>
        <w:fldChar w:fldCharType="end"/>
      </w:r>
      <w:r>
        <w:rPr>
          <w:rFonts w:ascii="宋体" w:hAnsi="宋体"/>
          <w:sz w:val="24"/>
        </w:rPr>
        <w:br w:type="page"/>
      </w:r>
      <w:bookmarkStart w:id="0" w:name="_Toc29490"/>
      <w:bookmarkStart w:id="1" w:name="_Toc7676"/>
      <w:bookmarkStart w:id="2" w:name="_Toc15496_WPSOffice_Level1"/>
      <w:bookmarkStart w:id="3" w:name="_Toc29168"/>
      <w:bookmarkStart w:id="4" w:name="_Toc1616"/>
      <w:bookmarkStart w:id="5" w:name="_Toc15455"/>
      <w:bookmarkStart w:id="6" w:name="_Toc472942890"/>
      <w:bookmarkStart w:id="7" w:name="_Toc30120"/>
      <w:bookmarkStart w:id="8" w:name="_Toc19602"/>
      <w:bookmarkStart w:id="9" w:name="_Toc16853"/>
      <w:bookmarkStart w:id="10" w:name="_Toc16303"/>
      <w:bookmarkStart w:id="11" w:name="_Toc14652"/>
      <w:bookmarkStart w:id="12" w:name="_Toc2973"/>
    </w:p>
    <w:p>
      <w:pPr>
        <w:pStyle w:val="3"/>
        <w:jc w:val="center"/>
      </w:pPr>
      <w:bookmarkStart w:id="13" w:name="_Toc22499"/>
      <w:bookmarkStart w:id="14" w:name="_Toc1023"/>
      <w:bookmarkStart w:id="15" w:name="_Toc9881"/>
      <w:bookmarkStart w:id="16" w:name="_Toc26413"/>
      <w:bookmarkStart w:id="17" w:name="_Toc30233"/>
      <w:bookmarkStart w:id="18" w:name="_Toc14887"/>
      <w:bookmarkStart w:id="19" w:name="_Toc1214"/>
      <w:bookmarkStart w:id="20" w:name="_Toc24409"/>
      <w:bookmarkStart w:id="21" w:name="_Toc4894"/>
      <w:bookmarkStart w:id="22" w:name="_Toc7635"/>
      <w:bookmarkStart w:id="23" w:name="_Toc3659"/>
      <w:bookmarkStart w:id="24" w:name="_Toc20170"/>
      <w:bookmarkStart w:id="25" w:name="_Toc12080"/>
      <w:r>
        <w:rPr>
          <w:rFonts w:hint="eastAsia"/>
        </w:rPr>
        <w:t>第一章 招标公告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jc w:val="center"/>
        <w:rPr>
          <w:rFonts w:hint="eastAsia" w:ascii="宋体" w:hAnsi="宋体" w:eastAsia="宋体"/>
          <w:b/>
          <w:sz w:val="32"/>
          <w:szCs w:val="32"/>
          <w:highlight w:val="none"/>
          <w:shd w:val="clear" w:color="auto" w:fill="FFFFFF"/>
          <w:lang w:eastAsia="zh-CN"/>
        </w:rPr>
      </w:pPr>
      <w:r>
        <w:rPr>
          <w:rFonts w:hint="eastAsia" w:ascii="宋体" w:hAnsi="宋体"/>
          <w:b/>
          <w:sz w:val="32"/>
          <w:szCs w:val="32"/>
          <w:highlight w:val="none"/>
          <w:shd w:val="clear" w:color="auto" w:fill="FFFFFF"/>
          <w:lang w:eastAsia="zh-CN"/>
        </w:rPr>
        <w:t>荥阳市机关事务中心购置荥阳市人民武装部搬迁设施项目</w:t>
      </w:r>
    </w:p>
    <w:p>
      <w:pPr>
        <w:jc w:val="center"/>
        <w:rPr>
          <w:rFonts w:ascii="宋体" w:hAnsi="宋体"/>
          <w:b/>
          <w:sz w:val="40"/>
          <w:shd w:val="clear" w:color="auto" w:fill="FFFFFF"/>
        </w:rPr>
      </w:pPr>
      <w:r>
        <w:rPr>
          <w:rFonts w:hint="eastAsia" w:ascii="宋体" w:hAnsi="宋体"/>
          <w:b/>
          <w:sz w:val="32"/>
          <w:szCs w:val="32"/>
          <w:shd w:val="clear" w:color="auto" w:fill="FFFFFF"/>
        </w:rPr>
        <w:t>公开招标</w:t>
      </w:r>
      <w:r>
        <w:rPr>
          <w:rFonts w:ascii="宋体" w:hAnsi="宋体"/>
          <w:b/>
          <w:sz w:val="32"/>
          <w:szCs w:val="32"/>
          <w:shd w:val="clear" w:color="auto" w:fill="FFFFFF"/>
        </w:rPr>
        <w:t>公告</w:t>
      </w:r>
    </w:p>
    <w:p>
      <w:pPr>
        <w:jc w:val="center"/>
        <w:rPr>
          <w:rFonts w:ascii="宋体" w:hAnsi="宋体"/>
          <w:bCs/>
          <w:sz w:val="24"/>
          <w:shd w:val="clear" w:color="auto" w:fill="FFFFFF"/>
        </w:rPr>
      </w:pPr>
    </w:p>
    <w:p>
      <w:pPr>
        <w:pStyle w:val="19"/>
        <w:spacing w:beforeAutospacing="0" w:afterAutospacing="0" w:line="384" w:lineRule="auto"/>
        <w:ind w:firstLine="482" w:firstLineChars="200"/>
        <w:rPr>
          <w:b/>
        </w:rPr>
      </w:pPr>
      <w:r>
        <w:rPr>
          <w:rFonts w:hint="eastAsia"/>
          <w:b/>
        </w:rPr>
        <w:t>项目概况</w:t>
      </w:r>
    </w:p>
    <w:p>
      <w:pPr>
        <w:pStyle w:val="19"/>
        <w:spacing w:beforeAutospacing="0" w:afterAutospacing="0" w:line="384" w:lineRule="auto"/>
        <w:ind w:firstLine="480" w:firstLineChars="200"/>
        <w:rPr>
          <w:bCs/>
        </w:rPr>
      </w:pPr>
      <w:r>
        <w:rPr>
          <w:rFonts w:hint="eastAsia"/>
          <w:bCs/>
          <w:lang w:eastAsia="zh-CN"/>
        </w:rPr>
        <w:t>荥阳市机关事务中心购置荥阳市人民武装部搬迁设施项目</w:t>
      </w:r>
      <w:r>
        <w:rPr>
          <w:rFonts w:hint="eastAsia"/>
          <w:bCs/>
        </w:rPr>
        <w:t>的潜在投标人应使用CA数字证书登录荥阳市公共资源交易中心网站获取招标文件，并于202</w:t>
      </w:r>
      <w:r>
        <w:rPr>
          <w:rFonts w:hint="eastAsia"/>
          <w:bCs/>
          <w:lang w:val="en-US" w:eastAsia="zh-CN"/>
        </w:rPr>
        <w:t>4</w:t>
      </w:r>
      <w:r>
        <w:rPr>
          <w:rFonts w:hint="eastAsia"/>
          <w:bCs/>
        </w:rPr>
        <w:t>年</w:t>
      </w:r>
      <w:r>
        <w:rPr>
          <w:rFonts w:hint="eastAsia"/>
          <w:bCs/>
          <w:lang w:val="en-US" w:eastAsia="zh-CN"/>
        </w:rPr>
        <w:t>6</w:t>
      </w:r>
      <w:r>
        <w:rPr>
          <w:rFonts w:hint="eastAsia"/>
          <w:bCs/>
        </w:rPr>
        <w:t>月</w:t>
      </w:r>
      <w:r>
        <w:rPr>
          <w:rFonts w:hint="eastAsia"/>
          <w:bCs/>
          <w:lang w:val="en-US" w:eastAsia="zh-CN"/>
        </w:rPr>
        <w:t>13</w:t>
      </w:r>
      <w:r>
        <w:rPr>
          <w:rFonts w:hint="eastAsia"/>
          <w:bCs/>
        </w:rPr>
        <w:t>日9时</w:t>
      </w:r>
      <w:r>
        <w:rPr>
          <w:rFonts w:hint="eastAsia"/>
          <w:bCs/>
          <w:lang w:val="en-US" w:eastAsia="zh-CN"/>
        </w:rPr>
        <w:t>00</w:t>
      </w:r>
      <w:r>
        <w:rPr>
          <w:rFonts w:hint="eastAsia"/>
          <w:bCs/>
        </w:rPr>
        <w:t>分（北京时间）前递交投标文件。</w:t>
      </w:r>
    </w:p>
    <w:p>
      <w:pPr>
        <w:pStyle w:val="19"/>
        <w:spacing w:beforeAutospacing="0" w:afterAutospacing="0" w:line="384" w:lineRule="auto"/>
      </w:pPr>
      <w:r>
        <w:rPr>
          <w:rFonts w:hint="eastAsia"/>
          <w:b/>
        </w:rPr>
        <w:t>一、项目基本情况</w:t>
      </w:r>
    </w:p>
    <w:p>
      <w:pPr>
        <w:pStyle w:val="19"/>
        <w:spacing w:beforeAutospacing="0" w:afterAutospacing="0" w:line="384" w:lineRule="auto"/>
        <w:ind w:firstLine="480" w:firstLineChars="200"/>
        <w:rPr>
          <w:rFonts w:hint="eastAsia"/>
        </w:rPr>
      </w:pPr>
      <w:r>
        <w:rPr>
          <w:rFonts w:hint="eastAsia"/>
        </w:rPr>
        <w:t>1.项目编号：荥财公开-2024-15</w:t>
      </w:r>
    </w:p>
    <w:p>
      <w:pPr>
        <w:pStyle w:val="19"/>
        <w:spacing w:beforeAutospacing="0" w:afterAutospacing="0" w:line="384" w:lineRule="auto"/>
        <w:ind w:firstLine="480" w:firstLineChars="200"/>
        <w:rPr>
          <w:rFonts w:hint="eastAsia" w:eastAsia="宋体"/>
          <w:lang w:eastAsia="zh-CN"/>
        </w:rPr>
      </w:pPr>
      <w:r>
        <w:rPr>
          <w:rFonts w:hint="eastAsia"/>
        </w:rPr>
        <w:t>2.项目名称：</w:t>
      </w:r>
      <w:r>
        <w:rPr>
          <w:rFonts w:hint="eastAsia"/>
          <w:lang w:eastAsia="zh-CN"/>
        </w:rPr>
        <w:t>荥阳市机关事务中心购置荥阳市人民武装部搬迁设施项目</w:t>
      </w:r>
    </w:p>
    <w:p>
      <w:pPr>
        <w:pStyle w:val="19"/>
        <w:spacing w:beforeAutospacing="0" w:afterAutospacing="0" w:line="384" w:lineRule="auto"/>
        <w:ind w:firstLine="480" w:firstLineChars="200"/>
      </w:pPr>
      <w:r>
        <w:rPr>
          <w:rFonts w:hint="eastAsia"/>
        </w:rPr>
        <w:t>3.采购方式：公开招标</w:t>
      </w:r>
    </w:p>
    <w:p>
      <w:pPr>
        <w:pStyle w:val="19"/>
        <w:spacing w:beforeAutospacing="0" w:afterAutospacing="0" w:line="384" w:lineRule="auto"/>
        <w:ind w:firstLine="480" w:firstLineChars="200"/>
      </w:pPr>
      <w:r>
        <w:rPr>
          <w:rFonts w:hint="eastAsia"/>
        </w:rPr>
        <w:t>4.预算金额：</w:t>
      </w:r>
      <w:r>
        <w:rPr>
          <w:rFonts w:hint="eastAsia"/>
          <w:lang w:val="en-US" w:eastAsia="zh-CN"/>
        </w:rPr>
        <w:t>2890000</w:t>
      </w:r>
      <w:r>
        <w:rPr>
          <w:rFonts w:hint="eastAsia"/>
        </w:rPr>
        <w:t>元</w:t>
      </w:r>
    </w:p>
    <w:p>
      <w:pPr>
        <w:pStyle w:val="19"/>
        <w:spacing w:beforeAutospacing="0" w:afterAutospacing="0" w:line="384" w:lineRule="auto"/>
        <w:ind w:firstLine="720" w:firstLineChars="300"/>
        <w:rPr>
          <w:highlight w:val="none"/>
        </w:rPr>
      </w:pPr>
      <w:r>
        <w:rPr>
          <w:rFonts w:hint="eastAsia"/>
          <w:highlight w:val="none"/>
        </w:rPr>
        <w:t>最高限价：</w:t>
      </w:r>
      <w:r>
        <w:rPr>
          <w:rFonts w:hint="eastAsia"/>
          <w:highlight w:val="none"/>
          <w:lang w:val="en-US" w:eastAsia="zh-CN"/>
        </w:rPr>
        <w:t>2890000</w:t>
      </w:r>
      <w:r>
        <w:rPr>
          <w:rFonts w:hint="eastAsia"/>
          <w:highlight w:val="none"/>
        </w:rPr>
        <w:t>元</w:t>
      </w:r>
    </w:p>
    <w:tbl>
      <w:tblPr>
        <w:tblStyle w:val="22"/>
        <w:tblpPr w:leftFromText="180" w:rightFromText="180" w:vertAnchor="text" w:horzAnchor="page" w:tblpXSpec="center" w:tblpY="79"/>
        <w:tblOverlap w:val="never"/>
        <w:tblW w:w="10638"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74"/>
        <w:gridCol w:w="1117"/>
        <w:gridCol w:w="5132"/>
        <w:gridCol w:w="1713"/>
        <w:gridCol w:w="22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4" w:hRule="atLeast"/>
          <w:tblCellSpacing w:w="0" w:type="dxa"/>
          <w:jc w:val="center"/>
        </w:trPr>
        <w:tc>
          <w:tcPr>
            <w:tcW w:w="474" w:type="dxa"/>
            <w:tcMar>
              <w:top w:w="120" w:type="dxa"/>
            </w:tcMar>
            <w:vAlign w:val="center"/>
          </w:tcPr>
          <w:p>
            <w:pPr>
              <w:widowControl/>
              <w:wordWrap w:val="0"/>
              <w:spacing w:line="360" w:lineRule="auto"/>
              <w:jc w:val="center"/>
              <w:rPr>
                <w:rFonts w:ascii="宋体" w:hAnsi="宋体" w:cs="宋体"/>
                <w:color w:val="000000"/>
                <w:sz w:val="24"/>
              </w:rPr>
            </w:pPr>
            <w:r>
              <w:rPr>
                <w:rFonts w:hint="eastAsia" w:ascii="宋体" w:hAnsi="宋体" w:cs="宋体"/>
                <w:color w:val="000000"/>
                <w:kern w:val="0"/>
                <w:sz w:val="24"/>
              </w:rPr>
              <w:t>序号</w:t>
            </w:r>
          </w:p>
        </w:tc>
        <w:tc>
          <w:tcPr>
            <w:tcW w:w="1117" w:type="dxa"/>
            <w:tcMar>
              <w:top w:w="120" w:type="dxa"/>
            </w:tcMar>
            <w:vAlign w:val="center"/>
          </w:tcPr>
          <w:p>
            <w:pPr>
              <w:widowControl/>
              <w:wordWrap w:val="0"/>
              <w:spacing w:line="360" w:lineRule="auto"/>
              <w:jc w:val="center"/>
              <w:rPr>
                <w:rFonts w:ascii="宋体" w:hAnsi="宋体" w:cs="宋体"/>
                <w:color w:val="000000"/>
                <w:sz w:val="24"/>
              </w:rPr>
            </w:pPr>
            <w:r>
              <w:rPr>
                <w:rFonts w:hint="eastAsia" w:ascii="宋体" w:hAnsi="宋体" w:cs="宋体"/>
                <w:color w:val="000000"/>
                <w:kern w:val="0"/>
                <w:sz w:val="24"/>
              </w:rPr>
              <w:t>包号</w:t>
            </w:r>
          </w:p>
        </w:tc>
        <w:tc>
          <w:tcPr>
            <w:tcW w:w="5132" w:type="dxa"/>
            <w:tcMar>
              <w:top w:w="120" w:type="dxa"/>
            </w:tcMar>
            <w:vAlign w:val="center"/>
          </w:tcPr>
          <w:p>
            <w:pPr>
              <w:widowControl/>
              <w:wordWrap w:val="0"/>
              <w:spacing w:line="360" w:lineRule="auto"/>
              <w:jc w:val="center"/>
              <w:rPr>
                <w:rFonts w:ascii="宋体" w:hAnsi="宋体" w:cs="宋体"/>
                <w:color w:val="000000"/>
                <w:sz w:val="24"/>
              </w:rPr>
            </w:pPr>
            <w:r>
              <w:rPr>
                <w:rFonts w:hint="eastAsia" w:ascii="宋体" w:hAnsi="宋体" w:cs="宋体"/>
                <w:color w:val="000000"/>
                <w:kern w:val="0"/>
                <w:sz w:val="24"/>
              </w:rPr>
              <w:t>包名称</w:t>
            </w:r>
          </w:p>
        </w:tc>
        <w:tc>
          <w:tcPr>
            <w:tcW w:w="1713" w:type="dxa"/>
            <w:tcMar>
              <w:top w:w="120" w:type="dxa"/>
            </w:tcMar>
            <w:vAlign w:val="center"/>
          </w:tcPr>
          <w:p>
            <w:pPr>
              <w:widowControl/>
              <w:wordWrap w:val="0"/>
              <w:spacing w:line="360" w:lineRule="auto"/>
              <w:jc w:val="center"/>
              <w:rPr>
                <w:rFonts w:ascii="宋体" w:hAnsi="宋体" w:cs="宋体"/>
                <w:color w:val="000000"/>
                <w:sz w:val="24"/>
              </w:rPr>
            </w:pPr>
            <w:r>
              <w:rPr>
                <w:rFonts w:hint="eastAsia" w:ascii="宋体" w:hAnsi="宋体" w:cs="宋体"/>
                <w:color w:val="000000"/>
                <w:kern w:val="0"/>
                <w:sz w:val="24"/>
              </w:rPr>
              <w:t>包预算（元）</w:t>
            </w:r>
          </w:p>
        </w:tc>
        <w:tc>
          <w:tcPr>
            <w:tcW w:w="2202" w:type="dxa"/>
            <w:tcMar>
              <w:top w:w="120" w:type="dxa"/>
            </w:tcMar>
            <w:vAlign w:val="center"/>
          </w:tcPr>
          <w:p>
            <w:pPr>
              <w:widowControl/>
              <w:wordWrap w:val="0"/>
              <w:spacing w:line="360" w:lineRule="auto"/>
              <w:jc w:val="center"/>
              <w:rPr>
                <w:rFonts w:ascii="宋体" w:hAnsi="宋体" w:cs="宋体"/>
                <w:color w:val="000000"/>
                <w:sz w:val="24"/>
              </w:rPr>
            </w:pPr>
            <w:r>
              <w:rPr>
                <w:rFonts w:hint="eastAsia" w:ascii="宋体" w:hAnsi="宋体" w:cs="宋体"/>
                <w:color w:val="000000"/>
                <w:kern w:val="0"/>
                <w:sz w:val="24"/>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3" w:hRule="atLeast"/>
          <w:tblCellSpacing w:w="0" w:type="dxa"/>
          <w:jc w:val="center"/>
        </w:trPr>
        <w:tc>
          <w:tcPr>
            <w:tcW w:w="474" w:type="dxa"/>
            <w:tcMar>
              <w:top w:w="120" w:type="dxa"/>
            </w:tcMar>
            <w:vAlign w:val="center"/>
          </w:tcPr>
          <w:p>
            <w:pPr>
              <w:widowControl/>
              <w:wordWrap w:val="0"/>
              <w:spacing w:line="360" w:lineRule="auto"/>
              <w:jc w:val="center"/>
              <w:rPr>
                <w:rFonts w:ascii="宋体" w:hAnsi="宋体" w:cs="宋体"/>
                <w:color w:val="000000"/>
                <w:sz w:val="24"/>
              </w:rPr>
            </w:pPr>
            <w:r>
              <w:rPr>
                <w:rFonts w:hint="eastAsia" w:ascii="宋体" w:hAnsi="宋体" w:cs="宋体"/>
                <w:color w:val="000000"/>
                <w:kern w:val="0"/>
                <w:sz w:val="24"/>
              </w:rPr>
              <w:t>1</w:t>
            </w:r>
          </w:p>
        </w:tc>
        <w:tc>
          <w:tcPr>
            <w:tcW w:w="1117" w:type="dxa"/>
            <w:tcMar>
              <w:top w:w="120" w:type="dxa"/>
            </w:tcMar>
            <w:vAlign w:val="center"/>
          </w:tcPr>
          <w:p>
            <w:pPr>
              <w:widowControl/>
              <w:wordWrap w:val="0"/>
              <w:spacing w:line="360" w:lineRule="auto"/>
              <w:jc w:val="center"/>
              <w:rPr>
                <w:rFonts w:hint="default" w:ascii="宋体" w:hAnsi="宋体" w:eastAsia="宋体" w:cs="宋体"/>
                <w:color w:val="000000"/>
                <w:sz w:val="24"/>
                <w:lang w:val="en-US" w:eastAsia="zh-CN"/>
              </w:rPr>
            </w:pPr>
            <w:r>
              <w:rPr>
                <w:rFonts w:ascii="宋体" w:hAnsi="宋体" w:cs="宋体"/>
                <w:color w:val="000000"/>
                <w:sz w:val="24"/>
              </w:rPr>
              <w:t>荥财公开-202</w:t>
            </w:r>
            <w:r>
              <w:rPr>
                <w:rFonts w:hint="eastAsia" w:ascii="宋体" w:hAnsi="宋体" w:cs="宋体"/>
                <w:color w:val="000000"/>
                <w:sz w:val="24"/>
                <w:lang w:val="en-US" w:eastAsia="zh-CN"/>
              </w:rPr>
              <w:t>4</w:t>
            </w:r>
            <w:r>
              <w:rPr>
                <w:rFonts w:ascii="宋体" w:hAnsi="宋体" w:cs="宋体"/>
                <w:color w:val="000000"/>
                <w:sz w:val="24"/>
              </w:rPr>
              <w:t>-</w:t>
            </w:r>
            <w:r>
              <w:rPr>
                <w:rFonts w:hint="eastAsia" w:ascii="宋体" w:hAnsi="宋体" w:cs="宋体"/>
                <w:color w:val="000000"/>
                <w:sz w:val="24"/>
                <w:lang w:val="en-US" w:eastAsia="zh-CN"/>
              </w:rPr>
              <w:t>15-1</w:t>
            </w:r>
          </w:p>
        </w:tc>
        <w:tc>
          <w:tcPr>
            <w:tcW w:w="5132" w:type="dxa"/>
            <w:tcMar>
              <w:top w:w="120" w:type="dxa"/>
            </w:tcMar>
            <w:vAlign w:val="center"/>
          </w:tcPr>
          <w:p>
            <w:pPr>
              <w:widowControl/>
              <w:wordWrap w:val="0"/>
              <w:spacing w:line="360" w:lineRule="auto"/>
              <w:jc w:val="center"/>
              <w:rPr>
                <w:rFonts w:hint="eastAsia" w:ascii="宋体" w:hAnsi="宋体" w:eastAsia="宋体" w:cs="宋体"/>
                <w:color w:val="000000"/>
                <w:sz w:val="24"/>
                <w:lang w:eastAsia="zh-CN"/>
              </w:rPr>
            </w:pPr>
            <w:r>
              <w:rPr>
                <w:rFonts w:hint="eastAsia" w:ascii="宋体" w:hAnsi="宋体" w:cs="宋体"/>
                <w:color w:val="000000"/>
                <w:kern w:val="0"/>
                <w:sz w:val="24"/>
                <w:lang w:eastAsia="zh-CN"/>
              </w:rPr>
              <w:t>荥阳市机关事务中心购置荥阳市人民武装部搬迁设施项目</w:t>
            </w:r>
          </w:p>
        </w:tc>
        <w:tc>
          <w:tcPr>
            <w:tcW w:w="0" w:type="auto"/>
            <w:tcMar>
              <w:top w:w="120" w:type="dxa"/>
            </w:tcMar>
            <w:vAlign w:val="center"/>
          </w:tcPr>
          <w:p>
            <w:pPr>
              <w:widowControl/>
              <w:wordWrap w:val="0"/>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2890000</w:t>
            </w:r>
          </w:p>
        </w:tc>
        <w:tc>
          <w:tcPr>
            <w:tcW w:w="0" w:type="auto"/>
            <w:tcMar>
              <w:top w:w="120" w:type="dxa"/>
            </w:tcMar>
            <w:vAlign w:val="center"/>
          </w:tcPr>
          <w:p>
            <w:pPr>
              <w:widowControl/>
              <w:wordWrap w:val="0"/>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2890000</w:t>
            </w:r>
          </w:p>
        </w:tc>
      </w:tr>
    </w:tbl>
    <w:p>
      <w:pPr>
        <w:pStyle w:val="19"/>
        <w:spacing w:beforeAutospacing="0" w:afterAutospacing="0" w:line="384" w:lineRule="auto"/>
        <w:ind w:firstLine="720" w:firstLineChars="300"/>
      </w:pPr>
      <w:r>
        <w:rPr>
          <w:rFonts w:hint="eastAsia"/>
        </w:rPr>
        <w:t>5、采购需求（包括但不限于标的的名称、数量、简要技术需求或服务要求等）</w:t>
      </w:r>
    </w:p>
    <w:p>
      <w:pPr>
        <w:pStyle w:val="19"/>
        <w:spacing w:beforeAutospacing="0" w:afterAutospacing="0" w:line="384" w:lineRule="auto"/>
        <w:ind w:firstLine="720" w:firstLineChars="300"/>
        <w:rPr>
          <w:highlight w:val="none"/>
        </w:rPr>
      </w:pPr>
      <w:r>
        <w:rPr>
          <w:rFonts w:hint="eastAsia"/>
        </w:rPr>
        <w:t>5.1采购需求</w:t>
      </w:r>
      <w:r>
        <w:rPr>
          <w:rFonts w:hint="eastAsia"/>
          <w:highlight w:val="none"/>
        </w:rPr>
        <w:t xml:space="preserve">: </w:t>
      </w:r>
      <w:r>
        <w:rPr>
          <w:rFonts w:hint="eastAsia"/>
          <w:highlight w:val="none"/>
          <w:lang w:eastAsia="zh-CN"/>
        </w:rPr>
        <w:t>主要为荥阳市人民武装部搬迁购置一批办公设备。</w:t>
      </w:r>
      <w:r>
        <w:rPr>
          <w:rFonts w:hint="eastAsia"/>
          <w:highlight w:val="none"/>
        </w:rPr>
        <w:t>（详见招标文件内容）。</w:t>
      </w:r>
    </w:p>
    <w:p>
      <w:pPr>
        <w:pStyle w:val="19"/>
        <w:spacing w:beforeAutospacing="0" w:afterAutospacing="0" w:line="384" w:lineRule="auto"/>
        <w:ind w:firstLine="720" w:firstLineChars="300"/>
      </w:pPr>
      <w:r>
        <w:rPr>
          <w:rFonts w:hint="eastAsia"/>
        </w:rPr>
        <w:t>5.2项目地点: 荥阳市；</w:t>
      </w:r>
    </w:p>
    <w:p>
      <w:pPr>
        <w:pStyle w:val="19"/>
        <w:spacing w:beforeAutospacing="0" w:afterAutospacing="0" w:line="384" w:lineRule="auto"/>
        <w:ind w:firstLine="720" w:firstLineChars="300"/>
      </w:pPr>
      <w:r>
        <w:rPr>
          <w:rFonts w:hint="eastAsia"/>
        </w:rPr>
        <w:t>5.3质量要求：合格，符合国家、地方现行相关规范要求，通过相关部门审查。</w:t>
      </w:r>
    </w:p>
    <w:p>
      <w:pPr>
        <w:pStyle w:val="19"/>
        <w:spacing w:beforeAutospacing="0" w:afterAutospacing="0" w:line="384" w:lineRule="auto"/>
        <w:ind w:firstLine="720" w:firstLineChars="300"/>
        <w:rPr>
          <w:highlight w:val="none"/>
        </w:rPr>
      </w:pPr>
      <w:r>
        <w:rPr>
          <w:rFonts w:hint="eastAsia"/>
        </w:rPr>
        <w:t>5.4</w:t>
      </w:r>
      <w:r>
        <w:rPr>
          <w:rFonts w:hint="eastAsia"/>
          <w:highlight w:val="none"/>
        </w:rPr>
        <w:t>供货安装及调试期限：</w:t>
      </w:r>
      <w:r>
        <w:rPr>
          <w:rFonts w:hint="eastAsia"/>
          <w:highlight w:val="none"/>
          <w:lang w:val="en-US" w:eastAsia="zh-CN"/>
        </w:rPr>
        <w:t>45</w:t>
      </w:r>
      <w:r>
        <w:rPr>
          <w:rFonts w:hint="eastAsia"/>
          <w:highlight w:val="none"/>
        </w:rPr>
        <w:t>日历天；</w:t>
      </w:r>
    </w:p>
    <w:p>
      <w:pPr>
        <w:pStyle w:val="19"/>
        <w:spacing w:beforeAutospacing="0" w:afterAutospacing="0" w:line="384" w:lineRule="auto"/>
        <w:ind w:firstLine="720" w:firstLineChars="300"/>
        <w:rPr>
          <w:rFonts w:hint="eastAsia" w:eastAsia="宋体"/>
          <w:highlight w:val="none"/>
          <w:lang w:val="en-US" w:eastAsia="zh-CN"/>
        </w:rPr>
      </w:pPr>
      <w:r>
        <w:rPr>
          <w:rFonts w:hint="eastAsia"/>
          <w:highlight w:val="none"/>
        </w:rPr>
        <w:t>5.5质保期：</w:t>
      </w:r>
      <w:r>
        <w:rPr>
          <w:rFonts w:hint="eastAsia"/>
          <w:highlight w:val="none"/>
          <w:lang w:eastAsia="zh-CN"/>
        </w:rPr>
        <w:t>验收合格后一年</w:t>
      </w:r>
      <w:r>
        <w:rPr>
          <w:rFonts w:hint="eastAsia"/>
          <w:highlight w:val="none"/>
        </w:rPr>
        <w:t>；</w:t>
      </w:r>
    </w:p>
    <w:p>
      <w:pPr>
        <w:pStyle w:val="19"/>
        <w:spacing w:beforeAutospacing="0" w:afterAutospacing="0" w:line="384" w:lineRule="auto"/>
        <w:ind w:firstLine="720" w:firstLineChars="300"/>
        <w:rPr>
          <w:rFonts w:hint="eastAsia"/>
          <w:highlight w:val="none"/>
          <w:lang w:eastAsia="zh-CN"/>
        </w:rPr>
      </w:pPr>
      <w:r>
        <w:rPr>
          <w:rFonts w:hint="eastAsia"/>
        </w:rPr>
        <w:t>5.</w:t>
      </w:r>
      <w:r>
        <w:rPr>
          <w:rFonts w:hint="eastAsia"/>
          <w:lang w:val="en-US" w:eastAsia="zh-CN"/>
        </w:rPr>
        <w:t>6</w:t>
      </w:r>
      <w:r>
        <w:rPr>
          <w:rFonts w:hint="eastAsia"/>
        </w:rPr>
        <w:t>标段划分：本项目划分为</w:t>
      </w:r>
      <w:r>
        <w:rPr>
          <w:rFonts w:hint="eastAsia"/>
          <w:lang w:val="en-US" w:eastAsia="zh-CN"/>
        </w:rPr>
        <w:t>1</w:t>
      </w:r>
      <w:r>
        <w:rPr>
          <w:rFonts w:hint="eastAsia"/>
        </w:rPr>
        <w:t>个标段；</w:t>
      </w:r>
      <w:r>
        <w:rPr>
          <w:rFonts w:hint="eastAsia"/>
          <w:highlight w:val="none"/>
          <w:lang w:eastAsia="zh-CN"/>
        </w:rPr>
        <w:t>主要为荥阳市人民武装部搬迁购置一批办公设备，预算金额</w:t>
      </w:r>
      <w:r>
        <w:rPr>
          <w:rFonts w:hint="eastAsia" w:cs="宋体"/>
          <w:i w:val="0"/>
          <w:color w:val="000000"/>
          <w:kern w:val="0"/>
          <w:sz w:val="24"/>
          <w:szCs w:val="24"/>
          <w:u w:val="none"/>
          <w:lang w:val="en-US" w:eastAsia="zh-CN" w:bidi="ar"/>
        </w:rPr>
        <w:t>2890000</w:t>
      </w:r>
      <w:r>
        <w:rPr>
          <w:rFonts w:hint="eastAsia"/>
          <w:highlight w:val="none"/>
          <w:lang w:eastAsia="zh-CN"/>
        </w:rPr>
        <w:t>元；</w:t>
      </w:r>
    </w:p>
    <w:p>
      <w:pPr>
        <w:pStyle w:val="19"/>
        <w:numPr>
          <w:ilvl w:val="0"/>
          <w:numId w:val="1"/>
        </w:numPr>
        <w:spacing w:beforeAutospacing="0" w:afterAutospacing="0" w:line="384" w:lineRule="auto"/>
        <w:ind w:firstLine="720" w:firstLineChars="300"/>
        <w:rPr>
          <w:rFonts w:hint="eastAsia"/>
          <w:highlight w:val="none"/>
        </w:rPr>
      </w:pPr>
      <w:r>
        <w:rPr>
          <w:rFonts w:hint="eastAsia"/>
        </w:rPr>
        <w:t>合同履行期限</w:t>
      </w:r>
      <w:r>
        <w:rPr>
          <w:rFonts w:hint="eastAsia"/>
          <w:highlight w:val="none"/>
        </w:rPr>
        <w:t>：</w:t>
      </w:r>
      <w:r>
        <w:rPr>
          <w:rFonts w:hint="eastAsia"/>
          <w:highlight w:val="none"/>
          <w:lang w:val="en-US" w:eastAsia="zh-CN"/>
        </w:rPr>
        <w:t>45</w:t>
      </w:r>
      <w:r>
        <w:rPr>
          <w:rFonts w:hint="eastAsia"/>
          <w:highlight w:val="none"/>
        </w:rPr>
        <w:t>日历天；</w:t>
      </w:r>
    </w:p>
    <w:p>
      <w:pPr>
        <w:pStyle w:val="19"/>
        <w:numPr>
          <w:ilvl w:val="0"/>
          <w:numId w:val="1"/>
        </w:numPr>
        <w:spacing w:beforeAutospacing="0" w:afterAutospacing="0" w:line="384" w:lineRule="auto"/>
        <w:ind w:firstLine="720" w:firstLineChars="300"/>
        <w:rPr>
          <w:highlight w:val="none"/>
        </w:rPr>
      </w:pPr>
      <w:r>
        <w:rPr>
          <w:rFonts w:hint="eastAsia"/>
          <w:highlight w:val="none"/>
        </w:rPr>
        <w:t>本项目是否接受联合体投标：否</w:t>
      </w:r>
    </w:p>
    <w:p>
      <w:pPr>
        <w:pStyle w:val="19"/>
        <w:spacing w:beforeAutospacing="0" w:afterAutospacing="0" w:line="384" w:lineRule="auto"/>
        <w:ind w:firstLine="720" w:firstLineChars="300"/>
        <w:rPr>
          <w:highlight w:val="none"/>
        </w:rPr>
      </w:pPr>
      <w:r>
        <w:rPr>
          <w:rFonts w:hint="eastAsia"/>
          <w:highlight w:val="none"/>
          <w:lang w:val="en-US" w:eastAsia="zh-CN"/>
        </w:rPr>
        <w:t>8</w:t>
      </w:r>
      <w:r>
        <w:rPr>
          <w:rFonts w:hint="eastAsia"/>
          <w:highlight w:val="none"/>
        </w:rPr>
        <w:t>、是否接受进口产品：否</w:t>
      </w:r>
    </w:p>
    <w:p>
      <w:pPr>
        <w:pStyle w:val="19"/>
        <w:spacing w:beforeAutospacing="0" w:afterAutospacing="0" w:line="384" w:lineRule="auto"/>
        <w:ind w:firstLine="720" w:firstLineChars="300"/>
        <w:rPr>
          <w:rFonts w:hint="eastAsia" w:eastAsia="宋体"/>
          <w:highlight w:val="none"/>
          <w:lang w:eastAsia="zh-CN"/>
        </w:rPr>
      </w:pPr>
      <w:r>
        <w:rPr>
          <w:rFonts w:hint="eastAsia"/>
          <w:highlight w:val="none"/>
          <w:lang w:val="en-US" w:eastAsia="zh-CN"/>
        </w:rPr>
        <w:t>9</w:t>
      </w:r>
      <w:r>
        <w:rPr>
          <w:rFonts w:hint="eastAsia"/>
          <w:highlight w:val="none"/>
        </w:rPr>
        <w:t>、是否专门面向中小企业：</w:t>
      </w:r>
      <w:r>
        <w:rPr>
          <w:rFonts w:hint="eastAsia"/>
          <w:highlight w:val="none"/>
          <w:lang w:eastAsia="zh-CN"/>
        </w:rPr>
        <w:t>否</w:t>
      </w:r>
    </w:p>
    <w:p>
      <w:pPr>
        <w:pStyle w:val="19"/>
        <w:spacing w:beforeAutospacing="0" w:afterAutospacing="0" w:line="384" w:lineRule="auto"/>
      </w:pPr>
      <w:r>
        <w:rPr>
          <w:rFonts w:hint="eastAsia"/>
          <w:b/>
        </w:rPr>
        <w:t>二、申请人的资格要求</w:t>
      </w:r>
    </w:p>
    <w:p>
      <w:pPr>
        <w:spacing w:line="360" w:lineRule="auto"/>
        <w:ind w:firstLine="482" w:firstLineChars="200"/>
        <w:rPr>
          <w:rFonts w:ascii="宋体" w:hAnsi="宋体" w:cs="宋体"/>
          <w:b/>
          <w:bCs/>
          <w:sz w:val="24"/>
        </w:rPr>
      </w:pPr>
      <w:r>
        <w:rPr>
          <w:rFonts w:hint="eastAsia" w:ascii="宋体" w:hAnsi="宋体" w:cs="宋体"/>
          <w:b/>
          <w:bCs/>
          <w:sz w:val="24"/>
        </w:rPr>
        <w:t>1、投标人须具备《中华人民共和国政府采购法》第二十二条规定的条件</w:t>
      </w:r>
    </w:p>
    <w:p>
      <w:pPr>
        <w:pStyle w:val="19"/>
        <w:numPr>
          <w:ilvl w:val="0"/>
          <w:numId w:val="2"/>
        </w:numPr>
        <w:spacing w:beforeAutospacing="0" w:afterAutospacing="0" w:line="384" w:lineRule="auto"/>
        <w:ind w:left="-60" w:firstLine="480"/>
        <w:rPr>
          <w:bCs/>
        </w:rPr>
      </w:pPr>
      <w:r>
        <w:rPr>
          <w:rFonts w:hint="eastAsia"/>
          <w:bCs/>
        </w:rPr>
        <w:t>具有独立承担民事责任的能力,须提供有效的营业执照；</w:t>
      </w:r>
    </w:p>
    <w:p>
      <w:pPr>
        <w:pStyle w:val="19"/>
        <w:numPr>
          <w:ilvl w:val="0"/>
          <w:numId w:val="2"/>
        </w:numPr>
        <w:spacing w:beforeAutospacing="0" w:afterAutospacing="0" w:line="360" w:lineRule="auto"/>
        <w:ind w:left="-60" w:firstLine="480"/>
        <w:rPr>
          <w:bCs/>
        </w:rPr>
      </w:pPr>
      <w:r>
        <w:rPr>
          <w:rFonts w:hint="eastAsia"/>
          <w:bCs/>
        </w:rPr>
        <w:t>具有良好的商业信誉和健全的财务会计制度（提供承诺书，格式自拟）；</w:t>
      </w:r>
    </w:p>
    <w:p>
      <w:pPr>
        <w:pStyle w:val="19"/>
        <w:spacing w:beforeAutospacing="0" w:afterAutospacing="0" w:line="360" w:lineRule="auto"/>
        <w:ind w:firstLine="480" w:firstLineChars="200"/>
        <w:rPr>
          <w:bCs/>
        </w:rPr>
      </w:pPr>
      <w:r>
        <w:rPr>
          <w:rFonts w:hint="eastAsia"/>
          <w:bCs/>
        </w:rPr>
        <w:t>（3）具有履行合同所必需的专业技术能力，须提供供应商具有履行合同所必需的设备和专业技术能力承诺声明函；</w:t>
      </w:r>
    </w:p>
    <w:p>
      <w:pPr>
        <w:pStyle w:val="19"/>
        <w:spacing w:beforeAutospacing="0" w:afterAutospacing="0" w:line="360" w:lineRule="auto"/>
        <w:ind w:firstLine="480" w:firstLineChars="200"/>
        <w:rPr>
          <w:bCs/>
        </w:rPr>
      </w:pPr>
      <w:r>
        <w:rPr>
          <w:rFonts w:hint="eastAsia"/>
          <w:bCs/>
        </w:rPr>
        <w:t>（4）具有依法缴纳税收和社会保障资金的良好记录（提供承诺书，格式自拟）；</w:t>
      </w:r>
    </w:p>
    <w:p>
      <w:pPr>
        <w:pStyle w:val="19"/>
        <w:spacing w:beforeAutospacing="0" w:afterAutospacing="0" w:line="360" w:lineRule="auto"/>
        <w:ind w:firstLine="480" w:firstLineChars="200"/>
        <w:rPr>
          <w:bCs/>
        </w:rPr>
      </w:pPr>
      <w:r>
        <w:rPr>
          <w:rFonts w:hint="eastAsia"/>
          <w:bCs/>
        </w:rPr>
        <w:t>（5）参加政府采购活动前三年内，在经营活动中没有重大违法记录，供应商出具承诺函，格式自拟。</w:t>
      </w:r>
    </w:p>
    <w:p>
      <w:pPr>
        <w:pStyle w:val="19"/>
        <w:spacing w:beforeAutospacing="0" w:afterAutospacing="0" w:line="384" w:lineRule="auto"/>
        <w:ind w:firstLine="480" w:firstLineChars="200"/>
        <w:rPr>
          <w:bCs/>
        </w:rPr>
      </w:pPr>
      <w:bookmarkStart w:id="26" w:name="_Toc10799"/>
      <w:bookmarkStart w:id="27" w:name="_Toc22330"/>
      <w:bookmarkStart w:id="28" w:name="_Toc12452"/>
      <w:r>
        <w:rPr>
          <w:rFonts w:hint="eastAsia"/>
          <w:bCs/>
        </w:rPr>
        <w:t>2.落实的政府采购政策：</w:t>
      </w:r>
      <w:bookmarkEnd w:id="26"/>
      <w:bookmarkEnd w:id="27"/>
      <w:bookmarkEnd w:id="28"/>
      <w:r>
        <w:rPr>
          <w:rFonts w:hint="eastAsia"/>
          <w:bCs/>
        </w:rPr>
        <w:t xml:space="preserve"> </w:t>
      </w:r>
    </w:p>
    <w:p>
      <w:pPr>
        <w:spacing w:line="360" w:lineRule="auto"/>
        <w:ind w:firstLine="960" w:firstLineChars="400"/>
        <w:rPr>
          <w:bCs/>
        </w:rPr>
      </w:pPr>
      <w:r>
        <w:rPr>
          <w:rFonts w:hint="eastAsia" w:ascii="宋体" w:hAnsi="宋体" w:cs="宋体"/>
          <w:b w:val="0"/>
          <w:bCs w:val="0"/>
          <w:sz w:val="24"/>
          <w:szCs w:val="24"/>
          <w:highlight w:val="none"/>
          <w:lang w:val="en-US" w:eastAsia="zh-CN"/>
        </w:rPr>
        <w:t>无</w:t>
      </w:r>
    </w:p>
    <w:p>
      <w:pPr>
        <w:spacing w:line="360" w:lineRule="auto"/>
        <w:ind w:firstLine="482" w:firstLineChars="200"/>
        <w:rPr>
          <w:rFonts w:hint="eastAsia" w:ascii="宋体" w:hAnsi="宋体" w:cs="宋体"/>
          <w:b/>
          <w:bCs/>
          <w:sz w:val="24"/>
          <w:shd w:val="clear" w:color="auto" w:fill="FFFFFF"/>
        </w:rPr>
      </w:pPr>
      <w:r>
        <w:rPr>
          <w:rFonts w:hint="eastAsia" w:ascii="宋体" w:hAnsi="宋体" w:cs="宋体"/>
          <w:b/>
          <w:bCs/>
          <w:sz w:val="24"/>
          <w:shd w:val="clear" w:color="auto" w:fill="FFFFFF"/>
        </w:rPr>
        <w:t>3、本项目的特定资格要求：</w:t>
      </w:r>
    </w:p>
    <w:p>
      <w:pPr>
        <w:pStyle w:val="19"/>
        <w:spacing w:beforeAutospacing="0" w:afterAutospacing="0" w:line="384" w:lineRule="auto"/>
        <w:ind w:firstLine="480" w:firstLineChars="200"/>
        <w:rPr>
          <w:rFonts w:cs="宋体"/>
        </w:rPr>
      </w:pPr>
      <w:r>
        <w:rPr>
          <w:rFonts w:hint="eastAsia" w:cs="宋体"/>
          <w:lang w:val="en-US" w:eastAsia="zh-CN"/>
        </w:rPr>
        <w:t>3.1、</w:t>
      </w:r>
      <w:r>
        <w:rPr>
          <w:rFonts w:hint="eastAsia" w:cs="宋体"/>
        </w:rPr>
        <w:t>根据《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供应商可将查询结果附到响应文件中（查询日期在本公告发布日期之后）。开标时采购人、代理机构根据需要自行核查，如核查情况与响应文件不一致时，以采购人、代理机构现场核查结果为准【查询渠道：“信用中国”网站（www.creditchina.gov.cn）和中国政府采购（www.ccgp.gov.cn）】，查询结果由代理机构进行留存。</w:t>
      </w:r>
    </w:p>
    <w:p>
      <w:pPr>
        <w:pStyle w:val="19"/>
        <w:spacing w:beforeAutospacing="0" w:afterAutospacing="0" w:line="384" w:lineRule="auto"/>
        <w:ind w:firstLine="480" w:firstLineChars="200"/>
        <w:rPr>
          <w:rFonts w:cs="宋体"/>
        </w:rPr>
      </w:pPr>
      <w:r>
        <w:rPr>
          <w:rFonts w:hint="eastAsia" w:cs="宋体"/>
          <w:lang w:bidi="zh-CN"/>
        </w:rPr>
        <w:t>3.</w:t>
      </w:r>
      <w:r>
        <w:rPr>
          <w:rFonts w:hint="eastAsia" w:cs="宋体"/>
          <w:lang w:val="en-US" w:bidi="zh-CN"/>
        </w:rPr>
        <w:t>2</w:t>
      </w:r>
      <w:r>
        <w:rPr>
          <w:rFonts w:hint="eastAsia" w:cs="宋体"/>
          <w:lang w:bidi="zh-CN"/>
        </w:rPr>
        <w:t>、</w:t>
      </w:r>
      <w:r>
        <w:rPr>
          <w:rFonts w:hint="eastAsia" w:cs="宋体"/>
        </w:rPr>
        <w:t>单位负责人为同一人或存在直接控股、管理关系的不同供应商，不得参加同一合同项下的政府采购活动；</w:t>
      </w:r>
    </w:p>
    <w:p>
      <w:pPr>
        <w:pStyle w:val="19"/>
        <w:spacing w:beforeAutospacing="0" w:afterAutospacing="0" w:line="384" w:lineRule="auto"/>
        <w:ind w:firstLine="480" w:firstLineChars="200"/>
        <w:rPr>
          <w:rFonts w:cs="宋体"/>
        </w:rPr>
      </w:pPr>
      <w:r>
        <w:rPr>
          <w:rFonts w:hint="eastAsia" w:cs="宋体"/>
          <w:lang w:bidi="zh-CN"/>
        </w:rPr>
        <w:t>3.</w:t>
      </w:r>
      <w:r>
        <w:rPr>
          <w:rFonts w:hint="eastAsia" w:cs="宋体"/>
          <w:lang w:val="en-US" w:bidi="zh-CN"/>
        </w:rPr>
        <w:t>3</w:t>
      </w:r>
      <w:r>
        <w:rPr>
          <w:rFonts w:hint="eastAsia" w:cs="宋体"/>
          <w:lang w:bidi="zh-CN"/>
        </w:rPr>
        <w:t>、</w:t>
      </w:r>
      <w:r>
        <w:rPr>
          <w:rFonts w:cs="宋体"/>
        </w:rPr>
        <w:t>不允许转包和违法分包。</w:t>
      </w:r>
    </w:p>
    <w:p>
      <w:pPr>
        <w:pStyle w:val="19"/>
        <w:spacing w:beforeAutospacing="0" w:afterAutospacing="0" w:line="384" w:lineRule="auto"/>
        <w:ind w:firstLine="480" w:firstLineChars="200"/>
        <w:rPr>
          <w:rFonts w:hint="eastAsia" w:cs="宋体"/>
        </w:rPr>
      </w:pPr>
      <w:r>
        <w:rPr>
          <w:rFonts w:hint="eastAsia" w:cs="宋体"/>
          <w:lang w:bidi="zh-CN"/>
        </w:rPr>
        <w:t>3.</w:t>
      </w:r>
      <w:r>
        <w:rPr>
          <w:rFonts w:hint="eastAsia" w:cs="宋体"/>
          <w:lang w:val="en-US" w:bidi="zh-CN"/>
        </w:rPr>
        <w:t>4</w:t>
      </w:r>
      <w:r>
        <w:rPr>
          <w:rFonts w:hint="eastAsia" w:cs="宋体"/>
          <w:lang w:bidi="zh-CN"/>
        </w:rPr>
        <w:t>、</w:t>
      </w:r>
      <w:r>
        <w:rPr>
          <w:rFonts w:hint="eastAsia" w:cs="宋体"/>
        </w:rPr>
        <w:t>本次采购实行资格后审。</w:t>
      </w:r>
    </w:p>
    <w:p>
      <w:pPr>
        <w:pStyle w:val="19"/>
        <w:spacing w:beforeAutospacing="0" w:afterAutospacing="0" w:line="384" w:lineRule="auto"/>
      </w:pPr>
      <w:r>
        <w:rPr>
          <w:rFonts w:hint="eastAsia"/>
        </w:rPr>
        <w:t>三、获取招标文件</w:t>
      </w:r>
    </w:p>
    <w:p>
      <w:pPr>
        <w:spacing w:line="360" w:lineRule="auto"/>
        <w:ind w:firstLine="480" w:firstLineChars="200"/>
        <w:rPr>
          <w:rFonts w:ascii="宋体" w:hAnsi="宋体" w:cs="宋体"/>
          <w:sz w:val="24"/>
        </w:rPr>
      </w:pPr>
      <w:r>
        <w:rPr>
          <w:rFonts w:hint="eastAsia" w:ascii="宋体" w:hAnsi="宋体" w:cs="宋体"/>
          <w:sz w:val="24"/>
        </w:rPr>
        <w:t>1.时间：202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24</w:t>
      </w:r>
      <w:r>
        <w:rPr>
          <w:rFonts w:hint="eastAsia" w:ascii="宋体" w:hAnsi="宋体" w:cs="宋体"/>
          <w:sz w:val="24"/>
        </w:rPr>
        <w:t>日至 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30</w:t>
      </w:r>
      <w:r>
        <w:rPr>
          <w:rFonts w:hint="eastAsia" w:ascii="宋体" w:hAnsi="宋体" w:cs="宋体"/>
          <w:sz w:val="24"/>
        </w:rPr>
        <w:t>日，每天上午 00:00 至 12:00，下午</w:t>
      </w:r>
      <w:bookmarkStart w:id="29" w:name="_Toc28667"/>
      <w:r>
        <w:rPr>
          <w:rFonts w:hint="eastAsia" w:ascii="宋体" w:hAnsi="宋体" w:cs="宋体"/>
          <w:sz w:val="24"/>
        </w:rPr>
        <w:t xml:space="preserve">12:00 至 23:59（北京时间，法定节假日除外） </w:t>
      </w:r>
    </w:p>
    <w:p>
      <w:pPr>
        <w:spacing w:line="360" w:lineRule="auto"/>
        <w:ind w:firstLine="480" w:firstLineChars="200"/>
        <w:rPr>
          <w:rFonts w:ascii="宋体" w:hAnsi="宋体" w:cs="宋体"/>
          <w:sz w:val="24"/>
        </w:rPr>
      </w:pPr>
      <w:r>
        <w:rPr>
          <w:rFonts w:hint="eastAsia" w:ascii="宋体" w:hAnsi="宋体" w:cs="宋体"/>
          <w:sz w:val="24"/>
        </w:rPr>
        <w:t>2.地点：荥阳市公共资源交易中心平台</w:t>
      </w:r>
      <w:bookmarkEnd w:id="29"/>
    </w:p>
    <w:p>
      <w:pPr>
        <w:spacing w:line="360" w:lineRule="auto"/>
        <w:ind w:firstLine="480" w:firstLineChars="200"/>
        <w:rPr>
          <w:rFonts w:ascii="宋体" w:hAnsi="宋体" w:cs="宋体"/>
          <w:sz w:val="24"/>
        </w:rPr>
      </w:pPr>
      <w:bookmarkStart w:id="30" w:name="_Toc17050"/>
      <w:r>
        <w:rPr>
          <w:rFonts w:hint="eastAsia" w:ascii="宋体" w:hAnsi="宋体" w:cs="宋体"/>
          <w:sz w:val="24"/>
        </w:rPr>
        <w:t>3.方式：凡有意参加投标者，登陆荥阳市公共资源交易中心网站—办事指南—参照</w:t>
      </w:r>
      <w:bookmarkEnd w:id="30"/>
      <w:bookmarkStart w:id="31" w:name="_Toc8890"/>
      <w:r>
        <w:rPr>
          <w:rFonts w:hint="eastAsia" w:ascii="宋体" w:hAnsi="宋体" w:cs="宋体"/>
          <w:sz w:val="24"/>
        </w:rPr>
        <w:t>《荥阳市公共资源电子交易平台诚信库入库登记指南》《荥阳市公共资源中心交易主体CA 数字证书办理服务指南》绑定CA 数字证书，填写信息提交系统自动验证。在规定时间下载电子招标文件（具体办理事宜请登陆交易中心网站-办事指南-《投标人操作指南》）。</w:t>
      </w:r>
      <w:bookmarkEnd w:id="31"/>
    </w:p>
    <w:p>
      <w:pPr>
        <w:spacing w:line="360" w:lineRule="auto"/>
        <w:ind w:firstLine="480" w:firstLineChars="200"/>
        <w:rPr>
          <w:rFonts w:ascii="宋体" w:hAnsi="宋体" w:cs="宋体"/>
          <w:sz w:val="24"/>
        </w:rPr>
      </w:pPr>
      <w:r>
        <w:rPr>
          <w:rFonts w:hint="eastAsia" w:ascii="宋体" w:hAnsi="宋体" w:cs="宋体"/>
          <w:sz w:val="24"/>
        </w:rPr>
        <w:t>4.售价：0元</w:t>
      </w:r>
    </w:p>
    <w:p>
      <w:pPr>
        <w:spacing w:line="360" w:lineRule="auto"/>
        <w:ind w:firstLine="480" w:firstLineChars="200"/>
        <w:rPr>
          <w:rFonts w:ascii="宋体" w:hAnsi="宋体" w:cs="宋体"/>
          <w:sz w:val="24"/>
        </w:rPr>
      </w:pPr>
      <w:r>
        <w:rPr>
          <w:rFonts w:hint="eastAsia" w:ascii="宋体" w:hAnsi="宋体" w:cs="宋体"/>
          <w:sz w:val="24"/>
        </w:rPr>
        <w:t>四、投标截止时间及地点</w:t>
      </w:r>
    </w:p>
    <w:p>
      <w:pPr>
        <w:spacing w:line="360" w:lineRule="auto"/>
        <w:ind w:firstLine="480" w:firstLineChars="200"/>
        <w:rPr>
          <w:rFonts w:ascii="宋体" w:hAnsi="宋体" w:cs="宋体"/>
          <w:sz w:val="24"/>
        </w:rPr>
      </w:pPr>
      <w:r>
        <w:rPr>
          <w:rFonts w:hint="eastAsia" w:ascii="宋体" w:hAnsi="宋体" w:cs="宋体"/>
          <w:sz w:val="24"/>
        </w:rPr>
        <w:t>1.投标文件递交截止及开标时间：202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13</w:t>
      </w:r>
      <w:r>
        <w:rPr>
          <w:rFonts w:hint="eastAsia" w:ascii="宋体" w:hAnsi="宋体" w:cs="宋体"/>
          <w:sz w:val="24"/>
        </w:rPr>
        <w:t>日上午09 时</w:t>
      </w:r>
      <w:r>
        <w:rPr>
          <w:rFonts w:hint="eastAsia" w:ascii="宋体" w:hAnsi="宋体" w:cs="宋体"/>
          <w:sz w:val="24"/>
          <w:lang w:val="en-US" w:eastAsia="zh-CN"/>
        </w:rPr>
        <w:t>00</w:t>
      </w:r>
      <w:r>
        <w:rPr>
          <w:rFonts w:hint="eastAsia" w:ascii="宋体" w:hAnsi="宋体" w:cs="宋体"/>
          <w:sz w:val="24"/>
        </w:rPr>
        <w:t>分；</w:t>
      </w:r>
    </w:p>
    <w:p>
      <w:pPr>
        <w:spacing w:line="360" w:lineRule="auto"/>
        <w:ind w:firstLine="480" w:firstLineChars="200"/>
        <w:rPr>
          <w:rFonts w:ascii="宋体" w:hAnsi="宋体" w:cs="宋体"/>
          <w:sz w:val="24"/>
        </w:rPr>
      </w:pPr>
      <w:bookmarkStart w:id="32" w:name="_Toc7130"/>
      <w:r>
        <w:rPr>
          <w:rFonts w:hint="eastAsia" w:ascii="宋体" w:hAnsi="宋体" w:cs="宋体"/>
          <w:sz w:val="24"/>
        </w:rPr>
        <w:t>2.投标文件递交地点：荥阳市公共资源交易中心平台；</w:t>
      </w:r>
      <w:bookmarkEnd w:id="32"/>
    </w:p>
    <w:p>
      <w:pPr>
        <w:spacing w:line="360" w:lineRule="auto"/>
        <w:ind w:firstLine="480" w:firstLineChars="200"/>
        <w:rPr>
          <w:rFonts w:ascii="宋体" w:hAnsi="宋体" w:cs="宋体"/>
          <w:sz w:val="24"/>
        </w:rPr>
      </w:pPr>
      <w:r>
        <w:rPr>
          <w:rFonts w:hint="eastAsia" w:ascii="宋体" w:hAnsi="宋体" w:cs="宋体"/>
          <w:sz w:val="24"/>
        </w:rPr>
        <w:t>五、开标时间及地点</w:t>
      </w:r>
      <w:bookmarkStart w:id="33" w:name="_Toc16753"/>
    </w:p>
    <w:p>
      <w:pPr>
        <w:spacing w:line="360" w:lineRule="auto"/>
        <w:ind w:firstLine="480" w:firstLineChars="200"/>
        <w:rPr>
          <w:rFonts w:ascii="宋体" w:hAnsi="宋体" w:cs="宋体"/>
          <w:sz w:val="24"/>
        </w:rPr>
      </w:pPr>
      <w:r>
        <w:rPr>
          <w:rFonts w:hint="eastAsia" w:ascii="宋体" w:hAnsi="宋体" w:cs="宋体"/>
          <w:sz w:val="24"/>
        </w:rPr>
        <w:t>1.时间：202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13</w:t>
      </w:r>
      <w:r>
        <w:rPr>
          <w:rFonts w:hint="eastAsia" w:ascii="宋体" w:hAnsi="宋体" w:cs="宋体"/>
          <w:sz w:val="24"/>
        </w:rPr>
        <w:t>日</w:t>
      </w:r>
      <w:r>
        <w:rPr>
          <w:rFonts w:hint="eastAsia" w:ascii="宋体" w:hAnsi="宋体" w:cs="宋体"/>
          <w:sz w:val="24"/>
          <w:lang w:val="en-US" w:eastAsia="zh-CN"/>
        </w:rPr>
        <w:t>0</w:t>
      </w:r>
      <w:r>
        <w:rPr>
          <w:rFonts w:hint="eastAsia" w:ascii="宋体" w:hAnsi="宋体" w:cs="宋体"/>
          <w:sz w:val="24"/>
        </w:rPr>
        <w:t>9点</w:t>
      </w:r>
      <w:r>
        <w:rPr>
          <w:rFonts w:hint="eastAsia" w:ascii="宋体" w:hAnsi="宋体" w:cs="宋体"/>
          <w:sz w:val="24"/>
          <w:lang w:val="en-US" w:eastAsia="zh-CN"/>
        </w:rPr>
        <w:t>00</w:t>
      </w:r>
      <w:r>
        <w:rPr>
          <w:rFonts w:hint="eastAsia" w:ascii="宋体" w:hAnsi="宋体" w:cs="宋体"/>
          <w:sz w:val="24"/>
        </w:rPr>
        <w:t>分（北京时间）</w:t>
      </w:r>
      <w:bookmarkEnd w:id="33"/>
    </w:p>
    <w:p>
      <w:pPr>
        <w:spacing w:line="360" w:lineRule="auto"/>
        <w:ind w:firstLine="480" w:firstLineChars="200"/>
        <w:rPr>
          <w:rFonts w:ascii="宋体" w:hAnsi="宋体" w:cs="宋体"/>
          <w:sz w:val="24"/>
        </w:rPr>
      </w:pPr>
      <w:bookmarkStart w:id="34" w:name="_Toc31458"/>
      <w:r>
        <w:rPr>
          <w:rFonts w:hint="eastAsia" w:ascii="宋体" w:hAnsi="宋体" w:cs="宋体"/>
          <w:sz w:val="24"/>
        </w:rPr>
        <w:t>2.地点（远程开标机位）：荥阳市公共资源交易中心（荥阳市中原路与飞龙路西北角政务服务中心七楼）第</w:t>
      </w:r>
      <w:r>
        <w:rPr>
          <w:rFonts w:hint="eastAsia" w:ascii="宋体" w:hAnsi="宋体" w:cs="宋体"/>
          <w:sz w:val="24"/>
          <w:lang w:eastAsia="zh-CN"/>
        </w:rPr>
        <w:t>三</w:t>
      </w:r>
      <w:r>
        <w:rPr>
          <w:rFonts w:hint="eastAsia" w:ascii="宋体" w:hAnsi="宋体" w:cs="宋体"/>
          <w:sz w:val="24"/>
        </w:rPr>
        <w:t>开标室；</w:t>
      </w:r>
      <w:bookmarkEnd w:id="34"/>
    </w:p>
    <w:p>
      <w:pPr>
        <w:pStyle w:val="19"/>
        <w:spacing w:beforeAutospacing="0" w:afterAutospacing="0" w:line="384" w:lineRule="auto"/>
      </w:pPr>
      <w:bookmarkStart w:id="35" w:name="_Toc21831"/>
      <w:r>
        <w:rPr>
          <w:rFonts w:hint="eastAsia"/>
        </w:rPr>
        <w:t>六、</w:t>
      </w:r>
      <w:bookmarkEnd w:id="35"/>
      <w:r>
        <w:rPr>
          <w:rFonts w:hint="eastAsia"/>
        </w:rPr>
        <w:t>发布公告的媒介及招标公告期限</w:t>
      </w:r>
    </w:p>
    <w:p>
      <w:pPr>
        <w:spacing w:line="360" w:lineRule="auto"/>
        <w:ind w:firstLine="480" w:firstLineChars="200"/>
        <w:rPr>
          <w:rFonts w:ascii="宋体" w:hAnsi="宋体" w:cs="宋体"/>
          <w:sz w:val="24"/>
        </w:rPr>
      </w:pPr>
      <w:r>
        <w:rPr>
          <w:rFonts w:hint="eastAsia" w:ascii="宋体" w:hAnsi="宋体" w:cs="宋体"/>
          <w:sz w:val="24"/>
        </w:rPr>
        <w:t>1、本项目招标公告在《荥阳市公共资源交易中心网站》、《河南省电子招标投标公共服务平台》、《荥阳市政府采购网》《</w:t>
      </w:r>
      <w:r>
        <w:rPr>
          <w:rFonts w:hint="eastAsia" w:ascii="宋体" w:hAnsi="宋体" w:cs="宋体"/>
          <w:sz w:val="24"/>
          <w:lang w:eastAsia="zh-CN"/>
        </w:rPr>
        <w:t>河南省</w:t>
      </w:r>
      <w:r>
        <w:rPr>
          <w:rFonts w:hint="eastAsia" w:ascii="宋体" w:hAnsi="宋体" w:cs="宋体"/>
          <w:sz w:val="24"/>
        </w:rPr>
        <w:t>政府采购网》上同时发布。</w:t>
      </w:r>
    </w:p>
    <w:p>
      <w:pPr>
        <w:spacing w:line="360" w:lineRule="auto"/>
        <w:ind w:firstLine="480" w:firstLineChars="200"/>
        <w:rPr>
          <w:rFonts w:ascii="宋体" w:hAnsi="宋体" w:cs="宋体"/>
          <w:b/>
          <w:bCs/>
          <w:sz w:val="24"/>
        </w:rPr>
      </w:pPr>
      <w:r>
        <w:rPr>
          <w:rFonts w:hint="eastAsia" w:ascii="宋体" w:hAnsi="宋体" w:cs="宋体"/>
          <w:sz w:val="24"/>
        </w:rPr>
        <w:t>2、公告期限：自本公告发布之日起5个工作日。</w:t>
      </w:r>
    </w:p>
    <w:p>
      <w:pPr>
        <w:spacing w:line="360" w:lineRule="auto"/>
        <w:rPr>
          <w:rFonts w:ascii="宋体" w:hAnsi="宋体" w:cs="宋体"/>
          <w:b/>
          <w:bCs/>
          <w:sz w:val="24"/>
        </w:rPr>
      </w:pPr>
      <w:r>
        <w:rPr>
          <w:rFonts w:hint="eastAsia" w:ascii="宋体" w:hAnsi="宋体" w:cs="宋体"/>
          <w:b/>
          <w:bCs/>
          <w:sz w:val="24"/>
        </w:rPr>
        <w:t>七、其他补充事宜：</w:t>
      </w:r>
    </w:p>
    <w:p>
      <w:pPr>
        <w:spacing w:line="360" w:lineRule="auto"/>
        <w:ind w:firstLine="480" w:firstLineChars="200"/>
        <w:rPr>
          <w:rFonts w:ascii="宋体" w:hAnsi="宋体" w:cs="宋体"/>
          <w:b/>
          <w:bCs/>
          <w:sz w:val="24"/>
        </w:rPr>
      </w:pPr>
      <w:r>
        <w:rPr>
          <w:rFonts w:hint="eastAsia" w:ascii="宋体" w:hAnsi="宋体" w:cs="宋体"/>
          <w:sz w:val="24"/>
        </w:rPr>
        <w:t>1、投标文件制作及上传：</w:t>
      </w:r>
    </w:p>
    <w:p>
      <w:pPr>
        <w:spacing w:line="360" w:lineRule="auto"/>
        <w:ind w:firstLine="480" w:firstLineChars="200"/>
        <w:rPr>
          <w:rFonts w:ascii="宋体" w:hAnsi="宋体" w:cs="宋体"/>
          <w:sz w:val="24"/>
        </w:rPr>
      </w:pPr>
      <w:r>
        <w:rPr>
          <w:rFonts w:hint="eastAsia" w:ascii="宋体" w:hAnsi="宋体" w:cs="宋体"/>
          <w:sz w:val="24"/>
        </w:rPr>
        <w:t>1.1、获取招标文件后，投标人（供应商）请登陆荥阳市公共资源交易中心网站—下载中心—下载最新版本“投标文件制作软件”制作电子投标文件（具体制作手册请查询交易中心网站-办事指南-《投标文件制作操作手册》）。</w:t>
      </w:r>
    </w:p>
    <w:p>
      <w:pPr>
        <w:spacing w:line="360" w:lineRule="auto"/>
        <w:ind w:firstLine="480" w:firstLineChars="200"/>
        <w:rPr>
          <w:rFonts w:ascii="宋体" w:hAnsi="宋体" w:cs="宋体"/>
          <w:sz w:val="24"/>
        </w:rPr>
      </w:pPr>
      <w:r>
        <w:rPr>
          <w:rFonts w:hint="eastAsia" w:ascii="宋体" w:hAnsi="宋体" w:cs="宋体"/>
          <w:sz w:val="24"/>
        </w:rPr>
        <w:t>1.2、投标人（供应商）须在投标截止时间前登陆荥阳市公共资源交易平台上传加密的电子投标文件。</w:t>
      </w:r>
    </w:p>
    <w:p>
      <w:pPr>
        <w:spacing w:line="360" w:lineRule="auto"/>
        <w:ind w:firstLine="480" w:firstLineChars="200"/>
        <w:rPr>
          <w:rFonts w:ascii="宋体" w:hAnsi="宋体" w:cs="宋体"/>
          <w:sz w:val="24"/>
        </w:rPr>
      </w:pPr>
      <w:r>
        <w:rPr>
          <w:rFonts w:hint="eastAsia" w:ascii="宋体" w:hAnsi="宋体" w:cs="宋体"/>
          <w:sz w:val="24"/>
        </w:rPr>
        <w:t>2、开标：本项目采用“远程不见面”开标方式，投标人（供应商）应当在投标截止时间前登陆荥阳市公共资源交易中心网站首页“不见面开标”进入远程开标大厅，在线准时参加开标活动并进行文件解密、答疑澄清等。具体事宜请查看荥阳市公共资源交易中心网站—办事指南—《荥阳市公共资源交易中心不见面开标大厅操作手册（投标人）》。如遇问题，请拨打技术服务单位（国泰新点）电话：4009980000。</w:t>
      </w:r>
    </w:p>
    <w:p>
      <w:pPr>
        <w:pStyle w:val="19"/>
        <w:spacing w:beforeAutospacing="0" w:afterAutospacing="0" w:line="360" w:lineRule="auto"/>
        <w:ind w:firstLine="480" w:firstLineChars="200"/>
        <w:jc w:val="both"/>
        <w:rPr>
          <w:rFonts w:hint="eastAsia" w:cs="宋体"/>
          <w:kern w:val="2"/>
        </w:rPr>
      </w:pPr>
      <w:r>
        <w:rPr>
          <w:rFonts w:hint="eastAsia" w:cs="宋体"/>
          <w:kern w:val="2"/>
        </w:rPr>
        <w:t>3、本项目采购监督部门为：荥阳市财政局</w:t>
      </w:r>
    </w:p>
    <w:p>
      <w:pPr>
        <w:pStyle w:val="19"/>
        <w:spacing w:beforeAutospacing="0" w:afterAutospacing="0" w:line="360" w:lineRule="auto"/>
        <w:ind w:firstLine="480" w:firstLineChars="200"/>
        <w:jc w:val="both"/>
        <w:rPr>
          <w:rFonts w:hint="eastAsia" w:eastAsia="宋体" w:cs="宋体"/>
          <w:kern w:val="2"/>
          <w:lang w:val="en-US" w:eastAsia="zh-CN"/>
        </w:rPr>
      </w:pPr>
      <w:r>
        <w:rPr>
          <w:rFonts w:hint="eastAsia" w:cs="宋体"/>
          <w:kern w:val="2"/>
          <w:lang w:val="en-US" w:eastAsia="zh-CN"/>
        </w:rPr>
        <w:t>4、本项目执行促进中小企业、监狱企业和残疾人福利性单位发展扶持政策及政府强制采购节能产品政策、环境保护政策。</w:t>
      </w:r>
    </w:p>
    <w:p>
      <w:pPr>
        <w:pStyle w:val="19"/>
        <w:spacing w:beforeAutospacing="0" w:afterAutospacing="0" w:line="384" w:lineRule="auto"/>
      </w:pPr>
      <w:r>
        <w:rPr>
          <w:rFonts w:hint="eastAsia"/>
          <w:b/>
        </w:rPr>
        <w:t>八、对本次招标提出询问，请按以下方式联系</w:t>
      </w:r>
    </w:p>
    <w:p>
      <w:pPr>
        <w:spacing w:line="384" w:lineRule="auto"/>
        <w:ind w:firstLine="480" w:firstLineChars="200"/>
        <w:rPr>
          <w:rFonts w:ascii="宋体" w:hAnsi="宋体" w:cs="宋体"/>
          <w:kern w:val="0"/>
          <w:sz w:val="24"/>
        </w:rPr>
      </w:pPr>
      <w:r>
        <w:rPr>
          <w:rFonts w:hint="eastAsia" w:ascii="宋体" w:hAnsi="宋体" w:cs="宋体"/>
          <w:kern w:val="0"/>
          <w:sz w:val="24"/>
        </w:rPr>
        <w:t>1.采购人信息</w:t>
      </w:r>
    </w:p>
    <w:p>
      <w:pPr>
        <w:spacing w:line="384"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名    称：</w:t>
      </w:r>
      <w:r>
        <w:rPr>
          <w:rFonts w:hint="eastAsia" w:ascii="宋体" w:hAnsi="宋体" w:cs="宋体"/>
          <w:kern w:val="0"/>
          <w:sz w:val="24"/>
          <w:lang w:eastAsia="zh-CN"/>
        </w:rPr>
        <w:t>荥阳市机关事务中心</w:t>
      </w:r>
    </w:p>
    <w:p>
      <w:pPr>
        <w:spacing w:line="384" w:lineRule="auto"/>
        <w:ind w:firstLine="480" w:firstLineChars="200"/>
        <w:rPr>
          <w:rFonts w:ascii="宋体" w:hAnsi="宋体" w:cs="宋体"/>
          <w:kern w:val="0"/>
          <w:sz w:val="24"/>
        </w:rPr>
      </w:pPr>
      <w:r>
        <w:rPr>
          <w:rFonts w:hint="eastAsia" w:ascii="宋体" w:hAnsi="宋体" w:cs="宋体"/>
          <w:kern w:val="0"/>
          <w:sz w:val="24"/>
        </w:rPr>
        <w:t xml:space="preserve">地    址： 荥阳市索河街道索河西路032号 </w:t>
      </w:r>
    </w:p>
    <w:p>
      <w:pPr>
        <w:spacing w:line="384"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联 系 人：于海艳</w:t>
      </w:r>
    </w:p>
    <w:p>
      <w:pPr>
        <w:spacing w:line="384" w:lineRule="auto"/>
        <w:ind w:firstLine="480" w:firstLineChars="200"/>
        <w:rPr>
          <w:rFonts w:ascii="宋体" w:hAnsi="宋体" w:cs="宋体"/>
          <w:kern w:val="0"/>
          <w:sz w:val="24"/>
        </w:rPr>
      </w:pPr>
      <w:r>
        <w:rPr>
          <w:rFonts w:hint="eastAsia" w:ascii="宋体" w:hAnsi="宋体" w:cs="宋体"/>
          <w:kern w:val="0"/>
          <w:sz w:val="24"/>
        </w:rPr>
        <w:t>电    话：</w:t>
      </w:r>
      <w:r>
        <w:rPr>
          <w:rFonts w:hint="eastAsia" w:ascii="宋体" w:hAnsi="宋体" w:cs="宋体"/>
          <w:kern w:val="0"/>
          <w:sz w:val="24"/>
          <w:lang w:val="en-US" w:eastAsia="zh-CN"/>
        </w:rPr>
        <w:t>0371-</w:t>
      </w:r>
      <w:r>
        <w:rPr>
          <w:rFonts w:hint="eastAsia" w:ascii="宋体" w:hAnsi="宋体" w:cs="宋体"/>
          <w:kern w:val="0"/>
          <w:sz w:val="24"/>
        </w:rPr>
        <w:t xml:space="preserve">69566828 </w:t>
      </w:r>
    </w:p>
    <w:p>
      <w:pPr>
        <w:spacing w:line="384" w:lineRule="auto"/>
        <w:ind w:firstLine="480" w:firstLineChars="200"/>
        <w:rPr>
          <w:rFonts w:ascii="宋体" w:hAnsi="宋体" w:cs="宋体"/>
          <w:kern w:val="0"/>
          <w:sz w:val="24"/>
        </w:rPr>
      </w:pPr>
      <w:r>
        <w:rPr>
          <w:rFonts w:hint="eastAsia" w:ascii="宋体" w:hAnsi="宋体" w:cs="宋体"/>
          <w:kern w:val="0"/>
          <w:sz w:val="24"/>
        </w:rPr>
        <w:t>2.采购代理机构信息</w:t>
      </w:r>
    </w:p>
    <w:p>
      <w:pPr>
        <w:spacing w:line="384" w:lineRule="auto"/>
        <w:ind w:firstLine="480" w:firstLineChars="2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河南鹏轩工程管理有限公司</w:t>
      </w:r>
    </w:p>
    <w:p>
      <w:pPr>
        <w:spacing w:line="384" w:lineRule="auto"/>
        <w:ind w:firstLine="480" w:firstLineChars="200"/>
        <w:rPr>
          <w:rFonts w:ascii="宋体" w:hAnsi="宋体" w:cs="宋体"/>
          <w:sz w:val="24"/>
        </w:rPr>
      </w:pPr>
      <w:r>
        <w:rPr>
          <w:rFonts w:hint="eastAsia" w:ascii="宋体" w:hAnsi="宋体" w:cs="宋体"/>
          <w:sz w:val="24"/>
        </w:rPr>
        <w:t>地    址：河南省郑州市惠济区新城路麦普产业园四楼</w:t>
      </w:r>
    </w:p>
    <w:p>
      <w:pPr>
        <w:spacing w:line="384" w:lineRule="auto"/>
        <w:ind w:firstLine="480" w:firstLineChars="200"/>
        <w:rPr>
          <w:rFonts w:ascii="宋体" w:hAnsi="宋体" w:cs="宋体"/>
          <w:kern w:val="0"/>
          <w:sz w:val="24"/>
        </w:rPr>
      </w:pPr>
      <w:r>
        <w:rPr>
          <w:rFonts w:hint="eastAsia" w:ascii="宋体" w:hAnsi="宋体" w:cs="宋体"/>
          <w:kern w:val="0"/>
          <w:sz w:val="24"/>
        </w:rPr>
        <w:t>联 系 人：</w:t>
      </w:r>
      <w:r>
        <w:rPr>
          <w:rFonts w:hint="eastAsia" w:ascii="宋体" w:hAnsi="宋体" w:cs="宋体"/>
          <w:kern w:val="0"/>
          <w:sz w:val="24"/>
          <w:lang w:eastAsia="zh-CN"/>
        </w:rPr>
        <w:t>范丹丹</w:t>
      </w:r>
      <w:r>
        <w:rPr>
          <w:rFonts w:hint="eastAsia" w:ascii="宋体" w:hAnsi="宋体" w:cs="宋体"/>
          <w:kern w:val="0"/>
          <w:sz w:val="24"/>
        </w:rPr>
        <w:t xml:space="preserve"> </w:t>
      </w:r>
    </w:p>
    <w:p>
      <w:pPr>
        <w:spacing w:line="384" w:lineRule="auto"/>
        <w:ind w:firstLine="480" w:firstLineChars="200"/>
        <w:rPr>
          <w:rFonts w:ascii="宋体" w:hAnsi="宋体" w:cs="宋体"/>
          <w:kern w:val="0"/>
          <w:sz w:val="24"/>
        </w:rPr>
      </w:pPr>
      <w:r>
        <w:rPr>
          <w:rFonts w:hint="eastAsia" w:ascii="宋体" w:hAnsi="宋体" w:cs="宋体"/>
          <w:kern w:val="0"/>
          <w:sz w:val="24"/>
        </w:rPr>
        <w:t>电    话：</w:t>
      </w:r>
      <w:r>
        <w:rPr>
          <w:rFonts w:hint="eastAsia" w:ascii="宋体" w:hAnsi="宋体" w:eastAsia="宋体" w:cs="宋体"/>
          <w:color w:val="auto"/>
          <w:kern w:val="0"/>
          <w:sz w:val="24"/>
          <w:highlight w:val="none"/>
          <w:lang w:val="en-US" w:eastAsia="zh-CN" w:bidi="ar"/>
        </w:rPr>
        <w:t>13598853044</w:t>
      </w:r>
    </w:p>
    <w:p>
      <w:pPr>
        <w:spacing w:line="384" w:lineRule="auto"/>
        <w:ind w:firstLine="480" w:firstLineChars="200"/>
        <w:rPr>
          <w:rFonts w:ascii="宋体" w:hAnsi="宋体" w:cs="宋体"/>
          <w:kern w:val="0"/>
          <w:sz w:val="24"/>
        </w:rPr>
      </w:pPr>
      <w:r>
        <w:rPr>
          <w:rFonts w:hint="eastAsia" w:ascii="宋体" w:hAnsi="宋体" w:cs="宋体"/>
          <w:kern w:val="0"/>
          <w:sz w:val="24"/>
        </w:rPr>
        <w:t>3.项目联系方式</w:t>
      </w:r>
    </w:p>
    <w:p>
      <w:pPr>
        <w:spacing w:line="384" w:lineRule="auto"/>
        <w:ind w:firstLine="480" w:firstLineChars="200"/>
        <w:rPr>
          <w:rFonts w:ascii="宋体" w:hAnsi="宋体" w:cs="宋体"/>
          <w:kern w:val="0"/>
          <w:sz w:val="24"/>
        </w:rPr>
      </w:pPr>
      <w:r>
        <w:rPr>
          <w:rFonts w:hint="eastAsia" w:ascii="宋体" w:hAnsi="宋体" w:cs="宋体"/>
          <w:kern w:val="0"/>
          <w:sz w:val="24"/>
        </w:rPr>
        <w:t>联 系 人：</w:t>
      </w:r>
      <w:r>
        <w:rPr>
          <w:rFonts w:hint="eastAsia" w:ascii="宋体" w:hAnsi="宋体" w:cs="宋体"/>
          <w:kern w:val="0"/>
          <w:sz w:val="24"/>
          <w:lang w:eastAsia="zh-CN"/>
        </w:rPr>
        <w:t>范丹丹</w:t>
      </w:r>
    </w:p>
    <w:p>
      <w:pPr>
        <w:spacing w:line="384" w:lineRule="auto"/>
        <w:ind w:firstLine="480" w:firstLineChars="200"/>
        <w:jc w:val="left"/>
        <w:rPr>
          <w:sz w:val="30"/>
          <w:szCs w:val="30"/>
        </w:rPr>
      </w:pPr>
      <w:r>
        <w:rPr>
          <w:rFonts w:hint="eastAsia" w:ascii="宋体" w:hAnsi="宋体" w:cs="宋体"/>
          <w:kern w:val="0"/>
          <w:sz w:val="24"/>
        </w:rPr>
        <w:t>电    话：</w:t>
      </w:r>
      <w:bookmarkStart w:id="36" w:name="_Toc9072"/>
      <w:bookmarkStart w:id="37" w:name="_Toc1727_WPSOffice_Level1"/>
      <w:bookmarkStart w:id="38" w:name="_Toc16894"/>
      <w:bookmarkStart w:id="39" w:name="_Toc5971"/>
      <w:bookmarkStart w:id="40" w:name="_Toc5402"/>
      <w:bookmarkStart w:id="41" w:name="_Toc32457"/>
      <w:bookmarkStart w:id="42" w:name="_Toc19553"/>
      <w:bookmarkStart w:id="43" w:name="_Toc13274"/>
      <w:bookmarkStart w:id="44" w:name="_Toc8406"/>
      <w:bookmarkStart w:id="45" w:name="_Toc6506"/>
      <w:bookmarkStart w:id="46" w:name="_Toc25086"/>
      <w:bookmarkStart w:id="47" w:name="_Toc472942891"/>
      <w:bookmarkStart w:id="48" w:name="_Toc27833"/>
      <w:r>
        <w:rPr>
          <w:rFonts w:hint="eastAsia" w:ascii="宋体" w:hAnsi="宋体" w:eastAsia="宋体" w:cs="宋体"/>
          <w:color w:val="auto"/>
          <w:kern w:val="0"/>
          <w:sz w:val="24"/>
          <w:highlight w:val="none"/>
          <w:lang w:val="en-US" w:eastAsia="zh-CN" w:bidi="ar"/>
        </w:rPr>
        <w:t>13598853044</w:t>
      </w:r>
      <w:r>
        <w:rPr>
          <w:rFonts w:hint="eastAsia"/>
          <w:sz w:val="30"/>
          <w:szCs w:val="30"/>
        </w:rPr>
        <w:br w:type="page"/>
      </w:r>
      <w:bookmarkStart w:id="49" w:name="_Toc29867"/>
      <w:bookmarkStart w:id="50" w:name="_Toc11486"/>
      <w:bookmarkStart w:id="51" w:name="_Toc8468"/>
      <w:bookmarkStart w:id="52" w:name="_Toc8839"/>
      <w:bookmarkStart w:id="53" w:name="_Toc18291"/>
      <w:bookmarkStart w:id="54" w:name="_Toc2729"/>
      <w:bookmarkStart w:id="55" w:name="_Toc26655"/>
      <w:bookmarkStart w:id="56" w:name="_Toc7327"/>
      <w:bookmarkStart w:id="57" w:name="_Toc10203"/>
      <w:bookmarkStart w:id="58" w:name="_Toc23927"/>
      <w:bookmarkStart w:id="59" w:name="_Toc7791"/>
      <w:bookmarkStart w:id="60" w:name="_Toc29229"/>
      <w:bookmarkStart w:id="61" w:name="_Toc12330"/>
      <w:bookmarkStart w:id="62" w:name="_Toc31700"/>
      <w:r>
        <w:rPr>
          <w:rFonts w:hint="eastAsia"/>
          <w:sz w:val="30"/>
          <w:szCs w:val="30"/>
          <w:lang w:val="en-US" w:eastAsia="zh-CN"/>
        </w:rPr>
        <w:t xml:space="preserve">                   </w:t>
      </w:r>
      <w:r>
        <w:rPr>
          <w:rFonts w:hint="eastAsia" w:ascii="Times New Roman" w:hAnsi="Times New Roman" w:eastAsia="宋体" w:cs="Times New Roman"/>
          <w:b/>
          <w:bCs/>
          <w:kern w:val="44"/>
          <w:sz w:val="32"/>
          <w:szCs w:val="44"/>
          <w:lang w:val="en-US" w:eastAsia="zh-CN" w:bidi="ar-SA"/>
        </w:rPr>
        <w:t>第二章 投标人须知</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pStyle w:val="5"/>
        <w:jc w:val="center"/>
        <w:rPr>
          <w:szCs w:val="24"/>
        </w:rPr>
      </w:pPr>
      <w:bookmarkStart w:id="63" w:name="_Toc19130"/>
      <w:bookmarkStart w:id="64" w:name="_Toc7443"/>
      <w:bookmarkStart w:id="65" w:name="_Toc9710"/>
      <w:bookmarkStart w:id="66" w:name="_Toc20761"/>
      <w:bookmarkStart w:id="67" w:name="_Toc31165"/>
      <w:bookmarkStart w:id="68" w:name="_Toc32726"/>
      <w:bookmarkStart w:id="69" w:name="_Toc17296"/>
      <w:bookmarkStart w:id="70" w:name="_Toc15101"/>
      <w:bookmarkStart w:id="71" w:name="_Toc28315"/>
      <w:bookmarkStart w:id="72" w:name="_Toc1160"/>
      <w:bookmarkStart w:id="73" w:name="_Toc26515"/>
      <w:bookmarkStart w:id="74" w:name="_Toc11151"/>
      <w:bookmarkStart w:id="75" w:name="_Toc21094"/>
      <w:bookmarkStart w:id="76" w:name="_Toc472942892"/>
      <w:bookmarkStart w:id="77" w:name="_Toc537"/>
      <w:bookmarkStart w:id="78" w:name="_Toc18918"/>
      <w:bookmarkStart w:id="79" w:name="_Toc18640"/>
      <w:bookmarkStart w:id="80" w:name="_Toc27775"/>
      <w:bookmarkStart w:id="81" w:name="_Toc21042"/>
      <w:bookmarkStart w:id="82" w:name="_Toc1975_WPSOffice_Level2"/>
      <w:bookmarkStart w:id="83" w:name="_Toc19644"/>
      <w:bookmarkStart w:id="84" w:name="_Toc27970"/>
      <w:bookmarkStart w:id="85" w:name="_Toc4118"/>
      <w:bookmarkStart w:id="86" w:name="_Toc2093"/>
      <w:bookmarkStart w:id="87" w:name="_Toc19714"/>
      <w:bookmarkStart w:id="88" w:name="_Toc16107"/>
      <w:bookmarkStart w:id="89" w:name="_Toc9565"/>
      <w:bookmarkStart w:id="90" w:name="_Toc1132"/>
      <w:bookmarkStart w:id="91" w:name="_Toc18120"/>
      <w:bookmarkStart w:id="92" w:name="_Toc16174"/>
      <w:r>
        <w:rPr>
          <w:rFonts w:hint="eastAsia"/>
          <w:szCs w:val="24"/>
        </w:rPr>
        <w:t>投标人须知前附表</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tbl>
      <w:tblPr>
        <w:tblStyle w:val="22"/>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552"/>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77" w:type="dxa"/>
            <w:vAlign w:val="center"/>
          </w:tcPr>
          <w:p>
            <w:pPr>
              <w:spacing w:line="360" w:lineRule="auto"/>
              <w:jc w:val="center"/>
              <w:rPr>
                <w:rFonts w:ascii="宋体" w:hAnsi="宋体"/>
                <w:b/>
                <w:szCs w:val="21"/>
              </w:rPr>
            </w:pPr>
            <w:r>
              <w:rPr>
                <w:rFonts w:hint="eastAsia" w:ascii="宋体" w:hAnsi="宋体"/>
                <w:b/>
                <w:szCs w:val="21"/>
              </w:rPr>
              <w:t>条款号</w:t>
            </w:r>
          </w:p>
        </w:tc>
        <w:tc>
          <w:tcPr>
            <w:tcW w:w="2552" w:type="dxa"/>
            <w:vAlign w:val="center"/>
          </w:tcPr>
          <w:p>
            <w:pPr>
              <w:spacing w:line="360" w:lineRule="auto"/>
              <w:jc w:val="center"/>
              <w:rPr>
                <w:rFonts w:ascii="宋体" w:hAnsi="宋体"/>
                <w:b/>
                <w:szCs w:val="21"/>
              </w:rPr>
            </w:pPr>
            <w:r>
              <w:rPr>
                <w:rFonts w:hint="eastAsia" w:ascii="宋体" w:hAnsi="宋体"/>
                <w:b/>
                <w:szCs w:val="21"/>
              </w:rPr>
              <w:t>条 款 名 称</w:t>
            </w:r>
          </w:p>
        </w:tc>
        <w:tc>
          <w:tcPr>
            <w:tcW w:w="5901" w:type="dxa"/>
            <w:vAlign w:val="center"/>
          </w:tcPr>
          <w:p>
            <w:pPr>
              <w:spacing w:line="360" w:lineRule="auto"/>
              <w:jc w:val="center"/>
              <w:rPr>
                <w:rFonts w:ascii="宋体" w:hAnsi="宋体"/>
                <w:b/>
                <w:szCs w:val="21"/>
              </w:rPr>
            </w:pPr>
            <w:r>
              <w:rPr>
                <w:rFonts w:hint="eastAsia" w:ascii="宋体" w:hAnsi="宋体"/>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Align w:val="center"/>
          </w:tcPr>
          <w:p>
            <w:pPr>
              <w:spacing w:line="360" w:lineRule="auto"/>
              <w:jc w:val="center"/>
              <w:rPr>
                <w:rFonts w:ascii="宋体" w:hAnsi="宋体"/>
                <w:szCs w:val="21"/>
              </w:rPr>
            </w:pPr>
            <w:r>
              <w:rPr>
                <w:rFonts w:hint="eastAsia" w:ascii="宋体" w:hAnsi="宋体"/>
                <w:szCs w:val="21"/>
              </w:rPr>
              <w:t>1.1.2</w:t>
            </w:r>
          </w:p>
        </w:tc>
        <w:tc>
          <w:tcPr>
            <w:tcW w:w="2552" w:type="dxa"/>
            <w:vAlign w:val="center"/>
          </w:tcPr>
          <w:p>
            <w:pPr>
              <w:spacing w:line="360" w:lineRule="auto"/>
              <w:jc w:val="center"/>
              <w:rPr>
                <w:rFonts w:ascii="宋体" w:hAnsi="宋体"/>
                <w:szCs w:val="21"/>
              </w:rPr>
            </w:pPr>
            <w:r>
              <w:rPr>
                <w:rFonts w:hint="eastAsia" w:ascii="宋体" w:hAnsi="宋体"/>
                <w:szCs w:val="21"/>
              </w:rPr>
              <w:t>采购人</w:t>
            </w:r>
          </w:p>
        </w:tc>
        <w:tc>
          <w:tcPr>
            <w:tcW w:w="5901" w:type="dxa"/>
            <w:vAlign w:val="center"/>
          </w:tcPr>
          <w:p>
            <w:pPr>
              <w:spacing w:line="360" w:lineRule="auto"/>
              <w:jc w:val="left"/>
              <w:rPr>
                <w:rFonts w:hint="eastAsia" w:ascii="宋体" w:hAnsi="宋体" w:eastAsia="宋体"/>
                <w:szCs w:val="21"/>
                <w:lang w:eastAsia="zh-CN"/>
              </w:rPr>
            </w:pPr>
            <w:r>
              <w:rPr>
                <w:rFonts w:hint="eastAsia" w:ascii="宋体" w:hAnsi="宋体"/>
                <w:szCs w:val="21"/>
              </w:rPr>
              <w:t>名    称：</w:t>
            </w:r>
            <w:r>
              <w:rPr>
                <w:rFonts w:hint="eastAsia" w:ascii="宋体" w:hAnsi="宋体"/>
                <w:szCs w:val="21"/>
                <w:lang w:eastAsia="zh-CN"/>
              </w:rPr>
              <w:t>荥阳市机关事务中心</w:t>
            </w:r>
          </w:p>
          <w:p>
            <w:pPr>
              <w:spacing w:line="360" w:lineRule="auto"/>
              <w:jc w:val="left"/>
              <w:rPr>
                <w:rFonts w:ascii="宋体" w:hAnsi="宋体"/>
                <w:szCs w:val="21"/>
              </w:rPr>
            </w:pPr>
            <w:r>
              <w:rPr>
                <w:rFonts w:hint="eastAsia" w:ascii="宋体" w:hAnsi="宋体"/>
                <w:szCs w:val="21"/>
              </w:rPr>
              <w:t xml:space="preserve">地    址：荥阳市索河街道索河西路032号 </w:t>
            </w:r>
          </w:p>
          <w:p>
            <w:pPr>
              <w:spacing w:line="360" w:lineRule="auto"/>
              <w:jc w:val="left"/>
              <w:rPr>
                <w:rFonts w:hint="eastAsia" w:ascii="宋体" w:hAnsi="宋体" w:eastAsia="宋体"/>
                <w:szCs w:val="21"/>
                <w:lang w:eastAsia="zh-CN"/>
              </w:rPr>
            </w:pPr>
            <w:r>
              <w:rPr>
                <w:rFonts w:hint="eastAsia" w:ascii="宋体" w:hAnsi="宋体"/>
                <w:szCs w:val="21"/>
              </w:rPr>
              <w:t>联 系 人：于海艳</w:t>
            </w:r>
          </w:p>
          <w:p>
            <w:pPr>
              <w:spacing w:line="360" w:lineRule="auto"/>
              <w:jc w:val="left"/>
              <w:rPr>
                <w:rFonts w:ascii="宋体" w:hAnsi="宋体"/>
                <w:szCs w:val="21"/>
              </w:rPr>
            </w:pPr>
            <w:r>
              <w:rPr>
                <w:rFonts w:hint="eastAsia" w:ascii="宋体" w:hAnsi="宋体"/>
                <w:szCs w:val="21"/>
              </w:rPr>
              <w:t xml:space="preserve">电    话：0371-69566828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Align w:val="center"/>
          </w:tcPr>
          <w:p>
            <w:pPr>
              <w:spacing w:line="360" w:lineRule="auto"/>
              <w:jc w:val="center"/>
              <w:rPr>
                <w:rFonts w:ascii="宋体" w:hAnsi="宋体"/>
                <w:szCs w:val="21"/>
              </w:rPr>
            </w:pPr>
            <w:r>
              <w:rPr>
                <w:rFonts w:hint="eastAsia" w:ascii="宋体" w:hAnsi="宋体"/>
                <w:szCs w:val="21"/>
              </w:rPr>
              <w:t>1.1.3</w:t>
            </w:r>
          </w:p>
        </w:tc>
        <w:tc>
          <w:tcPr>
            <w:tcW w:w="2552" w:type="dxa"/>
            <w:vAlign w:val="center"/>
          </w:tcPr>
          <w:p>
            <w:pPr>
              <w:spacing w:line="360" w:lineRule="auto"/>
              <w:jc w:val="center"/>
              <w:rPr>
                <w:rFonts w:ascii="宋体" w:hAnsi="宋体"/>
                <w:szCs w:val="21"/>
              </w:rPr>
            </w:pPr>
            <w:r>
              <w:rPr>
                <w:rFonts w:hint="eastAsia" w:ascii="宋体" w:hAnsi="宋体"/>
                <w:szCs w:val="21"/>
              </w:rPr>
              <w:t>代理机构</w:t>
            </w:r>
          </w:p>
        </w:tc>
        <w:tc>
          <w:tcPr>
            <w:tcW w:w="5901" w:type="dxa"/>
            <w:vAlign w:val="center"/>
          </w:tcPr>
          <w:p>
            <w:pPr>
              <w:spacing w:line="360" w:lineRule="auto"/>
              <w:jc w:val="left"/>
              <w:rPr>
                <w:rFonts w:hint="eastAsia" w:ascii="宋体" w:hAnsi="宋体" w:eastAsia="宋体"/>
                <w:szCs w:val="21"/>
                <w:lang w:eastAsia="zh-CN"/>
              </w:rPr>
            </w:pPr>
            <w:r>
              <w:rPr>
                <w:rFonts w:hint="eastAsia" w:ascii="宋体" w:hAnsi="宋体"/>
                <w:szCs w:val="21"/>
              </w:rPr>
              <w:t>代理机构：</w:t>
            </w:r>
            <w:r>
              <w:rPr>
                <w:rFonts w:hint="eastAsia" w:ascii="宋体" w:hAnsi="宋体"/>
                <w:szCs w:val="21"/>
                <w:lang w:eastAsia="zh-CN"/>
              </w:rPr>
              <w:t>河南鹏轩工程管理有限公司</w:t>
            </w:r>
          </w:p>
          <w:p>
            <w:pPr>
              <w:spacing w:line="360" w:lineRule="auto"/>
              <w:jc w:val="left"/>
              <w:rPr>
                <w:rFonts w:hint="eastAsia" w:ascii="宋体" w:hAnsi="宋体" w:eastAsia="宋体"/>
                <w:szCs w:val="21"/>
                <w:lang w:eastAsia="zh-CN"/>
              </w:rPr>
            </w:pPr>
            <w:r>
              <w:rPr>
                <w:rFonts w:hint="eastAsia" w:ascii="宋体" w:hAnsi="宋体"/>
                <w:szCs w:val="21"/>
              </w:rPr>
              <w:t>联 系 人：</w:t>
            </w:r>
            <w:r>
              <w:rPr>
                <w:rFonts w:hint="eastAsia" w:ascii="宋体" w:hAnsi="宋体"/>
                <w:szCs w:val="21"/>
                <w:lang w:eastAsia="zh-CN"/>
              </w:rPr>
              <w:t>范丹丹</w:t>
            </w:r>
          </w:p>
          <w:p>
            <w:pPr>
              <w:spacing w:line="360" w:lineRule="auto"/>
              <w:jc w:val="left"/>
              <w:rPr>
                <w:rFonts w:ascii="宋体" w:hAnsi="宋体"/>
                <w:szCs w:val="21"/>
              </w:rPr>
            </w:pPr>
            <w:r>
              <w:rPr>
                <w:rFonts w:hint="eastAsia" w:ascii="宋体" w:hAnsi="宋体"/>
                <w:szCs w:val="21"/>
              </w:rPr>
              <w:t>电    话：</w:t>
            </w:r>
            <w:r>
              <w:rPr>
                <w:rFonts w:hint="eastAsia" w:ascii="宋体" w:hAnsi="宋体"/>
                <w:szCs w:val="21"/>
                <w:lang w:val="en-US" w:eastAsia="zh-CN"/>
              </w:rPr>
              <w:t>13598853044</w:t>
            </w:r>
          </w:p>
          <w:p>
            <w:pPr>
              <w:spacing w:line="360" w:lineRule="auto"/>
              <w:jc w:val="left"/>
            </w:pPr>
            <w:r>
              <w:rPr>
                <w:rFonts w:hint="eastAsia" w:ascii="宋体" w:hAnsi="宋体"/>
                <w:szCs w:val="21"/>
              </w:rPr>
              <w:t>地    址：河南省郑州市惠济区新城路麦普产业园四楼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77" w:type="dxa"/>
            <w:vAlign w:val="center"/>
          </w:tcPr>
          <w:p>
            <w:pPr>
              <w:spacing w:line="360" w:lineRule="auto"/>
              <w:jc w:val="center"/>
              <w:rPr>
                <w:rFonts w:ascii="宋体" w:hAnsi="宋体"/>
                <w:szCs w:val="21"/>
              </w:rPr>
            </w:pPr>
            <w:r>
              <w:rPr>
                <w:rFonts w:hint="eastAsia" w:ascii="宋体" w:hAnsi="宋体"/>
                <w:szCs w:val="21"/>
              </w:rPr>
              <w:t>1.1.4</w:t>
            </w:r>
          </w:p>
        </w:tc>
        <w:tc>
          <w:tcPr>
            <w:tcW w:w="2552" w:type="dxa"/>
            <w:vAlign w:val="center"/>
          </w:tcPr>
          <w:p>
            <w:pPr>
              <w:spacing w:line="360" w:lineRule="auto"/>
              <w:jc w:val="center"/>
              <w:rPr>
                <w:rFonts w:ascii="宋体" w:hAnsi="宋体"/>
                <w:szCs w:val="21"/>
              </w:rPr>
            </w:pPr>
            <w:r>
              <w:rPr>
                <w:rFonts w:hint="eastAsia" w:ascii="宋体" w:hAnsi="宋体"/>
                <w:szCs w:val="21"/>
              </w:rPr>
              <w:t>项目名称</w:t>
            </w:r>
          </w:p>
        </w:tc>
        <w:tc>
          <w:tcPr>
            <w:tcW w:w="5901" w:type="dxa"/>
            <w:vAlign w:val="center"/>
          </w:tcPr>
          <w:p>
            <w:pPr>
              <w:spacing w:line="360" w:lineRule="auto"/>
              <w:rPr>
                <w:rFonts w:hint="eastAsia" w:ascii="宋体" w:hAnsi="宋体" w:eastAsia="宋体"/>
                <w:szCs w:val="21"/>
                <w:lang w:eastAsia="zh-CN"/>
              </w:rPr>
            </w:pPr>
            <w:r>
              <w:rPr>
                <w:rFonts w:hint="eastAsia" w:ascii="宋体" w:hAnsi="宋体"/>
                <w:szCs w:val="21"/>
                <w:lang w:eastAsia="zh-CN"/>
              </w:rPr>
              <w:t>荥阳市机关事务中心购置荥阳市人民武装部搬迁设施项目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77" w:type="dxa"/>
            <w:vAlign w:val="center"/>
          </w:tcPr>
          <w:p>
            <w:pPr>
              <w:spacing w:line="360" w:lineRule="auto"/>
              <w:jc w:val="center"/>
              <w:rPr>
                <w:rFonts w:ascii="宋体" w:hAnsi="宋体"/>
                <w:szCs w:val="21"/>
              </w:rPr>
            </w:pPr>
            <w:r>
              <w:rPr>
                <w:rFonts w:hint="eastAsia" w:ascii="宋体" w:hAnsi="宋体"/>
                <w:szCs w:val="21"/>
              </w:rPr>
              <w:t>1.1.5</w:t>
            </w:r>
          </w:p>
        </w:tc>
        <w:tc>
          <w:tcPr>
            <w:tcW w:w="2552" w:type="dxa"/>
            <w:vAlign w:val="center"/>
          </w:tcPr>
          <w:p>
            <w:pPr>
              <w:spacing w:line="360" w:lineRule="auto"/>
              <w:jc w:val="center"/>
              <w:rPr>
                <w:rFonts w:ascii="宋体" w:hAnsi="宋体"/>
                <w:szCs w:val="21"/>
              </w:rPr>
            </w:pPr>
            <w:r>
              <w:rPr>
                <w:rFonts w:hint="eastAsia" w:ascii="宋体" w:hAnsi="宋体"/>
                <w:szCs w:val="21"/>
              </w:rPr>
              <w:t>建设地点</w:t>
            </w:r>
          </w:p>
        </w:tc>
        <w:tc>
          <w:tcPr>
            <w:tcW w:w="5901" w:type="dxa"/>
            <w:vAlign w:val="center"/>
          </w:tcPr>
          <w:p>
            <w:pPr>
              <w:spacing w:line="360" w:lineRule="auto"/>
              <w:rPr>
                <w:rFonts w:ascii="宋体" w:hAnsi="宋体"/>
                <w:szCs w:val="21"/>
              </w:rPr>
            </w:pPr>
            <w:r>
              <w:rPr>
                <w:rFonts w:hint="eastAsia" w:ascii="宋体" w:hAnsi="宋体"/>
                <w:szCs w:val="21"/>
              </w:rPr>
              <w:t>荥阳市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77" w:type="dxa"/>
            <w:vAlign w:val="center"/>
          </w:tcPr>
          <w:p>
            <w:pPr>
              <w:spacing w:line="360" w:lineRule="auto"/>
              <w:jc w:val="center"/>
              <w:rPr>
                <w:rFonts w:ascii="宋体" w:hAnsi="宋体"/>
                <w:szCs w:val="21"/>
              </w:rPr>
            </w:pPr>
            <w:r>
              <w:rPr>
                <w:rFonts w:hint="eastAsia" w:ascii="宋体" w:hAnsi="宋体"/>
                <w:szCs w:val="21"/>
              </w:rPr>
              <w:t>1.2.1</w:t>
            </w:r>
          </w:p>
        </w:tc>
        <w:tc>
          <w:tcPr>
            <w:tcW w:w="2552" w:type="dxa"/>
            <w:vAlign w:val="center"/>
          </w:tcPr>
          <w:p>
            <w:pPr>
              <w:spacing w:line="360" w:lineRule="auto"/>
              <w:jc w:val="center"/>
              <w:rPr>
                <w:rFonts w:ascii="宋体" w:hAnsi="宋体"/>
                <w:szCs w:val="21"/>
              </w:rPr>
            </w:pPr>
            <w:r>
              <w:rPr>
                <w:rFonts w:hint="eastAsia" w:ascii="宋体" w:hAnsi="宋体"/>
                <w:szCs w:val="21"/>
              </w:rPr>
              <w:t>资金来源</w:t>
            </w:r>
          </w:p>
        </w:tc>
        <w:tc>
          <w:tcPr>
            <w:tcW w:w="5901" w:type="dxa"/>
            <w:vAlign w:val="center"/>
          </w:tcPr>
          <w:p>
            <w:pPr>
              <w:spacing w:line="360" w:lineRule="auto"/>
              <w:rPr>
                <w:rFonts w:ascii="宋体" w:hAnsi="宋体"/>
                <w:szCs w:val="21"/>
              </w:rPr>
            </w:pPr>
            <w:r>
              <w:rPr>
                <w:rFonts w:hint="eastAsia" w:ascii="宋体" w:hAnsi="宋体"/>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77" w:type="dxa"/>
            <w:vAlign w:val="center"/>
          </w:tcPr>
          <w:p>
            <w:pPr>
              <w:spacing w:line="360" w:lineRule="auto"/>
              <w:jc w:val="center"/>
              <w:rPr>
                <w:rFonts w:ascii="宋体" w:hAnsi="宋体"/>
                <w:szCs w:val="21"/>
              </w:rPr>
            </w:pPr>
            <w:r>
              <w:rPr>
                <w:rFonts w:hint="eastAsia" w:ascii="宋体" w:hAnsi="宋体"/>
                <w:szCs w:val="21"/>
              </w:rPr>
              <w:t>1.2.3</w:t>
            </w:r>
          </w:p>
        </w:tc>
        <w:tc>
          <w:tcPr>
            <w:tcW w:w="2552" w:type="dxa"/>
            <w:vAlign w:val="center"/>
          </w:tcPr>
          <w:p>
            <w:pPr>
              <w:spacing w:line="360" w:lineRule="auto"/>
              <w:jc w:val="center"/>
              <w:rPr>
                <w:rFonts w:ascii="宋体" w:hAnsi="宋体"/>
                <w:szCs w:val="21"/>
              </w:rPr>
            </w:pPr>
            <w:r>
              <w:rPr>
                <w:rFonts w:hint="eastAsia" w:ascii="宋体" w:hAnsi="宋体"/>
                <w:szCs w:val="21"/>
              </w:rPr>
              <w:t>资金落实情况</w:t>
            </w:r>
          </w:p>
        </w:tc>
        <w:tc>
          <w:tcPr>
            <w:tcW w:w="5901" w:type="dxa"/>
            <w:vAlign w:val="center"/>
          </w:tcPr>
          <w:p>
            <w:pPr>
              <w:spacing w:line="360" w:lineRule="auto"/>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77" w:type="dxa"/>
            <w:vAlign w:val="center"/>
          </w:tcPr>
          <w:p>
            <w:pPr>
              <w:spacing w:line="360" w:lineRule="auto"/>
              <w:jc w:val="center"/>
              <w:rPr>
                <w:rFonts w:ascii="宋体" w:hAnsi="宋体"/>
                <w:szCs w:val="21"/>
              </w:rPr>
            </w:pPr>
            <w:r>
              <w:rPr>
                <w:rFonts w:hint="eastAsia" w:ascii="宋体" w:hAnsi="宋体"/>
                <w:szCs w:val="21"/>
              </w:rPr>
              <w:t>1.3.1</w:t>
            </w:r>
          </w:p>
        </w:tc>
        <w:tc>
          <w:tcPr>
            <w:tcW w:w="2552" w:type="dxa"/>
            <w:vAlign w:val="center"/>
          </w:tcPr>
          <w:p>
            <w:pPr>
              <w:spacing w:line="360" w:lineRule="auto"/>
              <w:jc w:val="center"/>
              <w:rPr>
                <w:rFonts w:ascii="宋体" w:hAnsi="宋体"/>
                <w:szCs w:val="21"/>
              </w:rPr>
            </w:pPr>
            <w:r>
              <w:rPr>
                <w:rFonts w:hint="eastAsia" w:ascii="宋体" w:hAnsi="宋体"/>
                <w:szCs w:val="21"/>
              </w:rPr>
              <w:t>采购需求</w:t>
            </w:r>
          </w:p>
        </w:tc>
        <w:tc>
          <w:tcPr>
            <w:tcW w:w="5901" w:type="dxa"/>
            <w:vAlign w:val="center"/>
          </w:tcPr>
          <w:p>
            <w:pPr>
              <w:spacing w:line="360" w:lineRule="auto"/>
              <w:rPr>
                <w:rFonts w:ascii="宋体" w:hAnsi="宋体"/>
                <w:szCs w:val="21"/>
              </w:rPr>
            </w:pPr>
            <w:r>
              <w:rPr>
                <w:rFonts w:hint="eastAsia" w:ascii="宋体" w:hAnsi="宋体"/>
                <w:szCs w:val="21"/>
              </w:rPr>
              <w:t xml:space="preserve"> </w:t>
            </w:r>
            <w:r>
              <w:rPr>
                <w:rFonts w:hint="eastAsia" w:ascii="宋体" w:hAnsi="宋体"/>
                <w:szCs w:val="21"/>
                <w:lang w:eastAsia="zh-CN"/>
              </w:rPr>
              <w:t>主要为荥阳市人民武装部搬迁购置一批办公设备。</w:t>
            </w:r>
            <w:r>
              <w:rPr>
                <w:rFonts w:hint="eastAsia" w:ascii="宋体" w:hAnsi="宋体"/>
                <w:szCs w:val="21"/>
              </w:rPr>
              <w:t>（详见招标文件内容）。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77" w:type="dxa"/>
            <w:vAlign w:val="center"/>
          </w:tcPr>
          <w:p>
            <w:pPr>
              <w:spacing w:line="360" w:lineRule="auto"/>
              <w:jc w:val="center"/>
              <w:rPr>
                <w:rFonts w:ascii="宋体" w:hAnsi="宋体"/>
                <w:szCs w:val="21"/>
              </w:rPr>
            </w:pPr>
            <w:r>
              <w:rPr>
                <w:rFonts w:hint="eastAsia" w:ascii="宋体" w:hAnsi="宋体"/>
                <w:szCs w:val="21"/>
              </w:rPr>
              <w:t>1.3.3</w:t>
            </w:r>
          </w:p>
        </w:tc>
        <w:tc>
          <w:tcPr>
            <w:tcW w:w="2552" w:type="dxa"/>
            <w:vAlign w:val="center"/>
          </w:tcPr>
          <w:p>
            <w:pPr>
              <w:spacing w:line="360" w:lineRule="auto"/>
              <w:jc w:val="center"/>
              <w:rPr>
                <w:rFonts w:ascii="宋体" w:hAnsi="宋体"/>
                <w:szCs w:val="21"/>
              </w:rPr>
            </w:pPr>
            <w:r>
              <w:rPr>
                <w:rFonts w:hint="eastAsia" w:ascii="宋体" w:hAnsi="宋体"/>
                <w:szCs w:val="21"/>
              </w:rPr>
              <w:t>供货安装及调试期限</w:t>
            </w:r>
          </w:p>
        </w:tc>
        <w:tc>
          <w:tcPr>
            <w:tcW w:w="5901" w:type="dxa"/>
            <w:vAlign w:val="center"/>
          </w:tcPr>
          <w:p>
            <w:pPr>
              <w:spacing w:line="360" w:lineRule="auto"/>
              <w:rPr>
                <w:rFonts w:ascii="宋体" w:hAnsi="宋体"/>
                <w:szCs w:val="21"/>
              </w:rPr>
            </w:pPr>
            <w:r>
              <w:rPr>
                <w:rFonts w:hint="eastAsia" w:ascii="宋体" w:hAnsi="宋体"/>
                <w:lang w:val="en-US" w:eastAsia="zh-CN"/>
              </w:rPr>
              <w:t>45</w:t>
            </w:r>
            <w:r>
              <w:rPr>
                <w:rFonts w:hint="eastAsia" w:ascii="宋体" w:hAnsi="宋体"/>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77" w:type="dxa"/>
            <w:vAlign w:val="center"/>
          </w:tcPr>
          <w:p>
            <w:pPr>
              <w:spacing w:line="360" w:lineRule="auto"/>
              <w:jc w:val="center"/>
              <w:rPr>
                <w:rFonts w:ascii="宋体" w:hAnsi="宋体"/>
                <w:szCs w:val="21"/>
              </w:rPr>
            </w:pPr>
            <w:r>
              <w:rPr>
                <w:rFonts w:hint="eastAsia" w:ascii="宋体" w:hAnsi="宋体"/>
                <w:szCs w:val="21"/>
              </w:rPr>
              <w:t>1.3.4</w:t>
            </w:r>
          </w:p>
        </w:tc>
        <w:tc>
          <w:tcPr>
            <w:tcW w:w="2552" w:type="dxa"/>
            <w:vAlign w:val="center"/>
          </w:tcPr>
          <w:p>
            <w:pPr>
              <w:spacing w:line="360" w:lineRule="auto"/>
              <w:jc w:val="center"/>
              <w:rPr>
                <w:rFonts w:ascii="宋体" w:hAnsi="宋体"/>
                <w:szCs w:val="21"/>
              </w:rPr>
            </w:pPr>
            <w:r>
              <w:rPr>
                <w:rFonts w:hint="eastAsia" w:ascii="宋体" w:hAnsi="宋体"/>
                <w:szCs w:val="21"/>
              </w:rPr>
              <w:t>质量要求</w:t>
            </w:r>
          </w:p>
        </w:tc>
        <w:tc>
          <w:tcPr>
            <w:tcW w:w="5901" w:type="dxa"/>
            <w:vAlign w:val="center"/>
          </w:tcPr>
          <w:p>
            <w:pPr>
              <w:spacing w:line="360" w:lineRule="auto"/>
              <w:rPr>
                <w:rFonts w:ascii="宋体" w:hAnsi="宋体"/>
                <w:szCs w:val="21"/>
              </w:rPr>
            </w:pPr>
            <w:r>
              <w:rPr>
                <w:rFonts w:hint="eastAsia" w:ascii="宋体" w:hAnsi="宋体"/>
                <w:szCs w:val="21"/>
              </w:rPr>
              <w:t>合格，符合国家、地方现行相关规范要求，通过相关部门审查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77" w:type="dxa"/>
            <w:vAlign w:val="center"/>
          </w:tcPr>
          <w:p>
            <w:pPr>
              <w:spacing w:line="360" w:lineRule="auto"/>
              <w:jc w:val="center"/>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.3.5</w:t>
            </w:r>
          </w:p>
        </w:tc>
        <w:tc>
          <w:tcPr>
            <w:tcW w:w="2552" w:type="dxa"/>
            <w:vAlign w:val="center"/>
          </w:tcPr>
          <w:p>
            <w:pPr>
              <w:spacing w:line="360" w:lineRule="auto"/>
              <w:jc w:val="center"/>
              <w:rPr>
                <w:rFonts w:hint="eastAsia" w:ascii="宋体" w:hAnsi="宋体"/>
                <w:szCs w:val="21"/>
                <w:highlight w:val="none"/>
              </w:rPr>
            </w:pPr>
            <w:r>
              <w:rPr>
                <w:rFonts w:hint="eastAsia" w:ascii="宋体" w:hAnsi="宋体"/>
                <w:szCs w:val="21"/>
                <w:highlight w:val="none"/>
              </w:rPr>
              <w:t>质保期</w:t>
            </w:r>
          </w:p>
        </w:tc>
        <w:tc>
          <w:tcPr>
            <w:tcW w:w="5901" w:type="dxa"/>
            <w:vAlign w:val="center"/>
          </w:tcPr>
          <w:p>
            <w:pPr>
              <w:spacing w:line="360" w:lineRule="auto"/>
              <w:rPr>
                <w:rFonts w:hint="eastAsia" w:ascii="宋体" w:hAnsi="宋体" w:eastAsia="宋体"/>
                <w:szCs w:val="21"/>
                <w:lang w:eastAsia="zh-CN"/>
              </w:rPr>
            </w:pPr>
            <w:r>
              <w:rPr>
                <w:rFonts w:hint="eastAsia" w:ascii="宋体" w:hAnsi="宋体"/>
                <w:szCs w:val="21"/>
                <w:lang w:eastAsia="zh-CN"/>
              </w:rPr>
              <w:t>验收合格后一年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77" w:type="dxa"/>
            <w:vAlign w:val="center"/>
          </w:tcPr>
          <w:p>
            <w:pPr>
              <w:spacing w:line="360" w:lineRule="auto"/>
              <w:jc w:val="center"/>
              <w:rPr>
                <w:rFonts w:ascii="宋体" w:hAnsi="宋体"/>
                <w:szCs w:val="21"/>
              </w:rPr>
            </w:pPr>
            <w:r>
              <w:rPr>
                <w:rFonts w:hint="eastAsia" w:ascii="宋体" w:hAnsi="宋体"/>
                <w:szCs w:val="21"/>
              </w:rPr>
              <w:t>1.4.1</w:t>
            </w:r>
          </w:p>
        </w:tc>
        <w:tc>
          <w:tcPr>
            <w:tcW w:w="2552" w:type="dxa"/>
            <w:vAlign w:val="center"/>
          </w:tcPr>
          <w:p>
            <w:pPr>
              <w:spacing w:line="360" w:lineRule="auto"/>
              <w:jc w:val="center"/>
              <w:rPr>
                <w:rFonts w:ascii="宋体" w:hAnsi="宋体"/>
                <w:szCs w:val="21"/>
              </w:rPr>
            </w:pPr>
            <w:r>
              <w:rPr>
                <w:rFonts w:hint="eastAsia" w:ascii="宋体" w:hAnsi="宋体"/>
                <w:szCs w:val="21"/>
              </w:rPr>
              <w:t>投标人资格要求</w:t>
            </w:r>
          </w:p>
        </w:tc>
        <w:tc>
          <w:tcPr>
            <w:tcW w:w="5901" w:type="dxa"/>
            <w:vAlign w:val="center"/>
          </w:tcPr>
          <w:p>
            <w:pPr>
              <w:spacing w:line="360" w:lineRule="auto"/>
              <w:rPr>
                <w:rFonts w:hint="eastAsia"/>
              </w:rPr>
            </w:pPr>
            <w:r>
              <w:rPr>
                <w:rFonts w:hint="eastAsia"/>
              </w:rPr>
              <w:t>1、投标人须具备《中华人民共和国政府采购法》第二十二条规定的条件</w:t>
            </w:r>
          </w:p>
          <w:p>
            <w:pPr>
              <w:spacing w:line="360" w:lineRule="auto"/>
              <w:rPr>
                <w:rFonts w:hint="eastAsia"/>
              </w:rPr>
            </w:pPr>
            <w:r>
              <w:rPr>
                <w:rFonts w:hint="eastAsia"/>
              </w:rPr>
              <w:t>（1）具有独立承担民事责任的能力,须提供有效的营业执照；</w:t>
            </w:r>
          </w:p>
          <w:p>
            <w:pPr>
              <w:spacing w:line="360" w:lineRule="auto"/>
              <w:rPr>
                <w:rFonts w:hint="eastAsia"/>
              </w:rPr>
            </w:pPr>
            <w:r>
              <w:rPr>
                <w:rFonts w:hint="eastAsia"/>
              </w:rPr>
              <w:t>（2）具有良好的商业信誉和健全的财务会计制度（提供承诺书，格式自拟）；</w:t>
            </w:r>
          </w:p>
          <w:p>
            <w:pPr>
              <w:spacing w:line="360" w:lineRule="auto"/>
              <w:rPr>
                <w:rFonts w:hint="eastAsia"/>
              </w:rPr>
            </w:pPr>
            <w:r>
              <w:rPr>
                <w:rFonts w:hint="eastAsia"/>
              </w:rPr>
              <w:t>（3）具有履行合同所必需的专业技术能力，须提供供应商具有履行合同所必需的设备和专业技术能力承诺声明函；</w:t>
            </w:r>
          </w:p>
          <w:p>
            <w:pPr>
              <w:spacing w:line="360" w:lineRule="auto"/>
              <w:rPr>
                <w:rFonts w:hint="eastAsia"/>
              </w:rPr>
            </w:pPr>
            <w:r>
              <w:rPr>
                <w:rFonts w:hint="eastAsia"/>
              </w:rPr>
              <w:t>（4）具有依法缴纳税收和社会保障资金的良好记录（提供承诺书，格式自拟）；</w:t>
            </w:r>
          </w:p>
          <w:p>
            <w:pPr>
              <w:spacing w:line="360" w:lineRule="auto"/>
              <w:rPr>
                <w:rFonts w:hint="eastAsia"/>
              </w:rPr>
            </w:pPr>
            <w:r>
              <w:rPr>
                <w:rFonts w:hint="eastAsia"/>
              </w:rPr>
              <w:t>（5）参加政府采购活动前三年内，在经营活动中没有重大违法记录，供应商出具承诺函，格式自拟。</w:t>
            </w:r>
          </w:p>
          <w:p>
            <w:pPr>
              <w:spacing w:line="360" w:lineRule="auto"/>
              <w:rPr>
                <w:rFonts w:hint="eastAsia"/>
              </w:rPr>
            </w:pPr>
            <w:r>
              <w:rPr>
                <w:rFonts w:hint="eastAsia"/>
              </w:rPr>
              <w:t xml:space="preserve">2.落实的政府采购政策： </w:t>
            </w:r>
          </w:p>
          <w:p>
            <w:pPr>
              <w:spacing w:line="360" w:lineRule="auto"/>
              <w:rPr>
                <w:rFonts w:hint="eastAsia"/>
              </w:rPr>
            </w:pPr>
            <w:r>
              <w:rPr>
                <w:rFonts w:hint="eastAsia"/>
              </w:rPr>
              <w:t>无</w:t>
            </w:r>
          </w:p>
          <w:p>
            <w:pPr>
              <w:spacing w:line="360" w:lineRule="auto"/>
              <w:rPr>
                <w:rFonts w:hint="eastAsia"/>
              </w:rPr>
            </w:pPr>
            <w:r>
              <w:rPr>
                <w:rFonts w:hint="eastAsia"/>
              </w:rPr>
              <w:t>3、本项目的特定资格要求：</w:t>
            </w:r>
          </w:p>
          <w:p>
            <w:pPr>
              <w:spacing w:line="360" w:lineRule="auto"/>
              <w:rPr>
                <w:rFonts w:hint="eastAsia"/>
              </w:rPr>
            </w:pPr>
            <w:r>
              <w:rPr>
                <w:rFonts w:hint="eastAsia"/>
              </w:rPr>
              <w:t>3.1、根据《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供应商可将查询结果附到响应文件中（查询日期在本公告发布日期之后）。开标时采购人、代理机构根据需要自行核查，如核查情况与响应文件不一致时，以采购人、代理机构现场核查结果为准【查询渠道：“信用中国”网站（www.creditchina.gov.cn）和中国政府采购（www.ccgp.gov.cn）】，查询结果由代理机构进行留存。</w:t>
            </w:r>
          </w:p>
          <w:p>
            <w:pPr>
              <w:spacing w:line="360" w:lineRule="auto"/>
              <w:rPr>
                <w:rFonts w:hint="eastAsia"/>
              </w:rPr>
            </w:pPr>
            <w:r>
              <w:rPr>
                <w:rFonts w:hint="eastAsia"/>
              </w:rPr>
              <w:t>3.2、单位负责人为同一人或存在直接控股、管理关系的不同供应商，不得参加同一合同项下的政府采购活动；</w:t>
            </w:r>
          </w:p>
          <w:p>
            <w:pPr>
              <w:spacing w:line="360" w:lineRule="auto"/>
              <w:rPr>
                <w:rFonts w:hint="eastAsia"/>
              </w:rPr>
            </w:pPr>
            <w:r>
              <w:rPr>
                <w:rFonts w:hint="eastAsia"/>
              </w:rPr>
              <w:t>3.3、不允许转包和违法分包。</w:t>
            </w:r>
          </w:p>
          <w:p>
            <w:pPr>
              <w:spacing w:line="360" w:lineRule="auto"/>
            </w:pPr>
            <w:r>
              <w:rPr>
                <w:rFonts w:hint="eastAsia"/>
              </w:rPr>
              <w:t>3.4、本次采购实行资格后审。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77" w:type="dxa"/>
            <w:vAlign w:val="center"/>
          </w:tcPr>
          <w:p>
            <w:pPr>
              <w:spacing w:line="360" w:lineRule="auto"/>
              <w:jc w:val="center"/>
              <w:rPr>
                <w:rFonts w:ascii="宋体" w:hAnsi="宋体"/>
                <w:szCs w:val="21"/>
              </w:rPr>
            </w:pPr>
            <w:r>
              <w:rPr>
                <w:rFonts w:hint="eastAsia" w:ascii="宋体" w:hAnsi="宋体"/>
                <w:szCs w:val="21"/>
              </w:rPr>
              <w:t>1.4.2</w:t>
            </w:r>
          </w:p>
        </w:tc>
        <w:tc>
          <w:tcPr>
            <w:tcW w:w="2552" w:type="dxa"/>
            <w:vAlign w:val="center"/>
          </w:tcPr>
          <w:p>
            <w:pPr>
              <w:spacing w:line="360" w:lineRule="auto"/>
              <w:jc w:val="center"/>
              <w:rPr>
                <w:rFonts w:ascii="宋体" w:hAnsi="宋体"/>
                <w:szCs w:val="21"/>
              </w:rPr>
            </w:pPr>
            <w:r>
              <w:rPr>
                <w:rFonts w:hint="eastAsia" w:ascii="宋体" w:hAnsi="宋体"/>
                <w:szCs w:val="21"/>
              </w:rPr>
              <w:t>是否接受联合体</w:t>
            </w:r>
          </w:p>
        </w:tc>
        <w:tc>
          <w:tcPr>
            <w:tcW w:w="5901" w:type="dxa"/>
            <w:vAlign w:val="center"/>
          </w:tcPr>
          <w:p>
            <w:pPr>
              <w:spacing w:line="360" w:lineRule="auto"/>
              <w:rPr>
                <w:rFonts w:ascii="宋体" w:hAnsi="宋体"/>
                <w:szCs w:val="21"/>
              </w:rPr>
            </w:pPr>
            <w:r>
              <w:rPr>
                <w:rFonts w:hint="eastAsia" w:ascii="宋体" w:hAnsi="宋体"/>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77" w:type="dxa"/>
            <w:vAlign w:val="center"/>
          </w:tcPr>
          <w:p>
            <w:pPr>
              <w:spacing w:line="360" w:lineRule="auto"/>
              <w:jc w:val="center"/>
              <w:rPr>
                <w:rFonts w:ascii="宋体" w:hAnsi="宋体"/>
                <w:szCs w:val="21"/>
              </w:rPr>
            </w:pPr>
            <w:r>
              <w:rPr>
                <w:rFonts w:hint="eastAsia" w:ascii="宋体" w:hAnsi="宋体"/>
                <w:szCs w:val="21"/>
              </w:rPr>
              <w:t>1.9.1</w:t>
            </w:r>
          </w:p>
        </w:tc>
        <w:tc>
          <w:tcPr>
            <w:tcW w:w="2552" w:type="dxa"/>
            <w:vAlign w:val="center"/>
          </w:tcPr>
          <w:p>
            <w:pPr>
              <w:spacing w:line="360" w:lineRule="auto"/>
              <w:jc w:val="center"/>
              <w:rPr>
                <w:rFonts w:ascii="宋体" w:hAnsi="宋体"/>
                <w:szCs w:val="21"/>
              </w:rPr>
            </w:pPr>
            <w:r>
              <w:rPr>
                <w:rFonts w:hint="eastAsia" w:ascii="宋体" w:hAnsi="宋体"/>
                <w:szCs w:val="21"/>
              </w:rPr>
              <w:t>踏勘现场</w:t>
            </w:r>
          </w:p>
        </w:tc>
        <w:tc>
          <w:tcPr>
            <w:tcW w:w="5901" w:type="dxa"/>
            <w:vAlign w:val="center"/>
          </w:tcPr>
          <w:p>
            <w:pPr>
              <w:spacing w:line="360" w:lineRule="auto"/>
              <w:rPr>
                <w:rFonts w:ascii="宋体" w:hAnsi="宋体"/>
                <w:szCs w:val="21"/>
              </w:rPr>
            </w:pPr>
            <w:r>
              <w:rPr>
                <w:rFonts w:hint="eastAsia" w:ascii="宋体" w:hAnsi="宋体"/>
                <w:szCs w:val="21"/>
              </w:rPr>
              <w:t>不组织，自行踏勘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77" w:type="dxa"/>
            <w:vAlign w:val="center"/>
          </w:tcPr>
          <w:p>
            <w:pPr>
              <w:spacing w:line="360" w:lineRule="auto"/>
              <w:jc w:val="center"/>
              <w:rPr>
                <w:rFonts w:ascii="宋体" w:hAnsi="宋体"/>
                <w:szCs w:val="21"/>
              </w:rPr>
            </w:pPr>
            <w:r>
              <w:rPr>
                <w:rFonts w:hint="eastAsia" w:ascii="宋体" w:hAnsi="宋体"/>
                <w:szCs w:val="21"/>
              </w:rPr>
              <w:t>1.10.1</w:t>
            </w:r>
          </w:p>
        </w:tc>
        <w:tc>
          <w:tcPr>
            <w:tcW w:w="2552" w:type="dxa"/>
            <w:vAlign w:val="center"/>
          </w:tcPr>
          <w:p>
            <w:pPr>
              <w:spacing w:line="360" w:lineRule="auto"/>
              <w:jc w:val="center"/>
              <w:rPr>
                <w:rFonts w:ascii="宋体" w:hAnsi="宋体"/>
                <w:szCs w:val="21"/>
              </w:rPr>
            </w:pPr>
            <w:r>
              <w:rPr>
                <w:rFonts w:hint="eastAsia" w:ascii="宋体" w:hAnsi="宋体"/>
                <w:szCs w:val="21"/>
              </w:rPr>
              <w:t>评标预备会</w:t>
            </w:r>
          </w:p>
        </w:tc>
        <w:tc>
          <w:tcPr>
            <w:tcW w:w="5901" w:type="dxa"/>
            <w:vAlign w:val="center"/>
          </w:tcPr>
          <w:p>
            <w:pPr>
              <w:spacing w:line="360" w:lineRule="auto"/>
              <w:rPr>
                <w:rFonts w:ascii="宋体" w:hAnsi="宋体"/>
                <w:szCs w:val="21"/>
              </w:rPr>
            </w:pPr>
            <w:r>
              <w:rPr>
                <w:rFonts w:hint="eastAsia" w:ascii="宋体" w:hAnsi="宋体"/>
                <w:szCs w:val="21"/>
              </w:rPr>
              <w:t>如有需要，另行通知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77" w:type="dxa"/>
            <w:vAlign w:val="center"/>
          </w:tcPr>
          <w:p>
            <w:pPr>
              <w:spacing w:line="360" w:lineRule="auto"/>
              <w:jc w:val="center"/>
              <w:rPr>
                <w:rFonts w:ascii="宋体" w:hAnsi="宋体"/>
                <w:szCs w:val="21"/>
              </w:rPr>
            </w:pPr>
            <w:r>
              <w:rPr>
                <w:rFonts w:hint="eastAsia" w:ascii="宋体" w:hAnsi="宋体"/>
                <w:szCs w:val="21"/>
              </w:rPr>
              <w:t>1.10.2</w:t>
            </w:r>
          </w:p>
        </w:tc>
        <w:tc>
          <w:tcPr>
            <w:tcW w:w="2552" w:type="dxa"/>
            <w:vAlign w:val="center"/>
          </w:tcPr>
          <w:p>
            <w:pPr>
              <w:spacing w:line="360" w:lineRule="auto"/>
              <w:jc w:val="center"/>
              <w:rPr>
                <w:rFonts w:ascii="宋体" w:hAnsi="宋体"/>
                <w:szCs w:val="21"/>
              </w:rPr>
            </w:pPr>
            <w:r>
              <w:rPr>
                <w:rFonts w:hint="eastAsia" w:ascii="宋体" w:hAnsi="宋体"/>
                <w:szCs w:val="21"/>
              </w:rPr>
              <w:t>投标人提出问题的截止时间</w:t>
            </w:r>
          </w:p>
        </w:tc>
        <w:tc>
          <w:tcPr>
            <w:tcW w:w="5901" w:type="dxa"/>
            <w:vAlign w:val="center"/>
          </w:tcPr>
          <w:p>
            <w:pPr>
              <w:spacing w:line="400" w:lineRule="exact"/>
              <w:rPr>
                <w:rFonts w:ascii="宋体" w:hAnsi="宋体"/>
                <w:szCs w:val="21"/>
              </w:rPr>
            </w:pPr>
            <w:r>
              <w:rPr>
                <w:rFonts w:hint="eastAsia" w:ascii="宋体" w:hAnsi="宋体"/>
                <w:szCs w:val="21"/>
              </w:rPr>
              <w:t>投标文件递交截止日期15日前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77" w:type="dxa"/>
            <w:vAlign w:val="center"/>
          </w:tcPr>
          <w:p>
            <w:pPr>
              <w:spacing w:line="360" w:lineRule="auto"/>
              <w:jc w:val="center"/>
              <w:rPr>
                <w:rFonts w:ascii="宋体" w:hAnsi="宋体"/>
                <w:szCs w:val="21"/>
              </w:rPr>
            </w:pPr>
            <w:r>
              <w:rPr>
                <w:rFonts w:hint="eastAsia" w:ascii="宋体" w:hAnsi="宋体"/>
                <w:szCs w:val="21"/>
              </w:rPr>
              <w:t>1.10.3</w:t>
            </w:r>
          </w:p>
        </w:tc>
        <w:tc>
          <w:tcPr>
            <w:tcW w:w="2552" w:type="dxa"/>
            <w:vAlign w:val="center"/>
          </w:tcPr>
          <w:p>
            <w:pPr>
              <w:spacing w:line="360" w:lineRule="auto"/>
              <w:jc w:val="center"/>
              <w:rPr>
                <w:rFonts w:ascii="宋体" w:hAnsi="宋体"/>
                <w:szCs w:val="21"/>
              </w:rPr>
            </w:pPr>
            <w:r>
              <w:rPr>
                <w:rFonts w:hint="eastAsia" w:ascii="宋体" w:hAnsi="宋体"/>
                <w:szCs w:val="21"/>
              </w:rPr>
              <w:t>采购人书面澄清的时间</w:t>
            </w:r>
          </w:p>
        </w:tc>
        <w:tc>
          <w:tcPr>
            <w:tcW w:w="5901" w:type="dxa"/>
            <w:vAlign w:val="center"/>
          </w:tcPr>
          <w:p>
            <w:pPr>
              <w:spacing w:line="400" w:lineRule="exact"/>
              <w:rPr>
                <w:rFonts w:ascii="宋体" w:hAnsi="宋体"/>
                <w:szCs w:val="21"/>
              </w:rPr>
            </w:pPr>
            <w:r>
              <w:rPr>
                <w:rFonts w:hint="eastAsia" w:ascii="宋体" w:hAnsi="宋体"/>
                <w:szCs w:val="21"/>
              </w:rPr>
              <w:t>投标文件递交截止日期15日前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77" w:type="dxa"/>
            <w:vAlign w:val="center"/>
          </w:tcPr>
          <w:p>
            <w:pPr>
              <w:spacing w:line="360" w:lineRule="auto"/>
              <w:jc w:val="center"/>
              <w:rPr>
                <w:rFonts w:ascii="宋体" w:hAnsi="宋体"/>
                <w:szCs w:val="21"/>
              </w:rPr>
            </w:pPr>
            <w:r>
              <w:rPr>
                <w:rFonts w:hint="eastAsia" w:ascii="宋体" w:hAnsi="宋体"/>
                <w:szCs w:val="21"/>
              </w:rPr>
              <w:t>1.11</w:t>
            </w:r>
          </w:p>
        </w:tc>
        <w:tc>
          <w:tcPr>
            <w:tcW w:w="2552" w:type="dxa"/>
            <w:vAlign w:val="center"/>
          </w:tcPr>
          <w:p>
            <w:pPr>
              <w:spacing w:line="360" w:lineRule="auto"/>
              <w:jc w:val="center"/>
              <w:rPr>
                <w:rFonts w:ascii="宋体" w:hAnsi="宋体"/>
                <w:szCs w:val="21"/>
              </w:rPr>
            </w:pPr>
            <w:r>
              <w:rPr>
                <w:rFonts w:hint="eastAsia" w:ascii="宋体" w:hAnsi="宋体"/>
                <w:szCs w:val="21"/>
              </w:rPr>
              <w:t>分包</w:t>
            </w:r>
          </w:p>
        </w:tc>
        <w:tc>
          <w:tcPr>
            <w:tcW w:w="5901" w:type="dxa"/>
            <w:vAlign w:val="center"/>
          </w:tcPr>
          <w:p>
            <w:pPr>
              <w:spacing w:line="360" w:lineRule="auto"/>
              <w:rPr>
                <w:rFonts w:ascii="宋体" w:hAnsi="宋体"/>
                <w:szCs w:val="21"/>
              </w:rPr>
            </w:pPr>
            <w:r>
              <w:rPr>
                <w:rFonts w:hint="eastAsia" w:ascii="宋体" w:hAnsi="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77" w:type="dxa"/>
            <w:vAlign w:val="center"/>
          </w:tcPr>
          <w:p>
            <w:pPr>
              <w:spacing w:line="360" w:lineRule="auto"/>
              <w:jc w:val="center"/>
              <w:rPr>
                <w:rFonts w:ascii="宋体" w:hAnsi="宋体"/>
                <w:szCs w:val="21"/>
              </w:rPr>
            </w:pPr>
            <w:r>
              <w:rPr>
                <w:rFonts w:hint="eastAsia" w:ascii="宋体" w:hAnsi="宋体"/>
                <w:szCs w:val="21"/>
              </w:rPr>
              <w:t>1.12</w:t>
            </w:r>
          </w:p>
        </w:tc>
        <w:tc>
          <w:tcPr>
            <w:tcW w:w="2552" w:type="dxa"/>
            <w:vAlign w:val="center"/>
          </w:tcPr>
          <w:p>
            <w:pPr>
              <w:spacing w:line="360" w:lineRule="auto"/>
              <w:jc w:val="center"/>
              <w:rPr>
                <w:rFonts w:ascii="宋体" w:hAnsi="宋体"/>
                <w:szCs w:val="21"/>
              </w:rPr>
            </w:pPr>
            <w:r>
              <w:rPr>
                <w:rFonts w:hint="eastAsia" w:ascii="宋体" w:hAnsi="宋体"/>
                <w:szCs w:val="21"/>
              </w:rPr>
              <w:t>偏离</w:t>
            </w:r>
          </w:p>
        </w:tc>
        <w:tc>
          <w:tcPr>
            <w:tcW w:w="5901" w:type="dxa"/>
            <w:vAlign w:val="center"/>
          </w:tcPr>
          <w:p>
            <w:pPr>
              <w:spacing w:line="360" w:lineRule="auto"/>
              <w:rPr>
                <w:rFonts w:ascii="宋体" w:hAnsi="宋体"/>
                <w:szCs w:val="21"/>
              </w:rPr>
            </w:pPr>
            <w:r>
              <w:rPr>
                <w:rFonts w:hint="eastAsia" w:ascii="宋体" w:hAnsi="宋体"/>
                <w:szCs w:val="21"/>
              </w:rPr>
              <w:t>■允许正偏离，负偏离参考技术参数打分要求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77" w:type="dxa"/>
            <w:vAlign w:val="center"/>
          </w:tcPr>
          <w:p>
            <w:pPr>
              <w:spacing w:line="360" w:lineRule="auto"/>
              <w:jc w:val="center"/>
              <w:rPr>
                <w:rFonts w:ascii="宋体" w:hAnsi="宋体"/>
                <w:szCs w:val="21"/>
              </w:rPr>
            </w:pPr>
            <w:r>
              <w:rPr>
                <w:rFonts w:hint="eastAsia" w:ascii="宋体" w:hAnsi="宋体"/>
                <w:szCs w:val="21"/>
              </w:rPr>
              <w:t>2.1</w:t>
            </w:r>
          </w:p>
        </w:tc>
        <w:tc>
          <w:tcPr>
            <w:tcW w:w="2552" w:type="dxa"/>
            <w:vAlign w:val="center"/>
          </w:tcPr>
          <w:p>
            <w:pPr>
              <w:spacing w:line="360" w:lineRule="auto"/>
              <w:jc w:val="center"/>
              <w:rPr>
                <w:rFonts w:ascii="宋体" w:hAnsi="宋体"/>
                <w:szCs w:val="21"/>
              </w:rPr>
            </w:pPr>
            <w:r>
              <w:rPr>
                <w:rFonts w:hint="eastAsia" w:ascii="宋体" w:hAnsi="宋体"/>
                <w:szCs w:val="21"/>
              </w:rPr>
              <w:t>构成招标文件的其他材料</w:t>
            </w:r>
          </w:p>
        </w:tc>
        <w:tc>
          <w:tcPr>
            <w:tcW w:w="5901" w:type="dxa"/>
            <w:vAlign w:val="center"/>
          </w:tcPr>
          <w:p>
            <w:pPr>
              <w:spacing w:line="400" w:lineRule="exact"/>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77" w:type="dxa"/>
            <w:vAlign w:val="center"/>
          </w:tcPr>
          <w:p>
            <w:pPr>
              <w:spacing w:line="360" w:lineRule="auto"/>
              <w:jc w:val="center"/>
              <w:rPr>
                <w:rFonts w:ascii="宋体" w:hAnsi="宋体"/>
                <w:szCs w:val="21"/>
              </w:rPr>
            </w:pPr>
            <w:r>
              <w:rPr>
                <w:rFonts w:hint="eastAsia" w:ascii="宋体" w:hAnsi="宋体"/>
                <w:szCs w:val="21"/>
              </w:rPr>
              <w:t>2.2.2</w:t>
            </w:r>
          </w:p>
        </w:tc>
        <w:tc>
          <w:tcPr>
            <w:tcW w:w="2552" w:type="dxa"/>
            <w:vAlign w:val="center"/>
          </w:tcPr>
          <w:p>
            <w:pPr>
              <w:spacing w:line="360" w:lineRule="auto"/>
              <w:jc w:val="center"/>
              <w:rPr>
                <w:rFonts w:ascii="宋体" w:hAnsi="宋体"/>
                <w:b/>
                <w:szCs w:val="21"/>
              </w:rPr>
            </w:pPr>
            <w:r>
              <w:rPr>
                <w:rFonts w:hint="eastAsia" w:ascii="宋体" w:hAnsi="宋体"/>
                <w:b/>
                <w:szCs w:val="21"/>
              </w:rPr>
              <w:t>投标截止时间</w:t>
            </w:r>
          </w:p>
        </w:tc>
        <w:tc>
          <w:tcPr>
            <w:tcW w:w="5901" w:type="dxa"/>
            <w:vAlign w:val="center"/>
          </w:tcPr>
          <w:p>
            <w:pPr>
              <w:spacing w:line="360" w:lineRule="auto"/>
              <w:jc w:val="left"/>
              <w:rPr>
                <w:rFonts w:ascii="宋体" w:hAnsi="宋体"/>
                <w:b/>
                <w:szCs w:val="21"/>
              </w:rPr>
            </w:pPr>
            <w:r>
              <w:rPr>
                <w:rFonts w:hint="eastAsia" w:ascii="宋体" w:hAnsi="宋体"/>
                <w:b/>
                <w:szCs w:val="21"/>
                <w:u w:val="single"/>
              </w:rPr>
              <w:t>202</w:t>
            </w:r>
            <w:r>
              <w:rPr>
                <w:rFonts w:hint="eastAsia" w:ascii="宋体" w:hAnsi="宋体"/>
                <w:b/>
                <w:szCs w:val="21"/>
                <w:u w:val="single"/>
                <w:lang w:val="en-US" w:eastAsia="zh-CN"/>
              </w:rPr>
              <w:t>4</w:t>
            </w:r>
            <w:r>
              <w:rPr>
                <w:rFonts w:hint="eastAsia" w:ascii="宋体" w:hAnsi="宋体"/>
                <w:b/>
                <w:szCs w:val="21"/>
              </w:rPr>
              <w:t>年</w:t>
            </w:r>
            <w:r>
              <w:rPr>
                <w:rFonts w:hint="eastAsia" w:ascii="宋体" w:hAnsi="宋体"/>
                <w:b/>
                <w:szCs w:val="21"/>
                <w:u w:val="single"/>
                <w:lang w:val="en-US" w:eastAsia="zh-CN"/>
              </w:rPr>
              <w:t>6</w:t>
            </w:r>
            <w:r>
              <w:rPr>
                <w:rFonts w:hint="eastAsia" w:ascii="宋体" w:hAnsi="宋体"/>
                <w:b/>
                <w:szCs w:val="21"/>
              </w:rPr>
              <w:t>月</w:t>
            </w:r>
            <w:r>
              <w:rPr>
                <w:rFonts w:hint="eastAsia" w:ascii="宋体" w:hAnsi="宋体"/>
                <w:b/>
                <w:szCs w:val="21"/>
                <w:u w:val="single"/>
                <w:lang w:val="en-US" w:eastAsia="zh-CN"/>
              </w:rPr>
              <w:t>13</w:t>
            </w:r>
            <w:r>
              <w:rPr>
                <w:rFonts w:hint="eastAsia" w:ascii="宋体" w:hAnsi="宋体"/>
                <w:b/>
                <w:szCs w:val="21"/>
              </w:rPr>
              <w:t>日上午</w:t>
            </w:r>
            <w:r>
              <w:rPr>
                <w:rFonts w:hint="eastAsia" w:ascii="宋体" w:hAnsi="宋体"/>
                <w:b/>
                <w:szCs w:val="21"/>
                <w:u w:val="single"/>
              </w:rPr>
              <w:t>9</w:t>
            </w:r>
            <w:r>
              <w:rPr>
                <w:rFonts w:hint="eastAsia" w:ascii="宋体" w:hAnsi="宋体"/>
                <w:b/>
                <w:szCs w:val="21"/>
              </w:rPr>
              <w:t>时</w:t>
            </w:r>
            <w:r>
              <w:rPr>
                <w:rFonts w:hint="eastAsia" w:ascii="宋体" w:hAnsi="宋体"/>
                <w:b/>
                <w:szCs w:val="21"/>
                <w:u w:val="single"/>
                <w:lang w:val="en-US" w:eastAsia="zh-CN"/>
              </w:rPr>
              <w:t>00</w:t>
            </w:r>
            <w:r>
              <w:rPr>
                <w:rFonts w:hint="eastAsia"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77" w:type="dxa"/>
            <w:vAlign w:val="center"/>
          </w:tcPr>
          <w:p>
            <w:pPr>
              <w:spacing w:line="360" w:lineRule="auto"/>
              <w:jc w:val="center"/>
              <w:rPr>
                <w:rFonts w:ascii="宋体" w:hAnsi="宋体"/>
                <w:szCs w:val="21"/>
              </w:rPr>
            </w:pPr>
            <w:r>
              <w:rPr>
                <w:rFonts w:hint="eastAsia" w:ascii="宋体" w:hAnsi="宋体"/>
                <w:szCs w:val="21"/>
              </w:rPr>
              <w:t>2.2.3</w:t>
            </w:r>
          </w:p>
        </w:tc>
        <w:tc>
          <w:tcPr>
            <w:tcW w:w="2552" w:type="dxa"/>
            <w:vAlign w:val="center"/>
          </w:tcPr>
          <w:p>
            <w:pPr>
              <w:spacing w:line="360" w:lineRule="auto"/>
              <w:jc w:val="center"/>
              <w:rPr>
                <w:rFonts w:ascii="宋体" w:hAnsi="宋体"/>
                <w:szCs w:val="21"/>
              </w:rPr>
            </w:pPr>
            <w:r>
              <w:rPr>
                <w:rFonts w:hint="eastAsia" w:ascii="宋体" w:hAnsi="宋体"/>
                <w:szCs w:val="21"/>
              </w:rPr>
              <w:t>投标人确认收到招标文件澄清的时间</w:t>
            </w:r>
          </w:p>
        </w:tc>
        <w:tc>
          <w:tcPr>
            <w:tcW w:w="5901" w:type="dxa"/>
            <w:vAlign w:val="center"/>
          </w:tcPr>
          <w:p>
            <w:pPr>
              <w:spacing w:line="400" w:lineRule="exact"/>
              <w:rPr>
                <w:rFonts w:ascii="宋体" w:hAnsi="宋体"/>
                <w:szCs w:val="21"/>
              </w:rPr>
            </w:pPr>
            <w:r>
              <w:rPr>
                <w:rFonts w:hint="eastAsia" w:ascii="宋体" w:hAnsi="宋体"/>
                <w:szCs w:val="21"/>
              </w:rPr>
              <w:t>澄清文件发出24小时之内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77" w:type="dxa"/>
            <w:vAlign w:val="center"/>
          </w:tcPr>
          <w:p>
            <w:pPr>
              <w:spacing w:line="360" w:lineRule="auto"/>
              <w:jc w:val="center"/>
              <w:rPr>
                <w:rFonts w:ascii="宋体" w:hAnsi="宋体"/>
                <w:szCs w:val="21"/>
              </w:rPr>
            </w:pPr>
            <w:r>
              <w:rPr>
                <w:rFonts w:hint="eastAsia" w:ascii="宋体" w:hAnsi="宋体"/>
                <w:szCs w:val="21"/>
              </w:rPr>
              <w:t>2.3.2</w:t>
            </w:r>
          </w:p>
        </w:tc>
        <w:tc>
          <w:tcPr>
            <w:tcW w:w="2552" w:type="dxa"/>
            <w:vAlign w:val="center"/>
          </w:tcPr>
          <w:p>
            <w:pPr>
              <w:spacing w:line="360" w:lineRule="auto"/>
              <w:jc w:val="center"/>
              <w:rPr>
                <w:rFonts w:ascii="宋体" w:hAnsi="宋体"/>
                <w:szCs w:val="21"/>
              </w:rPr>
            </w:pPr>
            <w:r>
              <w:rPr>
                <w:rFonts w:hint="eastAsia" w:ascii="宋体" w:hAnsi="宋体"/>
                <w:szCs w:val="21"/>
              </w:rPr>
              <w:t>投标人确认收到招标文件修改的时间</w:t>
            </w:r>
          </w:p>
        </w:tc>
        <w:tc>
          <w:tcPr>
            <w:tcW w:w="5901" w:type="dxa"/>
            <w:vAlign w:val="center"/>
          </w:tcPr>
          <w:p>
            <w:pPr>
              <w:spacing w:line="400" w:lineRule="exact"/>
              <w:rPr>
                <w:rFonts w:ascii="宋体" w:hAnsi="宋体"/>
                <w:szCs w:val="21"/>
              </w:rPr>
            </w:pPr>
            <w:r>
              <w:rPr>
                <w:rFonts w:hint="eastAsia" w:ascii="宋体" w:hAnsi="宋体"/>
                <w:szCs w:val="21"/>
              </w:rPr>
              <w:t>修改文件发出24小时之内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7" w:type="dxa"/>
            <w:vAlign w:val="center"/>
          </w:tcPr>
          <w:p>
            <w:pPr>
              <w:spacing w:line="360" w:lineRule="auto"/>
              <w:jc w:val="center"/>
              <w:rPr>
                <w:rFonts w:ascii="宋体" w:hAnsi="宋体"/>
                <w:szCs w:val="21"/>
              </w:rPr>
            </w:pPr>
            <w:r>
              <w:rPr>
                <w:rFonts w:hint="eastAsia" w:ascii="宋体" w:hAnsi="宋体"/>
                <w:szCs w:val="21"/>
              </w:rPr>
              <w:t>3.1.1</w:t>
            </w:r>
          </w:p>
        </w:tc>
        <w:tc>
          <w:tcPr>
            <w:tcW w:w="2552" w:type="dxa"/>
            <w:vAlign w:val="center"/>
          </w:tcPr>
          <w:p>
            <w:pPr>
              <w:spacing w:line="360" w:lineRule="auto"/>
              <w:jc w:val="center"/>
              <w:rPr>
                <w:rFonts w:ascii="宋体" w:hAnsi="宋体"/>
                <w:szCs w:val="21"/>
              </w:rPr>
            </w:pPr>
            <w:r>
              <w:rPr>
                <w:rFonts w:hint="eastAsia" w:ascii="宋体" w:hAnsi="宋体"/>
                <w:szCs w:val="21"/>
              </w:rPr>
              <w:t>构成投标文件的其他材料</w:t>
            </w:r>
          </w:p>
        </w:tc>
        <w:tc>
          <w:tcPr>
            <w:tcW w:w="5901" w:type="dxa"/>
            <w:vAlign w:val="center"/>
          </w:tcPr>
          <w:p>
            <w:pPr>
              <w:spacing w:line="400" w:lineRule="exact"/>
              <w:rPr>
                <w:rFonts w:ascii="宋体" w:hAnsi="宋体"/>
                <w:szCs w:val="21"/>
              </w:rPr>
            </w:pPr>
            <w:r>
              <w:rPr>
                <w:rFonts w:hint="eastAsia" w:ascii="宋体" w:hAnsi="宋体"/>
                <w:szCs w:val="21"/>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7" w:type="dxa"/>
            <w:vAlign w:val="center"/>
          </w:tcPr>
          <w:p>
            <w:pPr>
              <w:spacing w:line="360" w:lineRule="auto"/>
              <w:jc w:val="center"/>
              <w:rPr>
                <w:rFonts w:ascii="宋体" w:hAnsi="宋体"/>
                <w:szCs w:val="21"/>
              </w:rPr>
            </w:pPr>
            <w:r>
              <w:rPr>
                <w:rFonts w:hint="eastAsia" w:ascii="宋体" w:hAnsi="宋体"/>
                <w:szCs w:val="21"/>
              </w:rPr>
              <w:t>3.3.1</w:t>
            </w:r>
          </w:p>
        </w:tc>
        <w:tc>
          <w:tcPr>
            <w:tcW w:w="2552" w:type="dxa"/>
            <w:vAlign w:val="center"/>
          </w:tcPr>
          <w:p>
            <w:pPr>
              <w:spacing w:line="360" w:lineRule="auto"/>
              <w:jc w:val="center"/>
              <w:rPr>
                <w:rFonts w:ascii="宋体" w:hAnsi="宋体"/>
                <w:szCs w:val="21"/>
              </w:rPr>
            </w:pPr>
            <w:r>
              <w:rPr>
                <w:rFonts w:hint="eastAsia" w:ascii="宋体" w:hAnsi="宋体"/>
                <w:szCs w:val="21"/>
              </w:rPr>
              <w:t>投标有效期</w:t>
            </w:r>
          </w:p>
        </w:tc>
        <w:tc>
          <w:tcPr>
            <w:tcW w:w="5901" w:type="dxa"/>
            <w:vAlign w:val="center"/>
          </w:tcPr>
          <w:p>
            <w:pPr>
              <w:spacing w:line="400" w:lineRule="exact"/>
              <w:rPr>
                <w:rFonts w:ascii="宋体" w:hAnsi="宋体"/>
                <w:szCs w:val="21"/>
              </w:rPr>
            </w:pPr>
            <w:r>
              <w:rPr>
                <w:rFonts w:hint="eastAsia" w:ascii="宋体" w:hAnsi="宋体"/>
                <w:b/>
                <w:szCs w:val="21"/>
                <w:u w:val="single"/>
              </w:rPr>
              <w:t>60</w:t>
            </w:r>
            <w:r>
              <w:rPr>
                <w:rFonts w:hint="eastAsia" w:ascii="宋体" w:hAnsi="宋体"/>
                <w:szCs w:val="21"/>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77" w:type="dxa"/>
            <w:vAlign w:val="center"/>
          </w:tcPr>
          <w:p>
            <w:pPr>
              <w:spacing w:line="360" w:lineRule="auto"/>
              <w:jc w:val="center"/>
              <w:rPr>
                <w:rFonts w:ascii="宋体" w:hAnsi="宋体"/>
                <w:szCs w:val="21"/>
              </w:rPr>
            </w:pPr>
            <w:r>
              <w:rPr>
                <w:rFonts w:hint="eastAsia" w:ascii="宋体" w:hAnsi="宋体"/>
                <w:szCs w:val="21"/>
              </w:rPr>
              <w:t>3.6</w:t>
            </w:r>
          </w:p>
        </w:tc>
        <w:tc>
          <w:tcPr>
            <w:tcW w:w="2552" w:type="dxa"/>
            <w:vAlign w:val="center"/>
          </w:tcPr>
          <w:p>
            <w:pPr>
              <w:spacing w:line="360" w:lineRule="auto"/>
              <w:jc w:val="center"/>
              <w:rPr>
                <w:rFonts w:ascii="宋体" w:hAnsi="宋体"/>
                <w:szCs w:val="21"/>
              </w:rPr>
            </w:pPr>
            <w:r>
              <w:rPr>
                <w:rFonts w:hint="eastAsia" w:ascii="宋体" w:hAnsi="宋体"/>
                <w:szCs w:val="21"/>
              </w:rPr>
              <w:t>是否允许递交备选评标方案</w:t>
            </w:r>
          </w:p>
        </w:tc>
        <w:tc>
          <w:tcPr>
            <w:tcW w:w="5901" w:type="dxa"/>
            <w:vAlign w:val="center"/>
          </w:tcPr>
          <w:p>
            <w:pPr>
              <w:spacing w:line="360" w:lineRule="auto"/>
              <w:rPr>
                <w:rFonts w:ascii="宋体" w:hAnsi="宋体"/>
                <w:szCs w:val="21"/>
              </w:rPr>
            </w:pPr>
            <w:r>
              <w:rPr>
                <w:rFonts w:hint="eastAsia" w:ascii="宋体" w:hAnsi="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77" w:type="dxa"/>
            <w:vAlign w:val="center"/>
          </w:tcPr>
          <w:p>
            <w:pPr>
              <w:spacing w:line="360" w:lineRule="auto"/>
              <w:jc w:val="center"/>
              <w:rPr>
                <w:rFonts w:ascii="宋体" w:hAnsi="宋体"/>
                <w:szCs w:val="21"/>
              </w:rPr>
            </w:pPr>
            <w:r>
              <w:rPr>
                <w:rFonts w:hint="eastAsia" w:ascii="宋体" w:hAnsi="宋体"/>
                <w:szCs w:val="21"/>
              </w:rPr>
              <w:t>3.7.3</w:t>
            </w:r>
          </w:p>
        </w:tc>
        <w:tc>
          <w:tcPr>
            <w:tcW w:w="2552" w:type="dxa"/>
            <w:vAlign w:val="center"/>
          </w:tcPr>
          <w:p>
            <w:pPr>
              <w:spacing w:line="360" w:lineRule="auto"/>
              <w:jc w:val="center"/>
              <w:rPr>
                <w:rFonts w:ascii="宋体" w:hAnsi="宋体"/>
                <w:szCs w:val="21"/>
              </w:rPr>
            </w:pPr>
            <w:r>
              <w:rPr>
                <w:rFonts w:hint="eastAsia" w:ascii="宋体" w:hAnsi="宋体"/>
                <w:szCs w:val="21"/>
              </w:rPr>
              <w:t>签字或盖章要求</w:t>
            </w:r>
          </w:p>
        </w:tc>
        <w:tc>
          <w:tcPr>
            <w:tcW w:w="5901" w:type="dxa"/>
            <w:vAlign w:val="center"/>
          </w:tcPr>
          <w:p>
            <w:pPr>
              <w:spacing w:line="360" w:lineRule="auto"/>
              <w:rPr>
                <w:rFonts w:ascii="宋体" w:hAnsi="宋体"/>
                <w:szCs w:val="21"/>
              </w:rPr>
            </w:pPr>
            <w:r>
              <w:rPr>
                <w:rFonts w:hint="eastAsia" w:ascii="宋体" w:hAnsi="宋体" w:cs="宋体"/>
                <w:szCs w:val="21"/>
              </w:rPr>
              <w:t>只需在上传至交易系统里加密电子版投标文件按规定电子签字盖章即可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77" w:type="dxa"/>
            <w:vAlign w:val="center"/>
          </w:tcPr>
          <w:p>
            <w:pPr>
              <w:spacing w:line="360" w:lineRule="auto"/>
              <w:jc w:val="center"/>
              <w:rPr>
                <w:rFonts w:ascii="宋体" w:hAnsi="宋体"/>
                <w:szCs w:val="21"/>
              </w:rPr>
            </w:pPr>
            <w:r>
              <w:rPr>
                <w:rFonts w:hint="eastAsia" w:ascii="宋体" w:hAnsi="宋体"/>
                <w:szCs w:val="21"/>
              </w:rPr>
              <w:t>4.2.2</w:t>
            </w:r>
          </w:p>
        </w:tc>
        <w:tc>
          <w:tcPr>
            <w:tcW w:w="2552" w:type="dxa"/>
            <w:vAlign w:val="center"/>
          </w:tcPr>
          <w:p>
            <w:pPr>
              <w:spacing w:line="360" w:lineRule="auto"/>
              <w:jc w:val="center"/>
              <w:rPr>
                <w:rFonts w:ascii="宋体" w:hAnsi="宋体"/>
                <w:szCs w:val="21"/>
              </w:rPr>
            </w:pPr>
            <w:r>
              <w:rPr>
                <w:rFonts w:hint="eastAsia" w:ascii="宋体" w:hAnsi="宋体"/>
                <w:szCs w:val="21"/>
              </w:rPr>
              <w:t>递交投标文件地点</w:t>
            </w:r>
          </w:p>
        </w:tc>
        <w:tc>
          <w:tcPr>
            <w:tcW w:w="5901" w:type="dxa"/>
            <w:vAlign w:val="center"/>
          </w:tcPr>
          <w:p>
            <w:pPr>
              <w:widowControl/>
              <w:jc w:val="left"/>
              <w:rPr>
                <w:rFonts w:ascii="宋体" w:hAnsi="宋体"/>
                <w:szCs w:val="21"/>
              </w:rPr>
            </w:pPr>
            <w:r>
              <w:rPr>
                <w:rFonts w:hint="eastAsia" w:ascii="宋体" w:hAnsi="宋体"/>
                <w:szCs w:val="21"/>
              </w:rPr>
              <w:t>荥阳市公共资源交易平台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77" w:type="dxa"/>
            <w:vAlign w:val="center"/>
          </w:tcPr>
          <w:p>
            <w:pPr>
              <w:spacing w:line="360" w:lineRule="auto"/>
              <w:jc w:val="center"/>
              <w:rPr>
                <w:rFonts w:ascii="宋体" w:hAnsi="宋体"/>
                <w:szCs w:val="21"/>
              </w:rPr>
            </w:pPr>
            <w:r>
              <w:rPr>
                <w:rFonts w:hint="eastAsia" w:ascii="宋体" w:hAnsi="宋体"/>
                <w:szCs w:val="21"/>
              </w:rPr>
              <w:t>5.1</w:t>
            </w:r>
          </w:p>
        </w:tc>
        <w:tc>
          <w:tcPr>
            <w:tcW w:w="2552" w:type="dxa"/>
            <w:vAlign w:val="center"/>
          </w:tcPr>
          <w:p>
            <w:pPr>
              <w:spacing w:line="360" w:lineRule="auto"/>
              <w:jc w:val="center"/>
              <w:rPr>
                <w:rFonts w:ascii="宋体" w:hAnsi="宋体"/>
                <w:szCs w:val="21"/>
              </w:rPr>
            </w:pPr>
            <w:r>
              <w:rPr>
                <w:rFonts w:hint="eastAsia" w:ascii="宋体" w:hAnsi="宋体"/>
                <w:szCs w:val="21"/>
              </w:rPr>
              <w:t>开标时间和地点</w:t>
            </w:r>
          </w:p>
        </w:tc>
        <w:tc>
          <w:tcPr>
            <w:tcW w:w="5901" w:type="dxa"/>
            <w:vAlign w:val="center"/>
          </w:tcPr>
          <w:p>
            <w:pPr>
              <w:spacing w:line="360" w:lineRule="auto"/>
              <w:rPr>
                <w:rFonts w:ascii="宋体" w:hAnsi="宋体"/>
                <w:szCs w:val="21"/>
              </w:rPr>
            </w:pPr>
            <w:r>
              <w:rPr>
                <w:rFonts w:hint="eastAsia" w:ascii="宋体" w:hAnsi="宋体"/>
                <w:szCs w:val="21"/>
              </w:rPr>
              <w:t>时间：同投标截止时间</w:t>
            </w:r>
          </w:p>
          <w:p>
            <w:pPr>
              <w:spacing w:line="360" w:lineRule="auto"/>
              <w:rPr>
                <w:rFonts w:ascii="宋体" w:hAnsi="宋体"/>
                <w:szCs w:val="21"/>
              </w:rPr>
            </w:pPr>
            <w:r>
              <w:rPr>
                <w:rFonts w:hint="eastAsia" w:ascii="宋体" w:hAnsi="宋体"/>
                <w:szCs w:val="21"/>
              </w:rPr>
              <w:t xml:space="preserve">地点: </w:t>
            </w:r>
            <w:r>
              <w:rPr>
                <w:rFonts w:hint="eastAsia"/>
              </w:rPr>
              <w:t>荥阳市公共资源交易中心（荥阳市中原路与飞龙路西北角政务服务中心七楼）第</w:t>
            </w:r>
            <w:r>
              <w:rPr>
                <w:rFonts w:hint="eastAsia"/>
                <w:lang w:eastAsia="zh-CN"/>
              </w:rPr>
              <w:t>三</w:t>
            </w:r>
            <w:r>
              <w:rPr>
                <w:rFonts w:hint="eastAsia"/>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77" w:type="dxa"/>
            <w:vAlign w:val="center"/>
          </w:tcPr>
          <w:p>
            <w:pPr>
              <w:spacing w:line="360" w:lineRule="auto"/>
              <w:jc w:val="center"/>
              <w:rPr>
                <w:rFonts w:ascii="宋体" w:hAnsi="宋体"/>
                <w:szCs w:val="21"/>
              </w:rPr>
            </w:pPr>
            <w:r>
              <w:rPr>
                <w:rFonts w:hint="eastAsia" w:ascii="宋体" w:hAnsi="宋体" w:cs="宋体"/>
                <w:szCs w:val="21"/>
              </w:rPr>
              <w:t>7.1.1</w:t>
            </w:r>
          </w:p>
        </w:tc>
        <w:tc>
          <w:tcPr>
            <w:tcW w:w="2552" w:type="dxa"/>
            <w:vAlign w:val="center"/>
          </w:tcPr>
          <w:p>
            <w:pPr>
              <w:spacing w:line="360" w:lineRule="auto"/>
              <w:jc w:val="center"/>
              <w:rPr>
                <w:rFonts w:ascii="宋体" w:hAnsi="宋体" w:cs="宋体"/>
                <w:szCs w:val="21"/>
              </w:rPr>
            </w:pPr>
            <w:r>
              <w:rPr>
                <w:rFonts w:hint="eastAsia" w:ascii="宋体" w:hAnsi="宋体" w:cs="宋体"/>
                <w:szCs w:val="21"/>
              </w:rPr>
              <w:t>评标委员会</w:t>
            </w:r>
          </w:p>
          <w:p>
            <w:pPr>
              <w:spacing w:line="360" w:lineRule="auto"/>
              <w:jc w:val="center"/>
              <w:rPr>
                <w:rFonts w:ascii="宋体" w:hAnsi="宋体"/>
                <w:szCs w:val="21"/>
              </w:rPr>
            </w:pPr>
            <w:r>
              <w:rPr>
                <w:rFonts w:hint="eastAsia" w:ascii="宋体" w:hAnsi="宋体" w:cs="宋体"/>
                <w:szCs w:val="21"/>
              </w:rPr>
              <w:t>的组建</w:t>
            </w:r>
          </w:p>
        </w:tc>
        <w:tc>
          <w:tcPr>
            <w:tcW w:w="5901" w:type="dxa"/>
            <w:vAlign w:val="center"/>
          </w:tcPr>
          <w:p>
            <w:pPr>
              <w:spacing w:line="360" w:lineRule="auto"/>
              <w:rPr>
                <w:rFonts w:ascii="宋体" w:hAnsi="宋体" w:cs="宋体"/>
                <w:szCs w:val="21"/>
              </w:rPr>
            </w:pPr>
            <w:r>
              <w:rPr>
                <w:rFonts w:hint="eastAsia" w:ascii="宋体" w:hAnsi="宋体" w:cs="宋体"/>
                <w:szCs w:val="21"/>
              </w:rPr>
              <w:t>评标委员会构成</w:t>
            </w:r>
            <w:r>
              <w:rPr>
                <w:rFonts w:hint="eastAsia" w:ascii="宋体" w:hAnsi="宋体" w:cs="宋体"/>
                <w:szCs w:val="21"/>
                <w:lang w:val="en-US" w:eastAsia="zh-CN"/>
              </w:rPr>
              <w:t>5</w:t>
            </w:r>
            <w:r>
              <w:rPr>
                <w:rFonts w:hint="eastAsia" w:ascii="宋体" w:hAnsi="宋体" w:cs="宋体"/>
                <w:szCs w:val="21"/>
              </w:rPr>
              <w:t>人，采购人代表</w:t>
            </w:r>
            <w:r>
              <w:rPr>
                <w:rFonts w:hint="eastAsia" w:ascii="宋体" w:hAnsi="宋体" w:cs="宋体"/>
                <w:szCs w:val="21"/>
                <w:lang w:val="en-US" w:eastAsia="zh-CN"/>
              </w:rPr>
              <w:t>1</w:t>
            </w:r>
            <w:r>
              <w:rPr>
                <w:rFonts w:hint="eastAsia" w:ascii="宋体" w:hAnsi="宋体" w:cs="宋体"/>
                <w:szCs w:val="21"/>
              </w:rPr>
              <w:t>人和专家</w:t>
            </w:r>
            <w:r>
              <w:rPr>
                <w:rFonts w:hint="eastAsia" w:ascii="宋体" w:hAnsi="宋体" w:cs="宋体"/>
                <w:szCs w:val="21"/>
                <w:lang w:val="en-US" w:eastAsia="zh-CN"/>
              </w:rPr>
              <w:t>4</w:t>
            </w:r>
            <w:r>
              <w:rPr>
                <w:rFonts w:hint="eastAsia" w:ascii="宋体" w:hAnsi="宋体" w:cs="宋体"/>
                <w:szCs w:val="21"/>
              </w:rPr>
              <w:t>人组成；</w:t>
            </w:r>
          </w:p>
          <w:p>
            <w:pPr>
              <w:spacing w:line="360" w:lineRule="auto"/>
              <w:rPr>
                <w:rFonts w:ascii="宋体" w:hAnsi="宋体"/>
                <w:szCs w:val="21"/>
                <w:u w:val="single"/>
              </w:rPr>
            </w:pPr>
            <w:r>
              <w:rPr>
                <w:rFonts w:hint="eastAsia" w:ascii="宋体" w:hAnsi="宋体" w:cs="宋体"/>
                <w:szCs w:val="21"/>
              </w:rPr>
              <w:t>专家确定方式：从相关专家库中随机抽取。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77" w:type="dxa"/>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7.4</w:t>
            </w:r>
          </w:p>
        </w:tc>
        <w:tc>
          <w:tcPr>
            <w:tcW w:w="8453" w:type="dxa"/>
            <w:gridSpan w:val="2"/>
            <w:vAlign w:val="center"/>
          </w:tcPr>
          <w:p>
            <w:pPr>
              <w:pStyle w:val="19"/>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一、</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文件、采购过程和</w:t>
            </w:r>
            <w:r>
              <w:rPr>
                <w:rFonts w:hint="eastAsia" w:cs="宋体"/>
                <w:color w:val="auto"/>
                <w:sz w:val="21"/>
                <w:szCs w:val="21"/>
                <w:highlight w:val="none"/>
                <w:lang w:val="en-US" w:eastAsia="zh-CN"/>
              </w:rPr>
              <w:t>中标</w:t>
            </w:r>
            <w:r>
              <w:rPr>
                <w:rFonts w:hint="eastAsia" w:ascii="宋体" w:hAnsi="宋体" w:eastAsia="宋体" w:cs="宋体"/>
                <w:color w:val="auto"/>
                <w:sz w:val="21"/>
                <w:szCs w:val="21"/>
                <w:highlight w:val="none"/>
              </w:rPr>
              <w:t>结果使自己的权益受到损害的，可以在知道或者应知其权益受到损害之日起七个工作日内，按照《政府采购质疑和投诉办法》（财政部令第 94 号）</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规定以书面形式向采购人或采购代理机构提出质疑（邮寄件、传真件不予受理），逾期不再接收。</w:t>
            </w:r>
          </w:p>
          <w:p>
            <w:pPr>
              <w:pStyle w:val="19"/>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1、接收质疑函的方式：接收加盖单位公章的书面纸质质疑函</w:t>
            </w:r>
          </w:p>
          <w:p>
            <w:pPr>
              <w:spacing w:line="360" w:lineRule="auto"/>
              <w:jc w:val="left"/>
              <w:rPr>
                <w:rFonts w:hint="eastAsia" w:eastAsia="宋体"/>
                <w:lang w:eastAsia="zh-CN"/>
              </w:rPr>
            </w:pPr>
            <w:r>
              <w:rPr>
                <w:rFonts w:hint="eastAsia"/>
              </w:rPr>
              <w:t>名    称：</w:t>
            </w:r>
            <w:r>
              <w:rPr>
                <w:rFonts w:hint="eastAsia"/>
                <w:lang w:eastAsia="zh-CN"/>
              </w:rPr>
              <w:t>河南鹏轩工程管理有限公司</w:t>
            </w:r>
          </w:p>
          <w:p>
            <w:pPr>
              <w:spacing w:line="360" w:lineRule="auto"/>
              <w:jc w:val="left"/>
              <w:rPr>
                <w:rFonts w:hint="eastAsia" w:eastAsia="宋体"/>
                <w:lang w:eastAsia="zh-CN"/>
              </w:rPr>
            </w:pPr>
            <w:r>
              <w:rPr>
                <w:rFonts w:hint="eastAsia"/>
              </w:rPr>
              <w:t>地    址：河南省郑州市惠济区新城路麦普产业园四楼</w:t>
            </w:r>
            <w:r>
              <w:rPr>
                <w:rFonts w:hint="eastAsia"/>
                <w:lang w:eastAsia="zh-CN"/>
              </w:rPr>
              <w:t xml:space="preserve"> </w:t>
            </w:r>
          </w:p>
          <w:p>
            <w:pPr>
              <w:spacing w:line="360" w:lineRule="auto"/>
              <w:jc w:val="left"/>
              <w:rPr>
                <w:rFonts w:hint="eastAsia"/>
              </w:rPr>
            </w:pPr>
            <w:r>
              <w:rPr>
                <w:rFonts w:hint="eastAsia"/>
              </w:rPr>
              <w:t>联 系 人：</w:t>
            </w:r>
            <w:r>
              <w:rPr>
                <w:rFonts w:hint="eastAsia"/>
                <w:lang w:eastAsia="zh-CN"/>
              </w:rPr>
              <w:t>范丹丹</w:t>
            </w:r>
            <w:r>
              <w:rPr>
                <w:rFonts w:hint="eastAsia"/>
              </w:rPr>
              <w:t xml:space="preserve"> </w:t>
            </w:r>
          </w:p>
          <w:p>
            <w:pPr>
              <w:pStyle w:val="19"/>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color w:val="auto"/>
                <w:kern w:val="2"/>
                <w:sz w:val="21"/>
                <w:szCs w:val="21"/>
                <w:highlight w:val="none"/>
              </w:rPr>
            </w:pPr>
            <w:r>
              <w:rPr>
                <w:rFonts w:hint="eastAsia"/>
              </w:rPr>
              <w:t>电    话：</w:t>
            </w:r>
            <w:r>
              <w:rPr>
                <w:rFonts w:hint="eastAsia"/>
                <w:lang w:val="en-US" w:eastAsia="zh-CN"/>
              </w:rPr>
              <w:t>13598853044</w:t>
            </w:r>
            <w:r>
              <w:rPr>
                <w:rFonts w:hint="eastAsia" w:ascii="宋体" w:hAnsi="宋体" w:eastAsia="宋体" w:cs="宋体"/>
                <w:color w:val="auto"/>
                <w:kern w:val="2"/>
                <w:sz w:val="21"/>
                <w:szCs w:val="21"/>
                <w:highlight w:val="none"/>
              </w:rPr>
              <w:t xml:space="preserve"> </w:t>
            </w:r>
          </w:p>
          <w:p>
            <w:pPr>
              <w:pStyle w:val="19"/>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2、质疑函的内容、格式：应符合《政府采购质疑和投诉办法》相关规定和财政部门制定的《政府采购质疑函范本》格式。 </w:t>
            </w:r>
          </w:p>
          <w:p>
            <w:pPr>
              <w:spacing w:line="360" w:lineRule="auto"/>
              <w:rPr>
                <w:rFonts w:hint="eastAsia" w:ascii="宋体" w:hAnsi="宋体" w:cs="宋体"/>
                <w:szCs w:val="21"/>
              </w:rPr>
            </w:pPr>
            <w:r>
              <w:rPr>
                <w:rFonts w:hint="eastAsia" w:ascii="宋体" w:hAnsi="宋体" w:eastAsia="宋体" w:cs="宋体"/>
                <w:color w:val="auto"/>
                <w:kern w:val="2"/>
                <w:sz w:val="21"/>
                <w:szCs w:val="21"/>
                <w:highlight w:val="none"/>
              </w:rPr>
              <w:t>二、</w:t>
            </w:r>
            <w:r>
              <w:rPr>
                <w:rFonts w:hint="eastAsia" w:cs="宋体"/>
                <w:b/>
                <w:bCs/>
                <w:color w:val="auto"/>
                <w:kern w:val="2"/>
                <w:sz w:val="21"/>
                <w:szCs w:val="21"/>
                <w:highlight w:val="none"/>
                <w:lang w:eastAsia="zh-CN"/>
              </w:rPr>
              <w:t>供应商</w:t>
            </w:r>
            <w:r>
              <w:rPr>
                <w:rFonts w:hint="eastAsia" w:ascii="宋体" w:hAnsi="宋体" w:eastAsia="宋体" w:cs="宋体"/>
                <w:b/>
                <w:bCs/>
                <w:color w:val="auto"/>
                <w:kern w:val="2"/>
                <w:sz w:val="21"/>
                <w:szCs w:val="21"/>
                <w:highlight w:val="none"/>
              </w:rPr>
              <w:t>应在法定质疑期内一次性针对同一采购程序环节提出质疑，否则针对再次提出质疑将不予接收</w:t>
            </w:r>
            <w:r>
              <w:rPr>
                <w:rFonts w:hint="eastAsia" w:ascii="宋体" w:hAnsi="宋体" w:eastAsia="宋体" w:cs="宋体"/>
                <w:color w:val="auto"/>
                <w:kern w:val="2"/>
                <w:sz w:val="21"/>
                <w:szCs w:val="21"/>
                <w:highlight w:val="none"/>
              </w:rPr>
              <w:t>。（采购程序环节分为：</w:t>
            </w:r>
            <w:r>
              <w:rPr>
                <w:rFonts w:hint="eastAsia" w:cs="宋体"/>
                <w:color w:val="auto"/>
                <w:kern w:val="2"/>
                <w:sz w:val="21"/>
                <w:szCs w:val="21"/>
                <w:highlight w:val="none"/>
                <w:lang w:val="en-US" w:eastAsia="zh-CN"/>
              </w:rPr>
              <w:t>采购公告、</w:t>
            </w:r>
            <w:r>
              <w:rPr>
                <w:rFonts w:hint="eastAsia" w:ascii="宋体" w:hAnsi="宋体" w:eastAsia="宋体" w:cs="宋体"/>
                <w:color w:val="auto"/>
                <w:kern w:val="2"/>
                <w:sz w:val="21"/>
                <w:szCs w:val="21"/>
                <w:highlight w:val="none"/>
              </w:rPr>
              <w:t>采购文件、采购过程、</w:t>
            </w:r>
            <w:r>
              <w:rPr>
                <w:rFonts w:hint="eastAsia" w:cs="宋体"/>
                <w:color w:val="auto"/>
                <w:kern w:val="2"/>
                <w:sz w:val="21"/>
                <w:szCs w:val="21"/>
                <w:highlight w:val="none"/>
                <w:lang w:val="en-US" w:eastAsia="zh-CN"/>
              </w:rPr>
              <w:t>中标</w:t>
            </w:r>
            <w:r>
              <w:rPr>
                <w:rFonts w:hint="eastAsia" w:ascii="宋体" w:hAnsi="宋体" w:eastAsia="宋体" w:cs="宋体"/>
                <w:color w:val="auto"/>
                <w:kern w:val="2"/>
                <w:sz w:val="21"/>
                <w:szCs w:val="21"/>
                <w:highlight w:val="none"/>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77" w:type="dxa"/>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7.6</w:t>
            </w:r>
          </w:p>
        </w:tc>
        <w:tc>
          <w:tcPr>
            <w:tcW w:w="2552" w:type="dxa"/>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highlight w:val="none"/>
                <w:lang w:eastAsia="zh-CN"/>
              </w:rPr>
              <w:t>核心产品</w:t>
            </w:r>
          </w:p>
        </w:tc>
        <w:tc>
          <w:tcPr>
            <w:tcW w:w="5901" w:type="dxa"/>
            <w:vAlign w:val="center"/>
          </w:tcPr>
          <w:p>
            <w:pPr>
              <w:spacing w:line="360" w:lineRule="auto"/>
              <w:rPr>
                <w:rFonts w:hint="eastAsia" w:ascii="宋体" w:hAnsi="宋体" w:cs="宋体"/>
                <w:szCs w:val="21"/>
              </w:rPr>
            </w:pPr>
            <w:r>
              <w:rPr>
                <w:rFonts w:hint="eastAsia" w:ascii="宋体" w:hAnsi="宋体" w:cs="宋体"/>
                <w:szCs w:val="21"/>
                <w:lang w:val="en-US" w:eastAsia="zh-CN"/>
              </w:rPr>
              <w:t>86寸一体机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77" w:type="dxa"/>
            <w:vAlign w:val="center"/>
          </w:tcPr>
          <w:p>
            <w:pPr>
              <w:spacing w:line="360" w:lineRule="auto"/>
              <w:jc w:val="center"/>
              <w:rPr>
                <w:rFonts w:ascii="宋体" w:hAnsi="宋体"/>
                <w:szCs w:val="21"/>
              </w:rPr>
            </w:pPr>
            <w:r>
              <w:rPr>
                <w:rFonts w:hint="eastAsia" w:ascii="宋体" w:hAnsi="宋体" w:cs="宋体"/>
                <w:szCs w:val="21"/>
              </w:rPr>
              <w:t>8.1</w:t>
            </w:r>
          </w:p>
        </w:tc>
        <w:tc>
          <w:tcPr>
            <w:tcW w:w="2552" w:type="dxa"/>
            <w:vAlign w:val="center"/>
          </w:tcPr>
          <w:p>
            <w:pPr>
              <w:spacing w:line="360" w:lineRule="auto"/>
              <w:jc w:val="center"/>
              <w:rPr>
                <w:rFonts w:ascii="宋体" w:hAnsi="宋体" w:cs="宋体"/>
                <w:szCs w:val="21"/>
              </w:rPr>
            </w:pPr>
            <w:r>
              <w:rPr>
                <w:rFonts w:hint="eastAsia" w:ascii="宋体" w:hAnsi="宋体" w:cs="宋体"/>
                <w:szCs w:val="21"/>
              </w:rPr>
              <w:t>是否授权评标委员会</w:t>
            </w:r>
          </w:p>
          <w:p>
            <w:pPr>
              <w:spacing w:line="360" w:lineRule="auto"/>
              <w:jc w:val="center"/>
              <w:rPr>
                <w:rFonts w:ascii="宋体" w:hAnsi="宋体"/>
                <w:szCs w:val="21"/>
              </w:rPr>
            </w:pPr>
            <w:r>
              <w:rPr>
                <w:rFonts w:hint="eastAsia" w:ascii="宋体" w:hAnsi="宋体" w:cs="宋体"/>
                <w:szCs w:val="21"/>
              </w:rPr>
              <w:t>确定中标人</w:t>
            </w:r>
          </w:p>
        </w:tc>
        <w:tc>
          <w:tcPr>
            <w:tcW w:w="5901" w:type="dxa"/>
            <w:vAlign w:val="center"/>
          </w:tcPr>
          <w:p>
            <w:pPr>
              <w:spacing w:line="360" w:lineRule="auto"/>
              <w:rPr>
                <w:rFonts w:ascii="宋体" w:hAnsi="宋体"/>
                <w:szCs w:val="21"/>
              </w:rPr>
            </w:pPr>
            <w:r>
              <w:rPr>
                <w:rFonts w:hint="eastAsia" w:ascii="宋体" w:hAnsi="宋体" w:cs="宋体"/>
                <w:szCs w:val="21"/>
              </w:rPr>
              <w:t>否，推荐的中标候选人数：3名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77" w:type="dxa"/>
            <w:vMerge w:val="restart"/>
            <w:vAlign w:val="center"/>
          </w:tcPr>
          <w:p>
            <w:pPr>
              <w:spacing w:line="360" w:lineRule="auto"/>
              <w:jc w:val="center"/>
              <w:rPr>
                <w:rFonts w:ascii="宋体" w:hAnsi="宋体" w:cs="宋体"/>
                <w:szCs w:val="21"/>
              </w:rPr>
            </w:pPr>
          </w:p>
          <w:p>
            <w:pPr>
              <w:spacing w:line="360" w:lineRule="auto"/>
              <w:ind w:firstLine="210" w:firstLineChars="100"/>
              <w:rPr>
                <w:rFonts w:ascii="宋体" w:hAnsi="宋体"/>
                <w:szCs w:val="21"/>
              </w:rPr>
            </w:pPr>
            <w:r>
              <w:rPr>
                <w:rFonts w:hint="eastAsia" w:ascii="宋体" w:hAnsi="宋体" w:cs="宋体"/>
                <w:szCs w:val="21"/>
              </w:rPr>
              <w:t>其他</w:t>
            </w: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tc>
        <w:tc>
          <w:tcPr>
            <w:tcW w:w="2552" w:type="dxa"/>
            <w:vAlign w:val="center"/>
          </w:tcPr>
          <w:p>
            <w:pPr>
              <w:spacing w:line="360" w:lineRule="auto"/>
              <w:jc w:val="center"/>
              <w:rPr>
                <w:rFonts w:ascii="宋体" w:hAnsi="宋体"/>
                <w:szCs w:val="21"/>
              </w:rPr>
            </w:pPr>
            <w:r>
              <w:rPr>
                <w:rFonts w:hint="eastAsia" w:ascii="宋体" w:hAnsi="宋体" w:cs="宋体"/>
                <w:szCs w:val="21"/>
              </w:rPr>
              <w:t>中标人公告媒介</w:t>
            </w:r>
          </w:p>
        </w:tc>
        <w:tc>
          <w:tcPr>
            <w:tcW w:w="5901" w:type="dxa"/>
            <w:vAlign w:val="center"/>
          </w:tcPr>
          <w:p>
            <w:pPr>
              <w:spacing w:line="360" w:lineRule="auto"/>
              <w:jc w:val="center"/>
              <w:rPr>
                <w:rFonts w:hint="eastAsia" w:ascii="宋体" w:hAnsi="宋体" w:cs="宋体"/>
                <w:szCs w:val="21"/>
              </w:rPr>
            </w:pPr>
            <w:r>
              <w:rPr>
                <w:rFonts w:hint="eastAsia" w:ascii="宋体" w:hAnsi="宋体" w:cs="宋体"/>
                <w:szCs w:val="21"/>
              </w:rPr>
              <w:t>《荥阳市公共资源交易中心网站》、《河南省电子招标投标公</w:t>
            </w:r>
          </w:p>
          <w:p>
            <w:pPr>
              <w:spacing w:line="360" w:lineRule="auto"/>
              <w:jc w:val="both"/>
              <w:rPr>
                <w:rFonts w:hint="eastAsia" w:ascii="宋体" w:hAnsi="宋体" w:cs="宋体"/>
                <w:szCs w:val="21"/>
              </w:rPr>
            </w:pPr>
            <w:r>
              <w:rPr>
                <w:rFonts w:hint="eastAsia" w:ascii="宋体" w:hAnsi="宋体" w:cs="宋体"/>
                <w:szCs w:val="21"/>
              </w:rPr>
              <w:t>共服务平台》、《荥阳市政府采购网》《</w:t>
            </w:r>
            <w:r>
              <w:rPr>
                <w:rFonts w:hint="eastAsia" w:ascii="宋体" w:hAnsi="宋体" w:cs="宋体"/>
                <w:szCs w:val="21"/>
                <w:lang w:eastAsia="zh-CN"/>
              </w:rPr>
              <w:t>河南省</w:t>
            </w:r>
            <w:r>
              <w:rPr>
                <w:rFonts w:hint="eastAsia" w:ascii="宋体" w:hAnsi="宋体" w:cs="宋体"/>
                <w:szCs w:val="21"/>
              </w:rPr>
              <w:t>政府采购网》</w:t>
            </w:r>
          </w:p>
          <w:p>
            <w:pPr>
              <w:spacing w:line="360" w:lineRule="auto"/>
              <w:rPr>
                <w:rFonts w:ascii="宋体" w:hAnsi="宋体"/>
                <w:b/>
                <w:szCs w:val="21"/>
              </w:rPr>
            </w:pPr>
            <w:r>
              <w:rPr>
                <w:rFonts w:hint="eastAsia" w:ascii="宋体" w:hAnsi="宋体" w:cs="宋体"/>
                <w:b/>
                <w:szCs w:val="21"/>
              </w:rPr>
              <w:t>注：请投标人关注网站发布的相关公告，如有变更或其他补充内容将在网站上予以公告。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77" w:type="dxa"/>
            <w:vMerge w:val="continue"/>
            <w:vAlign w:val="center"/>
          </w:tcPr>
          <w:p>
            <w:pPr>
              <w:spacing w:line="360" w:lineRule="auto"/>
              <w:jc w:val="center"/>
              <w:rPr>
                <w:rFonts w:ascii="宋体" w:hAnsi="宋体"/>
                <w:szCs w:val="21"/>
              </w:rPr>
            </w:pPr>
          </w:p>
        </w:tc>
        <w:tc>
          <w:tcPr>
            <w:tcW w:w="2552" w:type="dxa"/>
            <w:vAlign w:val="center"/>
          </w:tcPr>
          <w:p>
            <w:pPr>
              <w:spacing w:line="360" w:lineRule="auto"/>
              <w:jc w:val="center"/>
              <w:rPr>
                <w:rFonts w:ascii="宋体" w:hAnsi="宋体"/>
                <w:szCs w:val="21"/>
              </w:rPr>
            </w:pPr>
            <w:r>
              <w:rPr>
                <w:rFonts w:hint="eastAsia" w:ascii="宋体" w:hAnsi="宋体" w:cs="宋体"/>
                <w:szCs w:val="21"/>
              </w:rPr>
              <w:t>代理服务费</w:t>
            </w:r>
          </w:p>
        </w:tc>
        <w:tc>
          <w:tcPr>
            <w:tcW w:w="5901" w:type="dxa"/>
            <w:vAlign w:val="center"/>
          </w:tcPr>
          <w:p>
            <w:pPr>
              <w:pStyle w:val="19"/>
              <w:spacing w:beforeAutospacing="0" w:afterAutospacing="0" w:line="360" w:lineRule="auto"/>
              <w:rPr>
                <w:sz w:val="21"/>
                <w:szCs w:val="21"/>
              </w:rPr>
            </w:pPr>
            <w:r>
              <w:rPr>
                <w:rFonts w:hint="eastAsia"/>
                <w:sz w:val="21"/>
                <w:szCs w:val="21"/>
              </w:rPr>
              <w:t>1、收费标准：</w:t>
            </w:r>
            <w:r>
              <w:rPr>
                <w:rFonts w:hint="eastAsia"/>
                <w:sz w:val="21"/>
                <w:szCs w:val="21"/>
                <w:lang w:eastAsia="zh-CN"/>
              </w:rPr>
              <w:t>执行</w:t>
            </w:r>
            <w:r>
              <w:rPr>
                <w:rFonts w:hint="eastAsia"/>
                <w:sz w:val="21"/>
                <w:szCs w:val="21"/>
              </w:rPr>
              <w:t>《河南省招标代理服务费收费指导意见》豫招协【2023】002号文件标准。</w:t>
            </w:r>
          </w:p>
          <w:p>
            <w:pPr>
              <w:pStyle w:val="19"/>
              <w:spacing w:beforeAutospacing="0" w:afterAutospacing="0" w:line="360" w:lineRule="auto"/>
              <w:rPr>
                <w:szCs w:val="21"/>
              </w:rPr>
            </w:pPr>
            <w:r>
              <w:rPr>
                <w:rFonts w:hint="eastAsia"/>
                <w:sz w:val="21"/>
                <w:szCs w:val="21"/>
              </w:rPr>
              <w:t>2、交纳时间：成交人领取《成交通知书》时交纳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77" w:type="dxa"/>
            <w:vMerge w:val="continue"/>
            <w:vAlign w:val="center"/>
          </w:tcPr>
          <w:p>
            <w:pPr>
              <w:spacing w:line="360" w:lineRule="auto"/>
              <w:jc w:val="center"/>
              <w:rPr>
                <w:rFonts w:ascii="宋体" w:hAnsi="宋体"/>
                <w:szCs w:val="21"/>
              </w:rPr>
            </w:pPr>
          </w:p>
        </w:tc>
        <w:tc>
          <w:tcPr>
            <w:tcW w:w="2552" w:type="dxa"/>
            <w:vAlign w:val="center"/>
          </w:tcPr>
          <w:p>
            <w:pPr>
              <w:spacing w:line="360" w:lineRule="auto"/>
              <w:jc w:val="center"/>
              <w:rPr>
                <w:rFonts w:ascii="宋体" w:hAnsi="宋体"/>
                <w:szCs w:val="21"/>
              </w:rPr>
            </w:pPr>
            <w:r>
              <w:rPr>
                <w:rFonts w:hint="eastAsia" w:ascii="宋体" w:hAnsi="宋体" w:cs="宋体"/>
                <w:kern w:val="0"/>
                <w:szCs w:val="21"/>
              </w:rPr>
              <w:t>控制价（最高限价）</w:t>
            </w:r>
          </w:p>
        </w:tc>
        <w:tc>
          <w:tcPr>
            <w:tcW w:w="5901" w:type="dxa"/>
            <w:vAlign w:val="center"/>
          </w:tcPr>
          <w:p>
            <w:pPr>
              <w:pStyle w:val="19"/>
              <w:spacing w:beforeAutospacing="0" w:afterAutospacing="0" w:line="360" w:lineRule="auto"/>
              <w:rPr>
                <w:sz w:val="21"/>
                <w:szCs w:val="21"/>
              </w:rPr>
            </w:pPr>
            <w:r>
              <w:rPr>
                <w:sz w:val="21"/>
                <w:szCs w:val="21"/>
              </w:rPr>
              <w:t>本项目设最高投标限价，投标人的投标报价不得高于该最高投标限价，否则投标人的投标文件按废标处理。</w:t>
            </w:r>
          </w:p>
          <w:p>
            <w:pPr>
              <w:pStyle w:val="19"/>
              <w:spacing w:beforeAutospacing="0" w:afterAutospacing="0" w:line="360" w:lineRule="auto"/>
              <w:rPr>
                <w:rFonts w:hint="eastAsia" w:eastAsia="宋体"/>
                <w:sz w:val="21"/>
                <w:szCs w:val="21"/>
                <w:highlight w:val="none"/>
                <w:lang w:eastAsia="zh-CN"/>
              </w:rPr>
            </w:pPr>
            <w:r>
              <w:rPr>
                <w:sz w:val="21"/>
                <w:szCs w:val="21"/>
                <w:highlight w:val="none"/>
              </w:rPr>
              <w:t>最高投标限价为：小写：￥</w:t>
            </w:r>
            <w:r>
              <w:rPr>
                <w:rFonts w:hint="eastAsia"/>
                <w:sz w:val="21"/>
                <w:szCs w:val="21"/>
                <w:highlight w:val="none"/>
                <w:lang w:val="en-US" w:eastAsia="zh-CN"/>
              </w:rPr>
              <w:t>2890000</w:t>
            </w:r>
            <w:r>
              <w:rPr>
                <w:sz w:val="21"/>
                <w:szCs w:val="21"/>
                <w:highlight w:val="none"/>
              </w:rPr>
              <w:t>元</w:t>
            </w:r>
            <w:r>
              <w:rPr>
                <w:rFonts w:hint="eastAsia"/>
                <w:sz w:val="21"/>
                <w:szCs w:val="21"/>
                <w:highlight w:val="none"/>
                <w:lang w:eastAsia="zh-CN"/>
              </w:rPr>
              <w:t>。</w:t>
            </w:r>
            <w:bookmarkStart w:id="802" w:name="_GoBack"/>
            <w:bookmarkEnd w:id="8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77" w:type="dxa"/>
            <w:vMerge w:val="continue"/>
            <w:vAlign w:val="center"/>
          </w:tcPr>
          <w:p>
            <w:pPr>
              <w:spacing w:line="360" w:lineRule="auto"/>
              <w:jc w:val="center"/>
              <w:rPr>
                <w:rFonts w:ascii="宋体" w:hAnsi="宋体"/>
                <w:szCs w:val="21"/>
              </w:rPr>
            </w:pPr>
          </w:p>
        </w:tc>
        <w:tc>
          <w:tcPr>
            <w:tcW w:w="8453" w:type="dxa"/>
            <w:gridSpan w:val="2"/>
            <w:vAlign w:val="center"/>
          </w:tcPr>
          <w:p>
            <w:pPr>
              <w:autoSpaceDE w:val="0"/>
              <w:autoSpaceDN w:val="0"/>
              <w:adjustRightInd w:val="0"/>
              <w:spacing w:line="360" w:lineRule="auto"/>
              <w:jc w:val="left"/>
            </w:pPr>
            <w:r>
              <w:rPr>
                <w:rFonts w:hint="eastAsia"/>
              </w:rPr>
              <w:t>一、本招标文件根椐国家有关规定，解释权属招标人。</w:t>
            </w:r>
          </w:p>
          <w:p>
            <w:pPr>
              <w:autoSpaceDE w:val="0"/>
              <w:autoSpaceDN w:val="0"/>
              <w:adjustRightInd w:val="0"/>
              <w:spacing w:line="360" w:lineRule="auto"/>
              <w:jc w:val="left"/>
              <w:rPr>
                <w:rFonts w:hint="eastAsia" w:ascii="Times New Roman" w:hAnsi="Times New Roman" w:eastAsia="宋体" w:cs="Times New Roman"/>
                <w:lang w:val="en-US" w:eastAsia="zh-CN"/>
              </w:rPr>
            </w:pPr>
            <w:r>
              <w:rPr>
                <w:rFonts w:hint="eastAsia"/>
              </w:rPr>
              <w:t>二</w:t>
            </w:r>
            <w:r>
              <w:rPr>
                <w:rFonts w:hint="eastAsia" w:ascii="Times New Roman" w:hAnsi="Times New Roman" w:eastAsia="宋体" w:cs="Times New Roman"/>
              </w:rPr>
              <w:t>、付款方式：</w:t>
            </w:r>
            <w:r>
              <w:rPr>
                <w:rFonts w:hint="eastAsia"/>
                <w:color w:val="auto"/>
                <w:lang w:eastAsia="zh-CN"/>
              </w:rPr>
              <w:t>由采购人与中标人协商决定</w:t>
            </w:r>
            <w:r>
              <w:rPr>
                <w:rFonts w:hint="eastAsia" w:ascii="Times New Roman" w:hAnsi="Times New Roman" w:eastAsia="宋体" w:cs="Times New Roman"/>
                <w:lang w:eastAsia="zh-CN"/>
              </w:rPr>
              <w:t>。</w:t>
            </w:r>
          </w:p>
          <w:p>
            <w:pPr>
              <w:autoSpaceDE w:val="0"/>
              <w:autoSpaceDN w:val="0"/>
              <w:adjustRightInd w:val="0"/>
              <w:spacing w:line="360" w:lineRule="auto"/>
              <w:jc w:val="left"/>
              <w:rPr>
                <w:sz w:val="21"/>
                <w:szCs w:val="21"/>
              </w:rPr>
            </w:pPr>
            <w:r>
              <w:rPr>
                <w:rFonts w:hint="eastAsia" w:ascii="Times New Roman" w:hAnsi="Times New Roman" w:eastAsia="宋体" w:cs="Times New Roman"/>
              </w:rPr>
              <w:t>三、中标单位需在与招标人签订合同时提供纸质版投标文件贰份。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1077" w:type="dxa"/>
            <w:vMerge w:val="continue"/>
            <w:vAlign w:val="center"/>
          </w:tcPr>
          <w:p>
            <w:pPr>
              <w:spacing w:line="360" w:lineRule="auto"/>
              <w:jc w:val="center"/>
              <w:rPr>
                <w:rFonts w:ascii="宋体" w:hAnsi="宋体"/>
                <w:szCs w:val="21"/>
              </w:rPr>
            </w:pPr>
          </w:p>
        </w:tc>
        <w:tc>
          <w:tcPr>
            <w:tcW w:w="8453" w:type="dxa"/>
            <w:gridSpan w:val="2"/>
            <w:vAlign w:val="center"/>
          </w:tcPr>
          <w:p>
            <w:pPr>
              <w:spacing w:line="360" w:lineRule="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所属行业为：</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u w:val="single"/>
                <w:lang w:val="en-US" w:eastAsia="zh-CN"/>
              </w:rPr>
              <w:t xml:space="preserve">  工业</w:t>
            </w:r>
            <w:r>
              <w:rPr>
                <w:rFonts w:hint="eastAsia" w:ascii="宋体" w:hAnsi="宋体" w:eastAsia="宋体" w:cs="宋体"/>
                <w:bCs/>
                <w:color w:val="auto"/>
                <w:kern w:val="0"/>
                <w:szCs w:val="21"/>
                <w:highlight w:val="none"/>
                <w:u w:val="single"/>
              </w:rPr>
              <w:t xml:space="preserve">      </w:t>
            </w:r>
          </w:p>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color w:val="auto"/>
                <w:kern w:val="0"/>
                <w:szCs w:val="21"/>
                <w:highlight w:val="none"/>
                <w:lang w:val="en-US" w:eastAsia="zh-CN"/>
              </w:rPr>
              <w:t>划定标准为：</w:t>
            </w:r>
            <w:r>
              <w:rPr>
                <w:rFonts w:hint="eastAsia" w:ascii="宋体" w:hAnsi="宋体" w:eastAsia="宋体" w:cs="宋体"/>
                <w:kern w:val="0"/>
                <w:szCs w:val="21"/>
              </w:rPr>
              <w:t>中小微企业划分按照《国家统计局关于印发&lt;统计上大中小微型企业划分办法（2017）&gt;的通知》国统字〔2017〕213号文件及《工业和信息化部、国家统计局、国家发展和改革委员会、财政部关于印发&lt;中小企业划型标准规定&gt;的通知》（工信部联企业[2011]300号）规定的划分标准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077" w:type="dxa"/>
            <w:vAlign w:val="center"/>
          </w:tcPr>
          <w:p>
            <w:pPr>
              <w:spacing w:line="400" w:lineRule="exact"/>
              <w:jc w:val="center"/>
              <w:rPr>
                <w:rFonts w:ascii="宋体" w:hAnsi="宋体"/>
                <w:szCs w:val="21"/>
              </w:rPr>
            </w:pPr>
            <w:r>
              <w:rPr>
                <w:rFonts w:hint="eastAsia" w:ascii="宋体" w:hAnsi="宋体"/>
                <w:szCs w:val="21"/>
              </w:rPr>
              <w:t>9.1</w:t>
            </w:r>
          </w:p>
        </w:tc>
        <w:tc>
          <w:tcPr>
            <w:tcW w:w="8453" w:type="dxa"/>
            <w:gridSpan w:val="2"/>
            <w:vAlign w:val="center"/>
          </w:tcPr>
          <w:p>
            <w:pPr>
              <w:spacing w:line="360" w:lineRule="auto"/>
              <w:rPr>
                <w:rFonts w:ascii="宋体" w:hAnsi="宋体"/>
                <w:szCs w:val="21"/>
              </w:rPr>
            </w:pPr>
            <w:r>
              <w:rPr>
                <w:rFonts w:hint="eastAsia" w:ascii="宋体" w:hAnsi="宋体"/>
                <w:szCs w:val="21"/>
              </w:rPr>
              <w:t xml:space="preserve">如果所投产品是财政部、国家发展改革委最新节能清单的政府强制采购和优先采购的节能产品及环境标志产品的，须提供以下材料： </w:t>
            </w:r>
          </w:p>
          <w:p>
            <w:pPr>
              <w:spacing w:line="360" w:lineRule="auto"/>
              <w:rPr>
                <w:rFonts w:hint="eastAsia" w:ascii="宋体" w:hAnsi="宋体" w:eastAsia="宋体"/>
                <w:b/>
                <w:bCs/>
                <w:szCs w:val="21"/>
                <w:highlight w:val="none"/>
                <w:lang w:eastAsia="zh-CN"/>
              </w:rPr>
            </w:pPr>
            <w:r>
              <w:rPr>
                <w:rFonts w:hint="eastAsia" w:ascii="宋体" w:hAnsi="宋体"/>
                <w:szCs w:val="21"/>
              </w:rPr>
              <w:t>（1）采购人拟采购的产品属于财库〔2019〕19号《节能产品政府采购品目清单》范围内政府强制采购产品，其中</w:t>
            </w:r>
            <w:r>
              <w:rPr>
                <w:rFonts w:hint="eastAsia" w:ascii="宋体" w:hAnsi="宋体"/>
                <w:szCs w:val="21"/>
                <w:highlight w:val="none"/>
              </w:rPr>
              <w:t>以“</w:t>
            </w:r>
            <w:r>
              <w:rPr>
                <w:rFonts w:hint="eastAsia" w:ascii="宋体" w:hAnsi="宋体"/>
                <w:szCs w:val="21"/>
                <w:highlight w:val="none"/>
                <w:lang w:val="en-US" w:eastAsia="zh-CN"/>
              </w:rPr>
              <w:t>★</w:t>
            </w:r>
            <w:r>
              <w:rPr>
                <w:rFonts w:hint="eastAsia" w:ascii="宋体" w:hAnsi="宋体"/>
                <w:szCs w:val="21"/>
                <w:highlight w:val="none"/>
              </w:rPr>
              <w:t>”标注的为政府强制采购产品。</w:t>
            </w:r>
            <w:r>
              <w:rPr>
                <w:rFonts w:hint="eastAsia" w:ascii="宋体" w:hAnsi="宋体"/>
                <w:b/>
                <w:bCs/>
                <w:szCs w:val="21"/>
                <w:highlight w:val="none"/>
                <w:lang w:eastAsia="zh-CN"/>
              </w:rPr>
              <w:t>（</w:t>
            </w:r>
            <w:r>
              <w:rPr>
                <w:rFonts w:hint="eastAsia" w:ascii="宋体" w:hAnsi="宋体"/>
                <w:b/>
                <w:bCs/>
                <w:szCs w:val="21"/>
              </w:rPr>
              <w:t>节能产品政府采购品目清单</w:t>
            </w:r>
            <w:r>
              <w:rPr>
                <w:rFonts w:hint="eastAsia" w:ascii="宋体" w:hAnsi="宋体"/>
                <w:b/>
                <w:bCs/>
                <w:szCs w:val="21"/>
                <w:lang w:eastAsia="zh-CN"/>
              </w:rPr>
              <w:t>见附件</w:t>
            </w:r>
            <w:r>
              <w:rPr>
                <w:rFonts w:hint="eastAsia" w:ascii="宋体" w:hAnsi="宋体"/>
                <w:b/>
                <w:bCs/>
                <w:szCs w:val="21"/>
                <w:highlight w:val="none"/>
                <w:lang w:eastAsia="zh-CN"/>
              </w:rPr>
              <w:t>）</w:t>
            </w:r>
          </w:p>
          <w:p>
            <w:pPr>
              <w:spacing w:line="360" w:lineRule="auto"/>
              <w:rPr>
                <w:rFonts w:ascii="宋体" w:hAnsi="宋体"/>
                <w:szCs w:val="21"/>
              </w:rPr>
            </w:pPr>
            <w:r>
              <w:rPr>
                <w:rFonts w:hint="eastAsia" w:ascii="宋体" w:hAnsi="宋体"/>
                <w:szCs w:val="21"/>
              </w:rPr>
              <w:t>供应商响应采购文件要求提供的投标产品属于《节能产品政府采购品目清单》范围的“政府强制采购产品”的应提供国家确定的认证机构出具的、处于有效期之内的节能产品认证证书复印件，否则视为非实质性响应采购文件要求，</w:t>
            </w:r>
            <w:r>
              <w:rPr>
                <w:rFonts w:hint="eastAsia" w:ascii="宋体" w:hAnsi="宋体" w:cs="宋体"/>
              </w:rPr>
              <w:t>其响应文件无效。</w:t>
            </w:r>
          </w:p>
          <w:p>
            <w:pPr>
              <w:spacing w:line="360" w:lineRule="auto"/>
              <w:rPr>
                <w:rFonts w:ascii="宋体" w:hAnsi="宋体"/>
                <w:szCs w:val="21"/>
              </w:rPr>
            </w:pPr>
            <w:r>
              <w:rPr>
                <w:rFonts w:hint="eastAsia" w:ascii="宋体" w:hAnsi="宋体"/>
                <w:szCs w:val="21"/>
              </w:rPr>
              <w:t>（2）采购人拟采购的产品属于财库〔2019〕19号《节能产品政府采购品目清单》和财库〔2019〕18号《环境标志产品政府采购品目清单》范围内政府优先采购产品。</w:t>
            </w:r>
          </w:p>
          <w:p>
            <w:pPr>
              <w:spacing w:line="360" w:lineRule="auto"/>
              <w:rPr>
                <w:rFonts w:ascii="宋体" w:hAnsi="宋体"/>
                <w:szCs w:val="21"/>
              </w:rPr>
            </w:pPr>
            <w:r>
              <w:rPr>
                <w:rFonts w:hint="eastAsia" w:ascii="宋体" w:hAnsi="宋体"/>
                <w:szCs w:val="21"/>
              </w:rPr>
              <w:t>供应商响应采购文件要求提供的投标产品属于《节能产品政府采购品目清单》或《环境标志产品政府采购品目清单》范围的“政府优先采购产品”的应提供国家确定的认证机构出具的、处于有效期之内的节能产品认证证书或环境标志产品认证证书复印件，否则视为主动放弃被优先采购的权利。</w:t>
            </w:r>
            <w:r>
              <w:fldChar w:fldCharType="begin"/>
            </w:r>
            <w:r>
              <w:instrText xml:space="preserve"> HYPERLINK "http://www.ccgp.gov.cn/zcfg/mof/201707/t20170728_8598786.ht" </w:instrText>
            </w:r>
            <w:r>
              <w:fldChar w:fldCharType="separate"/>
            </w:r>
            <w:r>
              <w:fldChar w:fldCharType="end"/>
            </w:r>
          </w:p>
          <w:p>
            <w:pPr>
              <w:spacing w:line="400" w:lineRule="exact"/>
              <w:ind w:firstLine="420" w:firstLineChars="200"/>
              <w:rPr>
                <w:rFonts w:ascii="宋体" w:hAnsi="宋体"/>
                <w:szCs w:val="21"/>
              </w:rPr>
            </w:pPr>
            <w:r>
              <w:rPr>
                <w:rFonts w:hint="eastAsia" w:ascii="宋体" w:hAnsi="宋体"/>
                <w:szCs w:val="21"/>
              </w:rPr>
              <w:t>优先采购节能产品和环境标志产品在同等条件下属于优先采购范围（优先采购指最终得分相等时，投标报价也相同时，按技术指标优劣顺序排序，技术指标优劣情况相同的优先购买所投优先采购节能产品和环境标志产品合计金额占自身投标报价比例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077" w:type="dxa"/>
            <w:vAlign w:val="center"/>
          </w:tcPr>
          <w:p>
            <w:pPr>
              <w:spacing w:line="400" w:lineRule="exact"/>
              <w:jc w:val="center"/>
              <w:rPr>
                <w:rFonts w:ascii="宋体" w:hAnsi="宋体"/>
                <w:szCs w:val="21"/>
              </w:rPr>
            </w:pPr>
            <w:r>
              <w:rPr>
                <w:rFonts w:hint="eastAsia" w:ascii="宋体" w:hAnsi="宋体"/>
                <w:szCs w:val="21"/>
              </w:rPr>
              <w:t>10.1</w:t>
            </w:r>
          </w:p>
        </w:tc>
        <w:tc>
          <w:tcPr>
            <w:tcW w:w="8453" w:type="dxa"/>
            <w:gridSpan w:val="2"/>
            <w:vAlign w:val="center"/>
          </w:tcPr>
          <w:p>
            <w:pPr>
              <w:spacing w:line="400" w:lineRule="exact"/>
              <w:ind w:firstLine="420" w:firstLineChars="200"/>
              <w:rPr>
                <w:rFonts w:ascii="宋体" w:hAnsi="宋体"/>
                <w:szCs w:val="21"/>
              </w:rPr>
            </w:pPr>
            <w:r>
              <w:rPr>
                <w:rFonts w:hint="eastAsia" w:ascii="宋体" w:hAnsi="宋体"/>
                <w:szCs w:val="21"/>
              </w:rPr>
              <w:t>1.本项目采用“远程不见面”开标方式,投标人无需到开标现场，投标人不再提供资质原件及纸质投标人投标文件，以电子投标文件为准；评标活动全部采用电子评审系统评审电子投标文件。投标人登录“荥阳市公共资源交易中心不见面开标大厅”，投标人应当在招标文件确定的投标截止时间前,登录开标大厅,在线准时参加开标活动并进行文件解密、答疑澄清等。具体操作手册详见“荥阳市公共资源交易中心网站-办事指南-荥阳市公共资源交易中心不见面开标大厅操作手册（投标人）”。</w:t>
            </w:r>
          </w:p>
          <w:p>
            <w:pPr>
              <w:spacing w:line="400" w:lineRule="exact"/>
              <w:ind w:firstLine="420" w:firstLineChars="200"/>
              <w:rPr>
                <w:rFonts w:ascii="宋体" w:hAnsi="宋体"/>
                <w:szCs w:val="21"/>
              </w:rPr>
            </w:pPr>
            <w:r>
              <w:rPr>
                <w:rFonts w:hint="eastAsia" w:ascii="宋体" w:hAnsi="宋体"/>
                <w:szCs w:val="21"/>
              </w:rPr>
              <w:t>2.不再提供投标文件电子版（不加密）。</w:t>
            </w:r>
          </w:p>
          <w:p>
            <w:pPr>
              <w:spacing w:line="400" w:lineRule="exact"/>
              <w:ind w:firstLine="422" w:firstLineChars="200"/>
              <w:rPr>
                <w:rFonts w:ascii="宋体" w:hAnsi="宋体"/>
                <w:b/>
                <w:bCs/>
                <w:szCs w:val="21"/>
              </w:rPr>
            </w:pPr>
            <w:r>
              <w:rPr>
                <w:rFonts w:hint="eastAsia" w:ascii="宋体" w:hAnsi="宋体"/>
                <w:b/>
                <w:bCs/>
                <w:szCs w:val="21"/>
              </w:rPr>
              <w:t>备注：</w:t>
            </w:r>
          </w:p>
          <w:p>
            <w:pPr>
              <w:spacing w:line="400" w:lineRule="exact"/>
              <w:ind w:firstLine="420" w:firstLineChars="200"/>
              <w:rPr>
                <w:rFonts w:ascii="宋体" w:hAnsi="宋体"/>
                <w:szCs w:val="21"/>
              </w:rPr>
            </w:pPr>
            <w:r>
              <w:rPr>
                <w:rFonts w:hint="eastAsia" w:ascii="宋体" w:hAnsi="宋体"/>
                <w:szCs w:val="21"/>
              </w:rPr>
              <w:t>（1）投标人应认真学习“荥阳市公共资源交易中心网站-办事指南-荥阳市公共资源交易中心不见面开标大厅操作手册（投标人）”，根据手册要求做好不见面开标的准备工作。</w:t>
            </w:r>
          </w:p>
          <w:p>
            <w:pPr>
              <w:spacing w:line="400" w:lineRule="exact"/>
              <w:ind w:firstLine="420" w:firstLineChars="200"/>
              <w:rPr>
                <w:rFonts w:ascii="宋体" w:hAnsi="宋体"/>
                <w:szCs w:val="21"/>
              </w:rPr>
            </w:pPr>
            <w:r>
              <w:rPr>
                <w:rFonts w:hint="eastAsia" w:ascii="宋体" w:hAnsi="宋体"/>
                <w:szCs w:val="21"/>
              </w:rPr>
              <w:t>（2）请投标人务必按照“荥阳市公共资源交易中心不见面开标大厅操作手册（投标人）”的要求设置参与不见面开标的电脑环境，否则由此可能引起的签到失败、解密失败或无法解密等问题由投标人自行承担。</w:t>
            </w:r>
          </w:p>
          <w:p>
            <w:pPr>
              <w:spacing w:line="400" w:lineRule="exact"/>
              <w:ind w:firstLine="420" w:firstLineChars="200"/>
              <w:rPr>
                <w:rFonts w:ascii="宋体" w:hAnsi="宋体"/>
                <w:szCs w:val="21"/>
              </w:rPr>
            </w:pPr>
            <w:r>
              <w:rPr>
                <w:rFonts w:hint="eastAsia" w:ascii="宋体" w:hAnsi="宋体"/>
                <w:szCs w:val="21"/>
              </w:rPr>
              <w:t>（3）所有投标人应提前30分钟，登录“荥阳市公共资源交易中心不见面开标大厅”进行不见面开标准备工作。</w:t>
            </w:r>
          </w:p>
          <w:p>
            <w:pPr>
              <w:spacing w:line="400" w:lineRule="exact"/>
              <w:ind w:firstLine="420" w:firstLineChars="200"/>
              <w:rPr>
                <w:rFonts w:ascii="宋体" w:hAnsi="宋体"/>
                <w:szCs w:val="21"/>
              </w:rPr>
            </w:pPr>
            <w:r>
              <w:rPr>
                <w:rFonts w:hint="eastAsia" w:ascii="宋体" w:hAnsi="宋体"/>
                <w:szCs w:val="21"/>
              </w:rPr>
              <w:t>（4）所有投标人登录“荥阳市公共资源交易中心不见面开标大厅”后，须先进行签到，其后应一直保持在线状态，保证能准时参加开标大会、投标文件的解密、现场答疑澄清等活动。</w:t>
            </w:r>
          </w:p>
          <w:p>
            <w:pPr>
              <w:spacing w:line="400" w:lineRule="exact"/>
              <w:ind w:firstLine="420" w:firstLineChars="200"/>
            </w:pPr>
            <w:r>
              <w:rPr>
                <w:rFonts w:hint="eastAsia" w:ascii="宋体" w:hAnsi="宋体"/>
                <w:szCs w:val="21"/>
              </w:rPr>
              <w:t>（5）投标人应在解密时间内插入CA锁，输入密码，进行解密，如在解密时间内解密失败，可再次解密，投标人应在规定时间内完成解密，否则采购人不予受理。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077" w:type="dxa"/>
            <w:vAlign w:val="center"/>
          </w:tcPr>
          <w:p>
            <w:pPr>
              <w:spacing w:line="400" w:lineRule="exact"/>
              <w:jc w:val="center"/>
              <w:rPr>
                <w:rFonts w:ascii="宋体" w:hAnsi="宋体"/>
                <w:szCs w:val="21"/>
              </w:rPr>
            </w:pPr>
            <w:r>
              <w:rPr>
                <w:rFonts w:hint="eastAsia" w:ascii="宋体" w:hAnsi="宋体"/>
                <w:szCs w:val="21"/>
              </w:rPr>
              <w:t>10.2</w:t>
            </w:r>
          </w:p>
        </w:tc>
        <w:tc>
          <w:tcPr>
            <w:tcW w:w="8453" w:type="dxa"/>
            <w:gridSpan w:val="2"/>
            <w:vAlign w:val="center"/>
          </w:tcPr>
          <w:p>
            <w:pPr>
              <w:spacing w:line="400" w:lineRule="exact"/>
              <w:jc w:val="center"/>
              <w:rPr>
                <w:rFonts w:ascii="宋体" w:hAnsi="宋体"/>
                <w:b/>
                <w:bCs/>
                <w:sz w:val="24"/>
              </w:rPr>
            </w:pPr>
            <w:r>
              <w:rPr>
                <w:rFonts w:hint="eastAsia" w:ascii="宋体" w:hAnsi="宋体"/>
                <w:b/>
                <w:bCs/>
                <w:sz w:val="24"/>
              </w:rPr>
              <w:t>荥阳市政府采购合同融资政策告知函</w:t>
            </w:r>
          </w:p>
          <w:p>
            <w:pPr>
              <w:spacing w:line="360" w:lineRule="auto"/>
              <w:rPr>
                <w:rFonts w:ascii="宋体" w:hAnsi="宋体"/>
                <w:szCs w:val="21"/>
              </w:rPr>
            </w:pPr>
            <w:r>
              <w:rPr>
                <w:rFonts w:hint="eastAsia" w:ascii="宋体" w:hAnsi="宋体"/>
                <w:szCs w:val="21"/>
              </w:rPr>
              <w:t xml:space="preserve">各供应商： </w:t>
            </w:r>
          </w:p>
          <w:p>
            <w:pPr>
              <w:spacing w:line="360" w:lineRule="auto"/>
              <w:ind w:firstLine="420" w:firstLineChars="200"/>
              <w:rPr>
                <w:rFonts w:ascii="宋体" w:hAnsi="宋体"/>
                <w:szCs w:val="21"/>
              </w:rPr>
            </w:pPr>
            <w:r>
              <w:rPr>
                <w:rFonts w:hint="eastAsia" w:ascii="宋体" w:hAnsi="宋体"/>
                <w:szCs w:val="21"/>
              </w:rPr>
              <w:t xml:space="preserve">欢迎贵公司参与荥阳市政府采购活动！ </w:t>
            </w:r>
          </w:p>
          <w:p>
            <w:pPr>
              <w:spacing w:line="360" w:lineRule="auto"/>
              <w:ind w:firstLine="420" w:firstLineChars="200"/>
              <w:rPr>
                <w:rFonts w:ascii="宋体" w:hAnsi="宋体"/>
                <w:szCs w:val="21"/>
              </w:rPr>
            </w:pPr>
            <w:r>
              <w:rPr>
                <w:rFonts w:hint="eastAsia" w:ascii="宋体" w:hAnsi="宋体"/>
                <w:szCs w:val="21"/>
              </w:rPr>
              <w:t>政府采购合同融资是河南省财政厅、郑州市财政局及荥阳市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号）和《郑州市财政局关于加强和推进政府采购合同融资工作的通知》（郑财购 〔2018〕4 号），按照双方自愿的原则提供便捷、优惠的贷款服务。</w:t>
            </w:r>
          </w:p>
          <w:p>
            <w:pPr>
              <w:spacing w:line="360" w:lineRule="auto"/>
              <w:ind w:firstLine="420" w:firstLineChars="200"/>
              <w:rPr>
                <w:rFonts w:ascii="宋体" w:hAnsi="宋体"/>
                <w:szCs w:val="21"/>
              </w:rPr>
            </w:pPr>
            <w:r>
              <w:rPr>
                <w:rFonts w:hint="eastAsia" w:ascii="宋体" w:hAnsi="宋体"/>
                <w:szCs w:val="21"/>
              </w:rPr>
              <w:t>贷款渠道和提供贷款的金融机构，可在荥阳市政府采购网 “荥阳市政府采购合同融资入口”或工作动态栏查询联系。</w:t>
            </w:r>
          </w:p>
          <w:p>
            <w:pPr>
              <w:spacing w:line="360" w:lineRule="auto"/>
              <w:ind w:firstLine="420" w:firstLineChars="200"/>
              <w:rPr>
                <w:rFonts w:ascii="宋体" w:hAnsi="宋体"/>
                <w:szCs w:val="21"/>
              </w:rPr>
            </w:pPr>
          </w:p>
        </w:tc>
      </w:tr>
    </w:tbl>
    <w:p>
      <w:pPr>
        <w:pStyle w:val="4"/>
        <w:jc w:val="center"/>
        <w:rPr>
          <w:rFonts w:hint="eastAsia" w:ascii="宋体" w:hAnsi="宋体" w:eastAsia="宋体" w:cs="宋体"/>
          <w:lang w:eastAsia="zh-CN"/>
        </w:rPr>
      </w:pPr>
      <w:bookmarkStart w:id="93" w:name="_Toc14198"/>
      <w:bookmarkStart w:id="94" w:name="_Toc1741"/>
      <w:bookmarkStart w:id="95" w:name="_Toc15257"/>
      <w:bookmarkStart w:id="96" w:name="_Toc18707"/>
      <w:bookmarkStart w:id="97" w:name="_Toc14526"/>
      <w:bookmarkStart w:id="98" w:name="_Toc7989"/>
      <w:bookmarkStart w:id="99" w:name="_Toc12600"/>
      <w:bookmarkStart w:id="100" w:name="_Toc28426"/>
      <w:bookmarkStart w:id="101" w:name="_Toc22304"/>
      <w:bookmarkStart w:id="102" w:name="_Toc17841"/>
      <w:bookmarkStart w:id="103" w:name="_Toc8844"/>
      <w:bookmarkStart w:id="104" w:name="_Toc20055"/>
      <w:bookmarkStart w:id="105" w:name="_Toc27913"/>
      <w:bookmarkStart w:id="106" w:name="_Toc9725"/>
      <w:bookmarkStart w:id="107" w:name="_Toc3385"/>
      <w:bookmarkStart w:id="108" w:name="_Toc25593"/>
      <w:bookmarkStart w:id="109" w:name="_Toc17893"/>
      <w:bookmarkStart w:id="110" w:name="_Toc26456"/>
      <w:bookmarkStart w:id="111" w:name="_Toc29509"/>
      <w:bookmarkStart w:id="112" w:name="_Toc20331"/>
      <w:bookmarkStart w:id="113" w:name="_Toc32468"/>
      <w:bookmarkStart w:id="114" w:name="_Toc8895"/>
      <w:bookmarkStart w:id="115" w:name="_Toc30433"/>
      <w:bookmarkStart w:id="116" w:name="_Toc10700"/>
      <w:bookmarkStart w:id="117" w:name="_Toc16490"/>
      <w:bookmarkStart w:id="118" w:name="_Toc10935"/>
      <w:bookmarkStart w:id="119" w:name="_Toc3480"/>
      <w:bookmarkStart w:id="120" w:name="_Toc8868"/>
      <w:bookmarkStart w:id="121" w:name="_Toc21607"/>
      <w:bookmarkStart w:id="122" w:name="_Toc533590158"/>
      <w:bookmarkStart w:id="123" w:name="_Toc1578"/>
      <w:bookmarkStart w:id="124" w:name="_Toc472942893"/>
      <w:r>
        <w:rPr>
          <w:rFonts w:hint="eastAsia" w:ascii="宋体" w:hAnsi="宋体" w:eastAsia="宋体" w:cs="宋体"/>
          <w:lang w:eastAsia="zh-CN"/>
        </w:rPr>
        <w:t>附件：</w:t>
      </w:r>
    </w:p>
    <w:p>
      <w:pPr>
        <w:pStyle w:val="4"/>
        <w:jc w:val="center"/>
      </w:pPr>
      <w:r>
        <w:drawing>
          <wp:inline distT="0" distB="0" distL="114300" distR="114300">
            <wp:extent cx="5112385" cy="6870065"/>
            <wp:effectExtent l="0" t="0" r="1206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5112385" cy="6870065"/>
                    </a:xfrm>
                    <a:prstGeom prst="rect">
                      <a:avLst/>
                    </a:prstGeom>
                    <a:noFill/>
                    <a:ln>
                      <a:noFill/>
                    </a:ln>
                  </pic:spPr>
                </pic:pic>
              </a:graphicData>
            </a:graphic>
          </wp:inline>
        </w:drawing>
      </w:r>
    </w:p>
    <w:p>
      <w:pPr>
        <w:pStyle w:val="4"/>
        <w:jc w:val="center"/>
      </w:pPr>
    </w:p>
    <w:p>
      <w:pPr>
        <w:pStyle w:val="4"/>
        <w:jc w:val="center"/>
      </w:pPr>
    </w:p>
    <w:p>
      <w:pPr>
        <w:pStyle w:val="4"/>
        <w:jc w:val="center"/>
      </w:pPr>
    </w:p>
    <w:p/>
    <w:p>
      <w:pPr>
        <w:pStyle w:val="2"/>
      </w:pPr>
    </w:p>
    <w:p>
      <w:r>
        <w:drawing>
          <wp:inline distT="0" distB="0" distL="114300" distR="114300">
            <wp:extent cx="5041900" cy="7505065"/>
            <wp:effectExtent l="0" t="0" r="635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5041900" cy="7505065"/>
                    </a:xfrm>
                    <a:prstGeom prst="rect">
                      <a:avLst/>
                    </a:prstGeom>
                    <a:noFill/>
                    <a:ln>
                      <a:noFill/>
                    </a:ln>
                  </pic:spPr>
                </pic:pic>
              </a:graphicData>
            </a:graphic>
          </wp:inline>
        </w:drawing>
      </w:r>
    </w:p>
    <w:p>
      <w:pPr>
        <w:pStyle w:val="2"/>
      </w:pPr>
    </w:p>
    <w:p/>
    <w:p>
      <w:pPr>
        <w:pStyle w:val="2"/>
      </w:pPr>
    </w:p>
    <w:p>
      <w:r>
        <w:drawing>
          <wp:anchor distT="0" distB="0" distL="114300" distR="114300" simplePos="0" relativeHeight="251659264" behindDoc="0" locked="0" layoutInCell="1" allowOverlap="1">
            <wp:simplePos x="0" y="0"/>
            <wp:positionH relativeFrom="column">
              <wp:posOffset>133985</wp:posOffset>
            </wp:positionH>
            <wp:positionV relativeFrom="paragraph">
              <wp:posOffset>51435</wp:posOffset>
            </wp:positionV>
            <wp:extent cx="4517390" cy="6490335"/>
            <wp:effectExtent l="0" t="0" r="16510" b="571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4517390" cy="6490335"/>
                    </a:xfrm>
                    <a:prstGeom prst="rect">
                      <a:avLst/>
                    </a:prstGeom>
                    <a:noFill/>
                    <a:ln>
                      <a:noFill/>
                    </a:ln>
                  </pic:spPr>
                </pic:pic>
              </a:graphicData>
            </a:graphic>
          </wp:anchor>
        </w:drawing>
      </w:r>
    </w:p>
    <w:p>
      <w:pPr>
        <w:pStyle w:val="2"/>
      </w:pPr>
    </w:p>
    <w:p/>
    <w:p>
      <w:pPr>
        <w:pStyle w:val="2"/>
      </w:pPr>
    </w:p>
    <w:p/>
    <w:p>
      <w:pPr>
        <w:pStyle w:val="2"/>
      </w:pPr>
    </w:p>
    <w:p/>
    <w:p>
      <w:pPr>
        <w:pStyle w:val="2"/>
      </w:pPr>
    </w:p>
    <w:p/>
    <w:p>
      <w:pPr>
        <w:pStyle w:val="2"/>
      </w:pPr>
    </w:p>
    <w:p/>
    <w:p>
      <w:pPr>
        <w:pStyle w:val="2"/>
      </w:pPr>
    </w:p>
    <w:p/>
    <w:p>
      <w:pPr>
        <w:pStyle w:val="4"/>
        <w:jc w:val="center"/>
      </w:pPr>
    </w:p>
    <w:p/>
    <w:p>
      <w:pPr>
        <w:pStyle w:val="2"/>
      </w:pPr>
    </w:p>
    <w:p/>
    <w:p>
      <w:pPr>
        <w:pStyle w:val="2"/>
      </w:pPr>
    </w:p>
    <w:p/>
    <w:p>
      <w:pPr>
        <w:pStyle w:val="2"/>
      </w:pPr>
    </w:p>
    <w:p/>
    <w:p>
      <w:pPr>
        <w:pStyle w:val="2"/>
      </w:pPr>
      <w:r>
        <w:drawing>
          <wp:anchor distT="0" distB="0" distL="114300" distR="114300" simplePos="0" relativeHeight="251660288" behindDoc="0" locked="0" layoutInCell="1" allowOverlap="1">
            <wp:simplePos x="0" y="0"/>
            <wp:positionH relativeFrom="column">
              <wp:posOffset>-4639945</wp:posOffset>
            </wp:positionH>
            <wp:positionV relativeFrom="paragraph">
              <wp:posOffset>294005</wp:posOffset>
            </wp:positionV>
            <wp:extent cx="4657725" cy="2447925"/>
            <wp:effectExtent l="0" t="0" r="9525" b="9525"/>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6"/>
                    <a:stretch>
                      <a:fillRect/>
                    </a:stretch>
                  </pic:blipFill>
                  <pic:spPr>
                    <a:xfrm>
                      <a:off x="0" y="0"/>
                      <a:ext cx="4657725" cy="2447925"/>
                    </a:xfrm>
                    <a:prstGeom prst="rect">
                      <a:avLst/>
                    </a:prstGeom>
                    <a:noFill/>
                    <a:ln>
                      <a:noFill/>
                    </a:ln>
                  </pic:spPr>
                </pic:pic>
              </a:graphicData>
            </a:graphic>
          </wp:anchor>
        </w:drawing>
      </w:r>
    </w:p>
    <w:p/>
    <w:p>
      <w:pPr>
        <w:pStyle w:val="2"/>
      </w:pPr>
    </w:p>
    <w:p/>
    <w:p>
      <w:pPr>
        <w:pStyle w:val="2"/>
      </w:pPr>
    </w:p>
    <w:p>
      <w:pPr>
        <w:pStyle w:val="2"/>
      </w:pPr>
    </w:p>
    <w:p/>
    <w:p>
      <w:pPr>
        <w:pStyle w:val="4"/>
        <w:jc w:val="center"/>
        <w:rPr>
          <w:rFonts w:ascii="宋体" w:hAnsi="宋体" w:eastAsia="宋体" w:cs="宋体"/>
        </w:rPr>
      </w:pPr>
      <w:r>
        <w:rPr>
          <w:rFonts w:hint="eastAsia" w:ascii="宋体" w:hAnsi="宋体" w:eastAsia="宋体" w:cs="宋体"/>
        </w:rPr>
        <w:t>总   则</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pStyle w:val="6"/>
        <w:rPr>
          <w:rFonts w:ascii="宋体" w:hAnsi="宋体" w:cs="宋体"/>
          <w:szCs w:val="21"/>
        </w:rPr>
      </w:pPr>
      <w:bookmarkStart w:id="125" w:name="_Toc5634_WPSOffice_Level2"/>
      <w:bookmarkStart w:id="126" w:name="_Toc20513"/>
      <w:r>
        <w:rPr>
          <w:rFonts w:hint="eastAsia" w:ascii="宋体" w:hAnsi="宋体" w:cs="宋体"/>
          <w:szCs w:val="21"/>
        </w:rPr>
        <w:t>1.1 项目概况</w:t>
      </w:r>
      <w:bookmarkEnd w:id="125"/>
      <w:bookmarkEnd w:id="126"/>
    </w:p>
    <w:p>
      <w:pPr>
        <w:spacing w:line="360" w:lineRule="auto"/>
        <w:ind w:firstLine="420" w:firstLineChars="200"/>
        <w:rPr>
          <w:rFonts w:ascii="宋体" w:hAnsi="宋体" w:cs="宋体"/>
          <w:szCs w:val="21"/>
        </w:rPr>
      </w:pPr>
      <w:r>
        <w:rPr>
          <w:rFonts w:hint="eastAsia" w:ascii="宋体" w:hAnsi="宋体" w:cs="宋体"/>
          <w:szCs w:val="21"/>
        </w:rPr>
        <w:t>1.1.1 根据有关法律、法规和规章的规定，本项目己具备招标条件，现对本项目进行采购。</w:t>
      </w:r>
    </w:p>
    <w:p>
      <w:pPr>
        <w:spacing w:line="360" w:lineRule="auto"/>
        <w:ind w:firstLine="420" w:firstLineChars="200"/>
        <w:rPr>
          <w:rFonts w:ascii="宋体" w:hAnsi="宋体" w:cs="宋体"/>
          <w:szCs w:val="21"/>
        </w:rPr>
      </w:pPr>
      <w:r>
        <w:rPr>
          <w:rFonts w:hint="eastAsia" w:ascii="宋体" w:hAnsi="宋体" w:cs="宋体"/>
          <w:szCs w:val="21"/>
        </w:rPr>
        <w:t>1.1.2 本项目采购人：见投标人须知前附表。</w:t>
      </w:r>
    </w:p>
    <w:p>
      <w:pPr>
        <w:spacing w:line="360" w:lineRule="auto"/>
        <w:ind w:firstLine="420" w:firstLineChars="200"/>
        <w:rPr>
          <w:rFonts w:ascii="宋体" w:hAnsi="宋体" w:cs="宋体"/>
          <w:szCs w:val="21"/>
        </w:rPr>
      </w:pPr>
      <w:r>
        <w:rPr>
          <w:rFonts w:hint="eastAsia" w:ascii="宋体" w:hAnsi="宋体" w:cs="宋体"/>
          <w:szCs w:val="21"/>
        </w:rPr>
        <w:t>1.1.3 本项目代理机构：见投标人须知前附表。</w:t>
      </w:r>
    </w:p>
    <w:p>
      <w:pPr>
        <w:spacing w:line="360" w:lineRule="auto"/>
        <w:ind w:firstLine="420" w:firstLineChars="200"/>
        <w:rPr>
          <w:rFonts w:ascii="宋体" w:hAnsi="宋体" w:cs="宋体"/>
          <w:szCs w:val="21"/>
        </w:rPr>
      </w:pPr>
      <w:r>
        <w:rPr>
          <w:rFonts w:hint="eastAsia" w:ascii="宋体" w:hAnsi="宋体" w:cs="宋体"/>
          <w:szCs w:val="21"/>
        </w:rPr>
        <w:t>1.1.4 本项目名称：见投标人须知前附表。</w:t>
      </w:r>
    </w:p>
    <w:p>
      <w:pPr>
        <w:spacing w:line="360" w:lineRule="auto"/>
        <w:ind w:firstLine="420" w:firstLineChars="200"/>
        <w:rPr>
          <w:rFonts w:ascii="宋体" w:hAnsi="宋体" w:cs="宋体"/>
          <w:szCs w:val="21"/>
        </w:rPr>
      </w:pPr>
      <w:r>
        <w:rPr>
          <w:rFonts w:hint="eastAsia" w:ascii="宋体" w:hAnsi="宋体" w:cs="宋体"/>
          <w:szCs w:val="21"/>
        </w:rPr>
        <w:t>1.1.5 本项目实施地点：见投标人须知前附表。</w:t>
      </w:r>
    </w:p>
    <w:p>
      <w:pPr>
        <w:pStyle w:val="6"/>
        <w:rPr>
          <w:rFonts w:ascii="宋体" w:hAnsi="宋体" w:cs="宋体"/>
          <w:szCs w:val="21"/>
        </w:rPr>
      </w:pPr>
      <w:bookmarkStart w:id="127" w:name="_Toc6497"/>
      <w:bookmarkStart w:id="128" w:name="_Toc6587_WPSOffice_Level2"/>
      <w:r>
        <w:rPr>
          <w:rFonts w:hint="eastAsia" w:ascii="宋体" w:hAnsi="宋体" w:cs="宋体"/>
          <w:szCs w:val="21"/>
        </w:rPr>
        <w:t>1.2 资金来源和落实情况</w:t>
      </w:r>
      <w:bookmarkEnd w:id="127"/>
      <w:bookmarkEnd w:id="128"/>
    </w:p>
    <w:p>
      <w:pPr>
        <w:spacing w:line="360" w:lineRule="auto"/>
        <w:ind w:firstLine="420" w:firstLineChars="200"/>
        <w:rPr>
          <w:rFonts w:ascii="宋体" w:hAnsi="宋体" w:cs="宋体"/>
          <w:szCs w:val="21"/>
        </w:rPr>
      </w:pPr>
      <w:r>
        <w:rPr>
          <w:rFonts w:hint="eastAsia" w:ascii="宋体" w:hAnsi="宋体" w:cs="宋体"/>
          <w:szCs w:val="21"/>
        </w:rPr>
        <w:t>1.2.1 本项目的资金来源：见投标人须知前附表。</w:t>
      </w:r>
    </w:p>
    <w:p>
      <w:pPr>
        <w:spacing w:line="360" w:lineRule="auto"/>
        <w:ind w:firstLine="420" w:firstLineChars="200"/>
        <w:rPr>
          <w:rFonts w:ascii="宋体" w:hAnsi="宋体" w:cs="宋体"/>
          <w:szCs w:val="21"/>
        </w:rPr>
      </w:pPr>
      <w:r>
        <w:rPr>
          <w:rFonts w:hint="eastAsia" w:ascii="宋体" w:hAnsi="宋体" w:cs="宋体"/>
          <w:szCs w:val="21"/>
        </w:rPr>
        <w:t>1.2.2 本项目的出资比例：见投标人须知前附表。</w:t>
      </w:r>
    </w:p>
    <w:p>
      <w:pPr>
        <w:spacing w:line="360" w:lineRule="auto"/>
        <w:ind w:firstLine="420" w:firstLineChars="200"/>
        <w:rPr>
          <w:rFonts w:ascii="宋体" w:hAnsi="宋体" w:cs="宋体"/>
          <w:szCs w:val="21"/>
        </w:rPr>
      </w:pPr>
      <w:r>
        <w:rPr>
          <w:rFonts w:hint="eastAsia" w:ascii="宋体" w:hAnsi="宋体" w:cs="宋体"/>
          <w:szCs w:val="21"/>
        </w:rPr>
        <w:t>1.2.3 本项目的资金落实情况：见投标人须知前附表。</w:t>
      </w:r>
    </w:p>
    <w:p>
      <w:pPr>
        <w:pStyle w:val="6"/>
        <w:rPr>
          <w:rFonts w:ascii="宋体" w:hAnsi="宋体" w:cs="宋体"/>
          <w:szCs w:val="21"/>
        </w:rPr>
      </w:pPr>
      <w:bookmarkStart w:id="129" w:name="_Toc7225_WPSOffice_Level2"/>
      <w:bookmarkStart w:id="130" w:name="_Toc17733"/>
      <w:r>
        <w:rPr>
          <w:rFonts w:hint="eastAsia" w:ascii="宋体" w:hAnsi="宋体" w:cs="宋体"/>
          <w:szCs w:val="21"/>
        </w:rPr>
        <w:t>1.3 采购内容、服务期限和质量要求</w:t>
      </w:r>
      <w:bookmarkEnd w:id="129"/>
      <w:bookmarkEnd w:id="130"/>
    </w:p>
    <w:p>
      <w:pPr>
        <w:spacing w:line="360" w:lineRule="auto"/>
        <w:ind w:firstLine="420" w:firstLineChars="200"/>
        <w:rPr>
          <w:rFonts w:ascii="宋体" w:hAnsi="宋体" w:cs="宋体"/>
          <w:szCs w:val="21"/>
        </w:rPr>
      </w:pPr>
      <w:r>
        <w:rPr>
          <w:rFonts w:hint="eastAsia" w:ascii="宋体" w:hAnsi="宋体" w:cs="宋体"/>
          <w:szCs w:val="21"/>
        </w:rPr>
        <w:t>1.3.1 本次采购需求：见投标人须知前附表。</w:t>
      </w:r>
    </w:p>
    <w:p>
      <w:pPr>
        <w:spacing w:line="360" w:lineRule="auto"/>
        <w:ind w:firstLine="420" w:firstLineChars="200"/>
        <w:rPr>
          <w:rFonts w:ascii="宋体" w:hAnsi="宋体" w:cs="宋体"/>
          <w:szCs w:val="21"/>
        </w:rPr>
      </w:pPr>
      <w:r>
        <w:rPr>
          <w:rFonts w:hint="eastAsia" w:ascii="宋体" w:hAnsi="宋体" w:cs="宋体"/>
          <w:szCs w:val="21"/>
        </w:rPr>
        <w:t>1.3.3 本项目的</w:t>
      </w:r>
      <w:r>
        <w:rPr>
          <w:rFonts w:hint="eastAsia" w:ascii="宋体" w:hAnsi="宋体"/>
          <w:szCs w:val="21"/>
        </w:rPr>
        <w:t>供货安装及调试期限</w:t>
      </w:r>
      <w:r>
        <w:rPr>
          <w:rFonts w:hint="eastAsia" w:ascii="宋体" w:hAnsi="宋体" w:cs="宋体"/>
          <w:szCs w:val="21"/>
        </w:rPr>
        <w:t>：见投标人须知前附表。</w:t>
      </w:r>
    </w:p>
    <w:p>
      <w:pPr>
        <w:spacing w:line="360" w:lineRule="auto"/>
        <w:ind w:firstLine="420" w:firstLineChars="200"/>
        <w:rPr>
          <w:rFonts w:ascii="宋体" w:hAnsi="宋体" w:cs="宋体"/>
          <w:szCs w:val="21"/>
        </w:rPr>
      </w:pPr>
      <w:r>
        <w:rPr>
          <w:rFonts w:hint="eastAsia" w:ascii="宋体" w:hAnsi="宋体" w:cs="宋体"/>
          <w:szCs w:val="21"/>
        </w:rPr>
        <w:t>1.3.4 本项目的质量要求：见投标人须知前附表。</w:t>
      </w:r>
    </w:p>
    <w:p>
      <w:pPr>
        <w:pStyle w:val="6"/>
        <w:rPr>
          <w:rFonts w:ascii="宋体" w:hAnsi="宋体" w:cs="宋体"/>
          <w:szCs w:val="21"/>
        </w:rPr>
      </w:pPr>
      <w:bookmarkStart w:id="131" w:name="_Toc24436_WPSOffice_Level2"/>
      <w:bookmarkStart w:id="132" w:name="_Toc5661"/>
      <w:r>
        <w:rPr>
          <w:rFonts w:hint="eastAsia" w:ascii="宋体" w:hAnsi="宋体" w:cs="宋体"/>
          <w:szCs w:val="21"/>
        </w:rPr>
        <w:t>1.4 资格要求</w:t>
      </w:r>
    </w:p>
    <w:p>
      <w:pPr>
        <w:pStyle w:val="6"/>
        <w:ind w:firstLine="420" w:firstLineChars="200"/>
        <w:rPr>
          <w:rFonts w:ascii="宋体" w:hAnsi="宋体" w:cs="宋体"/>
          <w:b w:val="0"/>
          <w:bCs w:val="0"/>
          <w:szCs w:val="21"/>
        </w:rPr>
      </w:pPr>
      <w:r>
        <w:rPr>
          <w:rFonts w:hint="eastAsia" w:ascii="宋体" w:hAnsi="宋体" w:cs="宋体"/>
          <w:b w:val="0"/>
          <w:bCs w:val="0"/>
          <w:szCs w:val="21"/>
        </w:rPr>
        <w:t>1.4.1投标人资格要求</w:t>
      </w:r>
      <w:bookmarkEnd w:id="131"/>
      <w:bookmarkEnd w:id="132"/>
      <w:r>
        <w:rPr>
          <w:rFonts w:hint="eastAsia" w:ascii="宋体" w:hAnsi="宋体" w:cs="宋体"/>
          <w:b w:val="0"/>
          <w:szCs w:val="21"/>
        </w:rPr>
        <w:t>：见投标人须知前附表。</w:t>
      </w:r>
    </w:p>
    <w:p>
      <w:pPr>
        <w:ind w:firstLine="420" w:firstLineChars="200"/>
        <w:rPr>
          <w:rFonts w:ascii="宋体" w:hAnsi="宋体" w:cs="宋体"/>
          <w:szCs w:val="21"/>
        </w:rPr>
      </w:pPr>
      <w:r>
        <w:rPr>
          <w:rFonts w:hint="eastAsia" w:ascii="宋体" w:hAnsi="宋体" w:cs="宋体"/>
          <w:szCs w:val="21"/>
        </w:rPr>
        <w:t>1.4.2是否接受联合体投标：见投标人须知前附表。</w:t>
      </w:r>
    </w:p>
    <w:p>
      <w:pPr>
        <w:pStyle w:val="6"/>
        <w:rPr>
          <w:rFonts w:ascii="宋体" w:hAnsi="宋体" w:cs="宋体"/>
          <w:szCs w:val="21"/>
        </w:rPr>
      </w:pPr>
      <w:bookmarkStart w:id="133" w:name="_Toc9147"/>
      <w:bookmarkStart w:id="134" w:name="_Toc6805_WPSOffice_Level2"/>
      <w:r>
        <w:rPr>
          <w:rFonts w:hint="eastAsia" w:ascii="宋体" w:hAnsi="宋体" w:cs="宋体"/>
          <w:szCs w:val="21"/>
        </w:rPr>
        <w:t>1.5 费用承担</w:t>
      </w:r>
      <w:bookmarkEnd w:id="133"/>
      <w:bookmarkEnd w:id="134"/>
    </w:p>
    <w:p>
      <w:pPr>
        <w:spacing w:line="360" w:lineRule="auto"/>
        <w:ind w:firstLine="420" w:firstLineChars="200"/>
        <w:rPr>
          <w:rFonts w:ascii="宋体" w:hAnsi="宋体" w:cs="宋体"/>
          <w:szCs w:val="21"/>
        </w:rPr>
      </w:pPr>
      <w:r>
        <w:rPr>
          <w:rFonts w:hint="eastAsia" w:ascii="宋体" w:hAnsi="宋体" w:cs="宋体"/>
          <w:szCs w:val="21"/>
        </w:rPr>
        <w:t>投标人准备和参加投标活动发生的费用自理。</w:t>
      </w:r>
    </w:p>
    <w:p>
      <w:pPr>
        <w:pStyle w:val="6"/>
        <w:rPr>
          <w:rFonts w:ascii="宋体" w:hAnsi="宋体" w:cs="宋体"/>
          <w:szCs w:val="21"/>
        </w:rPr>
      </w:pPr>
      <w:bookmarkStart w:id="135" w:name="_Toc27626_WPSOffice_Level2"/>
      <w:bookmarkStart w:id="136" w:name="_Toc16736"/>
      <w:r>
        <w:rPr>
          <w:rFonts w:hint="eastAsia" w:ascii="宋体" w:hAnsi="宋体" w:cs="宋体"/>
          <w:szCs w:val="21"/>
        </w:rPr>
        <w:t>1.6 保密</w:t>
      </w:r>
      <w:bookmarkEnd w:id="135"/>
      <w:bookmarkEnd w:id="136"/>
    </w:p>
    <w:p>
      <w:pPr>
        <w:spacing w:line="360" w:lineRule="auto"/>
        <w:ind w:firstLine="420" w:firstLineChars="200"/>
        <w:rPr>
          <w:rFonts w:ascii="宋体" w:hAnsi="宋体" w:cs="宋体"/>
          <w:szCs w:val="21"/>
        </w:rPr>
      </w:pPr>
      <w:r>
        <w:rPr>
          <w:rFonts w:hint="eastAsia" w:ascii="宋体" w:hAnsi="宋体" w:cs="宋体"/>
          <w:szCs w:val="21"/>
        </w:rPr>
        <w:t>参与评标活动的各方应对招标文件和投标文件中的商业和技术等秘密保密，违者应对由此造成的后果承担法律责任。</w:t>
      </w:r>
    </w:p>
    <w:p>
      <w:pPr>
        <w:pStyle w:val="6"/>
        <w:rPr>
          <w:rFonts w:ascii="宋体" w:hAnsi="宋体" w:cs="宋体"/>
          <w:szCs w:val="21"/>
        </w:rPr>
      </w:pPr>
      <w:bookmarkStart w:id="137" w:name="_Toc31794_WPSOffice_Level2"/>
      <w:bookmarkStart w:id="138" w:name="_Toc30"/>
      <w:r>
        <w:rPr>
          <w:rFonts w:hint="eastAsia" w:ascii="宋体" w:hAnsi="宋体" w:cs="宋体"/>
          <w:szCs w:val="21"/>
        </w:rPr>
        <w:t>1.7 语言文字</w:t>
      </w:r>
      <w:bookmarkEnd w:id="137"/>
      <w:bookmarkEnd w:id="138"/>
    </w:p>
    <w:p>
      <w:pPr>
        <w:spacing w:line="360" w:lineRule="auto"/>
        <w:ind w:firstLine="420" w:firstLineChars="200"/>
        <w:rPr>
          <w:rFonts w:ascii="宋体" w:hAnsi="宋体" w:cs="宋体"/>
          <w:szCs w:val="21"/>
        </w:rPr>
      </w:pPr>
      <w:r>
        <w:rPr>
          <w:rFonts w:hint="eastAsia" w:ascii="宋体" w:hAnsi="宋体" w:cs="宋体"/>
          <w:szCs w:val="21"/>
        </w:rPr>
        <w:t>除专用术语外，与招标投标有关的语言均使用中文。必要时专用术语应附有中文注释。</w:t>
      </w:r>
    </w:p>
    <w:p>
      <w:pPr>
        <w:pStyle w:val="6"/>
        <w:rPr>
          <w:rFonts w:ascii="宋体" w:hAnsi="宋体" w:cs="宋体"/>
          <w:szCs w:val="21"/>
        </w:rPr>
      </w:pPr>
      <w:bookmarkStart w:id="139" w:name="_Toc22835_WPSOffice_Level2"/>
      <w:bookmarkStart w:id="140" w:name="_Toc31566"/>
      <w:r>
        <w:rPr>
          <w:rFonts w:hint="eastAsia" w:ascii="宋体" w:hAnsi="宋体" w:cs="宋体"/>
          <w:szCs w:val="21"/>
        </w:rPr>
        <w:t>1.8 计量单位</w:t>
      </w:r>
      <w:bookmarkEnd w:id="139"/>
      <w:bookmarkEnd w:id="140"/>
    </w:p>
    <w:p>
      <w:pPr>
        <w:spacing w:line="360" w:lineRule="auto"/>
        <w:ind w:firstLine="420" w:firstLineChars="200"/>
        <w:rPr>
          <w:rFonts w:ascii="宋体" w:hAnsi="宋体" w:cs="宋体"/>
          <w:szCs w:val="21"/>
        </w:rPr>
      </w:pPr>
      <w:r>
        <w:rPr>
          <w:rFonts w:hint="eastAsia" w:ascii="宋体" w:hAnsi="宋体" w:cs="宋体"/>
          <w:szCs w:val="21"/>
        </w:rPr>
        <w:t>所有计量均采用中华人民共和国法定计量单位。</w:t>
      </w:r>
    </w:p>
    <w:p>
      <w:pPr>
        <w:pStyle w:val="6"/>
        <w:rPr>
          <w:rFonts w:ascii="宋体" w:hAnsi="宋体" w:cs="宋体"/>
          <w:szCs w:val="21"/>
        </w:rPr>
      </w:pPr>
      <w:bookmarkStart w:id="141" w:name="_Toc2192_WPSOffice_Level2"/>
      <w:bookmarkStart w:id="142" w:name="_Toc10292"/>
      <w:r>
        <w:rPr>
          <w:rFonts w:hint="eastAsia" w:ascii="宋体" w:hAnsi="宋体" w:cs="宋体"/>
          <w:szCs w:val="21"/>
        </w:rPr>
        <w:t>1.9 踏勘现场</w:t>
      </w:r>
      <w:bookmarkEnd w:id="141"/>
      <w:bookmarkEnd w:id="142"/>
    </w:p>
    <w:p>
      <w:pPr>
        <w:spacing w:line="360" w:lineRule="auto"/>
        <w:ind w:firstLine="420" w:firstLineChars="200"/>
        <w:rPr>
          <w:rFonts w:ascii="宋体" w:hAnsi="宋体" w:cs="宋体"/>
          <w:szCs w:val="21"/>
        </w:rPr>
      </w:pPr>
      <w:r>
        <w:rPr>
          <w:rFonts w:hint="eastAsia" w:ascii="宋体" w:hAnsi="宋体" w:cs="宋体"/>
          <w:szCs w:val="21"/>
        </w:rPr>
        <w:t>1.9.1 投标人须知前附表规定组织踏勘现场的，采购人按投标人须知前附表规定的时间、地点组织投标人踏勘项目现场。</w:t>
      </w:r>
    </w:p>
    <w:p>
      <w:pPr>
        <w:spacing w:line="360" w:lineRule="auto"/>
        <w:ind w:firstLine="420" w:firstLineChars="200"/>
        <w:rPr>
          <w:rFonts w:ascii="宋体" w:hAnsi="宋体" w:cs="宋体"/>
          <w:szCs w:val="21"/>
        </w:rPr>
      </w:pPr>
      <w:r>
        <w:rPr>
          <w:rFonts w:hint="eastAsia" w:ascii="宋体" w:hAnsi="宋体" w:cs="宋体"/>
          <w:szCs w:val="21"/>
        </w:rPr>
        <w:t>1.9.2 投标人踏勘现场发生的费用自理。</w:t>
      </w:r>
    </w:p>
    <w:p>
      <w:pPr>
        <w:spacing w:line="360" w:lineRule="auto"/>
        <w:ind w:firstLine="420" w:firstLineChars="200"/>
        <w:rPr>
          <w:rFonts w:ascii="宋体" w:hAnsi="宋体" w:cs="宋体"/>
          <w:szCs w:val="21"/>
        </w:rPr>
      </w:pPr>
      <w:r>
        <w:rPr>
          <w:rFonts w:hint="eastAsia" w:ascii="宋体" w:hAnsi="宋体" w:cs="宋体"/>
          <w:szCs w:val="21"/>
        </w:rPr>
        <w:t>1.9.3 除采购人的原因外，投标人自行负责在踏勘现场中所发生的人员伤亡和财产损失。</w:t>
      </w:r>
    </w:p>
    <w:p>
      <w:pPr>
        <w:spacing w:line="360" w:lineRule="auto"/>
        <w:ind w:firstLine="420" w:firstLineChars="200"/>
        <w:rPr>
          <w:rFonts w:ascii="宋体" w:hAnsi="宋体" w:cs="宋体"/>
          <w:szCs w:val="21"/>
        </w:rPr>
      </w:pPr>
      <w:r>
        <w:rPr>
          <w:rFonts w:hint="eastAsia" w:ascii="宋体" w:hAnsi="宋体" w:cs="宋体"/>
          <w:szCs w:val="21"/>
        </w:rPr>
        <w:t>1.9.4 采购人在踏勘现场中介绍的项目场地和相关的周边环境情况，供投标人在编制投标文件时参考，采购人不对投标人据此作出的判断和决策负责。</w:t>
      </w:r>
    </w:p>
    <w:p>
      <w:pPr>
        <w:pStyle w:val="6"/>
        <w:rPr>
          <w:rFonts w:ascii="宋体" w:hAnsi="宋体" w:cs="宋体"/>
          <w:szCs w:val="21"/>
        </w:rPr>
      </w:pPr>
      <w:bookmarkStart w:id="143" w:name="_Toc6031_WPSOffice_Level2"/>
      <w:bookmarkStart w:id="144" w:name="_Toc14358"/>
      <w:r>
        <w:rPr>
          <w:rFonts w:hint="eastAsia" w:ascii="宋体" w:hAnsi="宋体" w:cs="宋体"/>
          <w:szCs w:val="21"/>
        </w:rPr>
        <w:t>1.10 投标预备会</w:t>
      </w:r>
      <w:bookmarkEnd w:id="143"/>
      <w:bookmarkEnd w:id="144"/>
    </w:p>
    <w:p>
      <w:pPr>
        <w:spacing w:line="360" w:lineRule="auto"/>
        <w:ind w:firstLine="420" w:firstLineChars="200"/>
        <w:rPr>
          <w:rFonts w:ascii="宋体" w:hAnsi="宋体" w:cs="宋体"/>
          <w:szCs w:val="21"/>
        </w:rPr>
      </w:pPr>
      <w:r>
        <w:rPr>
          <w:rFonts w:hint="eastAsia" w:ascii="宋体" w:hAnsi="宋体" w:cs="宋体"/>
          <w:szCs w:val="21"/>
        </w:rPr>
        <w:t>1.10.1 投标人须知前附表规定召开投标预备会的，采购人按投标人须知前附表规定的时间和地点召开投标预备会，澄清投标人提出的问题。</w:t>
      </w:r>
    </w:p>
    <w:p>
      <w:pPr>
        <w:spacing w:line="360" w:lineRule="auto"/>
        <w:ind w:firstLine="420" w:firstLineChars="200"/>
        <w:rPr>
          <w:rFonts w:ascii="宋体" w:hAnsi="宋体" w:cs="宋体"/>
          <w:szCs w:val="21"/>
        </w:rPr>
      </w:pPr>
      <w:r>
        <w:rPr>
          <w:rFonts w:hint="eastAsia" w:ascii="宋体" w:hAnsi="宋体" w:cs="宋体"/>
          <w:szCs w:val="21"/>
        </w:rPr>
        <w:t>1.10.2 投标人应在投标人须知前附表规定的时间前，以书面形式将提出的问题送达采购人，以便采购人在会议期间澄清。</w:t>
      </w:r>
    </w:p>
    <w:p>
      <w:pPr>
        <w:spacing w:line="360" w:lineRule="auto"/>
        <w:ind w:firstLine="420" w:firstLineChars="200"/>
        <w:rPr>
          <w:rFonts w:ascii="宋体" w:hAnsi="宋体" w:cs="宋体"/>
          <w:szCs w:val="21"/>
        </w:rPr>
      </w:pPr>
      <w:r>
        <w:rPr>
          <w:rFonts w:hint="eastAsia" w:ascii="宋体" w:hAnsi="宋体" w:cs="宋体"/>
          <w:szCs w:val="21"/>
        </w:rPr>
        <w:t>1.10.3 预备会后，采购人在投标人须知前附表规定的时间内，将对投标人所提问题的澄清，以书面方式通知所有购买招标文件的投标人。该澄清内容为招标文件的组成部分。</w:t>
      </w:r>
    </w:p>
    <w:p>
      <w:pPr>
        <w:pStyle w:val="6"/>
        <w:rPr>
          <w:rFonts w:ascii="宋体" w:hAnsi="宋体" w:cs="宋体"/>
          <w:szCs w:val="21"/>
        </w:rPr>
      </w:pPr>
      <w:bookmarkStart w:id="145" w:name="_Toc706_WPSOffice_Level2"/>
      <w:bookmarkStart w:id="146" w:name="_Toc12001"/>
      <w:r>
        <w:rPr>
          <w:rFonts w:hint="eastAsia" w:ascii="宋体" w:hAnsi="宋体" w:cs="宋体"/>
          <w:szCs w:val="21"/>
        </w:rPr>
        <w:t>1.11 分包</w:t>
      </w:r>
      <w:bookmarkEnd w:id="145"/>
      <w:bookmarkEnd w:id="146"/>
    </w:p>
    <w:p>
      <w:pPr>
        <w:spacing w:line="360" w:lineRule="auto"/>
        <w:ind w:firstLine="420" w:firstLineChars="200"/>
        <w:rPr>
          <w:rFonts w:ascii="宋体" w:hAnsi="宋体" w:cs="宋体"/>
          <w:szCs w:val="21"/>
        </w:rPr>
      </w:pPr>
      <w:r>
        <w:rPr>
          <w:rFonts w:hint="eastAsia" w:ascii="宋体" w:hAnsi="宋体" w:cs="宋体"/>
          <w:szCs w:val="21"/>
        </w:rPr>
        <w:t>不允许</w:t>
      </w:r>
    </w:p>
    <w:p>
      <w:pPr>
        <w:pStyle w:val="6"/>
        <w:rPr>
          <w:rFonts w:ascii="宋体" w:hAnsi="宋体" w:cs="宋体"/>
          <w:szCs w:val="21"/>
        </w:rPr>
      </w:pPr>
      <w:bookmarkStart w:id="147" w:name="_Toc22684"/>
      <w:bookmarkStart w:id="148" w:name="_Toc27206_WPSOffice_Level2"/>
      <w:r>
        <w:rPr>
          <w:rFonts w:hint="eastAsia" w:ascii="宋体" w:hAnsi="宋体" w:cs="宋体"/>
          <w:szCs w:val="21"/>
        </w:rPr>
        <w:t>1.12 偏离</w:t>
      </w:r>
      <w:bookmarkEnd w:id="147"/>
      <w:bookmarkEnd w:id="148"/>
    </w:p>
    <w:p>
      <w:pPr>
        <w:adjustRightInd w:val="0"/>
        <w:snapToGrid w:val="0"/>
        <w:spacing w:line="360" w:lineRule="auto"/>
        <w:ind w:firstLine="420" w:firstLineChars="200"/>
        <w:rPr>
          <w:rFonts w:ascii="宋体" w:hAnsi="宋体" w:cs="宋体"/>
          <w:szCs w:val="21"/>
          <w:highlight w:val="yellow"/>
        </w:rPr>
      </w:pPr>
      <w:r>
        <w:rPr>
          <w:rFonts w:hint="eastAsia" w:ascii="宋体" w:hAnsi="宋体" w:cs="宋体"/>
          <w:szCs w:val="21"/>
        </w:rPr>
        <w:t>以第二章投标人须知前附表为准。</w:t>
      </w:r>
    </w:p>
    <w:p>
      <w:pPr>
        <w:pStyle w:val="5"/>
        <w:spacing w:line="240" w:lineRule="auto"/>
        <w:rPr>
          <w:rFonts w:ascii="宋体" w:hAnsi="宋体" w:cs="宋体"/>
          <w:sz w:val="21"/>
          <w:szCs w:val="21"/>
        </w:rPr>
      </w:pPr>
      <w:bookmarkStart w:id="149" w:name="_Toc8278"/>
      <w:bookmarkStart w:id="150" w:name="_Toc16966"/>
      <w:bookmarkStart w:id="151" w:name="_Toc7647"/>
      <w:bookmarkStart w:id="152" w:name="_Toc184635072"/>
      <w:bookmarkStart w:id="153" w:name="_Toc8257"/>
      <w:bookmarkStart w:id="154" w:name="_Toc18390"/>
      <w:bookmarkStart w:id="155" w:name="_Toc285097633"/>
      <w:bookmarkStart w:id="156" w:name="_Toc30914"/>
      <w:bookmarkStart w:id="157" w:name="_Toc3898"/>
      <w:bookmarkStart w:id="158" w:name="_Toc15819"/>
      <w:bookmarkStart w:id="159" w:name="_Toc14397"/>
      <w:bookmarkStart w:id="160" w:name="_Toc10871"/>
      <w:bookmarkStart w:id="161" w:name="_Toc285638244"/>
      <w:bookmarkStart w:id="162" w:name="_Toc498527865"/>
      <w:bookmarkStart w:id="163" w:name="_Toc11587"/>
      <w:bookmarkStart w:id="164" w:name="_Toc7262"/>
      <w:bookmarkStart w:id="165" w:name="_Toc14169"/>
      <w:bookmarkStart w:id="166" w:name="_Toc28741"/>
      <w:bookmarkStart w:id="167" w:name="_Toc2260"/>
      <w:bookmarkStart w:id="168" w:name="_Toc23911"/>
      <w:bookmarkStart w:id="169" w:name="_Toc20501"/>
      <w:bookmarkStart w:id="170" w:name="_Toc11135"/>
      <w:bookmarkStart w:id="171" w:name="_Toc19837"/>
      <w:bookmarkStart w:id="172" w:name="_Toc15842"/>
      <w:bookmarkStart w:id="173" w:name="_Toc32155"/>
      <w:bookmarkStart w:id="174" w:name="_Toc18086"/>
      <w:bookmarkStart w:id="175" w:name="_Toc31078"/>
      <w:bookmarkStart w:id="176" w:name="_Toc14170"/>
      <w:bookmarkStart w:id="177" w:name="_Toc16623"/>
      <w:bookmarkStart w:id="178" w:name="_Toc11960"/>
      <w:bookmarkStart w:id="179" w:name="_Toc15144"/>
      <w:bookmarkStart w:id="180" w:name="_Toc14874"/>
      <w:r>
        <w:rPr>
          <w:rFonts w:hint="eastAsia" w:ascii="宋体" w:hAnsi="宋体" w:cs="宋体"/>
          <w:sz w:val="21"/>
          <w:szCs w:val="21"/>
        </w:rPr>
        <w:t>2．</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rFonts w:hint="eastAsia" w:ascii="宋体" w:hAnsi="宋体" w:cs="宋体"/>
          <w:sz w:val="21"/>
          <w:szCs w:val="21"/>
        </w:rPr>
        <w:t>招标文件</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pPr>
        <w:pStyle w:val="6"/>
        <w:rPr>
          <w:rFonts w:ascii="宋体" w:hAnsi="宋体" w:cs="宋体"/>
          <w:szCs w:val="21"/>
        </w:rPr>
      </w:pPr>
      <w:r>
        <w:rPr>
          <w:rFonts w:hint="eastAsia" w:ascii="宋体" w:hAnsi="宋体" w:cs="宋体"/>
          <w:szCs w:val="21"/>
        </w:rPr>
        <w:t>2.1 招标文件的组成</w:t>
      </w:r>
    </w:p>
    <w:p>
      <w:pPr>
        <w:spacing w:line="360" w:lineRule="auto"/>
        <w:ind w:firstLine="420" w:firstLineChars="200"/>
        <w:rPr>
          <w:rFonts w:ascii="宋体" w:hAnsi="宋体" w:cs="宋体"/>
          <w:szCs w:val="21"/>
        </w:rPr>
      </w:pPr>
      <w:r>
        <w:rPr>
          <w:rFonts w:hint="eastAsia" w:ascii="宋体" w:hAnsi="宋体" w:cs="宋体"/>
          <w:szCs w:val="21"/>
        </w:rPr>
        <w:t>本招标文件包括但不限于以下内容：</w:t>
      </w:r>
    </w:p>
    <w:p>
      <w:pPr>
        <w:spacing w:line="360" w:lineRule="auto"/>
        <w:ind w:firstLine="420" w:firstLineChars="200"/>
        <w:rPr>
          <w:rFonts w:ascii="宋体" w:hAnsi="宋体" w:cs="宋体"/>
          <w:szCs w:val="21"/>
        </w:rPr>
      </w:pPr>
      <w:r>
        <w:rPr>
          <w:rFonts w:hint="eastAsia" w:ascii="宋体" w:hAnsi="宋体" w:cs="宋体"/>
          <w:szCs w:val="21"/>
        </w:rPr>
        <w:t>第一章 招标公告</w:t>
      </w:r>
      <w:r>
        <w:rPr>
          <w:rFonts w:hint="eastAsia" w:ascii="宋体" w:hAnsi="宋体" w:cs="宋体"/>
          <w:szCs w:val="21"/>
        </w:rPr>
        <w:tab/>
      </w:r>
    </w:p>
    <w:p>
      <w:pPr>
        <w:spacing w:line="360" w:lineRule="auto"/>
        <w:ind w:firstLine="420" w:firstLineChars="200"/>
        <w:rPr>
          <w:rFonts w:ascii="宋体" w:hAnsi="宋体" w:cs="宋体"/>
          <w:szCs w:val="21"/>
        </w:rPr>
      </w:pPr>
      <w:r>
        <w:rPr>
          <w:rFonts w:hint="eastAsia" w:ascii="宋体" w:hAnsi="宋体" w:cs="宋体"/>
          <w:szCs w:val="21"/>
        </w:rPr>
        <w:t>第二章 投标人须知</w:t>
      </w:r>
      <w:r>
        <w:rPr>
          <w:rFonts w:hint="eastAsia" w:ascii="宋体" w:hAnsi="宋体" w:cs="宋体"/>
          <w:szCs w:val="21"/>
        </w:rPr>
        <w:tab/>
      </w:r>
    </w:p>
    <w:p>
      <w:pPr>
        <w:spacing w:line="360" w:lineRule="auto"/>
        <w:ind w:firstLine="420" w:firstLineChars="200"/>
        <w:rPr>
          <w:rFonts w:ascii="宋体" w:hAnsi="宋体" w:cs="宋体"/>
          <w:szCs w:val="21"/>
        </w:rPr>
      </w:pPr>
      <w:r>
        <w:rPr>
          <w:rFonts w:hint="eastAsia" w:ascii="宋体" w:hAnsi="宋体" w:cs="宋体"/>
          <w:szCs w:val="21"/>
        </w:rPr>
        <w:t>第三章 评标办法</w:t>
      </w:r>
    </w:p>
    <w:p>
      <w:pPr>
        <w:spacing w:line="360" w:lineRule="auto"/>
        <w:ind w:firstLine="420" w:firstLineChars="200"/>
        <w:rPr>
          <w:rFonts w:ascii="宋体" w:hAnsi="宋体" w:cs="宋体"/>
          <w:szCs w:val="21"/>
        </w:rPr>
      </w:pPr>
      <w:r>
        <w:rPr>
          <w:rFonts w:hint="eastAsia" w:ascii="宋体" w:hAnsi="宋体" w:cs="宋体"/>
          <w:szCs w:val="21"/>
        </w:rPr>
        <w:t>第四章 合同条款及格式</w:t>
      </w:r>
      <w:r>
        <w:rPr>
          <w:rFonts w:hint="eastAsia" w:ascii="宋体" w:hAnsi="宋体" w:cs="宋体"/>
          <w:szCs w:val="21"/>
        </w:rPr>
        <w:tab/>
      </w:r>
    </w:p>
    <w:p>
      <w:pPr>
        <w:spacing w:line="360" w:lineRule="auto"/>
        <w:ind w:firstLine="420" w:firstLineChars="200"/>
        <w:rPr>
          <w:rFonts w:ascii="宋体" w:hAnsi="宋体" w:cs="宋体"/>
          <w:szCs w:val="21"/>
        </w:rPr>
      </w:pPr>
      <w:r>
        <w:rPr>
          <w:rFonts w:hint="eastAsia" w:ascii="宋体" w:hAnsi="宋体" w:cs="宋体"/>
          <w:szCs w:val="21"/>
        </w:rPr>
        <w:t>第五章 技术参数</w:t>
      </w:r>
      <w:r>
        <w:rPr>
          <w:rFonts w:hint="eastAsia" w:ascii="宋体" w:hAnsi="宋体" w:cs="宋体"/>
          <w:szCs w:val="21"/>
        </w:rPr>
        <w:tab/>
      </w:r>
    </w:p>
    <w:p>
      <w:pPr>
        <w:spacing w:line="360" w:lineRule="auto"/>
        <w:ind w:firstLine="420" w:firstLineChars="200"/>
        <w:rPr>
          <w:rFonts w:ascii="宋体" w:hAnsi="宋体" w:cs="宋体"/>
          <w:szCs w:val="21"/>
        </w:rPr>
      </w:pPr>
      <w:r>
        <w:rPr>
          <w:rFonts w:hint="eastAsia" w:ascii="宋体" w:hAnsi="宋体" w:cs="宋体"/>
          <w:szCs w:val="21"/>
        </w:rPr>
        <w:t>第六章 其他要求</w:t>
      </w:r>
      <w:r>
        <w:rPr>
          <w:rFonts w:hint="eastAsia" w:ascii="宋体" w:hAnsi="宋体" w:cs="宋体"/>
          <w:szCs w:val="21"/>
        </w:rPr>
        <w:tab/>
      </w:r>
    </w:p>
    <w:p>
      <w:pPr>
        <w:spacing w:line="360" w:lineRule="auto"/>
        <w:ind w:firstLine="420" w:firstLineChars="200"/>
        <w:rPr>
          <w:rFonts w:ascii="宋体" w:hAnsi="宋体" w:cs="宋体"/>
          <w:szCs w:val="21"/>
        </w:rPr>
      </w:pPr>
      <w:r>
        <w:rPr>
          <w:rFonts w:hint="eastAsia" w:ascii="宋体" w:hAnsi="宋体" w:cs="宋体"/>
          <w:szCs w:val="21"/>
        </w:rPr>
        <w:t>第七章 投标文件格式</w:t>
      </w:r>
      <w:r>
        <w:rPr>
          <w:rFonts w:hint="eastAsia" w:ascii="宋体" w:hAnsi="宋体" w:cs="宋体"/>
          <w:szCs w:val="21"/>
        </w:rPr>
        <w:tab/>
      </w:r>
    </w:p>
    <w:p>
      <w:pPr>
        <w:spacing w:line="360" w:lineRule="auto"/>
        <w:ind w:firstLine="420" w:firstLineChars="200"/>
        <w:rPr>
          <w:rFonts w:ascii="宋体" w:hAnsi="宋体" w:cs="宋体"/>
          <w:szCs w:val="21"/>
        </w:rPr>
      </w:pPr>
      <w:r>
        <w:rPr>
          <w:rFonts w:hint="eastAsia" w:ascii="宋体" w:hAnsi="宋体" w:cs="宋体"/>
          <w:szCs w:val="21"/>
        </w:rPr>
        <w:t>根据本章第1.10 款、第2.2 款和第2.3 款对招标文件所作的澄清、修改，构成招标文件的组成部分。</w:t>
      </w:r>
    </w:p>
    <w:p>
      <w:pPr>
        <w:pStyle w:val="6"/>
        <w:rPr>
          <w:rFonts w:ascii="宋体" w:hAnsi="宋体" w:cs="宋体"/>
          <w:szCs w:val="21"/>
        </w:rPr>
      </w:pPr>
      <w:r>
        <w:rPr>
          <w:rFonts w:hint="eastAsia" w:ascii="宋体" w:hAnsi="宋体" w:cs="宋体"/>
          <w:szCs w:val="21"/>
        </w:rPr>
        <w:t>2.2 招标文件的澄清</w:t>
      </w:r>
    </w:p>
    <w:p>
      <w:pPr>
        <w:spacing w:line="360" w:lineRule="auto"/>
        <w:ind w:firstLine="420" w:firstLineChars="200"/>
        <w:rPr>
          <w:rFonts w:ascii="宋体" w:hAnsi="宋体" w:cs="宋体"/>
          <w:szCs w:val="21"/>
        </w:rPr>
      </w:pPr>
      <w:r>
        <w:rPr>
          <w:rFonts w:hint="eastAsia" w:ascii="宋体" w:hAnsi="宋体" w:cs="宋体"/>
          <w:szCs w:val="21"/>
        </w:rPr>
        <w:t>2.2.1 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w:t>
      </w:r>
    </w:p>
    <w:p>
      <w:pPr>
        <w:spacing w:line="360" w:lineRule="auto"/>
        <w:ind w:firstLine="420" w:firstLineChars="200"/>
        <w:rPr>
          <w:rFonts w:ascii="宋体" w:hAnsi="宋体" w:cs="宋体"/>
          <w:szCs w:val="21"/>
        </w:rPr>
      </w:pPr>
      <w:r>
        <w:rPr>
          <w:rFonts w:hint="eastAsia" w:ascii="宋体" w:hAnsi="宋体" w:cs="宋体"/>
          <w:szCs w:val="21"/>
        </w:rPr>
        <w:t>2.2.2 招标文件的澄清将以公告形式在投标人须知前附表规定的投标截止时间15天前通知所有下载招标文件的投标人，但不指明澄清问题的来源。如果澄清发出的时间距投标截止时间不足15天，相应延长投标截止时间。（公告一经发布，即视为所有投标单位收到。）</w:t>
      </w:r>
    </w:p>
    <w:p>
      <w:pPr>
        <w:pStyle w:val="6"/>
        <w:rPr>
          <w:rFonts w:ascii="宋体" w:hAnsi="宋体" w:cs="宋体"/>
          <w:szCs w:val="21"/>
        </w:rPr>
      </w:pPr>
      <w:r>
        <w:rPr>
          <w:rFonts w:hint="eastAsia" w:ascii="宋体" w:hAnsi="宋体" w:cs="宋体"/>
          <w:szCs w:val="21"/>
        </w:rPr>
        <w:t>2.3 招标文件的修改</w:t>
      </w:r>
    </w:p>
    <w:p>
      <w:pPr>
        <w:spacing w:line="360" w:lineRule="auto"/>
        <w:ind w:firstLine="420" w:firstLineChars="200"/>
        <w:rPr>
          <w:rFonts w:ascii="宋体" w:hAnsi="宋体" w:cs="宋体"/>
          <w:szCs w:val="21"/>
        </w:rPr>
      </w:pPr>
      <w:r>
        <w:rPr>
          <w:rFonts w:hint="eastAsia" w:ascii="宋体" w:hAnsi="宋体" w:cs="宋体"/>
          <w:szCs w:val="21"/>
        </w:rPr>
        <w:t>2.3.1 在投标截止时间15天前，</w:t>
      </w:r>
      <w:r>
        <w:rPr>
          <w:rFonts w:hint="eastAsia" w:ascii="宋体" w:hAnsi="宋体" w:cs="宋体"/>
          <w:bCs/>
          <w:szCs w:val="21"/>
        </w:rPr>
        <w:t>采购人可以修改招标文件，</w:t>
      </w:r>
      <w:r>
        <w:rPr>
          <w:rFonts w:hint="eastAsia" w:ascii="宋体" w:hAnsi="宋体" w:cs="宋体"/>
          <w:szCs w:val="21"/>
        </w:rPr>
        <w:t>并通知所有已下载招标文件的投标人。如果修改招标文件的时间距投标截止时间不足15天，相应延长投标截止时间。</w:t>
      </w:r>
    </w:p>
    <w:p>
      <w:pPr>
        <w:pStyle w:val="5"/>
        <w:spacing w:line="240" w:lineRule="auto"/>
        <w:rPr>
          <w:rFonts w:ascii="宋体" w:hAnsi="宋体" w:cs="宋体"/>
          <w:sz w:val="21"/>
          <w:szCs w:val="21"/>
        </w:rPr>
      </w:pPr>
      <w:bookmarkStart w:id="181" w:name="_Toc498527866"/>
      <w:bookmarkStart w:id="182" w:name="_Toc4504"/>
      <w:bookmarkStart w:id="183" w:name="_Toc24126"/>
      <w:bookmarkStart w:id="184" w:name="_Toc28317"/>
      <w:bookmarkStart w:id="185" w:name="_Toc9257"/>
      <w:bookmarkStart w:id="186" w:name="_Toc285638245"/>
      <w:bookmarkStart w:id="187" w:name="_Toc25556"/>
      <w:bookmarkStart w:id="188" w:name="_Toc17748"/>
      <w:bookmarkStart w:id="189" w:name="_Toc184635073"/>
      <w:bookmarkStart w:id="190" w:name="_Toc18225"/>
      <w:bookmarkStart w:id="191" w:name="_Toc28288"/>
      <w:bookmarkStart w:id="192" w:name="_Toc285097634"/>
      <w:bookmarkStart w:id="193" w:name="_Toc2224"/>
      <w:bookmarkStart w:id="194" w:name="_Toc18346"/>
      <w:bookmarkStart w:id="195" w:name="_Toc24330"/>
      <w:bookmarkStart w:id="196" w:name="_Toc8299"/>
      <w:bookmarkStart w:id="197" w:name="_Toc9743"/>
      <w:bookmarkStart w:id="198" w:name="_Toc28365"/>
      <w:bookmarkStart w:id="199" w:name="_Toc18638"/>
      <w:bookmarkStart w:id="200" w:name="_Toc16680"/>
      <w:bookmarkStart w:id="201" w:name="_Toc6053"/>
      <w:bookmarkStart w:id="202" w:name="_Toc28605"/>
      <w:bookmarkStart w:id="203" w:name="_Toc30221"/>
      <w:bookmarkStart w:id="204" w:name="_Toc26849"/>
      <w:bookmarkStart w:id="205" w:name="_Toc24156"/>
      <w:bookmarkStart w:id="206" w:name="_Toc23225"/>
      <w:bookmarkStart w:id="207" w:name="_Toc25028"/>
      <w:bookmarkStart w:id="208" w:name="_Toc6236"/>
      <w:bookmarkStart w:id="209" w:name="_Toc28048"/>
      <w:bookmarkStart w:id="210" w:name="_Toc25822"/>
      <w:bookmarkStart w:id="211" w:name="_Toc3794"/>
      <w:bookmarkStart w:id="212" w:name="_Toc4388"/>
      <w:r>
        <w:rPr>
          <w:rFonts w:hint="eastAsia" w:ascii="宋体" w:hAnsi="宋体" w:cs="宋体"/>
          <w:sz w:val="21"/>
          <w:szCs w:val="21"/>
        </w:rPr>
        <w:t>3．</w:t>
      </w:r>
      <w:bookmarkEnd w:id="181"/>
      <w:bookmarkEnd w:id="182"/>
      <w:bookmarkEnd w:id="183"/>
      <w:bookmarkEnd w:id="184"/>
      <w:bookmarkEnd w:id="185"/>
      <w:bookmarkEnd w:id="186"/>
      <w:bookmarkEnd w:id="187"/>
      <w:bookmarkEnd w:id="188"/>
      <w:bookmarkEnd w:id="189"/>
      <w:bookmarkEnd w:id="190"/>
      <w:bookmarkEnd w:id="191"/>
      <w:bookmarkEnd w:id="192"/>
      <w:bookmarkEnd w:id="193"/>
      <w:r>
        <w:rPr>
          <w:rFonts w:hint="eastAsia" w:ascii="宋体" w:hAnsi="宋体" w:cs="宋体"/>
          <w:sz w:val="21"/>
          <w:szCs w:val="21"/>
        </w:rPr>
        <w:t>投标文件</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pPr>
        <w:pStyle w:val="6"/>
        <w:rPr>
          <w:rFonts w:ascii="宋体" w:hAnsi="宋体" w:cs="宋体"/>
          <w:szCs w:val="21"/>
        </w:rPr>
      </w:pPr>
      <w:r>
        <w:rPr>
          <w:rFonts w:hint="eastAsia" w:ascii="宋体" w:hAnsi="宋体" w:cs="宋体"/>
          <w:szCs w:val="21"/>
        </w:rPr>
        <w:t>3.1 投标文件的组成</w:t>
      </w:r>
    </w:p>
    <w:p>
      <w:pPr>
        <w:numPr>
          <w:ilvl w:val="2"/>
          <w:numId w:val="3"/>
        </w:numPr>
        <w:spacing w:line="360" w:lineRule="auto"/>
        <w:rPr>
          <w:rFonts w:ascii="宋体" w:hAnsi="宋体" w:cs="宋体"/>
          <w:szCs w:val="21"/>
        </w:rPr>
      </w:pPr>
      <w:r>
        <w:rPr>
          <w:rFonts w:hint="eastAsia" w:ascii="宋体" w:hAnsi="宋体" w:cs="宋体"/>
          <w:szCs w:val="21"/>
          <w:highlight w:val="none"/>
        </w:rPr>
        <w:t>投标文件</w:t>
      </w:r>
      <w:r>
        <w:rPr>
          <w:rFonts w:hint="eastAsia" w:ascii="宋体" w:hAnsi="宋体" w:cs="宋体"/>
          <w:szCs w:val="21"/>
        </w:rPr>
        <w:t>应包括但不限于下列内容：</w:t>
      </w:r>
    </w:p>
    <w:p>
      <w:pPr>
        <w:spacing w:line="360" w:lineRule="auto"/>
        <w:ind w:firstLine="420" w:firstLineChars="200"/>
        <w:rPr>
          <w:rFonts w:ascii="宋体" w:hAnsi="宋体" w:cs="宋体"/>
          <w:szCs w:val="21"/>
        </w:rPr>
      </w:pPr>
      <w:bookmarkStart w:id="213" w:name="_Toc9040_WPSOffice_Level2"/>
      <w:r>
        <w:rPr>
          <w:rFonts w:hint="eastAsia" w:ascii="宋体" w:hAnsi="宋体" w:cs="宋体"/>
          <w:szCs w:val="21"/>
        </w:rPr>
        <w:t>一、</w:t>
      </w:r>
      <w:bookmarkEnd w:id="213"/>
      <w:r>
        <w:rPr>
          <w:rFonts w:hint="eastAsia" w:ascii="宋体" w:hAnsi="宋体" w:cs="宋体"/>
          <w:szCs w:val="21"/>
        </w:rPr>
        <w:t>投标函及投标函附录</w:t>
      </w:r>
      <w:r>
        <w:rPr>
          <w:rFonts w:hint="eastAsia" w:ascii="宋体" w:hAnsi="宋体" w:cs="宋体"/>
          <w:szCs w:val="21"/>
        </w:rPr>
        <w:tab/>
      </w:r>
    </w:p>
    <w:p>
      <w:pPr>
        <w:spacing w:line="360" w:lineRule="auto"/>
        <w:ind w:firstLine="420" w:firstLineChars="200"/>
        <w:rPr>
          <w:rFonts w:ascii="宋体" w:hAnsi="宋体" w:cs="宋体"/>
          <w:szCs w:val="21"/>
        </w:rPr>
      </w:pPr>
      <w:bookmarkStart w:id="214" w:name="_Toc10400_WPSOffice_Level2"/>
      <w:r>
        <w:rPr>
          <w:rFonts w:hint="eastAsia" w:ascii="宋体" w:hAnsi="宋体" w:cs="宋体"/>
          <w:szCs w:val="21"/>
        </w:rPr>
        <w:t>二、</w:t>
      </w:r>
      <w:bookmarkEnd w:id="214"/>
      <w:r>
        <w:rPr>
          <w:rFonts w:hint="eastAsia" w:ascii="宋体" w:hAnsi="宋体" w:cs="宋体"/>
          <w:szCs w:val="21"/>
        </w:rPr>
        <w:t>法定代表人身份证明</w:t>
      </w:r>
      <w:r>
        <w:rPr>
          <w:rFonts w:hint="eastAsia" w:ascii="宋体" w:hAnsi="宋体" w:cs="宋体"/>
          <w:szCs w:val="21"/>
        </w:rPr>
        <w:tab/>
      </w:r>
    </w:p>
    <w:p>
      <w:pPr>
        <w:spacing w:line="360" w:lineRule="auto"/>
        <w:ind w:firstLine="420" w:firstLineChars="200"/>
        <w:rPr>
          <w:rFonts w:ascii="宋体" w:hAnsi="宋体" w:cs="宋体"/>
          <w:szCs w:val="21"/>
        </w:rPr>
      </w:pPr>
      <w:bookmarkStart w:id="215" w:name="_Toc18904_WPSOffice_Level2"/>
      <w:r>
        <w:rPr>
          <w:rFonts w:hint="eastAsia" w:ascii="宋体" w:hAnsi="宋体" w:cs="宋体"/>
          <w:szCs w:val="21"/>
        </w:rPr>
        <w:t>三、</w:t>
      </w:r>
      <w:bookmarkEnd w:id="215"/>
      <w:r>
        <w:rPr>
          <w:rFonts w:hint="eastAsia" w:ascii="宋体" w:hAnsi="宋体" w:cs="宋体"/>
          <w:szCs w:val="21"/>
        </w:rPr>
        <w:t>授权委托书</w:t>
      </w:r>
      <w:r>
        <w:rPr>
          <w:rFonts w:hint="eastAsia" w:ascii="宋体" w:hAnsi="宋体" w:cs="宋体"/>
          <w:szCs w:val="21"/>
        </w:rPr>
        <w:tab/>
      </w:r>
    </w:p>
    <w:p>
      <w:pPr>
        <w:spacing w:line="360" w:lineRule="auto"/>
        <w:ind w:firstLine="420" w:firstLineChars="200"/>
        <w:rPr>
          <w:rFonts w:ascii="宋体" w:hAnsi="宋体" w:cs="宋体"/>
          <w:szCs w:val="21"/>
        </w:rPr>
      </w:pPr>
      <w:bookmarkStart w:id="216" w:name="_Toc19308_WPSOffice_Level2"/>
      <w:r>
        <w:rPr>
          <w:rFonts w:hint="eastAsia" w:ascii="宋体" w:hAnsi="宋体" w:cs="宋体"/>
          <w:szCs w:val="21"/>
        </w:rPr>
        <w:t>四、报价明细表（格式自拟）</w:t>
      </w:r>
      <w:bookmarkEnd w:id="216"/>
      <w:r>
        <w:rPr>
          <w:rFonts w:hint="eastAsia" w:ascii="宋体" w:hAnsi="宋体" w:cs="宋体"/>
          <w:szCs w:val="21"/>
        </w:rPr>
        <w:tab/>
      </w:r>
    </w:p>
    <w:p>
      <w:pPr>
        <w:spacing w:line="360" w:lineRule="auto"/>
        <w:ind w:firstLine="420" w:firstLineChars="200"/>
        <w:rPr>
          <w:rFonts w:ascii="宋体" w:hAnsi="宋体" w:cs="宋体"/>
          <w:szCs w:val="21"/>
        </w:rPr>
      </w:pPr>
      <w:bookmarkStart w:id="217" w:name="_Toc27882_WPSOffice_Level2"/>
      <w:r>
        <w:rPr>
          <w:rFonts w:hint="eastAsia" w:ascii="宋体" w:hAnsi="宋体" w:cs="宋体"/>
          <w:szCs w:val="21"/>
        </w:rPr>
        <w:t>五、</w:t>
      </w:r>
      <w:bookmarkEnd w:id="217"/>
      <w:r>
        <w:rPr>
          <w:rFonts w:hint="eastAsia" w:ascii="宋体" w:hAnsi="宋体" w:cs="宋体"/>
          <w:szCs w:val="21"/>
        </w:rPr>
        <w:t>资格审查资料</w:t>
      </w:r>
      <w:r>
        <w:rPr>
          <w:rFonts w:hint="eastAsia" w:ascii="宋体" w:hAnsi="宋体" w:cs="宋体"/>
          <w:szCs w:val="21"/>
        </w:rPr>
        <w:tab/>
      </w:r>
    </w:p>
    <w:p>
      <w:pPr>
        <w:spacing w:line="360" w:lineRule="auto"/>
        <w:ind w:firstLine="420" w:firstLineChars="200"/>
        <w:rPr>
          <w:rFonts w:ascii="宋体" w:hAnsi="宋体" w:cs="宋体"/>
          <w:szCs w:val="21"/>
        </w:rPr>
      </w:pPr>
      <w:bookmarkStart w:id="218" w:name="_Toc21489_WPSOffice_Level2"/>
      <w:r>
        <w:rPr>
          <w:rFonts w:hint="eastAsia" w:ascii="宋体" w:hAnsi="宋体" w:cs="宋体"/>
          <w:szCs w:val="21"/>
        </w:rPr>
        <w:t>六、</w:t>
      </w:r>
      <w:bookmarkEnd w:id="218"/>
      <w:r>
        <w:rPr>
          <w:rFonts w:hint="eastAsia" w:ascii="宋体" w:hAnsi="宋体" w:cs="宋体"/>
          <w:szCs w:val="21"/>
        </w:rPr>
        <w:t>技术部分和综合部分</w:t>
      </w:r>
      <w:r>
        <w:rPr>
          <w:rFonts w:hint="eastAsia" w:ascii="宋体" w:hAnsi="宋体" w:cs="宋体"/>
          <w:szCs w:val="21"/>
        </w:rPr>
        <w:tab/>
      </w:r>
    </w:p>
    <w:p>
      <w:pPr>
        <w:spacing w:line="360" w:lineRule="auto"/>
        <w:ind w:firstLine="420" w:firstLineChars="200"/>
        <w:rPr>
          <w:rFonts w:ascii="宋体" w:hAnsi="宋体" w:cs="宋体"/>
          <w:szCs w:val="21"/>
        </w:rPr>
      </w:pPr>
      <w:bookmarkStart w:id="219" w:name="_Toc16835_WPSOffice_Level2"/>
      <w:r>
        <w:rPr>
          <w:rFonts w:hint="eastAsia" w:ascii="宋体" w:hAnsi="宋体" w:cs="宋体"/>
          <w:szCs w:val="21"/>
        </w:rPr>
        <w:t>七、</w:t>
      </w:r>
      <w:bookmarkEnd w:id="219"/>
      <w:r>
        <w:rPr>
          <w:rFonts w:hint="eastAsia" w:ascii="宋体" w:hAnsi="宋体" w:cs="宋体"/>
          <w:szCs w:val="21"/>
        </w:rPr>
        <w:t>技术要求响应与偏差表</w:t>
      </w:r>
    </w:p>
    <w:p>
      <w:pPr>
        <w:spacing w:line="360" w:lineRule="auto"/>
        <w:ind w:firstLine="420" w:firstLineChars="200"/>
        <w:rPr>
          <w:rFonts w:ascii="宋体" w:hAnsi="宋体" w:cs="宋体"/>
          <w:szCs w:val="21"/>
        </w:rPr>
      </w:pPr>
      <w:r>
        <w:rPr>
          <w:rFonts w:hint="eastAsia" w:ascii="宋体" w:hAnsi="宋体" w:cs="宋体"/>
          <w:szCs w:val="21"/>
        </w:rPr>
        <w:t>八、反商业贿赂承诺书</w:t>
      </w:r>
      <w:r>
        <w:rPr>
          <w:rFonts w:hint="eastAsia" w:ascii="宋体" w:hAnsi="宋体" w:cs="宋体"/>
          <w:szCs w:val="21"/>
        </w:rPr>
        <w:tab/>
      </w:r>
    </w:p>
    <w:p>
      <w:pPr>
        <w:spacing w:line="360" w:lineRule="auto"/>
        <w:ind w:firstLine="420" w:firstLineChars="200"/>
        <w:rPr>
          <w:rFonts w:ascii="宋体" w:hAnsi="宋体" w:cs="宋体"/>
          <w:szCs w:val="21"/>
        </w:rPr>
      </w:pPr>
      <w:r>
        <w:rPr>
          <w:rFonts w:hint="eastAsia" w:ascii="宋体" w:hAnsi="宋体" w:cs="宋体"/>
          <w:szCs w:val="21"/>
        </w:rPr>
        <w:t>九、中小微企业声明函</w:t>
      </w:r>
      <w:r>
        <w:rPr>
          <w:rFonts w:hint="eastAsia" w:ascii="宋体" w:hAnsi="宋体" w:cs="宋体"/>
          <w:szCs w:val="21"/>
        </w:rPr>
        <w:tab/>
      </w:r>
    </w:p>
    <w:p>
      <w:pPr>
        <w:spacing w:line="360" w:lineRule="auto"/>
        <w:ind w:firstLine="420" w:firstLineChars="200"/>
        <w:rPr>
          <w:rFonts w:ascii="宋体" w:hAnsi="宋体" w:cs="宋体"/>
          <w:szCs w:val="21"/>
        </w:rPr>
      </w:pPr>
      <w:bookmarkStart w:id="220" w:name="_Toc4430_WPSOffice_Level2"/>
      <w:r>
        <w:rPr>
          <w:rFonts w:hint="eastAsia" w:ascii="宋体" w:hAnsi="宋体" w:cs="宋体"/>
          <w:szCs w:val="21"/>
        </w:rPr>
        <w:t>十、残疾人福利性单位声明函</w:t>
      </w:r>
    </w:p>
    <w:bookmarkEnd w:id="220"/>
    <w:p>
      <w:pPr>
        <w:spacing w:line="360" w:lineRule="auto"/>
        <w:ind w:firstLine="420" w:firstLineChars="200"/>
        <w:rPr>
          <w:rFonts w:hint="eastAsia" w:ascii="宋体" w:hAnsi="宋体" w:cs="宋体"/>
          <w:szCs w:val="21"/>
        </w:rPr>
      </w:pPr>
      <w:r>
        <w:rPr>
          <w:rFonts w:hint="eastAsia" w:ascii="宋体" w:hAnsi="宋体" w:cs="宋体"/>
          <w:szCs w:val="21"/>
        </w:rPr>
        <w:t>十一、其他材料</w:t>
      </w:r>
    </w:p>
    <w:p>
      <w:pPr>
        <w:spacing w:line="360" w:lineRule="auto"/>
        <w:ind w:firstLine="420" w:firstLineChars="200"/>
        <w:rPr>
          <w:rFonts w:ascii="宋体" w:hAnsi="宋体" w:cs="宋体"/>
          <w:szCs w:val="21"/>
        </w:rPr>
      </w:pPr>
      <w:r>
        <w:rPr>
          <w:rFonts w:hint="eastAsia" w:ascii="宋体" w:hAnsi="宋体" w:cs="宋体"/>
          <w:szCs w:val="21"/>
        </w:rPr>
        <w:t>3.2 投标报价</w:t>
      </w:r>
    </w:p>
    <w:p>
      <w:pPr>
        <w:tabs>
          <w:tab w:val="left" w:pos="340"/>
          <w:tab w:val="left" w:pos="709"/>
        </w:tabs>
        <w:spacing w:line="360" w:lineRule="auto"/>
        <w:ind w:firstLine="407" w:firstLineChars="194"/>
        <w:rPr>
          <w:rFonts w:ascii="宋体" w:hAnsi="宋体" w:cs="宋体"/>
          <w:szCs w:val="21"/>
        </w:rPr>
      </w:pPr>
      <w:r>
        <w:rPr>
          <w:rFonts w:hint="eastAsia" w:ascii="宋体" w:hAnsi="宋体" w:cs="宋体"/>
          <w:szCs w:val="21"/>
        </w:rPr>
        <w:t>投标人的投标报价应包括实施完成本项目全部工作所必需的一切费用。投标人应综合考虑完成本项目的全部工作进行报价，采购人额外不再支付任何费用，投标人不得以任何理由要求采购人增加合同价款。</w:t>
      </w:r>
    </w:p>
    <w:p>
      <w:pPr>
        <w:adjustRightInd w:val="0"/>
        <w:snapToGrid w:val="0"/>
        <w:spacing w:line="360" w:lineRule="auto"/>
        <w:ind w:firstLine="394" w:firstLineChars="187"/>
        <w:rPr>
          <w:rFonts w:ascii="宋体" w:hAnsi="宋体" w:cs="宋体"/>
          <w:szCs w:val="21"/>
        </w:rPr>
      </w:pPr>
      <w:r>
        <w:rPr>
          <w:rFonts w:hint="eastAsia" w:ascii="宋体" w:hAnsi="宋体" w:cs="宋体"/>
          <w:b/>
          <w:szCs w:val="21"/>
        </w:rPr>
        <w:t>投标人的报价应根据招标要求由投标人参照相关收费管理规定,并结合市场行情、本项目实际情况和自身实力，自主合理报价</w:t>
      </w:r>
      <w:r>
        <w:rPr>
          <w:rFonts w:hint="eastAsia" w:ascii="宋体" w:hAnsi="宋体" w:cs="宋体"/>
          <w:szCs w:val="21"/>
        </w:rPr>
        <w:t>；</w:t>
      </w:r>
    </w:p>
    <w:p>
      <w:pPr>
        <w:tabs>
          <w:tab w:val="left" w:pos="340"/>
          <w:tab w:val="left" w:pos="709"/>
        </w:tabs>
        <w:spacing w:line="360" w:lineRule="auto"/>
        <w:ind w:firstLine="304" w:firstLineChars="145"/>
        <w:rPr>
          <w:rFonts w:ascii="宋体" w:hAnsi="宋体" w:cs="宋体"/>
          <w:szCs w:val="21"/>
        </w:rPr>
      </w:pPr>
      <w:r>
        <w:rPr>
          <w:rFonts w:hint="eastAsia" w:ascii="宋体" w:hAnsi="宋体" w:cs="宋体"/>
          <w:szCs w:val="21"/>
        </w:rPr>
        <w:t>投标人在报价时应考虑服务期间的物价上涨、政策性调整等诸多因素以及由此引起的费用变动并计入报价；</w:t>
      </w:r>
    </w:p>
    <w:p>
      <w:pPr>
        <w:pStyle w:val="6"/>
        <w:rPr>
          <w:rFonts w:ascii="宋体" w:hAnsi="宋体" w:cs="宋体"/>
          <w:szCs w:val="21"/>
        </w:rPr>
      </w:pPr>
      <w:r>
        <w:rPr>
          <w:rFonts w:hint="eastAsia" w:ascii="宋体" w:hAnsi="宋体" w:cs="宋体"/>
          <w:szCs w:val="21"/>
        </w:rPr>
        <w:t>3.5 资格审查资料</w:t>
      </w:r>
    </w:p>
    <w:p>
      <w:pPr>
        <w:spacing w:line="360" w:lineRule="auto"/>
        <w:ind w:firstLine="420" w:firstLineChars="200"/>
        <w:rPr>
          <w:rFonts w:ascii="宋体" w:hAnsi="宋体" w:cs="宋体"/>
          <w:szCs w:val="21"/>
        </w:rPr>
      </w:pPr>
      <w:r>
        <w:rPr>
          <w:rFonts w:hint="eastAsia" w:ascii="宋体" w:hAnsi="宋体" w:cs="宋体"/>
          <w:szCs w:val="21"/>
        </w:rPr>
        <w:t>3.5.1 “资格审查资料”应附投标人营业执照副本等证明材料的复印件。</w:t>
      </w:r>
    </w:p>
    <w:p>
      <w:pPr>
        <w:pStyle w:val="6"/>
        <w:rPr>
          <w:rFonts w:ascii="宋体" w:hAnsi="宋体" w:cs="宋体"/>
          <w:szCs w:val="21"/>
        </w:rPr>
      </w:pPr>
      <w:r>
        <w:rPr>
          <w:rFonts w:hint="eastAsia" w:ascii="宋体" w:hAnsi="宋体" w:cs="宋体"/>
          <w:szCs w:val="21"/>
        </w:rPr>
        <w:t>3.6 备选投标方案</w:t>
      </w:r>
    </w:p>
    <w:p>
      <w:pPr>
        <w:spacing w:line="360" w:lineRule="auto"/>
        <w:ind w:firstLine="420" w:firstLineChars="200"/>
        <w:rPr>
          <w:rFonts w:ascii="宋体" w:hAnsi="宋体" w:cs="宋体"/>
          <w:szCs w:val="21"/>
        </w:rPr>
      </w:pPr>
      <w:r>
        <w:rPr>
          <w:rFonts w:hint="eastAsia" w:ascii="宋体" w:hAnsi="宋体" w:cs="宋体"/>
          <w:szCs w:val="21"/>
        </w:rPr>
        <w:t>除投标人须知前附表另有规定外，投标人不得递交备选投标方案。</w:t>
      </w:r>
    </w:p>
    <w:p>
      <w:pPr>
        <w:pStyle w:val="6"/>
        <w:rPr>
          <w:rFonts w:ascii="宋体" w:hAnsi="宋体" w:cs="宋体"/>
          <w:szCs w:val="21"/>
        </w:rPr>
      </w:pPr>
      <w:r>
        <w:rPr>
          <w:rFonts w:hint="eastAsia" w:ascii="宋体" w:hAnsi="宋体" w:cs="宋体"/>
          <w:szCs w:val="21"/>
        </w:rPr>
        <w:t>3.7 投标文件的编制</w:t>
      </w:r>
    </w:p>
    <w:p>
      <w:pPr>
        <w:spacing w:line="360" w:lineRule="auto"/>
        <w:ind w:firstLine="420" w:firstLineChars="200"/>
        <w:rPr>
          <w:rFonts w:ascii="宋体" w:hAnsi="宋体" w:cs="宋体"/>
          <w:szCs w:val="21"/>
        </w:rPr>
      </w:pPr>
      <w:r>
        <w:rPr>
          <w:rFonts w:hint="eastAsia" w:ascii="宋体" w:hAnsi="宋体" w:cs="宋体"/>
          <w:szCs w:val="21"/>
        </w:rPr>
        <w:t>3.7.1 投标文件应按第六章“投标文件格式”进行编写，如有必要，可以增加附页，作为投标文件的组成部分。其中，投标函附录在满足招标文件实质性要求的基础上，可以提出比招标文件要求更有利于采购人的承诺。</w:t>
      </w:r>
    </w:p>
    <w:p>
      <w:pPr>
        <w:spacing w:line="360" w:lineRule="auto"/>
        <w:ind w:firstLine="420" w:firstLineChars="200"/>
        <w:rPr>
          <w:rFonts w:ascii="宋体" w:hAnsi="宋体" w:cs="宋体"/>
          <w:szCs w:val="21"/>
        </w:rPr>
      </w:pPr>
      <w:r>
        <w:rPr>
          <w:rFonts w:hint="eastAsia" w:ascii="宋体" w:hAnsi="宋体" w:cs="宋体"/>
          <w:szCs w:val="21"/>
        </w:rPr>
        <w:t>3.7.2 投标文件应当对招标文件有关</w:t>
      </w:r>
      <w:r>
        <w:rPr>
          <w:rFonts w:hint="eastAsia"/>
        </w:rPr>
        <w:t>供货安装及调试期限</w:t>
      </w:r>
      <w:r>
        <w:rPr>
          <w:rFonts w:hint="eastAsia" w:ascii="宋体" w:hAnsi="宋体" w:cs="宋体"/>
          <w:szCs w:val="21"/>
        </w:rPr>
        <w:t>、投标有效期、质量要求等实质性内容作出响应。</w:t>
      </w:r>
    </w:p>
    <w:p>
      <w:pPr>
        <w:spacing w:line="360" w:lineRule="auto"/>
        <w:ind w:firstLine="420" w:firstLineChars="200"/>
        <w:rPr>
          <w:rFonts w:ascii="宋体" w:hAnsi="宋体" w:cs="宋体"/>
          <w:szCs w:val="21"/>
        </w:rPr>
      </w:pPr>
      <w:r>
        <w:rPr>
          <w:rFonts w:hint="eastAsia" w:ascii="宋体" w:hAnsi="宋体" w:cs="宋体"/>
          <w:szCs w:val="21"/>
        </w:rPr>
        <w:t>3.7.3 投标文件签字或盖章的具体要求见投标人须知前附表。</w:t>
      </w:r>
    </w:p>
    <w:p>
      <w:pPr>
        <w:spacing w:line="360" w:lineRule="auto"/>
        <w:ind w:firstLine="420" w:firstLineChars="200"/>
        <w:rPr>
          <w:rFonts w:ascii="宋体" w:hAnsi="宋体" w:cs="宋体"/>
          <w:szCs w:val="21"/>
        </w:rPr>
      </w:pPr>
      <w:r>
        <w:rPr>
          <w:rFonts w:hint="eastAsia" w:ascii="宋体" w:hAnsi="宋体" w:cs="宋体"/>
          <w:szCs w:val="21"/>
        </w:rPr>
        <w:t xml:space="preserve">3.7.4 </w:t>
      </w:r>
      <w:r>
        <w:rPr>
          <w:rFonts w:hint="eastAsia" w:ascii="宋体" w:hAnsi="宋体"/>
          <w:b/>
          <w:szCs w:val="21"/>
        </w:rPr>
        <w:t>投标人请到荥阳市公共资源交易中心网站—下载中心—下载最新版本的“投标文件制作软件”，并使用安装后的最新版本投标文件制作工具制作电子投标文件（具体制作手册请查询交易中心网站-办事指南-投标文件制作操作手册）。</w:t>
      </w:r>
    </w:p>
    <w:p>
      <w:pPr>
        <w:pStyle w:val="5"/>
        <w:spacing w:line="240" w:lineRule="auto"/>
        <w:rPr>
          <w:rFonts w:ascii="宋体" w:hAnsi="宋体" w:cs="宋体"/>
          <w:sz w:val="21"/>
          <w:szCs w:val="21"/>
        </w:rPr>
      </w:pPr>
      <w:bookmarkStart w:id="221" w:name="_Toc29547"/>
      <w:bookmarkStart w:id="222" w:name="_Toc13739"/>
      <w:bookmarkStart w:id="223" w:name="_Toc24031"/>
      <w:bookmarkStart w:id="224" w:name="_Toc3755"/>
      <w:bookmarkStart w:id="225" w:name="_Toc13805"/>
      <w:bookmarkStart w:id="226" w:name="_Toc28271"/>
      <w:bookmarkStart w:id="227" w:name="_Toc184635074"/>
      <w:bookmarkStart w:id="228" w:name="_Toc4440"/>
      <w:bookmarkStart w:id="229" w:name="_Toc32269"/>
      <w:bookmarkStart w:id="230" w:name="_Toc26593"/>
      <w:bookmarkStart w:id="231" w:name="_Toc20834"/>
      <w:bookmarkStart w:id="232" w:name="_Toc5769"/>
      <w:bookmarkStart w:id="233" w:name="_Toc19131"/>
      <w:bookmarkStart w:id="234" w:name="_Toc31855"/>
      <w:bookmarkStart w:id="235" w:name="_Toc498527867"/>
      <w:bookmarkStart w:id="236" w:name="_Toc285638246"/>
      <w:bookmarkStart w:id="237" w:name="_Toc26792"/>
      <w:bookmarkStart w:id="238" w:name="_Toc21888"/>
      <w:bookmarkStart w:id="239" w:name="_Toc12432"/>
      <w:bookmarkStart w:id="240" w:name="_Toc29006"/>
      <w:bookmarkStart w:id="241" w:name="_Toc13228"/>
      <w:bookmarkStart w:id="242" w:name="_Toc7532"/>
      <w:bookmarkStart w:id="243" w:name="_Toc17614"/>
      <w:bookmarkStart w:id="244" w:name="_Toc17241"/>
      <w:bookmarkStart w:id="245" w:name="_Toc2344"/>
      <w:bookmarkStart w:id="246" w:name="_Toc154"/>
      <w:bookmarkStart w:id="247" w:name="_Toc924"/>
      <w:bookmarkStart w:id="248" w:name="_Toc17332"/>
      <w:bookmarkStart w:id="249" w:name="_Toc285097635"/>
      <w:bookmarkStart w:id="250" w:name="_Toc702"/>
      <w:bookmarkStart w:id="251" w:name="_Toc17096"/>
      <w:bookmarkStart w:id="252" w:name="_Toc32189"/>
      <w:r>
        <w:rPr>
          <w:rFonts w:hint="eastAsia" w:ascii="宋体" w:hAnsi="宋体" w:cs="宋体"/>
          <w:sz w:val="21"/>
          <w:szCs w:val="21"/>
        </w:rPr>
        <w:t>4．投标</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pPr>
        <w:pStyle w:val="6"/>
        <w:rPr>
          <w:rFonts w:ascii="宋体" w:hAnsi="宋体" w:cs="宋体"/>
          <w:szCs w:val="21"/>
        </w:rPr>
      </w:pPr>
      <w:r>
        <w:rPr>
          <w:rFonts w:hint="eastAsia" w:ascii="宋体" w:hAnsi="宋体" w:cs="宋体"/>
          <w:szCs w:val="21"/>
        </w:rPr>
        <w:t>4.12 投标文件的递交</w:t>
      </w:r>
    </w:p>
    <w:p>
      <w:pPr>
        <w:spacing w:line="360" w:lineRule="auto"/>
        <w:ind w:firstLine="420" w:firstLineChars="200"/>
        <w:rPr>
          <w:rFonts w:ascii="宋体" w:hAnsi="宋体" w:cs="宋体"/>
          <w:szCs w:val="21"/>
        </w:rPr>
      </w:pPr>
      <w:r>
        <w:rPr>
          <w:rFonts w:hint="eastAsia" w:ascii="宋体" w:hAnsi="宋体" w:cs="宋体"/>
          <w:szCs w:val="21"/>
        </w:rPr>
        <w:t>4.2.1 投标人应在本章第2.2.2 项规定的投标截止时间前递交投标文件。</w:t>
      </w:r>
    </w:p>
    <w:p>
      <w:pPr>
        <w:spacing w:line="360" w:lineRule="auto"/>
        <w:ind w:firstLine="420" w:firstLineChars="200"/>
        <w:rPr>
          <w:rFonts w:ascii="宋体" w:hAnsi="宋体" w:cs="宋体"/>
          <w:szCs w:val="21"/>
        </w:rPr>
      </w:pPr>
      <w:r>
        <w:rPr>
          <w:rFonts w:hint="eastAsia" w:ascii="宋体" w:hAnsi="宋体" w:cs="宋体"/>
          <w:szCs w:val="21"/>
        </w:rPr>
        <w:t>4.2.2 投标人递交投标文件的地点：见投标人须知前附表。</w:t>
      </w:r>
    </w:p>
    <w:p>
      <w:pPr>
        <w:spacing w:line="360" w:lineRule="auto"/>
        <w:ind w:firstLine="420" w:firstLineChars="200"/>
        <w:rPr>
          <w:rFonts w:ascii="宋体" w:hAnsi="宋体" w:cs="宋体"/>
          <w:szCs w:val="21"/>
        </w:rPr>
      </w:pPr>
      <w:r>
        <w:rPr>
          <w:rFonts w:hint="eastAsia" w:ascii="宋体" w:hAnsi="宋体" w:cs="宋体"/>
          <w:szCs w:val="21"/>
        </w:rPr>
        <w:t>4.2.3 除投标人须知前附表另有规定外，投标人所递交的投标文件不予退还。</w:t>
      </w:r>
    </w:p>
    <w:p>
      <w:pPr>
        <w:spacing w:line="360" w:lineRule="auto"/>
        <w:ind w:firstLine="420" w:firstLineChars="200"/>
        <w:rPr>
          <w:rFonts w:ascii="宋体" w:hAnsi="宋体" w:cs="宋体"/>
          <w:szCs w:val="21"/>
        </w:rPr>
      </w:pPr>
      <w:r>
        <w:rPr>
          <w:rFonts w:hint="eastAsia" w:ascii="宋体" w:hAnsi="宋体" w:cs="宋体"/>
          <w:szCs w:val="21"/>
        </w:rPr>
        <w:t>4.2.4  逾期送达的或者未送达指定地点的投标文件，采购人不予受理。</w:t>
      </w:r>
    </w:p>
    <w:p>
      <w:pPr>
        <w:pStyle w:val="19"/>
        <w:spacing w:beforeAutospacing="0" w:afterAutospacing="0" w:line="360" w:lineRule="auto"/>
        <w:ind w:left="1474" w:leftChars="200" w:hanging="1054" w:hangingChars="500"/>
        <w:rPr>
          <w:b/>
          <w:bCs/>
          <w:sz w:val="21"/>
          <w:szCs w:val="21"/>
        </w:rPr>
      </w:pPr>
      <w:r>
        <w:rPr>
          <w:rFonts w:hint="eastAsia"/>
          <w:b/>
          <w:bCs/>
          <w:sz w:val="21"/>
          <w:szCs w:val="21"/>
        </w:rPr>
        <w:t>注：投标文件上传：投标人需在投标截止时间前在荥阳市公共资源交易中心网站中上传加密的电子投标文件。</w:t>
      </w:r>
    </w:p>
    <w:p>
      <w:pPr>
        <w:pStyle w:val="6"/>
        <w:rPr>
          <w:rFonts w:ascii="宋体" w:hAnsi="宋体" w:cs="宋体"/>
          <w:szCs w:val="21"/>
        </w:rPr>
      </w:pPr>
      <w:r>
        <w:rPr>
          <w:rFonts w:hint="eastAsia" w:ascii="宋体" w:hAnsi="宋体" w:cs="宋体"/>
          <w:szCs w:val="21"/>
        </w:rPr>
        <w:t>4.3 投标文件的修改与撤回</w:t>
      </w:r>
    </w:p>
    <w:p>
      <w:pPr>
        <w:spacing w:line="360" w:lineRule="auto"/>
        <w:ind w:firstLine="420" w:firstLineChars="200"/>
        <w:rPr>
          <w:rFonts w:ascii="宋体" w:hAnsi="宋体" w:cs="宋体"/>
          <w:szCs w:val="21"/>
        </w:rPr>
      </w:pPr>
      <w:r>
        <w:rPr>
          <w:rFonts w:hint="eastAsia" w:ascii="宋体" w:hAnsi="宋体" w:cs="宋体"/>
          <w:szCs w:val="21"/>
        </w:rPr>
        <w:t>4.3.1 在本章第2.2.2 项规定的投标截止时间前，投标人可以修改或撤回已递交的投标文件。</w:t>
      </w:r>
    </w:p>
    <w:p>
      <w:pPr>
        <w:spacing w:line="360" w:lineRule="auto"/>
        <w:ind w:firstLine="420" w:firstLineChars="200"/>
        <w:rPr>
          <w:rFonts w:ascii="宋体" w:hAnsi="宋体" w:cs="宋体"/>
          <w:szCs w:val="21"/>
        </w:rPr>
      </w:pPr>
      <w:r>
        <w:rPr>
          <w:rFonts w:hint="eastAsia" w:ascii="宋体" w:hAnsi="宋体" w:cs="宋体"/>
          <w:szCs w:val="21"/>
        </w:rPr>
        <w:t>4.3.2 投标人修改或撤回已递交响投标文件的书面通知应按照本章第3.7.3 项的要求签字或盖章。</w:t>
      </w:r>
    </w:p>
    <w:p>
      <w:pPr>
        <w:pStyle w:val="5"/>
        <w:spacing w:line="240" w:lineRule="auto"/>
        <w:rPr>
          <w:rFonts w:ascii="宋体" w:hAnsi="宋体" w:cs="宋体"/>
          <w:sz w:val="21"/>
          <w:szCs w:val="21"/>
        </w:rPr>
      </w:pPr>
      <w:bookmarkStart w:id="253" w:name="_Toc15092"/>
      <w:bookmarkStart w:id="254" w:name="_Toc431"/>
      <w:bookmarkStart w:id="255" w:name="_Toc10451"/>
      <w:bookmarkStart w:id="256" w:name="_Toc184635075"/>
      <w:bookmarkStart w:id="257" w:name="_Toc31061"/>
      <w:bookmarkStart w:id="258" w:name="_Toc1469"/>
      <w:bookmarkStart w:id="259" w:name="_Toc9993"/>
      <w:bookmarkStart w:id="260" w:name="_Toc1919"/>
      <w:bookmarkStart w:id="261" w:name="_Toc285638247"/>
      <w:bookmarkStart w:id="262" w:name="_Toc28652"/>
      <w:bookmarkStart w:id="263" w:name="_Toc3448"/>
      <w:bookmarkStart w:id="264" w:name="_Toc6013"/>
      <w:bookmarkStart w:id="265" w:name="_Toc5413"/>
      <w:bookmarkStart w:id="266" w:name="_Toc27747"/>
      <w:bookmarkStart w:id="267" w:name="_Toc10594"/>
      <w:bookmarkStart w:id="268" w:name="_Toc2537"/>
      <w:bookmarkStart w:id="269" w:name="_Toc285097636"/>
      <w:bookmarkStart w:id="270" w:name="_Toc498527868"/>
      <w:bookmarkStart w:id="271" w:name="_Toc18274"/>
      <w:bookmarkStart w:id="272" w:name="_Toc14525"/>
      <w:bookmarkStart w:id="273" w:name="_Toc16098"/>
      <w:bookmarkStart w:id="274" w:name="_Toc23439"/>
      <w:bookmarkStart w:id="275" w:name="_Toc8283"/>
      <w:bookmarkStart w:id="276" w:name="_Toc13664"/>
      <w:bookmarkStart w:id="277" w:name="_Toc23585"/>
      <w:bookmarkStart w:id="278" w:name="_Toc23636"/>
      <w:bookmarkStart w:id="279" w:name="_Toc24337"/>
      <w:bookmarkStart w:id="280" w:name="_Toc29515"/>
      <w:bookmarkStart w:id="281" w:name="_Toc20676"/>
      <w:bookmarkStart w:id="282" w:name="_Toc30104"/>
      <w:bookmarkStart w:id="283" w:name="_Toc20644"/>
      <w:bookmarkStart w:id="284" w:name="_Toc26168"/>
      <w:r>
        <w:rPr>
          <w:rFonts w:hint="eastAsia" w:ascii="宋体" w:hAnsi="宋体" w:cs="宋体"/>
          <w:sz w:val="21"/>
          <w:szCs w:val="21"/>
        </w:rPr>
        <w:t>5．开标</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pPr>
        <w:pStyle w:val="6"/>
        <w:rPr>
          <w:rFonts w:ascii="宋体" w:hAnsi="宋体" w:cs="宋体"/>
          <w:szCs w:val="21"/>
        </w:rPr>
      </w:pPr>
      <w:r>
        <w:rPr>
          <w:rFonts w:hint="eastAsia" w:ascii="宋体" w:hAnsi="宋体" w:cs="宋体"/>
          <w:szCs w:val="21"/>
        </w:rPr>
        <w:t>5.1 开标时间和地点</w:t>
      </w:r>
    </w:p>
    <w:p>
      <w:pPr>
        <w:spacing w:line="360" w:lineRule="auto"/>
        <w:ind w:firstLine="420" w:firstLineChars="200"/>
        <w:rPr>
          <w:rFonts w:ascii="宋体" w:hAnsi="宋体" w:cs="宋体"/>
          <w:szCs w:val="21"/>
        </w:rPr>
      </w:pPr>
      <w:r>
        <w:rPr>
          <w:rFonts w:hint="eastAsia" w:ascii="宋体" w:hAnsi="宋体" w:cs="宋体"/>
          <w:szCs w:val="21"/>
        </w:rPr>
        <w:t>采购人在本章第2.2.2 项规定的投标截止时间（开标时间）和投标人须知前附表规定的地点公开开标。</w:t>
      </w:r>
    </w:p>
    <w:p>
      <w:pPr>
        <w:pStyle w:val="6"/>
        <w:rPr>
          <w:rFonts w:ascii="宋体" w:hAnsi="宋体" w:cs="宋体"/>
          <w:szCs w:val="21"/>
        </w:rPr>
      </w:pPr>
      <w:r>
        <w:rPr>
          <w:rFonts w:hint="eastAsia" w:ascii="宋体" w:hAnsi="宋体" w:cs="宋体"/>
          <w:szCs w:val="21"/>
        </w:rPr>
        <w:t>5.2 开标程序</w:t>
      </w:r>
    </w:p>
    <w:p>
      <w:pPr>
        <w:spacing w:line="360" w:lineRule="auto"/>
        <w:ind w:firstLine="420" w:firstLineChars="200"/>
        <w:rPr>
          <w:rFonts w:ascii="宋体" w:hAnsi="宋体" w:cs="宋体"/>
          <w:szCs w:val="21"/>
        </w:rPr>
      </w:pPr>
      <w:r>
        <w:rPr>
          <w:rFonts w:hint="eastAsia" w:ascii="宋体" w:hAnsi="宋体" w:cs="宋体"/>
          <w:szCs w:val="21"/>
        </w:rPr>
        <w:t>主持人按“不见面开标”有关程序进行开标。</w:t>
      </w:r>
    </w:p>
    <w:p>
      <w:pPr>
        <w:pStyle w:val="5"/>
        <w:spacing w:line="240" w:lineRule="auto"/>
        <w:rPr>
          <w:rFonts w:ascii="宋体" w:hAnsi="宋体" w:cs="宋体"/>
          <w:sz w:val="21"/>
          <w:szCs w:val="21"/>
        </w:rPr>
      </w:pPr>
      <w:bookmarkStart w:id="285" w:name="_Toc22281"/>
      <w:bookmarkStart w:id="286" w:name="_Toc498527869"/>
      <w:bookmarkStart w:id="287" w:name="_Toc12794"/>
      <w:bookmarkStart w:id="288" w:name="_Toc8248"/>
      <w:bookmarkStart w:id="289" w:name="_Toc31235"/>
      <w:bookmarkStart w:id="290" w:name="_Toc6193"/>
      <w:bookmarkStart w:id="291" w:name="_Toc24101"/>
      <w:bookmarkStart w:id="292" w:name="_Toc2639"/>
      <w:bookmarkStart w:id="293" w:name="_Toc15440"/>
      <w:bookmarkStart w:id="294" w:name="_Toc9644"/>
      <w:bookmarkStart w:id="295" w:name="_Toc10521"/>
      <w:bookmarkStart w:id="296" w:name="_Toc4533"/>
      <w:bookmarkStart w:id="297" w:name="_Toc858"/>
      <w:bookmarkStart w:id="298" w:name="_Toc29968"/>
      <w:bookmarkStart w:id="299" w:name="_Toc28125"/>
      <w:bookmarkStart w:id="300" w:name="_Toc2140"/>
      <w:bookmarkStart w:id="301" w:name="_Toc20729"/>
      <w:bookmarkStart w:id="302" w:name="_Toc30459"/>
      <w:bookmarkStart w:id="303" w:name="_Toc7405"/>
      <w:bookmarkStart w:id="304" w:name="_Toc30048"/>
      <w:bookmarkStart w:id="305" w:name="_Toc27830"/>
      <w:bookmarkStart w:id="306" w:name="_Toc9659"/>
      <w:bookmarkStart w:id="307" w:name="_Toc27334"/>
      <w:bookmarkStart w:id="308" w:name="_Toc29110"/>
      <w:bookmarkStart w:id="309" w:name="_Toc973"/>
      <w:bookmarkStart w:id="310" w:name="_Toc4220"/>
      <w:bookmarkStart w:id="311" w:name="_Toc15554"/>
      <w:bookmarkStart w:id="312" w:name="_Toc24370"/>
      <w:bookmarkStart w:id="313" w:name="_Toc15744"/>
      <w:r>
        <w:rPr>
          <w:rFonts w:hint="eastAsia" w:ascii="宋体" w:hAnsi="宋体" w:cs="宋体"/>
          <w:sz w:val="21"/>
          <w:szCs w:val="21"/>
        </w:rPr>
        <w:t>6.初步审查</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pPr>
        <w:tabs>
          <w:tab w:val="left" w:pos="360"/>
        </w:tabs>
        <w:spacing w:line="360" w:lineRule="auto"/>
        <w:ind w:firstLine="420" w:firstLineChars="200"/>
        <w:rPr>
          <w:rFonts w:ascii="宋体" w:hAnsi="宋体" w:cs="宋体"/>
          <w:szCs w:val="21"/>
        </w:rPr>
      </w:pPr>
      <w:r>
        <w:rPr>
          <w:rFonts w:hint="eastAsia" w:ascii="宋体" w:hAnsi="宋体" w:cs="宋体"/>
          <w:szCs w:val="21"/>
        </w:rPr>
        <w:t>评标委员会负责对投标人进行形式及响应性审查，招标人代表负责对投标人进行资格审查。</w:t>
      </w:r>
    </w:p>
    <w:p>
      <w:pPr>
        <w:pStyle w:val="5"/>
        <w:spacing w:line="240" w:lineRule="auto"/>
        <w:rPr>
          <w:rFonts w:ascii="宋体" w:hAnsi="宋体" w:cs="宋体"/>
          <w:sz w:val="21"/>
          <w:szCs w:val="21"/>
        </w:rPr>
      </w:pPr>
      <w:bookmarkStart w:id="314" w:name="_Toc13720"/>
      <w:bookmarkStart w:id="315" w:name="_Toc31687"/>
      <w:bookmarkStart w:id="316" w:name="_Toc16031"/>
      <w:bookmarkStart w:id="317" w:name="_Toc27151"/>
      <w:bookmarkStart w:id="318" w:name="_Toc1418"/>
      <w:bookmarkStart w:id="319" w:name="_Toc31663"/>
      <w:bookmarkStart w:id="320" w:name="_Toc1370"/>
      <w:bookmarkStart w:id="321" w:name="_Toc285097637"/>
      <w:bookmarkStart w:id="322" w:name="_Toc285638248"/>
      <w:bookmarkStart w:id="323" w:name="_Toc19560"/>
      <w:bookmarkStart w:id="324" w:name="_Toc26815"/>
      <w:bookmarkStart w:id="325" w:name="_Toc24679"/>
      <w:bookmarkStart w:id="326" w:name="_Toc498527870"/>
      <w:bookmarkStart w:id="327" w:name="_Toc184635076"/>
      <w:bookmarkStart w:id="328" w:name="_Toc3174"/>
      <w:bookmarkStart w:id="329" w:name="_Toc14351"/>
      <w:bookmarkStart w:id="330" w:name="_Toc30798"/>
      <w:bookmarkStart w:id="331" w:name="_Toc18297"/>
      <w:bookmarkStart w:id="332" w:name="_Toc14665"/>
      <w:bookmarkStart w:id="333" w:name="_Toc27952"/>
      <w:bookmarkStart w:id="334" w:name="_Toc25507"/>
      <w:bookmarkStart w:id="335" w:name="_Toc22196"/>
      <w:bookmarkStart w:id="336" w:name="_Toc11157"/>
      <w:bookmarkStart w:id="337" w:name="_Toc2751"/>
      <w:bookmarkStart w:id="338" w:name="_Toc19630"/>
      <w:bookmarkStart w:id="339" w:name="_Toc16446"/>
      <w:bookmarkStart w:id="340" w:name="_Toc31712"/>
      <w:bookmarkStart w:id="341" w:name="_Toc22550"/>
      <w:bookmarkStart w:id="342" w:name="_Toc25429"/>
      <w:bookmarkStart w:id="343" w:name="_Toc20433"/>
      <w:bookmarkStart w:id="344" w:name="_Toc32517"/>
      <w:bookmarkStart w:id="345" w:name="_Toc10816"/>
      <w:r>
        <w:rPr>
          <w:rFonts w:hint="eastAsia" w:ascii="宋体" w:hAnsi="宋体" w:cs="宋体"/>
          <w:sz w:val="21"/>
          <w:szCs w:val="21"/>
        </w:rPr>
        <w:t>7．</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Pr>
          <w:rFonts w:hint="eastAsia" w:ascii="宋体" w:hAnsi="宋体" w:cs="宋体"/>
          <w:sz w:val="21"/>
          <w:szCs w:val="21"/>
        </w:rPr>
        <w:t>评标</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pPr>
        <w:pStyle w:val="6"/>
        <w:rPr>
          <w:rFonts w:ascii="宋体" w:hAnsi="宋体" w:cs="宋体"/>
          <w:szCs w:val="21"/>
        </w:rPr>
      </w:pPr>
      <w:r>
        <w:rPr>
          <w:rFonts w:hint="eastAsia" w:ascii="宋体" w:hAnsi="宋体" w:cs="宋体"/>
          <w:szCs w:val="21"/>
        </w:rPr>
        <w:t>7.1 评标委员会</w:t>
      </w:r>
    </w:p>
    <w:p>
      <w:pPr>
        <w:spacing w:line="360" w:lineRule="auto"/>
        <w:ind w:firstLine="420" w:firstLineChars="200"/>
        <w:rPr>
          <w:rFonts w:ascii="宋体" w:hAnsi="宋体" w:cs="宋体"/>
          <w:szCs w:val="21"/>
        </w:rPr>
      </w:pPr>
      <w:r>
        <w:rPr>
          <w:rFonts w:hint="eastAsia" w:ascii="宋体" w:hAnsi="宋体" w:cs="宋体"/>
          <w:szCs w:val="21"/>
        </w:rPr>
        <w:t>7.1.1评标委员会由采购人代表</w:t>
      </w:r>
      <w:r>
        <w:rPr>
          <w:rFonts w:hint="eastAsia" w:ascii="宋体" w:hAnsi="宋体" w:cs="宋体"/>
          <w:szCs w:val="21"/>
          <w:lang w:val="en-US" w:eastAsia="zh-CN"/>
        </w:rPr>
        <w:t>1</w:t>
      </w:r>
      <w:r>
        <w:rPr>
          <w:rFonts w:hint="eastAsia" w:ascii="宋体" w:hAnsi="宋体" w:cs="宋体"/>
          <w:szCs w:val="21"/>
        </w:rPr>
        <w:t>人和专家</w:t>
      </w:r>
      <w:r>
        <w:rPr>
          <w:rFonts w:hint="eastAsia" w:ascii="宋体" w:hAnsi="宋体" w:cs="宋体"/>
          <w:szCs w:val="21"/>
          <w:lang w:val="en-US" w:eastAsia="zh-CN"/>
        </w:rPr>
        <w:t>4</w:t>
      </w:r>
      <w:r>
        <w:rPr>
          <w:rFonts w:hint="eastAsia" w:ascii="宋体" w:hAnsi="宋体" w:cs="宋体"/>
          <w:szCs w:val="21"/>
        </w:rPr>
        <w:t>人组成。评标委员会成员人数以及技术、经济等方面专家的确定方式见投标人须知前附表。</w:t>
      </w:r>
    </w:p>
    <w:p>
      <w:pPr>
        <w:spacing w:line="360" w:lineRule="auto"/>
        <w:ind w:firstLine="420" w:firstLineChars="200"/>
        <w:rPr>
          <w:rFonts w:ascii="宋体" w:hAnsi="宋体" w:cs="宋体"/>
          <w:szCs w:val="21"/>
        </w:rPr>
      </w:pPr>
      <w:r>
        <w:rPr>
          <w:rFonts w:hint="eastAsia" w:ascii="宋体" w:hAnsi="宋体" w:cs="宋体"/>
          <w:szCs w:val="21"/>
        </w:rPr>
        <w:t>7.1.2 评标委员会成员有下列情形之一的，应当回避：</w:t>
      </w:r>
    </w:p>
    <w:p>
      <w:pPr>
        <w:spacing w:line="360" w:lineRule="auto"/>
        <w:ind w:firstLine="420" w:firstLineChars="200"/>
        <w:rPr>
          <w:rFonts w:ascii="宋体" w:hAnsi="宋体" w:cs="宋体"/>
          <w:szCs w:val="21"/>
        </w:rPr>
      </w:pPr>
      <w:r>
        <w:rPr>
          <w:rFonts w:hint="eastAsia" w:ascii="宋体" w:hAnsi="宋体" w:cs="宋体"/>
          <w:szCs w:val="21"/>
        </w:rPr>
        <w:t>(1）采购人或投标人的主要负责人的近亲属；</w:t>
      </w:r>
    </w:p>
    <w:p>
      <w:pPr>
        <w:spacing w:line="360" w:lineRule="auto"/>
        <w:ind w:firstLine="420" w:firstLineChars="200"/>
        <w:rPr>
          <w:rFonts w:ascii="宋体" w:hAnsi="宋体" w:cs="宋体"/>
          <w:szCs w:val="21"/>
        </w:rPr>
      </w:pPr>
      <w:r>
        <w:rPr>
          <w:rFonts w:hint="eastAsia" w:ascii="宋体" w:hAnsi="宋体" w:cs="宋体"/>
          <w:szCs w:val="21"/>
        </w:rPr>
        <w:t>(2）项目主管部门或者行政监督部门的人员：</w:t>
      </w:r>
    </w:p>
    <w:p>
      <w:pPr>
        <w:spacing w:line="360" w:lineRule="auto"/>
        <w:ind w:firstLine="420" w:firstLineChars="200"/>
        <w:rPr>
          <w:rFonts w:ascii="宋体" w:hAnsi="宋体" w:cs="宋体"/>
          <w:szCs w:val="21"/>
        </w:rPr>
      </w:pPr>
      <w:r>
        <w:rPr>
          <w:rFonts w:hint="eastAsia" w:ascii="宋体" w:hAnsi="宋体" w:cs="宋体"/>
          <w:szCs w:val="21"/>
        </w:rPr>
        <w:t>(3）与投标人有经济利益关系，可能影响对投标公正评审的；</w:t>
      </w:r>
    </w:p>
    <w:p>
      <w:pPr>
        <w:spacing w:line="360" w:lineRule="auto"/>
        <w:ind w:firstLine="420" w:firstLineChars="200"/>
        <w:rPr>
          <w:rFonts w:ascii="宋体" w:hAnsi="宋体" w:cs="宋体"/>
          <w:szCs w:val="21"/>
        </w:rPr>
      </w:pPr>
      <w:r>
        <w:rPr>
          <w:rFonts w:hint="eastAsia" w:ascii="宋体" w:hAnsi="宋体" w:cs="宋体"/>
          <w:szCs w:val="21"/>
        </w:rPr>
        <w:t>(4）曾因在招标、评标以及其他与招标投标有关活动中从事违法行为而受过行政处罚或刑事处罚的。</w:t>
      </w:r>
    </w:p>
    <w:p>
      <w:pPr>
        <w:pStyle w:val="6"/>
        <w:rPr>
          <w:rFonts w:ascii="宋体" w:hAnsi="宋体" w:cs="宋体"/>
          <w:szCs w:val="21"/>
        </w:rPr>
      </w:pPr>
      <w:r>
        <w:rPr>
          <w:rFonts w:hint="eastAsia" w:ascii="宋体" w:hAnsi="宋体" w:cs="宋体"/>
          <w:szCs w:val="21"/>
        </w:rPr>
        <w:t>7.2 评标原则</w:t>
      </w:r>
    </w:p>
    <w:p>
      <w:pPr>
        <w:spacing w:line="360" w:lineRule="auto"/>
        <w:ind w:firstLine="420" w:firstLineChars="200"/>
        <w:rPr>
          <w:rFonts w:ascii="宋体" w:hAnsi="宋体" w:cs="宋体"/>
          <w:szCs w:val="21"/>
        </w:rPr>
      </w:pPr>
      <w:r>
        <w:rPr>
          <w:rFonts w:hint="eastAsia" w:ascii="宋体" w:hAnsi="宋体" w:cs="宋体"/>
          <w:szCs w:val="21"/>
        </w:rPr>
        <w:t>评标活动遵循公平、公正、科学和择优的原则。</w:t>
      </w:r>
    </w:p>
    <w:p>
      <w:pPr>
        <w:pStyle w:val="6"/>
        <w:rPr>
          <w:rFonts w:ascii="宋体" w:hAnsi="宋体" w:cs="宋体"/>
          <w:szCs w:val="21"/>
        </w:rPr>
      </w:pPr>
      <w:r>
        <w:rPr>
          <w:rFonts w:hint="eastAsia" w:ascii="宋体" w:hAnsi="宋体" w:cs="宋体"/>
          <w:szCs w:val="21"/>
        </w:rPr>
        <w:t>7.3 评标</w:t>
      </w:r>
    </w:p>
    <w:p>
      <w:pPr>
        <w:spacing w:line="360" w:lineRule="auto"/>
        <w:ind w:firstLine="420" w:firstLineChars="200"/>
        <w:rPr>
          <w:rFonts w:ascii="宋体" w:hAnsi="宋体" w:cs="宋体"/>
          <w:szCs w:val="21"/>
        </w:rPr>
      </w:pPr>
      <w:r>
        <w:rPr>
          <w:rFonts w:hint="eastAsia" w:ascii="宋体" w:hAnsi="宋体" w:cs="宋体"/>
          <w:szCs w:val="21"/>
        </w:rPr>
        <w:t>评标委员会按照第三章“评标办法”规定的方法、评审因素、标准和程序对投标文件进行评审。第三章“评标办法”没有规定的方法、评审因素和标准，不作为评标依据。</w:t>
      </w:r>
    </w:p>
    <w:p>
      <w:pPr>
        <w:pStyle w:val="6"/>
        <w:rPr>
          <w:rFonts w:ascii="宋体" w:hAnsi="宋体" w:cs="宋体"/>
          <w:szCs w:val="21"/>
        </w:rPr>
      </w:pPr>
      <w:r>
        <w:rPr>
          <w:rFonts w:hint="eastAsia" w:ascii="宋体" w:hAnsi="宋体" w:cs="宋体"/>
          <w:szCs w:val="21"/>
        </w:rPr>
        <w:t>7.4中标结果的公告</w:t>
      </w:r>
    </w:p>
    <w:p>
      <w:pPr>
        <w:tabs>
          <w:tab w:val="left" w:pos="360"/>
        </w:tabs>
        <w:spacing w:line="360" w:lineRule="auto"/>
        <w:ind w:firstLine="420" w:firstLineChars="200"/>
        <w:rPr>
          <w:rFonts w:ascii="宋体" w:hAnsi="宋体" w:cs="宋体"/>
          <w:szCs w:val="21"/>
        </w:rPr>
      </w:pPr>
      <w:r>
        <w:rPr>
          <w:rFonts w:hint="eastAsia" w:ascii="宋体" w:hAnsi="宋体" w:cs="宋体"/>
          <w:szCs w:val="21"/>
        </w:rPr>
        <w:t>7.4.1采购代理机构应当在评标结束后2个工作日内将评标报告送采购人。采购人应当在收到评评标报告后5个工作日内，按照评标报告中推荐的中标候选人顺序确定中标人。</w:t>
      </w:r>
    </w:p>
    <w:p>
      <w:pPr>
        <w:tabs>
          <w:tab w:val="left" w:pos="360"/>
        </w:tabs>
        <w:spacing w:line="360" w:lineRule="auto"/>
        <w:ind w:firstLine="420" w:firstLineChars="200"/>
        <w:rPr>
          <w:rFonts w:ascii="宋体" w:hAnsi="宋体" w:cs="宋体"/>
          <w:szCs w:val="21"/>
        </w:rPr>
      </w:pPr>
      <w:r>
        <w:rPr>
          <w:rFonts w:hint="eastAsia" w:ascii="宋体" w:hAnsi="宋体" w:cs="宋体"/>
          <w:szCs w:val="21"/>
        </w:rPr>
        <w:t>7.4.2采购代理机构应当自中标人确定之日起2个工作日内，在省级以上财政部门指定的媒体上公告中标结果，招标文件应当随中标结果同时公告，公告期1个工作日。</w:t>
      </w:r>
    </w:p>
    <w:p>
      <w:pPr>
        <w:tabs>
          <w:tab w:val="left" w:pos="360"/>
        </w:tabs>
        <w:spacing w:line="360" w:lineRule="auto"/>
        <w:ind w:firstLine="420" w:firstLineChars="200"/>
        <w:rPr>
          <w:rFonts w:ascii="宋体" w:hAnsi="宋体" w:cs="宋体"/>
          <w:szCs w:val="21"/>
        </w:rPr>
      </w:pPr>
      <w:r>
        <w:rPr>
          <w:rFonts w:hint="eastAsia" w:ascii="宋体" w:hAnsi="宋体" w:cs="宋体"/>
          <w:szCs w:val="21"/>
        </w:rPr>
        <w:t>7.4.3在公告中标结果的同时，采购人或者采购代理机构应当向中标人发出中标通知书。</w:t>
      </w:r>
    </w:p>
    <w:p>
      <w:pPr>
        <w:tabs>
          <w:tab w:val="left" w:pos="360"/>
        </w:tabs>
        <w:spacing w:line="360" w:lineRule="auto"/>
        <w:ind w:firstLine="315" w:firstLineChars="150"/>
        <w:rPr>
          <w:rFonts w:ascii="宋体" w:hAnsi="宋体" w:cs="宋体"/>
          <w:szCs w:val="21"/>
        </w:rPr>
      </w:pPr>
      <w:r>
        <w:rPr>
          <w:rFonts w:hint="eastAsia" w:ascii="宋体" w:hAnsi="宋体" w:cs="宋体"/>
          <w:szCs w:val="21"/>
        </w:rPr>
        <w:t xml:space="preserve"> 7.4.4中标通知书发出后，采购人不得违法改变中标结果，中标人无正当理由不得放弃中标。</w:t>
      </w:r>
    </w:p>
    <w:p>
      <w:pPr>
        <w:tabs>
          <w:tab w:val="left" w:pos="360"/>
        </w:tabs>
        <w:spacing w:line="360" w:lineRule="auto"/>
        <w:ind w:firstLine="420" w:firstLineChars="200"/>
        <w:rPr>
          <w:rFonts w:ascii="宋体" w:hAnsi="宋体" w:cs="宋体"/>
          <w:szCs w:val="21"/>
        </w:rPr>
      </w:pPr>
      <w:r>
        <w:rPr>
          <w:rFonts w:hint="eastAsia" w:ascii="宋体" w:hAnsi="宋体" w:cs="宋体"/>
          <w:szCs w:val="21"/>
        </w:rPr>
        <w:t>7.4.5各有关当事人对中标结果有异议的，可以在中标结果公告期限届满之日起七个工作日内，以书面形式同时向采购人和采购代理机构提出质疑(加盖单位公章且法人签字)，由法定代表人或其授权代表携带企业营业执照复印件（加盖公章）及本人身份证件（原件）一并提交（邮寄、传真件不予受理），并以质疑函接收日期作为受理时间。逾期提交或未按照要求提交的质疑函将不予受理。</w:t>
      </w:r>
    </w:p>
    <w:p>
      <w:pPr>
        <w:pStyle w:val="5"/>
        <w:spacing w:line="240" w:lineRule="auto"/>
        <w:rPr>
          <w:rFonts w:ascii="宋体" w:hAnsi="宋体" w:cs="宋体"/>
          <w:sz w:val="21"/>
          <w:szCs w:val="21"/>
        </w:rPr>
      </w:pPr>
      <w:bookmarkStart w:id="346" w:name="_Toc9657"/>
      <w:bookmarkStart w:id="347" w:name="_Toc498527871"/>
      <w:bookmarkStart w:id="348" w:name="_Toc7898"/>
      <w:bookmarkStart w:id="349" w:name="_Toc24745"/>
      <w:bookmarkStart w:id="350" w:name="_Toc28406"/>
      <w:bookmarkStart w:id="351" w:name="_Toc19291"/>
      <w:bookmarkStart w:id="352" w:name="_Toc2798"/>
      <w:bookmarkStart w:id="353" w:name="_Toc30216"/>
      <w:bookmarkStart w:id="354" w:name="_Toc4602"/>
      <w:bookmarkStart w:id="355" w:name="_Toc27306"/>
      <w:bookmarkStart w:id="356" w:name="_Toc32389"/>
      <w:bookmarkStart w:id="357" w:name="_Toc20360"/>
      <w:bookmarkStart w:id="358" w:name="_Toc27385"/>
      <w:bookmarkStart w:id="359" w:name="_Toc285097638"/>
      <w:bookmarkStart w:id="360" w:name="_Toc27642"/>
      <w:bookmarkStart w:id="361" w:name="_Toc13404"/>
      <w:bookmarkStart w:id="362" w:name="_Toc12100"/>
      <w:bookmarkStart w:id="363" w:name="_Toc12418"/>
      <w:bookmarkStart w:id="364" w:name="_Toc20722"/>
      <w:bookmarkStart w:id="365" w:name="_Toc15684"/>
      <w:bookmarkStart w:id="366" w:name="_Toc184635077"/>
      <w:bookmarkStart w:id="367" w:name="_Toc23117"/>
      <w:bookmarkStart w:id="368" w:name="_Toc7178"/>
      <w:bookmarkStart w:id="369" w:name="_Toc16770"/>
      <w:bookmarkStart w:id="370" w:name="_Toc23808"/>
      <w:bookmarkStart w:id="371" w:name="_Toc1759"/>
      <w:bookmarkStart w:id="372" w:name="_Toc18945"/>
      <w:bookmarkStart w:id="373" w:name="_Toc8436"/>
      <w:bookmarkStart w:id="374" w:name="_Toc11854"/>
      <w:bookmarkStart w:id="375" w:name="_Toc19046"/>
      <w:bookmarkStart w:id="376" w:name="_Toc30284"/>
      <w:bookmarkStart w:id="377" w:name="_Toc285638249"/>
      <w:r>
        <w:rPr>
          <w:rFonts w:hint="eastAsia" w:ascii="宋体" w:hAnsi="宋体" w:cs="宋体"/>
          <w:sz w:val="21"/>
          <w:szCs w:val="21"/>
        </w:rPr>
        <w:t>8．合同授予</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pPr>
        <w:pStyle w:val="6"/>
        <w:rPr>
          <w:rFonts w:ascii="宋体" w:hAnsi="宋体" w:cs="宋体"/>
          <w:szCs w:val="21"/>
        </w:rPr>
      </w:pPr>
      <w:r>
        <w:rPr>
          <w:rFonts w:hint="eastAsia" w:ascii="宋体" w:hAnsi="宋体" w:cs="宋体"/>
          <w:szCs w:val="21"/>
        </w:rPr>
        <w:t>8.1 定标方式</w:t>
      </w:r>
    </w:p>
    <w:p>
      <w:pPr>
        <w:spacing w:line="360" w:lineRule="auto"/>
        <w:ind w:firstLine="420" w:firstLineChars="200"/>
        <w:rPr>
          <w:rFonts w:ascii="宋体" w:hAnsi="宋体" w:cs="宋体"/>
          <w:szCs w:val="21"/>
        </w:rPr>
      </w:pPr>
      <w:r>
        <w:rPr>
          <w:rFonts w:hint="eastAsia" w:ascii="宋体" w:hAnsi="宋体" w:cs="宋体"/>
          <w:szCs w:val="21"/>
        </w:rPr>
        <w:t>除投标人须知前附表规定评标委员会直接确定中标人外，采购人依据评标</w:t>
      </w:r>
      <w:r>
        <w:rPr>
          <w:rFonts w:hint="eastAsia" w:ascii="宋体" w:hAnsi="宋体" w:cs="宋体"/>
          <w:szCs w:val="21"/>
          <w:lang w:eastAsia="zh-CN"/>
        </w:rPr>
        <w:t>委员会</w:t>
      </w:r>
      <w:r>
        <w:rPr>
          <w:rFonts w:hint="eastAsia" w:ascii="宋体" w:hAnsi="宋体" w:cs="宋体"/>
          <w:szCs w:val="21"/>
        </w:rPr>
        <w:t>推荐的中标候选人确定中标人，评标委员会推荐中标标候选人的人数见投标人须知前附表。</w:t>
      </w:r>
    </w:p>
    <w:p>
      <w:pPr>
        <w:pStyle w:val="6"/>
        <w:rPr>
          <w:rFonts w:ascii="宋体" w:hAnsi="宋体" w:cs="宋体"/>
          <w:szCs w:val="21"/>
        </w:rPr>
      </w:pPr>
      <w:r>
        <w:rPr>
          <w:rFonts w:hint="eastAsia" w:ascii="宋体" w:hAnsi="宋体" w:cs="宋体"/>
          <w:szCs w:val="21"/>
        </w:rPr>
        <w:t>8.2 中标通知</w:t>
      </w:r>
    </w:p>
    <w:p>
      <w:pPr>
        <w:spacing w:line="360" w:lineRule="auto"/>
        <w:ind w:firstLine="420" w:firstLineChars="200"/>
        <w:rPr>
          <w:rFonts w:ascii="宋体" w:hAnsi="宋体" w:cs="宋体"/>
          <w:szCs w:val="21"/>
        </w:rPr>
      </w:pPr>
      <w:r>
        <w:rPr>
          <w:rFonts w:hint="eastAsia" w:ascii="宋体" w:hAnsi="宋体" w:cs="宋体"/>
          <w:szCs w:val="21"/>
        </w:rPr>
        <w:t>在本章第3.3 款规定的投标有效期内，采购人以书面形式向中标人发出中标通知书，同时将中标结果通知未中标的投标人。</w:t>
      </w:r>
    </w:p>
    <w:p>
      <w:pPr>
        <w:pStyle w:val="6"/>
        <w:rPr>
          <w:rFonts w:ascii="宋体" w:hAnsi="宋体" w:cs="宋体"/>
          <w:szCs w:val="21"/>
        </w:rPr>
      </w:pPr>
      <w:r>
        <w:rPr>
          <w:rFonts w:hint="eastAsia" w:ascii="宋体" w:hAnsi="宋体" w:cs="宋体"/>
          <w:szCs w:val="21"/>
        </w:rPr>
        <w:t>9.4 签订合同</w:t>
      </w:r>
    </w:p>
    <w:p>
      <w:pPr>
        <w:spacing w:line="360" w:lineRule="auto"/>
        <w:ind w:firstLine="420" w:firstLineChars="200"/>
        <w:rPr>
          <w:rFonts w:ascii="宋体" w:hAnsi="宋体" w:cs="宋体"/>
          <w:szCs w:val="21"/>
        </w:rPr>
      </w:pPr>
      <w:r>
        <w:rPr>
          <w:rFonts w:hint="eastAsia" w:ascii="宋体" w:hAnsi="宋体" w:cs="宋体"/>
          <w:szCs w:val="21"/>
        </w:rPr>
        <w:t>9.4.1 采购人和中标人应当自中标通知书发出之日起15 天内，根据招标文件和中标人的投标文件订立书面合同。中标人无正当理由拒签合同的，采购人取消其中标资格，给采购人造成的损失，中标人还应当予以赔偿。</w:t>
      </w:r>
    </w:p>
    <w:p>
      <w:pPr>
        <w:spacing w:line="360" w:lineRule="auto"/>
        <w:ind w:firstLine="420" w:firstLineChars="200"/>
        <w:rPr>
          <w:rFonts w:ascii="宋体" w:hAnsi="宋体" w:cs="宋体"/>
          <w:szCs w:val="21"/>
        </w:rPr>
      </w:pPr>
      <w:r>
        <w:rPr>
          <w:rFonts w:hint="eastAsia" w:ascii="宋体" w:hAnsi="宋体" w:cs="宋体"/>
          <w:szCs w:val="21"/>
        </w:rPr>
        <w:t>9.4.2 发出中标通知书后，采购人无正当理由拒签合同的，给中标人造成损失的，还应当赔偿损失。</w:t>
      </w:r>
    </w:p>
    <w:p>
      <w:pPr>
        <w:pStyle w:val="5"/>
        <w:spacing w:line="240" w:lineRule="auto"/>
        <w:rPr>
          <w:rFonts w:ascii="宋体" w:hAnsi="宋体" w:cs="宋体"/>
          <w:sz w:val="21"/>
          <w:szCs w:val="21"/>
        </w:rPr>
      </w:pPr>
      <w:bookmarkStart w:id="378" w:name="_Toc184635078"/>
      <w:bookmarkStart w:id="379" w:name="_Toc498527872"/>
      <w:bookmarkStart w:id="380" w:name="_Toc27486"/>
      <w:bookmarkStart w:id="381" w:name="_Toc26201"/>
      <w:bookmarkStart w:id="382" w:name="_Toc2370"/>
      <w:bookmarkStart w:id="383" w:name="_Toc28075"/>
      <w:bookmarkStart w:id="384" w:name="_Toc285638250"/>
      <w:bookmarkStart w:id="385" w:name="_Toc15158"/>
      <w:bookmarkStart w:id="386" w:name="_Toc11272"/>
      <w:bookmarkStart w:id="387" w:name="_Toc10710"/>
      <w:bookmarkStart w:id="388" w:name="_Toc285097639"/>
      <w:bookmarkStart w:id="389" w:name="_Toc19390"/>
      <w:bookmarkStart w:id="390" w:name="_Toc31769"/>
      <w:bookmarkStart w:id="391" w:name="_Toc27237"/>
      <w:bookmarkStart w:id="392" w:name="_Toc13977"/>
      <w:bookmarkStart w:id="393" w:name="_Toc23278"/>
      <w:bookmarkStart w:id="394" w:name="_Toc9308"/>
      <w:bookmarkStart w:id="395" w:name="_Toc18383"/>
      <w:bookmarkStart w:id="396" w:name="_Toc3964"/>
      <w:bookmarkStart w:id="397" w:name="_Toc2509"/>
      <w:bookmarkStart w:id="398" w:name="_Toc23261"/>
      <w:bookmarkStart w:id="399" w:name="_Toc30674"/>
      <w:bookmarkStart w:id="400" w:name="_Toc2123"/>
      <w:bookmarkStart w:id="401" w:name="_Toc27101"/>
      <w:bookmarkStart w:id="402" w:name="_Toc8777"/>
      <w:bookmarkStart w:id="403" w:name="_Toc9307"/>
      <w:bookmarkStart w:id="404" w:name="_Toc15850"/>
      <w:bookmarkStart w:id="405" w:name="_Toc19477"/>
      <w:bookmarkStart w:id="406" w:name="_Toc22307"/>
      <w:bookmarkStart w:id="407" w:name="_Toc28924"/>
      <w:bookmarkStart w:id="408" w:name="_Toc716"/>
      <w:bookmarkStart w:id="409" w:name="_Toc18055"/>
      <w:r>
        <w:rPr>
          <w:rFonts w:hint="eastAsia" w:ascii="宋体" w:hAnsi="宋体" w:cs="宋体"/>
          <w:sz w:val="21"/>
          <w:szCs w:val="21"/>
        </w:rPr>
        <w:t>10．重新评标和不再</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Fonts w:hint="eastAsia" w:ascii="宋体" w:hAnsi="宋体" w:cs="宋体"/>
          <w:sz w:val="21"/>
          <w:szCs w:val="21"/>
        </w:rPr>
        <w:t>评标</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pStyle w:val="6"/>
        <w:rPr>
          <w:rFonts w:ascii="宋体" w:hAnsi="宋体" w:cs="宋体"/>
          <w:szCs w:val="21"/>
        </w:rPr>
      </w:pPr>
      <w:r>
        <w:rPr>
          <w:rFonts w:hint="eastAsia" w:ascii="宋体" w:hAnsi="宋体" w:cs="宋体"/>
          <w:szCs w:val="21"/>
        </w:rPr>
        <w:t>10.1 重新招标</w:t>
      </w:r>
    </w:p>
    <w:p>
      <w:pPr>
        <w:spacing w:line="360" w:lineRule="auto"/>
        <w:ind w:firstLine="420" w:firstLineChars="200"/>
        <w:rPr>
          <w:rFonts w:ascii="宋体" w:hAnsi="宋体" w:cs="宋体"/>
          <w:szCs w:val="21"/>
        </w:rPr>
      </w:pPr>
      <w:r>
        <w:rPr>
          <w:rFonts w:hint="eastAsia" w:ascii="宋体" w:hAnsi="宋体" w:cs="宋体"/>
          <w:szCs w:val="21"/>
        </w:rPr>
        <w:t>有下列情形之一的，采购人将重新评标：</w:t>
      </w:r>
    </w:p>
    <w:p>
      <w:pPr>
        <w:spacing w:line="360" w:lineRule="auto"/>
        <w:ind w:firstLine="420" w:firstLineChars="200"/>
        <w:rPr>
          <w:rFonts w:ascii="宋体" w:hAnsi="宋体" w:cs="宋体"/>
          <w:szCs w:val="21"/>
        </w:rPr>
      </w:pPr>
      <w:r>
        <w:rPr>
          <w:rFonts w:hint="eastAsia" w:ascii="宋体" w:hAnsi="宋体" w:cs="宋体"/>
          <w:szCs w:val="21"/>
        </w:rPr>
        <w:t>(l）投标截止时间止，投标人少于3 个的；</w:t>
      </w:r>
    </w:p>
    <w:p>
      <w:pPr>
        <w:spacing w:line="360" w:lineRule="auto"/>
        <w:ind w:firstLine="420" w:firstLineChars="200"/>
        <w:rPr>
          <w:rFonts w:ascii="宋体" w:hAnsi="宋体" w:cs="宋体"/>
          <w:szCs w:val="21"/>
        </w:rPr>
      </w:pPr>
      <w:r>
        <w:rPr>
          <w:rFonts w:hint="eastAsia" w:ascii="宋体" w:hAnsi="宋体" w:cs="宋体"/>
          <w:szCs w:val="21"/>
        </w:rPr>
        <w:t>(2）合格投标人不足三家的。</w:t>
      </w:r>
    </w:p>
    <w:p>
      <w:pPr>
        <w:pStyle w:val="6"/>
        <w:rPr>
          <w:rFonts w:ascii="宋体" w:hAnsi="宋体" w:cs="宋体"/>
          <w:szCs w:val="21"/>
        </w:rPr>
      </w:pPr>
      <w:r>
        <w:rPr>
          <w:rFonts w:hint="eastAsia" w:ascii="宋体" w:hAnsi="宋体" w:cs="宋体"/>
          <w:szCs w:val="21"/>
        </w:rPr>
        <w:t>10.2 不再评标</w:t>
      </w:r>
    </w:p>
    <w:p>
      <w:pPr>
        <w:spacing w:line="360" w:lineRule="auto"/>
        <w:ind w:firstLine="420" w:firstLineChars="200"/>
        <w:rPr>
          <w:rFonts w:ascii="宋体" w:hAnsi="宋体" w:cs="宋体"/>
          <w:szCs w:val="21"/>
        </w:rPr>
      </w:pPr>
      <w:r>
        <w:rPr>
          <w:rFonts w:hint="eastAsia" w:ascii="宋体" w:hAnsi="宋体" w:cs="宋体"/>
          <w:szCs w:val="21"/>
        </w:rPr>
        <w:t>执行有关法律、法规和规章的规定。</w:t>
      </w:r>
    </w:p>
    <w:p>
      <w:pPr>
        <w:pStyle w:val="5"/>
        <w:spacing w:line="240" w:lineRule="auto"/>
        <w:rPr>
          <w:rFonts w:ascii="宋体" w:hAnsi="宋体" w:cs="宋体"/>
          <w:sz w:val="21"/>
          <w:szCs w:val="21"/>
        </w:rPr>
      </w:pPr>
      <w:bookmarkStart w:id="410" w:name="_Toc285097640"/>
      <w:bookmarkStart w:id="411" w:name="_Toc20228"/>
      <w:bookmarkStart w:id="412" w:name="_Toc13330"/>
      <w:bookmarkStart w:id="413" w:name="_Toc20038"/>
      <w:bookmarkStart w:id="414" w:name="_Toc9161"/>
      <w:bookmarkStart w:id="415" w:name="_Toc13120"/>
      <w:bookmarkStart w:id="416" w:name="_Toc2780"/>
      <w:bookmarkStart w:id="417" w:name="_Toc13367"/>
      <w:bookmarkStart w:id="418" w:name="_Toc6992"/>
      <w:bookmarkStart w:id="419" w:name="_Toc27956"/>
      <w:bookmarkStart w:id="420" w:name="_Toc19614"/>
      <w:bookmarkStart w:id="421" w:name="_Toc13891"/>
      <w:bookmarkStart w:id="422" w:name="_Toc31128"/>
      <w:bookmarkStart w:id="423" w:name="_Toc8530"/>
      <w:bookmarkStart w:id="424" w:name="_Toc18212"/>
      <w:bookmarkStart w:id="425" w:name="_Toc12812"/>
      <w:bookmarkStart w:id="426" w:name="_Toc32435"/>
      <w:bookmarkStart w:id="427" w:name="_Toc1668"/>
      <w:bookmarkStart w:id="428" w:name="_Toc10609"/>
      <w:bookmarkStart w:id="429" w:name="_Toc8408"/>
      <w:bookmarkStart w:id="430" w:name="_Toc15225"/>
      <w:bookmarkStart w:id="431" w:name="_Toc285638251"/>
      <w:bookmarkStart w:id="432" w:name="_Toc21791"/>
      <w:bookmarkStart w:id="433" w:name="_Toc12092"/>
      <w:bookmarkStart w:id="434" w:name="_Toc22288"/>
      <w:bookmarkStart w:id="435" w:name="_Toc8920"/>
      <w:bookmarkStart w:id="436" w:name="_Toc184635079"/>
      <w:bookmarkStart w:id="437" w:name="_Toc10480"/>
      <w:bookmarkStart w:id="438" w:name="_Toc10955"/>
      <w:bookmarkStart w:id="439" w:name="_Toc26460"/>
      <w:bookmarkStart w:id="440" w:name="_Toc16325"/>
      <w:bookmarkStart w:id="441" w:name="_Toc498527873"/>
      <w:r>
        <w:rPr>
          <w:rFonts w:hint="eastAsia" w:ascii="宋体" w:hAnsi="宋体" w:cs="宋体"/>
          <w:sz w:val="21"/>
          <w:szCs w:val="21"/>
        </w:rPr>
        <w:t>11．纪律和监督</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pPr>
        <w:pStyle w:val="6"/>
        <w:rPr>
          <w:rFonts w:ascii="宋体" w:hAnsi="宋体" w:cs="宋体"/>
          <w:szCs w:val="21"/>
        </w:rPr>
      </w:pPr>
      <w:r>
        <w:rPr>
          <w:rFonts w:hint="eastAsia" w:ascii="宋体" w:hAnsi="宋体" w:cs="宋体"/>
          <w:szCs w:val="21"/>
        </w:rPr>
        <w:t>11.1 对采购人的纪律要求</w:t>
      </w:r>
    </w:p>
    <w:p>
      <w:pPr>
        <w:spacing w:line="360" w:lineRule="auto"/>
        <w:ind w:firstLine="420" w:firstLineChars="200"/>
        <w:rPr>
          <w:rFonts w:ascii="宋体" w:hAnsi="宋体" w:cs="宋体"/>
          <w:szCs w:val="21"/>
        </w:rPr>
      </w:pPr>
      <w:r>
        <w:rPr>
          <w:rFonts w:hint="eastAsia" w:ascii="宋体" w:hAnsi="宋体" w:cs="宋体"/>
          <w:szCs w:val="21"/>
        </w:rPr>
        <w:t>采购人不得泄漏招标投标活动中应当保密的情况和资料，不得与投标人串通损害国家利益、社会公共利益或者他人合法权益。</w:t>
      </w:r>
    </w:p>
    <w:p>
      <w:pPr>
        <w:pStyle w:val="6"/>
        <w:rPr>
          <w:rFonts w:ascii="宋体" w:hAnsi="宋体" w:cs="宋体"/>
          <w:szCs w:val="21"/>
        </w:rPr>
      </w:pPr>
      <w:r>
        <w:rPr>
          <w:rFonts w:hint="eastAsia" w:ascii="宋体" w:hAnsi="宋体" w:cs="宋体"/>
          <w:szCs w:val="21"/>
        </w:rPr>
        <w:t>11.2 对投标人的纪律要求</w:t>
      </w:r>
    </w:p>
    <w:p>
      <w:pPr>
        <w:spacing w:line="360" w:lineRule="auto"/>
        <w:ind w:firstLine="420" w:firstLineChars="200"/>
        <w:rPr>
          <w:rFonts w:ascii="宋体" w:hAnsi="宋体" w:cs="宋体"/>
          <w:szCs w:val="21"/>
        </w:rPr>
      </w:pPr>
      <w:r>
        <w:rPr>
          <w:rFonts w:hint="eastAsia" w:ascii="宋体" w:hAnsi="宋体" w:cs="宋体"/>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pPr>
        <w:pStyle w:val="6"/>
        <w:rPr>
          <w:rFonts w:ascii="宋体" w:hAnsi="宋体" w:cs="宋体"/>
          <w:szCs w:val="21"/>
        </w:rPr>
      </w:pPr>
      <w:r>
        <w:rPr>
          <w:rFonts w:hint="eastAsia" w:ascii="宋体" w:hAnsi="宋体" w:cs="宋体"/>
          <w:szCs w:val="21"/>
        </w:rPr>
        <w:t>11.3 对评标委员会成员的纪律要求</w:t>
      </w:r>
    </w:p>
    <w:p>
      <w:pPr>
        <w:spacing w:line="360" w:lineRule="auto"/>
        <w:ind w:firstLine="420" w:firstLineChars="200"/>
        <w:rPr>
          <w:rFonts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标因素和标准进行评标。</w:t>
      </w:r>
    </w:p>
    <w:p>
      <w:pPr>
        <w:pStyle w:val="6"/>
        <w:rPr>
          <w:rFonts w:ascii="宋体" w:hAnsi="宋体" w:cs="宋体"/>
          <w:szCs w:val="21"/>
        </w:rPr>
      </w:pPr>
      <w:r>
        <w:rPr>
          <w:rFonts w:hint="eastAsia" w:ascii="宋体" w:hAnsi="宋体" w:cs="宋体"/>
          <w:szCs w:val="21"/>
        </w:rPr>
        <w:t>11.4 对与评标活动有关的工作人员的纪律要求</w:t>
      </w:r>
    </w:p>
    <w:p>
      <w:pPr>
        <w:spacing w:line="360" w:lineRule="auto"/>
        <w:ind w:firstLine="420" w:firstLineChars="200"/>
        <w:rPr>
          <w:rFonts w:ascii="宋体" w:hAnsi="宋体" w:cs="宋体"/>
          <w:szCs w:val="21"/>
        </w:rPr>
      </w:pPr>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6"/>
        <w:rPr>
          <w:rFonts w:ascii="宋体" w:hAnsi="宋体" w:cs="宋体"/>
          <w:szCs w:val="21"/>
        </w:rPr>
      </w:pPr>
      <w:r>
        <w:rPr>
          <w:rFonts w:hint="eastAsia" w:ascii="宋体" w:hAnsi="宋体" w:cs="宋体"/>
          <w:szCs w:val="21"/>
        </w:rPr>
        <w:t>11.5 投诉</w:t>
      </w:r>
    </w:p>
    <w:p>
      <w:pPr>
        <w:spacing w:line="360" w:lineRule="auto"/>
        <w:ind w:firstLine="420" w:firstLineChars="200"/>
        <w:rPr>
          <w:rFonts w:ascii="宋体" w:hAnsi="宋体" w:cs="宋体"/>
          <w:szCs w:val="21"/>
        </w:rPr>
      </w:pPr>
      <w:r>
        <w:rPr>
          <w:rFonts w:hint="eastAsia" w:ascii="宋体" w:hAnsi="宋体" w:cs="宋体"/>
          <w:szCs w:val="21"/>
        </w:rPr>
        <w:t>投标人和其他利害关系人认为本次招标活动违反法律、法规和规章规定的，有权向有关行政监督部门投诉。</w:t>
      </w:r>
    </w:p>
    <w:p>
      <w:pPr>
        <w:pStyle w:val="5"/>
        <w:spacing w:line="240" w:lineRule="auto"/>
        <w:rPr>
          <w:rFonts w:ascii="宋体" w:hAnsi="宋体" w:cs="宋体"/>
          <w:sz w:val="21"/>
          <w:szCs w:val="21"/>
        </w:rPr>
      </w:pPr>
      <w:bookmarkStart w:id="442" w:name="_Toc20236"/>
      <w:bookmarkStart w:id="443" w:name="_Toc27755"/>
      <w:bookmarkStart w:id="444" w:name="_Toc24184"/>
      <w:bookmarkStart w:id="445" w:name="_Toc15708"/>
      <w:bookmarkStart w:id="446" w:name="_Toc16129"/>
      <w:bookmarkStart w:id="447" w:name="_Toc561"/>
      <w:bookmarkStart w:id="448" w:name="_Toc10234"/>
      <w:bookmarkStart w:id="449" w:name="_Toc542"/>
      <w:bookmarkStart w:id="450" w:name="_Toc804"/>
      <w:bookmarkStart w:id="451" w:name="_Toc12943"/>
      <w:bookmarkStart w:id="452" w:name="_Toc406396999"/>
      <w:bookmarkStart w:id="453" w:name="_Toc26057"/>
      <w:bookmarkStart w:id="454" w:name="_Toc21326"/>
      <w:bookmarkStart w:id="455" w:name="_Toc7356"/>
      <w:bookmarkStart w:id="456" w:name="_Toc7949"/>
      <w:bookmarkStart w:id="457" w:name="_Toc368"/>
      <w:bookmarkStart w:id="458" w:name="_Toc26818"/>
      <w:bookmarkStart w:id="459" w:name="_Toc5936"/>
      <w:bookmarkStart w:id="460" w:name="_Toc22814"/>
      <w:bookmarkStart w:id="461" w:name="_Toc28608"/>
      <w:bookmarkStart w:id="462" w:name="_Toc31223"/>
      <w:bookmarkStart w:id="463" w:name="_Toc498527874"/>
      <w:bookmarkStart w:id="464" w:name="_Toc16328"/>
      <w:bookmarkStart w:id="465" w:name="_Toc26385"/>
      <w:bookmarkStart w:id="466" w:name="_Toc15248"/>
      <w:bookmarkStart w:id="467" w:name="_Toc30782"/>
      <w:bookmarkStart w:id="468" w:name="_Toc19044"/>
      <w:bookmarkStart w:id="469" w:name="_Toc20225"/>
      <w:bookmarkStart w:id="470" w:name="_Toc30286"/>
      <w:bookmarkStart w:id="471" w:name="_Toc6629"/>
      <w:bookmarkStart w:id="472" w:name="_Toc6909"/>
      <w:bookmarkStart w:id="473" w:name="_Toc285097641"/>
      <w:bookmarkStart w:id="474" w:name="_Toc285638252"/>
      <w:bookmarkStart w:id="475" w:name="_Toc184635080"/>
      <w:r>
        <w:rPr>
          <w:rFonts w:hint="eastAsia" w:ascii="宋体" w:hAnsi="宋体" w:cs="宋体"/>
          <w:sz w:val="21"/>
          <w:szCs w:val="21"/>
        </w:rPr>
        <w:t>12、政府采购政策</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pPr>
        <w:pStyle w:val="39"/>
        <w:spacing w:line="360" w:lineRule="auto"/>
        <w:ind w:firstLine="420" w:firstLineChars="200"/>
        <w:jc w:val="both"/>
        <w:rPr>
          <w:sz w:val="21"/>
          <w:szCs w:val="21"/>
        </w:rPr>
      </w:pPr>
      <w:bookmarkStart w:id="476" w:name="_Toc498527875"/>
      <w:r>
        <w:rPr>
          <w:rFonts w:hint="eastAsia"/>
          <w:bCs/>
          <w:sz w:val="21"/>
          <w:szCs w:val="21"/>
        </w:rPr>
        <w:t>本项目执行节约能源、保护环境、扶持不发达地区和少数民族地区、促进中小企业发展等政府采购政策（监狱企业、残疾人福利性企业视同小微企业）。</w:t>
      </w:r>
    </w:p>
    <w:p>
      <w:pPr>
        <w:pStyle w:val="5"/>
        <w:spacing w:line="240" w:lineRule="auto"/>
        <w:rPr>
          <w:rFonts w:ascii="宋体" w:hAnsi="宋体" w:cs="宋体"/>
          <w:sz w:val="21"/>
          <w:szCs w:val="21"/>
        </w:rPr>
      </w:pPr>
      <w:bookmarkStart w:id="477" w:name="_Toc25585"/>
      <w:bookmarkStart w:id="478" w:name="_Toc21514"/>
      <w:bookmarkStart w:id="479" w:name="_Toc28692"/>
      <w:bookmarkStart w:id="480" w:name="_Toc24709"/>
      <w:bookmarkStart w:id="481" w:name="_Toc1818"/>
      <w:bookmarkStart w:id="482" w:name="_Toc31759"/>
      <w:bookmarkStart w:id="483" w:name="_Toc8233"/>
      <w:bookmarkStart w:id="484" w:name="_Toc26237"/>
      <w:bookmarkStart w:id="485" w:name="_Toc20894"/>
      <w:bookmarkStart w:id="486" w:name="_Toc4613"/>
      <w:bookmarkStart w:id="487" w:name="_Toc27890"/>
      <w:bookmarkStart w:id="488" w:name="_Toc14794"/>
      <w:bookmarkStart w:id="489" w:name="_Toc3952"/>
      <w:bookmarkStart w:id="490" w:name="_Toc14638"/>
      <w:bookmarkStart w:id="491" w:name="_Toc13782"/>
      <w:bookmarkStart w:id="492" w:name="_Toc27214"/>
      <w:bookmarkStart w:id="493" w:name="_Toc30074"/>
      <w:bookmarkStart w:id="494" w:name="_Toc13482"/>
      <w:bookmarkStart w:id="495" w:name="_Toc30481"/>
      <w:bookmarkStart w:id="496" w:name="_Toc3819"/>
      <w:bookmarkStart w:id="497" w:name="_Toc16902"/>
      <w:bookmarkStart w:id="498" w:name="_Toc3292"/>
      <w:bookmarkStart w:id="499" w:name="_Toc24214"/>
      <w:bookmarkStart w:id="500" w:name="_Toc6959"/>
      <w:bookmarkStart w:id="501" w:name="_Toc11780"/>
      <w:bookmarkStart w:id="502" w:name="_Toc20527"/>
      <w:bookmarkStart w:id="503" w:name="_Toc18762"/>
      <w:bookmarkStart w:id="504" w:name="_Toc109"/>
      <w:r>
        <w:rPr>
          <w:rFonts w:hint="eastAsia" w:ascii="宋体" w:hAnsi="宋体" w:cs="宋体"/>
          <w:sz w:val="21"/>
          <w:szCs w:val="21"/>
        </w:rPr>
        <w:t>13、需要补充的其他内容</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pPr>
        <w:spacing w:line="360" w:lineRule="auto"/>
        <w:ind w:firstLine="420" w:firstLineChars="200"/>
        <w:rPr>
          <w:rFonts w:ascii="宋体" w:hAnsi="宋体" w:cs="宋体"/>
          <w:szCs w:val="21"/>
        </w:rPr>
      </w:pPr>
      <w:r>
        <w:rPr>
          <w:rFonts w:hint="eastAsia" w:ascii="宋体" w:hAnsi="宋体" w:cs="宋体"/>
          <w:szCs w:val="21"/>
        </w:rPr>
        <w:t>需要补充的其他内容：见投标人须知前附表。</w:t>
      </w:r>
    </w:p>
    <w:p>
      <w:pPr>
        <w:widowControl/>
        <w:spacing w:line="600" w:lineRule="exact"/>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附表</w:t>
      </w:r>
    </w:p>
    <w:p>
      <w:pPr>
        <w:widowControl/>
        <w:spacing w:line="330" w:lineRule="atLeast"/>
        <w:jc w:val="center"/>
        <w:rPr>
          <w:rFonts w:hint="eastAsia" w:ascii="方正小标宋_GBK" w:hAnsi="宋体" w:eastAsia="方正小标宋_GBK" w:cs="宋体"/>
          <w:color w:val="000000"/>
          <w:kern w:val="0"/>
          <w:sz w:val="36"/>
          <w:szCs w:val="32"/>
        </w:rPr>
      </w:pPr>
      <w:r>
        <w:rPr>
          <w:rFonts w:hint="eastAsia" w:ascii="方正小标宋_GBK" w:hAnsi="宋体" w:eastAsia="方正小标宋_GBK" w:cs="宋体"/>
          <w:color w:val="000000"/>
          <w:kern w:val="0"/>
          <w:sz w:val="36"/>
          <w:szCs w:val="32"/>
        </w:rPr>
        <w:t>统计上大中小微型企业划分标准</w:t>
      </w:r>
    </w:p>
    <w:tbl>
      <w:tblPr>
        <w:tblStyle w:val="22"/>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仿宋" w:cs="宋体"/>
                <w:b/>
                <w:bCs/>
                <w:color w:val="000000"/>
                <w:kern w:val="0"/>
                <w:sz w:val="18"/>
                <w:szCs w:val="18"/>
                <w:lang w:eastAsia="zh-CN"/>
              </w:rPr>
            </w:pPr>
            <w:r>
              <w:rPr>
                <w:rFonts w:hint="eastAsia" w:ascii="宋体" w:hAnsi="宋体" w:cs="宋体"/>
                <w:b/>
                <w:bCs/>
                <w:color w:val="000000"/>
                <w:kern w:val="0"/>
                <w:sz w:val="18"/>
                <w:szCs w:val="18"/>
              </w:rPr>
              <w:t>计量</w:t>
            </w:r>
          </w:p>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540" w:lineRule="exact"/>
        <w:rPr>
          <w:rFonts w:ascii="仿宋_GB2312" w:hAnsi="宋体" w:eastAsia="仿宋_GB2312" w:cs="宋体"/>
          <w:color w:val="000000"/>
          <w:spacing w:val="8"/>
          <w:kern w:val="0"/>
          <w:sz w:val="32"/>
          <w:szCs w:val="32"/>
        </w:rPr>
      </w:pPr>
      <w:r>
        <w:rPr>
          <w:rFonts w:hint="eastAsia" w:ascii="仿宋_GB2312" w:hAnsi="Times New Roman" w:eastAsia="仿宋_GB2312" w:cs="宋体"/>
          <w:color w:val="000000"/>
          <w:spacing w:val="8"/>
          <w:kern w:val="0"/>
          <w:sz w:val="32"/>
          <w:szCs w:val="32"/>
        </w:rPr>
        <w:t>说明：</w:t>
      </w:r>
    </w:p>
    <w:p>
      <w:pPr>
        <w:spacing w:line="540" w:lineRule="exact"/>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　　1.大型、中型和小型企业须同时满足所列指标的下限，否则下划一档；微型企业只须满足所列指标中的一项即可。</w:t>
      </w:r>
    </w:p>
    <w:p>
      <w:pPr>
        <w:spacing w:line="540" w:lineRule="exact"/>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540" w:lineRule="exact"/>
        <w:rPr>
          <w:rFonts w:hint="eastAsia" w:ascii="宋体" w:hAnsi="宋体" w:eastAsia="宋体" w:cs="宋体"/>
          <w:sz w:val="21"/>
          <w:szCs w:val="21"/>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000000"/>
          <w:spacing w:val="8"/>
          <w:kern w:val="0"/>
          <w:sz w:val="21"/>
          <w:szCs w:val="21"/>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bookmarkEnd w:id="124"/>
    <w:p>
      <w:pPr>
        <w:pStyle w:val="3"/>
        <w:jc w:val="center"/>
        <w:rPr>
          <w:sz w:val="30"/>
          <w:szCs w:val="30"/>
        </w:rPr>
      </w:pPr>
      <w:bookmarkStart w:id="505" w:name="_Toc23863"/>
      <w:bookmarkStart w:id="506" w:name="_Toc27953"/>
      <w:bookmarkStart w:id="507" w:name="_Toc17934"/>
      <w:bookmarkStart w:id="508" w:name="_Toc25569"/>
      <w:bookmarkStart w:id="509" w:name="_Toc8750"/>
      <w:bookmarkStart w:id="510" w:name="_Toc24051"/>
      <w:bookmarkStart w:id="511" w:name="_Toc17429"/>
      <w:bookmarkStart w:id="512" w:name="_Toc3539"/>
      <w:bookmarkStart w:id="513" w:name="_Toc27281"/>
      <w:bookmarkStart w:id="514" w:name="_Toc22865"/>
      <w:bookmarkStart w:id="515" w:name="_Toc19677"/>
      <w:bookmarkStart w:id="516" w:name="_Toc24855"/>
      <w:bookmarkStart w:id="517" w:name="_Toc8356"/>
      <w:bookmarkStart w:id="518" w:name="_Toc461"/>
      <w:bookmarkStart w:id="519" w:name="_Toc25332"/>
      <w:bookmarkStart w:id="520" w:name="_Toc23548"/>
      <w:bookmarkStart w:id="521" w:name="_Toc1068"/>
      <w:bookmarkStart w:id="522" w:name="_Toc24062"/>
      <w:bookmarkStart w:id="523" w:name="_Toc472942903"/>
      <w:bookmarkStart w:id="524" w:name="_Toc2480"/>
      <w:bookmarkStart w:id="525" w:name="_Toc7433_WPSOffice_Level1"/>
      <w:bookmarkStart w:id="526" w:name="_Toc23248"/>
      <w:bookmarkStart w:id="527" w:name="_Toc23594"/>
      <w:bookmarkStart w:id="528" w:name="_Toc662"/>
      <w:bookmarkStart w:id="529" w:name="_Toc1001"/>
      <w:bookmarkStart w:id="530" w:name="_Toc31771"/>
      <w:bookmarkStart w:id="531" w:name="_Toc16973"/>
      <w:bookmarkStart w:id="532" w:name="_Toc28058_WPSOffice_Level2"/>
      <w:r>
        <w:rPr>
          <w:rFonts w:hint="eastAsia"/>
          <w:sz w:val="30"/>
          <w:szCs w:val="30"/>
        </w:rPr>
        <w:t>第三章 评标办法（综合评估法）</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pPr>
        <w:spacing w:line="360" w:lineRule="auto"/>
        <w:jc w:val="center"/>
        <w:rPr>
          <w:rFonts w:ascii="宋体" w:hAnsi="宋体"/>
          <w:b/>
          <w:sz w:val="24"/>
        </w:rPr>
      </w:pPr>
      <w:r>
        <w:rPr>
          <w:rFonts w:hint="eastAsia" w:ascii="宋体" w:hAnsi="宋体"/>
          <w:b/>
          <w:sz w:val="24"/>
        </w:rPr>
        <w:t>评标办法前附表</w:t>
      </w:r>
      <w:bookmarkEnd w:id="532"/>
    </w:p>
    <w:tbl>
      <w:tblPr>
        <w:tblStyle w:val="22"/>
        <w:tblW w:w="9461" w:type="dxa"/>
        <w:jc w:val="center"/>
        <w:tblLayout w:type="fixed"/>
        <w:tblCellMar>
          <w:top w:w="0" w:type="dxa"/>
          <w:left w:w="0" w:type="dxa"/>
          <w:bottom w:w="0" w:type="dxa"/>
          <w:right w:w="0" w:type="dxa"/>
        </w:tblCellMar>
      </w:tblPr>
      <w:tblGrid>
        <w:gridCol w:w="1046"/>
        <w:gridCol w:w="1201"/>
        <w:gridCol w:w="217"/>
        <w:gridCol w:w="1504"/>
        <w:gridCol w:w="259"/>
        <w:gridCol w:w="5234"/>
      </w:tblGrid>
      <w:tr>
        <w:tblPrEx>
          <w:tblCellMar>
            <w:top w:w="0" w:type="dxa"/>
            <w:left w:w="0" w:type="dxa"/>
            <w:bottom w:w="0" w:type="dxa"/>
            <w:right w:w="0" w:type="dxa"/>
          </w:tblCellMar>
        </w:tblPrEx>
        <w:trPr>
          <w:trHeight w:val="771" w:hRule="atLeast"/>
          <w:jc w:val="center"/>
        </w:trPr>
        <w:tc>
          <w:tcPr>
            <w:tcW w:w="2247" w:type="dxa"/>
            <w:gridSpan w:val="2"/>
            <w:tcBorders>
              <w:top w:val="single" w:color="auto" w:sz="4" w:space="0"/>
              <w:left w:val="single" w:color="auto" w:sz="4" w:space="0"/>
              <w:bottom w:val="single" w:color="000000" w:sz="4" w:space="0"/>
              <w:right w:val="single" w:color="000000" w:sz="4" w:space="0"/>
            </w:tcBorders>
            <w:vAlign w:val="center"/>
          </w:tcPr>
          <w:p>
            <w:pPr>
              <w:spacing w:before="50" w:line="500" w:lineRule="exact"/>
              <w:ind w:right="97" w:firstLine="59" w:firstLineChars="28"/>
              <w:jc w:val="center"/>
              <w:rPr>
                <w:rFonts w:ascii="宋体" w:hAnsi="宋体" w:cs="宋体"/>
                <w:b/>
                <w:bCs/>
                <w:szCs w:val="21"/>
              </w:rPr>
            </w:pPr>
            <w:bookmarkStart w:id="533" w:name="_Toc472942904"/>
            <w:r>
              <w:rPr>
                <w:rFonts w:hint="eastAsia" w:ascii="宋体" w:hAnsi="宋体" w:cs="宋体"/>
                <w:b/>
                <w:bCs/>
                <w:szCs w:val="21"/>
              </w:rPr>
              <w:t>评审品目</w:t>
            </w:r>
          </w:p>
        </w:tc>
        <w:tc>
          <w:tcPr>
            <w:tcW w:w="1980" w:type="dxa"/>
            <w:gridSpan w:val="3"/>
            <w:tcBorders>
              <w:top w:val="single" w:color="auto" w:sz="4" w:space="0"/>
              <w:left w:val="single" w:color="000000" w:sz="4" w:space="0"/>
              <w:bottom w:val="single" w:color="000000" w:sz="4" w:space="0"/>
              <w:right w:val="single" w:color="000000" w:sz="4" w:space="0"/>
            </w:tcBorders>
            <w:vAlign w:val="center"/>
          </w:tcPr>
          <w:p>
            <w:pPr>
              <w:spacing w:before="50" w:line="500" w:lineRule="exact"/>
              <w:ind w:right="97" w:firstLine="59" w:firstLineChars="28"/>
              <w:jc w:val="center"/>
              <w:rPr>
                <w:rFonts w:ascii="宋体" w:hAnsi="宋体" w:cs="宋体"/>
                <w:b/>
                <w:bCs/>
                <w:szCs w:val="21"/>
              </w:rPr>
            </w:pPr>
            <w:r>
              <w:rPr>
                <w:rFonts w:hint="eastAsia" w:ascii="宋体" w:hAnsi="宋体" w:cs="宋体"/>
                <w:b/>
                <w:bCs/>
                <w:szCs w:val="21"/>
              </w:rPr>
              <w:t>评审因素</w:t>
            </w:r>
          </w:p>
        </w:tc>
        <w:tc>
          <w:tcPr>
            <w:tcW w:w="5234" w:type="dxa"/>
            <w:tcBorders>
              <w:top w:val="single" w:color="auto" w:sz="4" w:space="0"/>
              <w:left w:val="single" w:color="000000" w:sz="4" w:space="0"/>
              <w:bottom w:val="single" w:color="000000" w:sz="4" w:space="0"/>
              <w:right w:val="single" w:color="auto" w:sz="4" w:space="0"/>
            </w:tcBorders>
            <w:vAlign w:val="center"/>
          </w:tcPr>
          <w:p>
            <w:pPr>
              <w:spacing w:before="50" w:line="500" w:lineRule="exact"/>
              <w:ind w:right="97" w:firstLine="59" w:firstLineChars="28"/>
              <w:jc w:val="center"/>
              <w:rPr>
                <w:rFonts w:ascii="宋体" w:hAnsi="宋体" w:cs="宋体"/>
                <w:b/>
                <w:bCs/>
                <w:szCs w:val="21"/>
              </w:rPr>
            </w:pPr>
            <w:r>
              <w:rPr>
                <w:rFonts w:hint="eastAsia" w:ascii="宋体" w:hAnsi="宋体" w:cs="宋体"/>
                <w:b/>
                <w:bCs/>
                <w:szCs w:val="21"/>
              </w:rPr>
              <w:t>评审标准</w:t>
            </w:r>
          </w:p>
        </w:tc>
      </w:tr>
      <w:tr>
        <w:tblPrEx>
          <w:tblCellMar>
            <w:top w:w="0" w:type="dxa"/>
            <w:left w:w="0" w:type="dxa"/>
            <w:bottom w:w="0" w:type="dxa"/>
            <w:right w:w="0" w:type="dxa"/>
          </w:tblCellMar>
        </w:tblPrEx>
        <w:trPr>
          <w:trHeight w:val="771" w:hRule="atLeast"/>
          <w:jc w:val="center"/>
        </w:trPr>
        <w:tc>
          <w:tcPr>
            <w:tcW w:w="9461" w:type="dxa"/>
            <w:gridSpan w:val="6"/>
            <w:tcBorders>
              <w:top w:val="single" w:color="auto" w:sz="4" w:space="0"/>
              <w:left w:val="single" w:color="auto" w:sz="4" w:space="0"/>
              <w:bottom w:val="single" w:color="000000" w:sz="4" w:space="0"/>
              <w:right w:val="single" w:color="auto" w:sz="4" w:space="0"/>
            </w:tcBorders>
            <w:vAlign w:val="center"/>
          </w:tcPr>
          <w:p>
            <w:pPr>
              <w:spacing w:before="50" w:line="500" w:lineRule="exact"/>
              <w:ind w:right="97" w:firstLine="59" w:firstLineChars="28"/>
              <w:jc w:val="center"/>
              <w:rPr>
                <w:rFonts w:ascii="宋体" w:hAnsi="宋体" w:cs="宋体"/>
                <w:b/>
                <w:bCs/>
                <w:szCs w:val="21"/>
              </w:rPr>
            </w:pPr>
            <w:r>
              <w:rPr>
                <w:rFonts w:hint="eastAsia" w:ascii="宋体" w:hAnsi="宋体" w:cs="宋体"/>
                <w:b/>
                <w:bCs/>
                <w:szCs w:val="21"/>
              </w:rPr>
              <w:t>初步评审</w:t>
            </w:r>
          </w:p>
        </w:tc>
      </w:tr>
      <w:tr>
        <w:tblPrEx>
          <w:tblCellMar>
            <w:top w:w="0" w:type="dxa"/>
            <w:left w:w="0" w:type="dxa"/>
            <w:bottom w:w="0" w:type="dxa"/>
            <w:right w:w="0" w:type="dxa"/>
          </w:tblCellMar>
        </w:tblPrEx>
        <w:trPr>
          <w:trHeight w:val="567" w:hRule="atLeast"/>
          <w:jc w:val="center"/>
        </w:trPr>
        <w:tc>
          <w:tcPr>
            <w:tcW w:w="2247" w:type="dxa"/>
            <w:gridSpan w:val="2"/>
            <w:vMerge w:val="restart"/>
            <w:tcBorders>
              <w:top w:val="single" w:color="000000" w:sz="4" w:space="0"/>
              <w:left w:val="single" w:color="auto" w:sz="4" w:space="0"/>
              <w:right w:val="single" w:color="000000" w:sz="4" w:space="0"/>
            </w:tcBorders>
            <w:vAlign w:val="center"/>
          </w:tcPr>
          <w:p>
            <w:pPr>
              <w:spacing w:before="50" w:line="500" w:lineRule="exact"/>
              <w:ind w:right="97" w:firstLine="58" w:firstLineChars="28"/>
              <w:jc w:val="center"/>
              <w:rPr>
                <w:rFonts w:ascii="宋体" w:hAnsi="宋体" w:cs="宋体"/>
                <w:szCs w:val="21"/>
              </w:rPr>
            </w:pPr>
            <w:r>
              <w:rPr>
                <w:rFonts w:hint="eastAsia" w:ascii="宋体" w:hAnsi="宋体" w:cs="宋体"/>
                <w:szCs w:val="21"/>
              </w:rPr>
              <w:t>形式评审</w:t>
            </w:r>
          </w:p>
        </w:tc>
        <w:tc>
          <w:tcPr>
            <w:tcW w:w="1980" w:type="dxa"/>
            <w:gridSpan w:val="3"/>
            <w:tcBorders>
              <w:top w:val="single" w:color="000000" w:sz="4" w:space="0"/>
              <w:left w:val="single" w:color="000000" w:sz="4" w:space="0"/>
              <w:bottom w:val="single" w:color="000000" w:sz="4" w:space="0"/>
              <w:right w:val="single" w:color="000000" w:sz="4" w:space="0"/>
            </w:tcBorders>
            <w:vAlign w:val="center"/>
          </w:tcPr>
          <w:p>
            <w:pPr>
              <w:spacing w:before="50" w:line="500" w:lineRule="exact"/>
              <w:ind w:right="97" w:firstLine="58" w:firstLineChars="28"/>
              <w:jc w:val="center"/>
              <w:rPr>
                <w:rFonts w:ascii="宋体" w:hAnsi="宋体" w:cs="宋体"/>
                <w:szCs w:val="21"/>
              </w:rPr>
            </w:pPr>
            <w:r>
              <w:rPr>
                <w:rFonts w:hint="eastAsia" w:ascii="宋体" w:hAnsi="宋体" w:cs="宋体"/>
                <w:szCs w:val="21"/>
              </w:rPr>
              <w:t>投标人名称</w:t>
            </w:r>
          </w:p>
        </w:tc>
        <w:tc>
          <w:tcPr>
            <w:tcW w:w="5234" w:type="dxa"/>
            <w:tcBorders>
              <w:top w:val="single" w:color="000000" w:sz="4" w:space="0"/>
              <w:left w:val="single" w:color="000000" w:sz="4" w:space="0"/>
              <w:bottom w:val="single" w:color="000000" w:sz="4" w:space="0"/>
              <w:right w:val="single" w:color="auto" w:sz="4" w:space="0"/>
            </w:tcBorders>
            <w:vAlign w:val="center"/>
          </w:tcPr>
          <w:p>
            <w:pPr>
              <w:spacing w:before="50" w:line="500" w:lineRule="exact"/>
              <w:ind w:right="97" w:firstLine="58" w:firstLineChars="28"/>
              <w:jc w:val="center"/>
              <w:rPr>
                <w:rFonts w:ascii="宋体" w:hAnsi="宋体" w:cs="宋体"/>
                <w:szCs w:val="21"/>
              </w:rPr>
            </w:pPr>
            <w:r>
              <w:rPr>
                <w:rFonts w:hint="eastAsia" w:ascii="宋体" w:hAnsi="宋体" w:cs="宋体"/>
                <w:szCs w:val="21"/>
              </w:rPr>
              <w:t>符合第二部分“投标人须知”规定</w:t>
            </w:r>
          </w:p>
        </w:tc>
      </w:tr>
      <w:tr>
        <w:tblPrEx>
          <w:tblCellMar>
            <w:top w:w="0" w:type="dxa"/>
            <w:left w:w="0" w:type="dxa"/>
            <w:bottom w:w="0" w:type="dxa"/>
            <w:right w:w="0" w:type="dxa"/>
          </w:tblCellMar>
        </w:tblPrEx>
        <w:trPr>
          <w:trHeight w:val="567" w:hRule="atLeast"/>
          <w:jc w:val="center"/>
        </w:trPr>
        <w:tc>
          <w:tcPr>
            <w:tcW w:w="2247" w:type="dxa"/>
            <w:gridSpan w:val="2"/>
            <w:vMerge w:val="continue"/>
            <w:tcBorders>
              <w:left w:val="single" w:color="auto" w:sz="4" w:space="0"/>
              <w:right w:val="single" w:color="000000" w:sz="4" w:space="0"/>
            </w:tcBorders>
            <w:vAlign w:val="center"/>
          </w:tcPr>
          <w:p>
            <w:pPr>
              <w:spacing w:before="50" w:line="500" w:lineRule="exact"/>
              <w:ind w:right="97" w:firstLine="58" w:firstLineChars="28"/>
              <w:jc w:val="center"/>
              <w:rPr>
                <w:rFonts w:ascii="宋体" w:hAnsi="宋体" w:cs="宋体"/>
                <w:szCs w:val="21"/>
              </w:rPr>
            </w:pPr>
          </w:p>
        </w:tc>
        <w:tc>
          <w:tcPr>
            <w:tcW w:w="1980" w:type="dxa"/>
            <w:gridSpan w:val="3"/>
            <w:tcBorders>
              <w:top w:val="single" w:color="000000" w:sz="4" w:space="0"/>
              <w:left w:val="single" w:color="000000" w:sz="4" w:space="0"/>
              <w:bottom w:val="single" w:color="000000" w:sz="4" w:space="0"/>
              <w:right w:val="single" w:color="000000" w:sz="4" w:space="0"/>
            </w:tcBorders>
            <w:vAlign w:val="center"/>
          </w:tcPr>
          <w:p>
            <w:pPr>
              <w:spacing w:before="50" w:line="500" w:lineRule="exact"/>
              <w:ind w:right="97" w:firstLine="58" w:firstLineChars="28"/>
              <w:jc w:val="center"/>
              <w:rPr>
                <w:rFonts w:ascii="宋体" w:hAnsi="宋体" w:cs="宋体"/>
                <w:szCs w:val="21"/>
              </w:rPr>
            </w:pPr>
            <w:r>
              <w:rPr>
                <w:rFonts w:hint="eastAsia" w:ascii="宋体" w:hAnsi="宋体" w:cs="宋体"/>
                <w:szCs w:val="21"/>
              </w:rPr>
              <w:t>投标函签字盖章</w:t>
            </w:r>
          </w:p>
        </w:tc>
        <w:tc>
          <w:tcPr>
            <w:tcW w:w="5234" w:type="dxa"/>
            <w:tcBorders>
              <w:top w:val="single" w:color="000000" w:sz="4" w:space="0"/>
              <w:left w:val="single" w:color="000000" w:sz="4" w:space="0"/>
              <w:bottom w:val="single" w:color="000000" w:sz="4" w:space="0"/>
              <w:right w:val="single" w:color="auto" w:sz="4" w:space="0"/>
            </w:tcBorders>
            <w:vAlign w:val="center"/>
          </w:tcPr>
          <w:p>
            <w:pPr>
              <w:spacing w:before="50" w:line="500" w:lineRule="exact"/>
              <w:ind w:right="97" w:firstLine="58" w:firstLineChars="28"/>
              <w:jc w:val="center"/>
              <w:rPr>
                <w:rFonts w:ascii="宋体" w:hAnsi="宋体" w:cs="宋体"/>
                <w:szCs w:val="21"/>
              </w:rPr>
            </w:pPr>
            <w:r>
              <w:rPr>
                <w:rFonts w:hint="eastAsia" w:ascii="宋体" w:hAnsi="宋体" w:cs="宋体"/>
                <w:szCs w:val="21"/>
              </w:rPr>
              <w:t>符合第二部分“投标人须知”规定</w:t>
            </w:r>
          </w:p>
        </w:tc>
      </w:tr>
      <w:tr>
        <w:tblPrEx>
          <w:tblCellMar>
            <w:top w:w="0" w:type="dxa"/>
            <w:left w:w="0" w:type="dxa"/>
            <w:bottom w:w="0" w:type="dxa"/>
            <w:right w:w="0" w:type="dxa"/>
          </w:tblCellMar>
        </w:tblPrEx>
        <w:trPr>
          <w:trHeight w:val="567" w:hRule="atLeast"/>
          <w:jc w:val="center"/>
        </w:trPr>
        <w:tc>
          <w:tcPr>
            <w:tcW w:w="2247"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r>
              <w:rPr>
                <w:rFonts w:hint="eastAsia" w:ascii="宋体" w:hAnsi="宋体" w:cs="宋体"/>
                <w:szCs w:val="21"/>
              </w:rPr>
              <w:t>资格评审</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r>
              <w:rPr>
                <w:rFonts w:hint="eastAsia" w:ascii="宋体" w:hAnsi="宋体" w:cs="宋体"/>
                <w:szCs w:val="21"/>
              </w:rPr>
              <w:t xml:space="preserve">营业执照 </w:t>
            </w:r>
          </w:p>
        </w:tc>
        <w:tc>
          <w:tcPr>
            <w:tcW w:w="5234" w:type="dxa"/>
            <w:tcBorders>
              <w:top w:val="single" w:color="auto" w:sz="4" w:space="0"/>
              <w:left w:val="single" w:color="auto" w:sz="4" w:space="0"/>
              <w:bottom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r>
              <w:rPr>
                <w:rFonts w:hint="eastAsia" w:ascii="宋体" w:hAnsi="宋体" w:cs="宋体"/>
                <w:szCs w:val="21"/>
              </w:rPr>
              <w:t>符合第二部分“投标人须知”规定</w:t>
            </w:r>
          </w:p>
        </w:tc>
      </w:tr>
      <w:tr>
        <w:tblPrEx>
          <w:tblCellMar>
            <w:top w:w="0" w:type="dxa"/>
            <w:left w:w="0" w:type="dxa"/>
            <w:bottom w:w="0" w:type="dxa"/>
            <w:right w:w="0" w:type="dxa"/>
          </w:tblCellMar>
        </w:tblPrEx>
        <w:trPr>
          <w:trHeight w:val="567" w:hRule="atLeast"/>
          <w:jc w:val="center"/>
        </w:trPr>
        <w:tc>
          <w:tcPr>
            <w:tcW w:w="2247"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p>
        </w:tc>
        <w:tc>
          <w:tcPr>
            <w:tcW w:w="1980" w:type="dxa"/>
            <w:gridSpan w:val="3"/>
            <w:tcBorders>
              <w:top w:val="single" w:color="auto" w:sz="4" w:space="0"/>
              <w:left w:val="single" w:color="auto" w:sz="4" w:space="0"/>
              <w:bottom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r>
              <w:rPr>
                <w:rFonts w:hint="eastAsia" w:ascii="宋体" w:hAnsi="宋体" w:cs="宋体"/>
                <w:szCs w:val="21"/>
              </w:rPr>
              <w:t>具有良好的商业信誉和健全的财务会计制度（承诺书）</w:t>
            </w:r>
          </w:p>
        </w:tc>
        <w:tc>
          <w:tcPr>
            <w:tcW w:w="5234" w:type="dxa"/>
            <w:tcBorders>
              <w:top w:val="single" w:color="auto" w:sz="4" w:space="0"/>
              <w:left w:val="single" w:color="auto" w:sz="4" w:space="0"/>
              <w:bottom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r>
              <w:rPr>
                <w:rFonts w:hint="eastAsia" w:ascii="宋体" w:hAnsi="宋体" w:cs="宋体"/>
                <w:szCs w:val="21"/>
              </w:rPr>
              <w:t>符合第二部分“投标人须知”规定</w:t>
            </w:r>
          </w:p>
        </w:tc>
      </w:tr>
      <w:tr>
        <w:tblPrEx>
          <w:tblCellMar>
            <w:top w:w="0" w:type="dxa"/>
            <w:left w:w="0" w:type="dxa"/>
            <w:bottom w:w="0" w:type="dxa"/>
            <w:right w:w="0" w:type="dxa"/>
          </w:tblCellMar>
        </w:tblPrEx>
        <w:trPr>
          <w:trHeight w:val="567" w:hRule="atLeast"/>
          <w:jc w:val="center"/>
        </w:trPr>
        <w:tc>
          <w:tcPr>
            <w:tcW w:w="2247"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p>
        </w:tc>
        <w:tc>
          <w:tcPr>
            <w:tcW w:w="1980" w:type="dxa"/>
            <w:gridSpan w:val="3"/>
            <w:tcBorders>
              <w:top w:val="single" w:color="auto" w:sz="4" w:space="0"/>
              <w:left w:val="single" w:color="auto" w:sz="4" w:space="0"/>
              <w:bottom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r>
              <w:rPr>
                <w:rFonts w:hint="eastAsia" w:ascii="宋体" w:hAnsi="宋体" w:cs="宋体"/>
                <w:szCs w:val="21"/>
              </w:rPr>
              <w:t>具有履行合同所必需的专业技术能力（承诺书）</w:t>
            </w:r>
          </w:p>
        </w:tc>
        <w:tc>
          <w:tcPr>
            <w:tcW w:w="5234" w:type="dxa"/>
            <w:tcBorders>
              <w:top w:val="single" w:color="auto" w:sz="4" w:space="0"/>
              <w:left w:val="single" w:color="auto" w:sz="4" w:space="0"/>
              <w:bottom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r>
              <w:rPr>
                <w:rFonts w:hint="eastAsia" w:ascii="宋体" w:hAnsi="宋体" w:cs="宋体"/>
                <w:szCs w:val="21"/>
              </w:rPr>
              <w:t>符合第二部分“投标人须知”规定</w:t>
            </w:r>
          </w:p>
        </w:tc>
      </w:tr>
      <w:tr>
        <w:tblPrEx>
          <w:tblCellMar>
            <w:top w:w="0" w:type="dxa"/>
            <w:left w:w="0" w:type="dxa"/>
            <w:bottom w:w="0" w:type="dxa"/>
            <w:right w:w="0" w:type="dxa"/>
          </w:tblCellMar>
        </w:tblPrEx>
        <w:trPr>
          <w:trHeight w:val="567" w:hRule="atLeast"/>
          <w:jc w:val="center"/>
        </w:trPr>
        <w:tc>
          <w:tcPr>
            <w:tcW w:w="2247"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p>
        </w:tc>
        <w:tc>
          <w:tcPr>
            <w:tcW w:w="1980" w:type="dxa"/>
            <w:gridSpan w:val="3"/>
            <w:tcBorders>
              <w:top w:val="single" w:color="auto" w:sz="4" w:space="0"/>
              <w:left w:val="single" w:color="auto" w:sz="4" w:space="0"/>
              <w:bottom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r>
              <w:rPr>
                <w:rFonts w:hint="eastAsia" w:ascii="宋体" w:hAnsi="宋体" w:cs="宋体"/>
                <w:szCs w:val="21"/>
              </w:rPr>
              <w:t>具有依法缴纳税收和社会保障资金的良好记录（承诺书）</w:t>
            </w:r>
          </w:p>
        </w:tc>
        <w:tc>
          <w:tcPr>
            <w:tcW w:w="5234" w:type="dxa"/>
            <w:tcBorders>
              <w:top w:val="single" w:color="auto" w:sz="4" w:space="0"/>
              <w:left w:val="single" w:color="auto" w:sz="4" w:space="0"/>
              <w:bottom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r>
              <w:rPr>
                <w:rFonts w:hint="eastAsia" w:ascii="宋体" w:hAnsi="宋体" w:cs="宋体"/>
                <w:szCs w:val="21"/>
              </w:rPr>
              <w:t>符合第二部分“投标人须知”规定</w:t>
            </w:r>
          </w:p>
        </w:tc>
      </w:tr>
      <w:tr>
        <w:tblPrEx>
          <w:tblCellMar>
            <w:top w:w="0" w:type="dxa"/>
            <w:left w:w="0" w:type="dxa"/>
            <w:bottom w:w="0" w:type="dxa"/>
            <w:right w:w="0" w:type="dxa"/>
          </w:tblCellMar>
        </w:tblPrEx>
        <w:trPr>
          <w:trHeight w:val="567" w:hRule="atLeast"/>
          <w:jc w:val="center"/>
        </w:trPr>
        <w:tc>
          <w:tcPr>
            <w:tcW w:w="2247"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p>
        </w:tc>
        <w:tc>
          <w:tcPr>
            <w:tcW w:w="1980" w:type="dxa"/>
            <w:gridSpan w:val="3"/>
            <w:tcBorders>
              <w:top w:val="single" w:color="auto" w:sz="4" w:space="0"/>
              <w:left w:val="single" w:color="auto" w:sz="4" w:space="0"/>
              <w:bottom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r>
              <w:rPr>
                <w:rFonts w:hint="eastAsia" w:ascii="宋体" w:hAnsi="宋体" w:cs="宋体"/>
                <w:szCs w:val="21"/>
              </w:rPr>
              <w:t>参加政府采购活动前三年内，在经营活动中没有重大违法记录（承诺书）</w:t>
            </w:r>
          </w:p>
        </w:tc>
        <w:tc>
          <w:tcPr>
            <w:tcW w:w="5234" w:type="dxa"/>
            <w:tcBorders>
              <w:top w:val="single" w:color="auto" w:sz="4" w:space="0"/>
              <w:left w:val="single" w:color="auto" w:sz="4" w:space="0"/>
              <w:bottom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r>
              <w:rPr>
                <w:rFonts w:hint="eastAsia" w:ascii="宋体" w:hAnsi="宋体" w:cs="宋体"/>
                <w:szCs w:val="21"/>
              </w:rPr>
              <w:t>符合第二部分“投标人须知”规定</w:t>
            </w:r>
          </w:p>
        </w:tc>
      </w:tr>
      <w:tr>
        <w:tblPrEx>
          <w:tblCellMar>
            <w:top w:w="0" w:type="dxa"/>
            <w:left w:w="0" w:type="dxa"/>
            <w:bottom w:w="0" w:type="dxa"/>
            <w:right w:w="0" w:type="dxa"/>
          </w:tblCellMar>
        </w:tblPrEx>
        <w:trPr>
          <w:trHeight w:val="567" w:hRule="atLeast"/>
          <w:jc w:val="center"/>
        </w:trPr>
        <w:tc>
          <w:tcPr>
            <w:tcW w:w="2247"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p>
        </w:tc>
        <w:tc>
          <w:tcPr>
            <w:tcW w:w="1980" w:type="dxa"/>
            <w:gridSpan w:val="3"/>
            <w:tcBorders>
              <w:top w:val="single" w:color="auto" w:sz="4" w:space="0"/>
              <w:left w:val="single" w:color="auto" w:sz="4" w:space="0"/>
              <w:bottom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r>
              <w:rPr>
                <w:rFonts w:hint="eastAsia" w:ascii="宋体" w:hAnsi="宋体" w:cs="宋体"/>
                <w:szCs w:val="21"/>
              </w:rPr>
              <w:t>特定资格要求</w:t>
            </w:r>
          </w:p>
        </w:tc>
        <w:tc>
          <w:tcPr>
            <w:tcW w:w="5234" w:type="dxa"/>
            <w:tcBorders>
              <w:top w:val="single" w:color="auto" w:sz="4" w:space="0"/>
              <w:left w:val="single" w:color="auto" w:sz="4" w:space="0"/>
              <w:bottom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r>
              <w:rPr>
                <w:rFonts w:hint="eastAsia" w:ascii="宋体" w:hAnsi="宋体" w:cs="宋体"/>
                <w:szCs w:val="21"/>
              </w:rPr>
              <w:t>符合第二部分“投标人须知”规定</w:t>
            </w:r>
          </w:p>
        </w:tc>
      </w:tr>
      <w:tr>
        <w:tblPrEx>
          <w:tblCellMar>
            <w:top w:w="0" w:type="dxa"/>
            <w:left w:w="0" w:type="dxa"/>
            <w:bottom w:w="0" w:type="dxa"/>
            <w:right w:w="0" w:type="dxa"/>
          </w:tblCellMar>
        </w:tblPrEx>
        <w:trPr>
          <w:trHeight w:val="567" w:hRule="atLeast"/>
          <w:jc w:val="center"/>
        </w:trPr>
        <w:tc>
          <w:tcPr>
            <w:tcW w:w="2247" w:type="dxa"/>
            <w:gridSpan w:val="2"/>
            <w:vMerge w:val="restart"/>
            <w:tcBorders>
              <w:top w:val="single" w:color="auto" w:sz="4" w:space="0"/>
              <w:left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r>
              <w:rPr>
                <w:rFonts w:hint="eastAsia" w:ascii="宋体" w:hAnsi="宋体" w:cs="宋体"/>
                <w:szCs w:val="21"/>
              </w:rPr>
              <w:t>响应性评审</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r>
              <w:rPr>
                <w:rFonts w:hint="eastAsia" w:ascii="宋体" w:hAnsi="宋体" w:cs="宋体"/>
                <w:szCs w:val="21"/>
              </w:rPr>
              <w:t>投标范围</w:t>
            </w:r>
          </w:p>
        </w:tc>
        <w:tc>
          <w:tcPr>
            <w:tcW w:w="5234" w:type="dxa"/>
            <w:tcBorders>
              <w:top w:val="single" w:color="auto" w:sz="4" w:space="0"/>
              <w:left w:val="single" w:color="auto" w:sz="4" w:space="0"/>
              <w:bottom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r>
              <w:rPr>
                <w:rFonts w:hint="eastAsia" w:ascii="宋体" w:hAnsi="宋体" w:cs="宋体"/>
                <w:szCs w:val="21"/>
              </w:rPr>
              <w:t>符合第二部分“投标人须知”规定</w:t>
            </w:r>
          </w:p>
        </w:tc>
      </w:tr>
      <w:tr>
        <w:tblPrEx>
          <w:tblCellMar>
            <w:top w:w="0" w:type="dxa"/>
            <w:left w:w="0" w:type="dxa"/>
            <w:bottom w:w="0" w:type="dxa"/>
            <w:right w:w="0" w:type="dxa"/>
          </w:tblCellMar>
        </w:tblPrEx>
        <w:trPr>
          <w:trHeight w:val="567" w:hRule="atLeast"/>
          <w:jc w:val="center"/>
        </w:trPr>
        <w:tc>
          <w:tcPr>
            <w:tcW w:w="2247" w:type="dxa"/>
            <w:gridSpan w:val="2"/>
            <w:vMerge w:val="continue"/>
            <w:tcBorders>
              <w:left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p>
        </w:tc>
        <w:tc>
          <w:tcPr>
            <w:tcW w:w="1980" w:type="dxa"/>
            <w:gridSpan w:val="3"/>
            <w:tcBorders>
              <w:top w:val="single" w:color="auto" w:sz="4" w:space="0"/>
              <w:left w:val="single" w:color="auto" w:sz="4" w:space="0"/>
              <w:bottom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r>
              <w:rPr>
                <w:rFonts w:hint="eastAsia" w:ascii="宋体" w:hAnsi="宋体" w:cs="宋体"/>
                <w:szCs w:val="21"/>
              </w:rPr>
              <w:t>供货安装及调试期限</w:t>
            </w:r>
          </w:p>
        </w:tc>
        <w:tc>
          <w:tcPr>
            <w:tcW w:w="5234" w:type="dxa"/>
            <w:tcBorders>
              <w:top w:val="single" w:color="auto" w:sz="4" w:space="0"/>
              <w:left w:val="single" w:color="auto" w:sz="4" w:space="0"/>
              <w:bottom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r>
              <w:rPr>
                <w:rFonts w:hint="eastAsia" w:ascii="宋体" w:hAnsi="宋体" w:cs="宋体"/>
                <w:szCs w:val="21"/>
              </w:rPr>
              <w:t>符合第二部分“投标人须知”规定</w:t>
            </w:r>
          </w:p>
        </w:tc>
      </w:tr>
      <w:tr>
        <w:tblPrEx>
          <w:tblCellMar>
            <w:top w:w="0" w:type="dxa"/>
            <w:left w:w="0" w:type="dxa"/>
            <w:bottom w:w="0" w:type="dxa"/>
            <w:right w:w="0" w:type="dxa"/>
          </w:tblCellMar>
        </w:tblPrEx>
        <w:trPr>
          <w:trHeight w:val="567" w:hRule="atLeast"/>
          <w:jc w:val="center"/>
        </w:trPr>
        <w:tc>
          <w:tcPr>
            <w:tcW w:w="2247" w:type="dxa"/>
            <w:gridSpan w:val="2"/>
            <w:vMerge w:val="continue"/>
            <w:tcBorders>
              <w:left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p>
        </w:tc>
        <w:tc>
          <w:tcPr>
            <w:tcW w:w="1980" w:type="dxa"/>
            <w:gridSpan w:val="3"/>
            <w:tcBorders>
              <w:top w:val="single" w:color="auto" w:sz="4" w:space="0"/>
              <w:left w:val="single" w:color="auto" w:sz="4" w:space="0"/>
              <w:bottom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r>
              <w:rPr>
                <w:rFonts w:hint="eastAsia" w:ascii="宋体" w:hAnsi="宋体" w:cs="宋体"/>
                <w:szCs w:val="21"/>
              </w:rPr>
              <w:t>质量要求</w:t>
            </w:r>
          </w:p>
        </w:tc>
        <w:tc>
          <w:tcPr>
            <w:tcW w:w="5234" w:type="dxa"/>
            <w:tcBorders>
              <w:top w:val="single" w:color="auto" w:sz="4" w:space="0"/>
              <w:left w:val="single" w:color="auto" w:sz="4" w:space="0"/>
              <w:bottom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r>
              <w:rPr>
                <w:rFonts w:hint="eastAsia" w:ascii="宋体" w:hAnsi="宋体" w:cs="宋体"/>
                <w:szCs w:val="21"/>
              </w:rPr>
              <w:t>符合第二部分“投标人须知”规定</w:t>
            </w:r>
          </w:p>
        </w:tc>
      </w:tr>
      <w:tr>
        <w:tblPrEx>
          <w:tblCellMar>
            <w:top w:w="0" w:type="dxa"/>
            <w:left w:w="0" w:type="dxa"/>
            <w:bottom w:w="0" w:type="dxa"/>
            <w:right w:w="0" w:type="dxa"/>
          </w:tblCellMar>
        </w:tblPrEx>
        <w:trPr>
          <w:trHeight w:val="567" w:hRule="atLeast"/>
          <w:jc w:val="center"/>
        </w:trPr>
        <w:tc>
          <w:tcPr>
            <w:tcW w:w="2247" w:type="dxa"/>
            <w:gridSpan w:val="2"/>
            <w:vMerge w:val="continue"/>
            <w:tcBorders>
              <w:left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p>
        </w:tc>
        <w:tc>
          <w:tcPr>
            <w:tcW w:w="1980" w:type="dxa"/>
            <w:gridSpan w:val="3"/>
            <w:tcBorders>
              <w:top w:val="single" w:color="auto" w:sz="4" w:space="0"/>
              <w:left w:val="single" w:color="auto" w:sz="4" w:space="0"/>
              <w:bottom w:val="single" w:color="auto" w:sz="4" w:space="0"/>
              <w:right w:val="single" w:color="auto" w:sz="4" w:space="0"/>
            </w:tcBorders>
            <w:vAlign w:val="center"/>
          </w:tcPr>
          <w:p>
            <w:pPr>
              <w:spacing w:before="50" w:line="500" w:lineRule="exact"/>
              <w:ind w:right="97" w:firstLine="58" w:firstLineChars="28"/>
              <w:jc w:val="center"/>
              <w:rPr>
                <w:rFonts w:hint="eastAsia" w:ascii="宋体" w:hAnsi="宋体" w:eastAsia="宋体" w:cs="宋体"/>
                <w:szCs w:val="21"/>
                <w:lang w:eastAsia="zh-CN"/>
              </w:rPr>
            </w:pPr>
            <w:r>
              <w:rPr>
                <w:rFonts w:hint="eastAsia" w:ascii="宋体" w:hAnsi="宋体" w:cs="宋体"/>
                <w:szCs w:val="21"/>
                <w:lang w:eastAsia="zh-CN"/>
              </w:rPr>
              <w:t>质保期</w:t>
            </w:r>
          </w:p>
        </w:tc>
        <w:tc>
          <w:tcPr>
            <w:tcW w:w="5234" w:type="dxa"/>
            <w:tcBorders>
              <w:top w:val="single" w:color="auto" w:sz="4" w:space="0"/>
              <w:left w:val="single" w:color="auto" w:sz="4" w:space="0"/>
              <w:bottom w:val="single" w:color="auto" w:sz="4" w:space="0"/>
              <w:right w:val="single" w:color="auto" w:sz="4" w:space="0"/>
            </w:tcBorders>
            <w:vAlign w:val="center"/>
          </w:tcPr>
          <w:p>
            <w:pPr>
              <w:spacing w:before="50" w:line="500" w:lineRule="exact"/>
              <w:ind w:right="97" w:firstLine="58" w:firstLineChars="28"/>
              <w:jc w:val="center"/>
              <w:rPr>
                <w:rFonts w:hint="eastAsia" w:ascii="宋体" w:hAnsi="宋体" w:cs="宋体"/>
                <w:szCs w:val="21"/>
              </w:rPr>
            </w:pPr>
            <w:r>
              <w:rPr>
                <w:rFonts w:hint="eastAsia" w:ascii="宋体" w:hAnsi="宋体" w:cs="宋体"/>
                <w:szCs w:val="21"/>
              </w:rPr>
              <w:t>符合第二部分“投标人须知”规定</w:t>
            </w:r>
          </w:p>
        </w:tc>
      </w:tr>
      <w:tr>
        <w:tblPrEx>
          <w:tblCellMar>
            <w:top w:w="0" w:type="dxa"/>
            <w:left w:w="0" w:type="dxa"/>
            <w:bottom w:w="0" w:type="dxa"/>
            <w:right w:w="0" w:type="dxa"/>
          </w:tblCellMar>
        </w:tblPrEx>
        <w:trPr>
          <w:trHeight w:val="567" w:hRule="atLeast"/>
          <w:jc w:val="center"/>
        </w:trPr>
        <w:tc>
          <w:tcPr>
            <w:tcW w:w="2247" w:type="dxa"/>
            <w:gridSpan w:val="2"/>
            <w:vMerge w:val="continue"/>
            <w:tcBorders>
              <w:left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p>
        </w:tc>
        <w:tc>
          <w:tcPr>
            <w:tcW w:w="1980" w:type="dxa"/>
            <w:gridSpan w:val="3"/>
            <w:tcBorders>
              <w:top w:val="single" w:color="auto" w:sz="4" w:space="0"/>
              <w:left w:val="single" w:color="auto" w:sz="4" w:space="0"/>
              <w:bottom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r>
              <w:rPr>
                <w:rFonts w:hint="eastAsia" w:ascii="宋体" w:hAnsi="宋体" w:cs="宋体"/>
                <w:szCs w:val="21"/>
              </w:rPr>
              <w:t>投标有效期</w:t>
            </w:r>
          </w:p>
        </w:tc>
        <w:tc>
          <w:tcPr>
            <w:tcW w:w="5234" w:type="dxa"/>
            <w:tcBorders>
              <w:top w:val="single" w:color="auto" w:sz="4" w:space="0"/>
              <w:left w:val="single" w:color="auto" w:sz="4" w:space="0"/>
              <w:bottom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r>
              <w:rPr>
                <w:rFonts w:hint="eastAsia" w:ascii="宋体" w:hAnsi="宋体" w:cs="宋体"/>
                <w:szCs w:val="21"/>
              </w:rPr>
              <w:t>符合第二部分“投标人须知”规定</w:t>
            </w:r>
          </w:p>
        </w:tc>
      </w:tr>
      <w:tr>
        <w:tblPrEx>
          <w:tblCellMar>
            <w:top w:w="0" w:type="dxa"/>
            <w:left w:w="0" w:type="dxa"/>
            <w:bottom w:w="0" w:type="dxa"/>
            <w:right w:w="0" w:type="dxa"/>
          </w:tblCellMar>
        </w:tblPrEx>
        <w:trPr>
          <w:trHeight w:val="567" w:hRule="atLeast"/>
          <w:jc w:val="center"/>
        </w:trPr>
        <w:tc>
          <w:tcPr>
            <w:tcW w:w="2247" w:type="dxa"/>
            <w:gridSpan w:val="2"/>
            <w:vMerge w:val="continue"/>
            <w:tcBorders>
              <w:left w:val="single" w:color="auto" w:sz="4" w:space="0"/>
              <w:bottom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p>
        </w:tc>
        <w:tc>
          <w:tcPr>
            <w:tcW w:w="1980" w:type="dxa"/>
            <w:gridSpan w:val="3"/>
            <w:tcBorders>
              <w:top w:val="single" w:color="auto" w:sz="4" w:space="0"/>
              <w:left w:val="single" w:color="auto" w:sz="4" w:space="0"/>
              <w:bottom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r>
              <w:rPr>
                <w:rFonts w:hint="eastAsia" w:ascii="宋体" w:hAnsi="宋体" w:cs="宋体"/>
                <w:szCs w:val="21"/>
              </w:rPr>
              <w:t>投标报价</w:t>
            </w:r>
          </w:p>
        </w:tc>
        <w:tc>
          <w:tcPr>
            <w:tcW w:w="5234" w:type="dxa"/>
            <w:tcBorders>
              <w:top w:val="single" w:color="auto" w:sz="4" w:space="0"/>
              <w:left w:val="single" w:color="auto" w:sz="4" w:space="0"/>
              <w:bottom w:val="single" w:color="auto" w:sz="4" w:space="0"/>
              <w:right w:val="single" w:color="auto" w:sz="4" w:space="0"/>
            </w:tcBorders>
            <w:vAlign w:val="center"/>
          </w:tcPr>
          <w:p>
            <w:pPr>
              <w:spacing w:before="50" w:line="500" w:lineRule="exact"/>
              <w:ind w:right="97" w:firstLine="58" w:firstLineChars="28"/>
              <w:jc w:val="center"/>
              <w:rPr>
                <w:rFonts w:ascii="宋体" w:hAnsi="宋体" w:cs="宋体"/>
                <w:szCs w:val="21"/>
              </w:rPr>
            </w:pPr>
            <w:r>
              <w:rPr>
                <w:rFonts w:hint="eastAsia" w:ascii="宋体" w:hAnsi="宋体" w:cs="宋体"/>
                <w:szCs w:val="21"/>
              </w:rPr>
              <w:t>符合第二部分“投标人须知”规定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9461" w:type="dxa"/>
            <w:gridSpan w:val="6"/>
            <w:vAlign w:val="center"/>
          </w:tcPr>
          <w:p>
            <w:pPr>
              <w:spacing w:line="500" w:lineRule="exact"/>
              <w:ind w:right="97" w:firstLine="59" w:firstLineChars="28"/>
              <w:jc w:val="center"/>
              <w:rPr>
                <w:rFonts w:ascii="宋体" w:hAnsi="宋体" w:cs="宋体"/>
                <w:b/>
                <w:bCs/>
                <w:szCs w:val="21"/>
              </w:rPr>
            </w:pPr>
            <w:r>
              <w:rPr>
                <w:rFonts w:hint="eastAsia" w:ascii="宋体" w:hAnsi="宋体" w:cs="宋体"/>
                <w:b/>
                <w:bCs/>
                <w:szCs w:val="21"/>
              </w:rPr>
              <w:t>详细评审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1046" w:type="dxa"/>
            <w:vAlign w:val="center"/>
          </w:tcPr>
          <w:p>
            <w:pPr>
              <w:spacing w:line="500" w:lineRule="exact"/>
              <w:rPr>
                <w:rFonts w:ascii="宋体" w:hAnsi="宋体" w:cs="宋体"/>
                <w:szCs w:val="21"/>
              </w:rPr>
            </w:pPr>
            <w:r>
              <w:rPr>
                <w:rFonts w:hint="eastAsia" w:ascii="宋体" w:hAnsi="宋体" w:cs="宋体"/>
                <w:szCs w:val="21"/>
              </w:rPr>
              <w:t>评审</w:t>
            </w:r>
          </w:p>
          <w:p>
            <w:pPr>
              <w:spacing w:line="500" w:lineRule="exact"/>
              <w:rPr>
                <w:rFonts w:ascii="宋体" w:hAnsi="宋体" w:cs="宋体"/>
                <w:szCs w:val="21"/>
              </w:rPr>
            </w:pPr>
            <w:r>
              <w:rPr>
                <w:rFonts w:hint="eastAsia" w:ascii="宋体" w:hAnsi="宋体" w:cs="宋体"/>
                <w:szCs w:val="21"/>
              </w:rPr>
              <w:t>类别</w:t>
            </w:r>
          </w:p>
        </w:tc>
        <w:tc>
          <w:tcPr>
            <w:tcW w:w="1418" w:type="dxa"/>
            <w:gridSpan w:val="2"/>
            <w:vAlign w:val="center"/>
          </w:tcPr>
          <w:p>
            <w:pPr>
              <w:spacing w:line="500" w:lineRule="exact"/>
              <w:rPr>
                <w:rFonts w:ascii="宋体" w:hAnsi="宋体" w:cs="宋体"/>
                <w:szCs w:val="21"/>
              </w:rPr>
            </w:pPr>
            <w:r>
              <w:rPr>
                <w:rFonts w:hint="eastAsia" w:ascii="宋体" w:hAnsi="宋体" w:cs="宋体"/>
                <w:szCs w:val="21"/>
              </w:rPr>
              <w:t>评分项目</w:t>
            </w:r>
          </w:p>
        </w:tc>
        <w:tc>
          <w:tcPr>
            <w:tcW w:w="1504" w:type="dxa"/>
            <w:vAlign w:val="center"/>
          </w:tcPr>
          <w:p>
            <w:pPr>
              <w:spacing w:line="500" w:lineRule="exact"/>
              <w:rPr>
                <w:rFonts w:ascii="宋体" w:hAnsi="宋体" w:cs="宋体"/>
                <w:szCs w:val="21"/>
              </w:rPr>
            </w:pPr>
            <w:r>
              <w:rPr>
                <w:rFonts w:hint="eastAsia" w:ascii="宋体" w:hAnsi="宋体" w:cs="宋体"/>
                <w:szCs w:val="21"/>
              </w:rPr>
              <w:t>分值范围</w:t>
            </w:r>
          </w:p>
        </w:tc>
        <w:tc>
          <w:tcPr>
            <w:tcW w:w="5493" w:type="dxa"/>
            <w:gridSpan w:val="2"/>
            <w:vAlign w:val="center"/>
          </w:tcPr>
          <w:p>
            <w:pPr>
              <w:spacing w:line="500" w:lineRule="exact"/>
              <w:jc w:val="center"/>
              <w:rPr>
                <w:rFonts w:ascii="宋体" w:hAnsi="宋体" w:cs="宋体"/>
                <w:szCs w:val="21"/>
              </w:rPr>
            </w:pPr>
            <w:r>
              <w:rPr>
                <w:rFonts w:hint="eastAsia" w:ascii="宋体" w:hAnsi="宋体" w:cs="宋体"/>
                <w:szCs w:val="21"/>
              </w:rPr>
              <w:t>评定原则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41" w:hRule="atLeast"/>
          <w:jc w:val="center"/>
        </w:trPr>
        <w:tc>
          <w:tcPr>
            <w:tcW w:w="1046" w:type="dxa"/>
            <w:vAlign w:val="center"/>
          </w:tcPr>
          <w:p>
            <w:pPr>
              <w:spacing w:line="500" w:lineRule="exact"/>
              <w:jc w:val="center"/>
              <w:rPr>
                <w:rFonts w:ascii="宋体" w:hAnsi="宋体" w:cs="宋体"/>
                <w:b/>
                <w:bCs/>
                <w:szCs w:val="21"/>
              </w:rPr>
            </w:pPr>
            <w:r>
              <w:rPr>
                <w:rFonts w:hint="eastAsia" w:ascii="宋体" w:hAnsi="宋体" w:cs="宋体"/>
                <w:b/>
                <w:bCs/>
                <w:szCs w:val="21"/>
              </w:rPr>
              <w:t>经</w:t>
            </w:r>
          </w:p>
          <w:p>
            <w:pPr>
              <w:spacing w:line="500" w:lineRule="exact"/>
              <w:jc w:val="center"/>
              <w:rPr>
                <w:rFonts w:ascii="宋体" w:hAnsi="宋体" w:cs="宋体"/>
                <w:b/>
                <w:bCs/>
                <w:szCs w:val="21"/>
              </w:rPr>
            </w:pPr>
            <w:r>
              <w:rPr>
                <w:rFonts w:hint="eastAsia" w:ascii="宋体" w:hAnsi="宋体" w:cs="宋体"/>
                <w:b/>
                <w:bCs/>
                <w:szCs w:val="21"/>
              </w:rPr>
              <w:t>济</w:t>
            </w:r>
          </w:p>
          <w:p>
            <w:pPr>
              <w:spacing w:line="500" w:lineRule="exact"/>
              <w:jc w:val="center"/>
              <w:rPr>
                <w:rFonts w:ascii="宋体" w:hAnsi="宋体" w:cs="宋体"/>
                <w:b/>
                <w:bCs/>
                <w:szCs w:val="21"/>
              </w:rPr>
            </w:pPr>
            <w:r>
              <w:rPr>
                <w:rFonts w:hint="eastAsia" w:ascii="宋体" w:hAnsi="宋体" w:cs="宋体"/>
                <w:b/>
                <w:bCs/>
                <w:szCs w:val="21"/>
              </w:rPr>
              <w:t>标</w:t>
            </w:r>
          </w:p>
          <w:p>
            <w:pPr>
              <w:spacing w:line="500" w:lineRule="exact"/>
              <w:jc w:val="center"/>
              <w:rPr>
                <w:rFonts w:ascii="宋体" w:hAnsi="宋体" w:cs="宋体"/>
                <w:b/>
                <w:bCs/>
                <w:szCs w:val="21"/>
              </w:rPr>
            </w:pPr>
            <w:r>
              <w:rPr>
                <w:rFonts w:hint="eastAsia" w:ascii="宋体" w:hAnsi="宋体" w:cs="宋体"/>
                <w:b/>
                <w:bCs/>
                <w:szCs w:val="21"/>
              </w:rPr>
              <w:t>评</w:t>
            </w:r>
          </w:p>
          <w:p>
            <w:pPr>
              <w:spacing w:line="500" w:lineRule="exact"/>
              <w:jc w:val="center"/>
              <w:rPr>
                <w:rFonts w:ascii="宋体" w:hAnsi="宋体" w:cs="宋体"/>
                <w:b/>
                <w:bCs/>
                <w:szCs w:val="21"/>
              </w:rPr>
            </w:pPr>
            <w:r>
              <w:rPr>
                <w:rFonts w:hint="eastAsia" w:ascii="宋体" w:hAnsi="宋体" w:cs="宋体"/>
                <w:b/>
                <w:bCs/>
                <w:szCs w:val="21"/>
              </w:rPr>
              <w:t>分</w:t>
            </w:r>
          </w:p>
          <w:p>
            <w:pPr>
              <w:spacing w:line="500" w:lineRule="exact"/>
              <w:jc w:val="center"/>
            </w:pPr>
          </w:p>
        </w:tc>
        <w:tc>
          <w:tcPr>
            <w:tcW w:w="1418" w:type="dxa"/>
            <w:gridSpan w:val="2"/>
            <w:vAlign w:val="center"/>
          </w:tcPr>
          <w:p>
            <w:pPr>
              <w:spacing w:line="500" w:lineRule="exact"/>
              <w:jc w:val="center"/>
              <w:rPr>
                <w:rFonts w:ascii="宋体" w:hAnsi="宋体" w:cs="宋体"/>
                <w:b/>
                <w:bCs/>
                <w:szCs w:val="21"/>
              </w:rPr>
            </w:pPr>
            <w:r>
              <w:rPr>
                <w:rFonts w:hint="eastAsia" w:ascii="宋体" w:hAnsi="宋体" w:cs="宋体"/>
                <w:b/>
                <w:bCs/>
                <w:szCs w:val="21"/>
              </w:rPr>
              <w:t>报价</w:t>
            </w:r>
          </w:p>
        </w:tc>
        <w:tc>
          <w:tcPr>
            <w:tcW w:w="1504" w:type="dxa"/>
            <w:vAlign w:val="center"/>
          </w:tcPr>
          <w:p>
            <w:pPr>
              <w:spacing w:line="500" w:lineRule="exact"/>
              <w:jc w:val="center"/>
              <w:rPr>
                <w:rFonts w:ascii="宋体" w:hAnsi="宋体" w:cs="宋体"/>
                <w:b/>
                <w:bCs/>
                <w:szCs w:val="21"/>
              </w:rPr>
            </w:pPr>
            <w:r>
              <w:rPr>
                <w:rFonts w:hint="eastAsia" w:ascii="宋体" w:hAnsi="宋体" w:cs="宋体"/>
                <w:b/>
                <w:bCs/>
                <w:szCs w:val="21"/>
              </w:rPr>
              <w:t>30分</w:t>
            </w:r>
          </w:p>
        </w:tc>
        <w:tc>
          <w:tcPr>
            <w:tcW w:w="5493" w:type="dxa"/>
            <w:gridSpan w:val="2"/>
          </w:tcPr>
          <w:p>
            <w:pPr>
              <w:widowControl/>
              <w:spacing w:line="500" w:lineRule="exact"/>
              <w:ind w:firstLine="420" w:firstLineChars="200"/>
              <w:rPr>
                <w:rFonts w:ascii="宋体" w:hAnsi="宋体" w:cs="宋体"/>
                <w:szCs w:val="21"/>
              </w:rPr>
            </w:pPr>
            <w:r>
              <w:rPr>
                <w:rFonts w:hint="eastAsia" w:ascii="宋体" w:hAnsi="宋体" w:cs="宋体"/>
                <w:szCs w:val="21"/>
              </w:rPr>
              <w:t>满足采购文件要求且最低的投标报价为评标基准价，其价格得分为满分；其他各供应商的价格得分按照下列公式计算：</w:t>
            </w:r>
          </w:p>
          <w:p>
            <w:pPr>
              <w:widowControl/>
              <w:spacing w:line="500" w:lineRule="exact"/>
              <w:ind w:firstLine="420" w:firstLineChars="200"/>
              <w:rPr>
                <w:rFonts w:ascii="宋体" w:hAnsi="宋体" w:cs="宋体"/>
                <w:szCs w:val="21"/>
              </w:rPr>
            </w:pPr>
            <w:r>
              <w:rPr>
                <w:rFonts w:hint="eastAsia" w:ascii="宋体" w:hAnsi="宋体" w:cs="宋体"/>
                <w:szCs w:val="21"/>
              </w:rPr>
              <w:t>价格得分＝（评标基准价/投标报价）×30。</w:t>
            </w:r>
          </w:p>
          <w:p>
            <w:pPr>
              <w:widowControl/>
              <w:spacing w:line="500" w:lineRule="exact"/>
              <w:ind w:firstLine="420" w:firstLineChars="200"/>
              <w:rPr>
                <w:rFonts w:ascii="宋体" w:hAnsi="宋体" w:cs="宋体"/>
                <w:szCs w:val="21"/>
              </w:rPr>
            </w:pPr>
            <w:r>
              <w:rPr>
                <w:rFonts w:hint="eastAsia" w:ascii="宋体" w:hAnsi="宋体" w:cs="宋体"/>
                <w:szCs w:val="21"/>
              </w:rPr>
              <w:t>注：1.在评审过程中，评审委员会认为供应商的报价明显低于其他通过初步评审的的报价，有可能影响产品质量或者不能诚信履约的，评审委员会应当要求其在规定的时间内做出书面说明并提供有效证明材料。在规定时间内不能合理说明或者不能提供有效证明材料的，由评审委员会认定该以低于成本报价竞标，作废标处理。</w:t>
            </w:r>
          </w:p>
          <w:p>
            <w:pPr>
              <w:widowControl/>
              <w:numPr>
                <w:ilvl w:val="0"/>
                <w:numId w:val="4"/>
              </w:numPr>
              <w:spacing w:line="500" w:lineRule="exact"/>
              <w:ind w:firstLine="420" w:firstLineChars="200"/>
              <w:rPr>
                <w:rFonts w:hint="eastAsia" w:ascii="宋体" w:hAnsi="宋体" w:cs="宋体"/>
                <w:szCs w:val="21"/>
              </w:rPr>
            </w:pPr>
            <w:r>
              <w:rPr>
                <w:rFonts w:hint="eastAsia" w:ascii="宋体" w:hAnsi="宋体" w:cs="宋体"/>
                <w:szCs w:val="21"/>
              </w:rPr>
              <w:t>超过招标控制价的报价采购人不予接受，做无效标处理。</w:t>
            </w:r>
          </w:p>
          <w:p>
            <w:pPr>
              <w:widowControl/>
              <w:spacing w:line="500" w:lineRule="exact"/>
              <w:ind w:firstLine="420" w:firstLineChars="200"/>
              <w:rPr>
                <w:rFonts w:hint="eastAsia" w:ascii="宋体" w:hAnsi="宋体" w:eastAsia="宋体" w:cs="宋体"/>
                <w:szCs w:val="21"/>
              </w:rPr>
            </w:pPr>
            <w:r>
              <w:rPr>
                <w:rFonts w:hint="eastAsia" w:ascii="宋体" w:hAnsi="宋体" w:eastAsia="宋体" w:cs="宋体"/>
                <w:szCs w:val="21"/>
              </w:rPr>
              <w:t>3.小微企业参加投标的，评审时给予20%的扣除，用扣除后的价格参与评审。扣除后的价格仅用于报价计算分值使用，不做为签订合同的依据。注：供应商需提供《中小企业声明函》。</w:t>
            </w:r>
          </w:p>
          <w:p>
            <w:pPr>
              <w:widowControl/>
              <w:spacing w:line="500" w:lineRule="exact"/>
              <w:ind w:firstLine="420" w:firstLineChars="200"/>
            </w:pPr>
            <w:r>
              <w:rPr>
                <w:rFonts w:hint="eastAsia" w:ascii="宋体" w:hAnsi="宋体" w:eastAsia="宋体" w:cs="宋体"/>
                <w:szCs w:val="21"/>
              </w:rPr>
              <w:t>4. 根据财政部司法部《关于政府采购支持监狱企业发展有关问题的通知》（财库〔2014〕68号）和财政部民政部中国残疾人联合会《关于促进残疾人就业政府采购政策的通知》（财库〔2017〕141号）规定，监狱企业、残疾人福利性企业，给予企业价格</w:t>
            </w:r>
            <w:r>
              <w:rPr>
                <w:rFonts w:hint="eastAsia" w:ascii="宋体" w:hAnsi="宋体" w:cs="宋体"/>
                <w:szCs w:val="21"/>
                <w:lang w:val="en-US" w:eastAsia="zh-CN"/>
              </w:rPr>
              <w:t>20</w:t>
            </w:r>
            <w:r>
              <w:rPr>
                <w:rFonts w:hint="eastAsia" w:ascii="宋体" w:hAnsi="宋体" w:eastAsia="宋体" w:cs="宋体"/>
                <w:szCs w:val="21"/>
              </w:rPr>
              <w:t>%的扣除，扣除后的价格仅用于报价计算分值使用，不做为签订合同的依据。注：若属于监狱企业，须提供由省级以上监狱管理局、戒毒管理局（含新疆生产建设兵团）出具的属于监狱企业的证明文件原件（投标文件附原件扫描件），残疾人福利性企业须有残疾人福利性单位声明函等有效证明文件，否则不予认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1046" w:type="dxa"/>
            <w:vMerge w:val="restart"/>
            <w:vAlign w:val="center"/>
          </w:tcPr>
          <w:p>
            <w:pPr>
              <w:pStyle w:val="9"/>
              <w:spacing w:line="500" w:lineRule="exact"/>
            </w:pPr>
            <w:r>
              <w:rPr>
                <w:rFonts w:hint="eastAsia" w:ascii="宋体" w:hAnsi="宋体" w:eastAsia="宋体" w:cs="宋体"/>
                <w:b/>
                <w:sz w:val="21"/>
                <w:szCs w:val="21"/>
              </w:rPr>
              <w:t>技术标评分</w:t>
            </w:r>
          </w:p>
        </w:tc>
        <w:tc>
          <w:tcPr>
            <w:tcW w:w="1418" w:type="dxa"/>
            <w:gridSpan w:val="2"/>
            <w:vAlign w:val="center"/>
          </w:tcPr>
          <w:p>
            <w:pPr>
              <w:widowControl/>
              <w:spacing w:line="500" w:lineRule="exact"/>
              <w:jc w:val="center"/>
              <w:rPr>
                <w:rFonts w:ascii="宋体" w:hAnsi="宋体" w:cs="宋体"/>
                <w:b/>
                <w:bCs/>
                <w:szCs w:val="21"/>
              </w:rPr>
            </w:pPr>
            <w:r>
              <w:rPr>
                <w:rFonts w:hint="eastAsia" w:ascii="宋体" w:hAnsi="宋体" w:cs="宋体"/>
                <w:b/>
                <w:bCs/>
                <w:szCs w:val="21"/>
                <w:lang w:val="en-US" w:eastAsia="zh-CN"/>
              </w:rPr>
              <w:t>投标产品的技术指标</w:t>
            </w:r>
          </w:p>
        </w:tc>
        <w:tc>
          <w:tcPr>
            <w:tcW w:w="1504" w:type="dxa"/>
            <w:vAlign w:val="center"/>
          </w:tcPr>
          <w:p>
            <w:pPr>
              <w:pStyle w:val="40"/>
              <w:tabs>
                <w:tab w:val="left" w:pos="0"/>
                <w:tab w:val="left" w:pos="709"/>
              </w:tabs>
              <w:ind w:firstLine="0" w:firstLineChars="0"/>
              <w:jc w:val="center"/>
              <w:rPr>
                <w:rFonts w:cs="宋体"/>
                <w:b/>
                <w:bCs/>
              </w:rPr>
            </w:pPr>
            <w:r>
              <w:rPr>
                <w:rFonts w:hint="eastAsia" w:cs="宋体"/>
                <w:b/>
                <w:bCs/>
                <w:lang w:val="en-US" w:eastAsia="zh-CN"/>
              </w:rPr>
              <w:t>33</w:t>
            </w:r>
            <w:r>
              <w:rPr>
                <w:rFonts w:hint="eastAsia" w:cs="宋体"/>
                <w:b/>
                <w:bCs/>
              </w:rPr>
              <w:t>分</w:t>
            </w:r>
          </w:p>
        </w:tc>
        <w:tc>
          <w:tcPr>
            <w:tcW w:w="5493" w:type="dxa"/>
            <w:gridSpan w:val="2"/>
            <w:vAlign w:val="center"/>
          </w:tcPr>
          <w:p>
            <w:pPr>
              <w:widowControl/>
              <w:spacing w:line="360" w:lineRule="auto"/>
              <w:jc w:val="left"/>
              <w:rPr>
                <w:rFonts w:ascii="宋体" w:hAnsi="宋体" w:cs="宋体"/>
                <w:kern w:val="0"/>
                <w:szCs w:val="21"/>
              </w:rPr>
            </w:pPr>
            <w:r>
              <w:rPr>
                <w:rFonts w:hint="eastAsia" w:ascii="宋体" w:hAnsi="宋体" w:cs="宋体"/>
                <w:szCs w:val="21"/>
                <w:highlight w:val="none"/>
                <w:lang w:val="zh-CN"/>
              </w:rPr>
              <w:t>投标人所投货物</w:t>
            </w:r>
            <w:r>
              <w:rPr>
                <w:rFonts w:hint="eastAsia" w:ascii="宋体" w:hAnsi="宋体"/>
              </w:rPr>
              <w:t>技术参数全部满足或优于采购文件</w:t>
            </w:r>
            <w:r>
              <w:rPr>
                <w:rFonts w:hint="eastAsia" w:ascii="宋体" w:hAnsi="宋体"/>
                <w:lang w:val="en-US" w:eastAsia="zh-CN"/>
              </w:rPr>
              <w:t>第五章技术参数</w:t>
            </w:r>
            <w:r>
              <w:rPr>
                <w:rFonts w:hint="eastAsia" w:ascii="宋体" w:hAnsi="宋体"/>
              </w:rPr>
              <w:t>要求的得</w:t>
            </w:r>
            <w:r>
              <w:rPr>
                <w:rFonts w:hint="eastAsia" w:ascii="宋体" w:hAnsi="宋体"/>
                <w:lang w:val="en-US" w:eastAsia="zh-CN"/>
              </w:rPr>
              <w:t>33分。其中加★项，</w:t>
            </w:r>
            <w:r>
              <w:rPr>
                <w:rFonts w:hint="eastAsia" w:ascii="宋体" w:hAnsi="宋体"/>
              </w:rPr>
              <w:t>毎一条不满足的扣</w:t>
            </w:r>
            <w:r>
              <w:rPr>
                <w:rFonts w:hint="eastAsia" w:ascii="宋体" w:hAnsi="宋体"/>
                <w:lang w:val="en-US" w:eastAsia="zh-CN"/>
              </w:rPr>
              <w:t>3</w:t>
            </w:r>
            <w:r>
              <w:rPr>
                <w:rFonts w:hint="eastAsia" w:ascii="宋体" w:hAnsi="宋体"/>
              </w:rPr>
              <w:t>分</w:t>
            </w:r>
            <w:r>
              <w:rPr>
                <w:rFonts w:hint="eastAsia" w:ascii="宋体" w:hAnsi="宋体"/>
                <w:lang w:eastAsia="zh-CN"/>
              </w:rPr>
              <w:t>；非加</w:t>
            </w:r>
            <w:r>
              <w:rPr>
                <w:rFonts w:hint="eastAsia" w:ascii="宋体" w:hAnsi="宋体"/>
                <w:lang w:val="en-US" w:eastAsia="zh-CN"/>
              </w:rPr>
              <w:t>★项，</w:t>
            </w:r>
            <w:r>
              <w:rPr>
                <w:rFonts w:hint="eastAsia" w:ascii="宋体" w:hAnsi="宋体"/>
              </w:rPr>
              <w:t>毎一条不满足的扣1分，本项最多扣</w:t>
            </w:r>
            <w:r>
              <w:rPr>
                <w:rFonts w:hint="eastAsia" w:ascii="宋体" w:hAnsi="宋体"/>
                <w:lang w:val="en-US" w:eastAsia="zh-CN"/>
              </w:rPr>
              <w:t>33</w:t>
            </w:r>
            <w:r>
              <w:rPr>
                <w:rFonts w:hint="eastAsia" w:ascii="宋体" w:hAnsi="宋体"/>
              </w:rPr>
              <w:t>分。</w:t>
            </w:r>
            <w:r>
              <w:rPr>
                <w:rFonts w:hint="eastAsia" w:ascii="宋体" w:hAnsi="宋体" w:cs="宋体"/>
                <w:color w:val="auto"/>
                <w:szCs w:val="21"/>
                <w:highlight w:val="none"/>
              </w:rPr>
              <w:t>注：此项只作为评标依据，不作为废标依据。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1046" w:type="dxa"/>
            <w:vMerge w:val="continue"/>
            <w:vAlign w:val="center"/>
          </w:tcPr>
          <w:p>
            <w:pPr>
              <w:pStyle w:val="9"/>
              <w:spacing w:line="500" w:lineRule="exact"/>
              <w:rPr>
                <w:rFonts w:hint="eastAsia" w:ascii="宋体" w:hAnsi="宋体" w:eastAsia="宋体" w:cs="宋体"/>
                <w:b/>
                <w:sz w:val="21"/>
                <w:szCs w:val="21"/>
              </w:rPr>
            </w:pPr>
          </w:p>
        </w:tc>
        <w:tc>
          <w:tcPr>
            <w:tcW w:w="1418" w:type="dxa"/>
            <w:gridSpan w:val="2"/>
            <w:vAlign w:val="center"/>
          </w:tcPr>
          <w:p>
            <w:pPr>
              <w:widowControl/>
              <w:spacing w:line="500" w:lineRule="exact"/>
              <w:jc w:val="center"/>
              <w:rPr>
                <w:rFonts w:hint="eastAsia" w:ascii="宋体" w:hAnsi="宋体" w:cs="宋体"/>
                <w:b/>
                <w:bCs/>
                <w:szCs w:val="21"/>
                <w:lang w:val="en-US" w:eastAsia="zh-CN"/>
              </w:rPr>
            </w:pPr>
            <w:r>
              <w:rPr>
                <w:rFonts w:hint="eastAsia" w:ascii="宋体" w:hAnsi="宋体" w:cs="宋体"/>
                <w:b/>
                <w:bCs/>
                <w:szCs w:val="21"/>
                <w:lang w:val="en-US" w:eastAsia="zh-CN"/>
              </w:rPr>
              <w:t>供货</w:t>
            </w:r>
            <w:r>
              <w:rPr>
                <w:rFonts w:hint="eastAsia" w:ascii="宋体" w:hAnsi="宋体" w:cs="宋体"/>
                <w:b/>
                <w:bCs/>
                <w:szCs w:val="21"/>
              </w:rPr>
              <w:t>方案</w:t>
            </w:r>
          </w:p>
        </w:tc>
        <w:tc>
          <w:tcPr>
            <w:tcW w:w="1504" w:type="dxa"/>
            <w:vAlign w:val="center"/>
          </w:tcPr>
          <w:p>
            <w:pPr>
              <w:pStyle w:val="40"/>
              <w:tabs>
                <w:tab w:val="left" w:pos="0"/>
                <w:tab w:val="left" w:pos="709"/>
              </w:tabs>
              <w:ind w:firstLine="0" w:firstLineChars="0"/>
              <w:jc w:val="center"/>
              <w:rPr>
                <w:rFonts w:hint="eastAsia" w:cs="宋体"/>
                <w:b/>
                <w:bCs/>
                <w:lang w:val="en-US" w:eastAsia="zh-CN"/>
              </w:rPr>
            </w:pPr>
            <w:r>
              <w:rPr>
                <w:rFonts w:hint="eastAsia" w:cs="宋体"/>
                <w:b/>
                <w:bCs/>
              </w:rPr>
              <w:t>1</w:t>
            </w:r>
            <w:r>
              <w:rPr>
                <w:rFonts w:hint="eastAsia" w:cs="宋体"/>
                <w:b/>
                <w:bCs/>
                <w:lang w:val="en-US" w:eastAsia="zh-CN"/>
              </w:rPr>
              <w:t>0</w:t>
            </w:r>
            <w:r>
              <w:rPr>
                <w:rFonts w:hint="eastAsia" w:cs="宋体"/>
                <w:b/>
                <w:bCs/>
              </w:rPr>
              <w:t>分</w:t>
            </w:r>
          </w:p>
        </w:tc>
        <w:tc>
          <w:tcPr>
            <w:tcW w:w="5493" w:type="dxa"/>
            <w:gridSpan w:val="2"/>
            <w:vAlign w:val="center"/>
          </w:tcPr>
          <w:p>
            <w:pPr>
              <w:widowControl/>
              <w:adjustRightInd w:val="0"/>
              <w:snapToGrid w:val="0"/>
              <w:spacing w:line="360" w:lineRule="auto"/>
              <w:jc w:val="left"/>
              <w:rPr>
                <w:rFonts w:ascii="宋体" w:hAnsi="宋体" w:cs="宋体"/>
                <w:szCs w:val="21"/>
                <w:highlight w:val="none"/>
              </w:rPr>
            </w:pPr>
            <w:r>
              <w:rPr>
                <w:rFonts w:ascii="宋体" w:hAnsi="宋体" w:cs="宋体"/>
                <w:szCs w:val="21"/>
                <w:highlight w:val="none"/>
              </w:rPr>
              <w:t xml:space="preserve">有详细的供货方案，且具有详细可行的实施计划和明确的工作流程，措施科学、完整，优于采购需求的，得 </w:t>
            </w:r>
            <w:r>
              <w:rPr>
                <w:rFonts w:hint="eastAsia" w:ascii="宋体" w:hAnsi="宋体" w:cs="宋体"/>
                <w:szCs w:val="21"/>
                <w:highlight w:val="none"/>
                <w:lang w:val="en-US" w:eastAsia="zh-CN"/>
              </w:rPr>
              <w:t>10</w:t>
            </w:r>
            <w:r>
              <w:rPr>
                <w:rFonts w:ascii="宋体" w:hAnsi="宋体" w:cs="宋体"/>
                <w:szCs w:val="21"/>
                <w:highlight w:val="none"/>
              </w:rPr>
              <w:t xml:space="preserve">分。 </w:t>
            </w:r>
          </w:p>
          <w:p>
            <w:pPr>
              <w:widowControl/>
              <w:adjustRightInd w:val="0"/>
              <w:snapToGrid w:val="0"/>
              <w:spacing w:line="360" w:lineRule="auto"/>
              <w:jc w:val="left"/>
              <w:rPr>
                <w:rFonts w:ascii="宋体" w:hAnsi="宋体" w:cs="宋体"/>
                <w:szCs w:val="21"/>
                <w:highlight w:val="none"/>
              </w:rPr>
            </w:pPr>
            <w:r>
              <w:rPr>
                <w:rFonts w:ascii="宋体" w:hAnsi="宋体" w:cs="宋体"/>
                <w:szCs w:val="21"/>
                <w:highlight w:val="none"/>
              </w:rPr>
              <w:t>有较详细的供货方案，且具有较为详细可行的实施计划和的工作流程，措施较科学、完整，满足采购需求， 得</w:t>
            </w:r>
            <w:r>
              <w:rPr>
                <w:rFonts w:hint="eastAsia" w:ascii="宋体" w:hAnsi="宋体" w:cs="宋体"/>
                <w:szCs w:val="21"/>
                <w:highlight w:val="none"/>
                <w:lang w:val="en-US" w:eastAsia="zh-CN"/>
              </w:rPr>
              <w:t>5</w:t>
            </w:r>
            <w:r>
              <w:rPr>
                <w:rFonts w:ascii="宋体" w:hAnsi="宋体" w:cs="宋体"/>
                <w:szCs w:val="21"/>
                <w:highlight w:val="none"/>
              </w:rPr>
              <w:t>分。</w:t>
            </w:r>
          </w:p>
          <w:p>
            <w:pPr>
              <w:widowControl/>
              <w:adjustRightInd w:val="0"/>
              <w:snapToGrid w:val="0"/>
              <w:spacing w:line="360" w:lineRule="auto"/>
              <w:jc w:val="left"/>
              <w:rPr>
                <w:rFonts w:ascii="宋体" w:hAnsi="宋体" w:cs="宋体"/>
                <w:szCs w:val="21"/>
                <w:highlight w:val="none"/>
              </w:rPr>
            </w:pPr>
            <w:r>
              <w:rPr>
                <w:rFonts w:ascii="宋体" w:hAnsi="宋体" w:cs="宋体"/>
                <w:szCs w:val="21"/>
                <w:highlight w:val="none"/>
              </w:rPr>
              <w:t xml:space="preserve">有较详细的供货方案，但实施计划和的工作流程一般，基本满足采购需求，得 </w:t>
            </w:r>
            <w:r>
              <w:rPr>
                <w:rFonts w:hint="eastAsia" w:ascii="宋体" w:hAnsi="宋体" w:cs="宋体"/>
                <w:szCs w:val="21"/>
                <w:highlight w:val="none"/>
                <w:lang w:val="en-US" w:eastAsia="zh-CN"/>
              </w:rPr>
              <w:t>3</w:t>
            </w:r>
            <w:r>
              <w:rPr>
                <w:rFonts w:ascii="宋体" w:hAnsi="宋体" w:cs="宋体"/>
                <w:szCs w:val="21"/>
                <w:highlight w:val="none"/>
              </w:rPr>
              <w:t xml:space="preserve"> 分。 </w:t>
            </w:r>
          </w:p>
          <w:p>
            <w:pPr>
              <w:widowControl/>
              <w:adjustRightInd w:val="0"/>
              <w:snapToGrid w:val="0"/>
              <w:spacing w:line="360" w:lineRule="auto"/>
              <w:jc w:val="left"/>
              <w:rPr>
                <w:rFonts w:ascii="宋体" w:hAnsi="宋体" w:cs="宋体"/>
                <w:szCs w:val="21"/>
                <w:highlight w:val="none"/>
              </w:rPr>
            </w:pPr>
            <w:r>
              <w:rPr>
                <w:rFonts w:ascii="宋体" w:hAnsi="宋体" w:cs="宋体"/>
                <w:szCs w:val="21"/>
                <w:highlight w:val="none"/>
              </w:rPr>
              <w:t xml:space="preserve">供货方案不完整，实施计划和工作流程不可行，得 1 分。 </w:t>
            </w:r>
            <w:r>
              <w:rPr>
                <w:rFonts w:hint="eastAsia" w:ascii="宋体" w:hAnsi="宋体" w:cs="宋体"/>
                <w:szCs w:val="21"/>
                <w:highlight w:val="none"/>
              </w:rPr>
              <w:t xml:space="preserve">  </w:t>
            </w:r>
          </w:p>
          <w:p>
            <w:pPr>
              <w:widowControl/>
              <w:spacing w:line="360" w:lineRule="auto"/>
              <w:jc w:val="left"/>
              <w:rPr>
                <w:rFonts w:hint="eastAsia" w:ascii="宋体" w:hAnsi="宋体" w:cs="宋体"/>
                <w:szCs w:val="21"/>
                <w:highlight w:val="none"/>
                <w:lang w:val="zh-CN"/>
              </w:rPr>
            </w:pPr>
            <w:r>
              <w:rPr>
                <w:rFonts w:hint="eastAsia"/>
                <w:lang w:eastAsia="zh-CN"/>
              </w:rPr>
              <w:t>注：该项缺项得</w:t>
            </w:r>
            <w:r>
              <w:rPr>
                <w:rFonts w:hint="eastAsia"/>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1046" w:type="dxa"/>
            <w:vMerge w:val="continue"/>
            <w:vAlign w:val="center"/>
          </w:tcPr>
          <w:p>
            <w:pPr>
              <w:pStyle w:val="9"/>
              <w:spacing w:line="500" w:lineRule="exact"/>
              <w:rPr>
                <w:rFonts w:hint="eastAsia" w:ascii="宋体" w:hAnsi="宋体" w:eastAsia="宋体" w:cs="宋体"/>
                <w:b/>
                <w:sz w:val="21"/>
                <w:szCs w:val="21"/>
              </w:rPr>
            </w:pPr>
          </w:p>
        </w:tc>
        <w:tc>
          <w:tcPr>
            <w:tcW w:w="1418" w:type="dxa"/>
            <w:gridSpan w:val="2"/>
            <w:vAlign w:val="center"/>
          </w:tcPr>
          <w:p>
            <w:pPr>
              <w:widowControl/>
              <w:spacing w:line="500" w:lineRule="exact"/>
              <w:jc w:val="center"/>
              <w:rPr>
                <w:rFonts w:hint="eastAsia" w:ascii="宋体" w:hAnsi="宋体" w:cs="宋体"/>
                <w:b/>
                <w:bCs/>
                <w:szCs w:val="21"/>
                <w:lang w:val="en-US" w:eastAsia="zh-CN"/>
              </w:rPr>
            </w:pPr>
            <w:r>
              <w:rPr>
                <w:rFonts w:hint="eastAsia" w:ascii="宋体" w:hAnsi="宋体" w:cs="宋体"/>
                <w:b/>
                <w:bCs/>
                <w:szCs w:val="21"/>
                <w:lang w:val="en-US" w:eastAsia="zh-CN"/>
              </w:rPr>
              <w:t>服务方案</w:t>
            </w:r>
          </w:p>
        </w:tc>
        <w:tc>
          <w:tcPr>
            <w:tcW w:w="1504" w:type="dxa"/>
            <w:vAlign w:val="center"/>
          </w:tcPr>
          <w:p>
            <w:pPr>
              <w:pStyle w:val="40"/>
              <w:tabs>
                <w:tab w:val="left" w:pos="0"/>
                <w:tab w:val="left" w:pos="709"/>
              </w:tabs>
              <w:ind w:firstLine="0" w:firstLineChars="0"/>
              <w:jc w:val="center"/>
              <w:rPr>
                <w:rFonts w:hint="eastAsia" w:cs="宋体"/>
                <w:b/>
                <w:bCs/>
                <w:lang w:val="en-US" w:eastAsia="zh-CN"/>
              </w:rPr>
            </w:pPr>
            <w:r>
              <w:rPr>
                <w:rFonts w:hint="eastAsia" w:cs="宋体"/>
                <w:b/>
                <w:bCs/>
                <w:lang w:val="en-US" w:eastAsia="zh-CN"/>
              </w:rPr>
              <w:t>6分</w:t>
            </w:r>
          </w:p>
        </w:tc>
        <w:tc>
          <w:tcPr>
            <w:tcW w:w="5493" w:type="dxa"/>
            <w:gridSpan w:val="2"/>
            <w:vAlign w:val="center"/>
          </w:tcPr>
          <w:p>
            <w:pPr>
              <w:widowControl/>
              <w:spacing w:line="360" w:lineRule="auto"/>
              <w:rPr>
                <w:rFonts w:hint="eastAsia" w:ascii="宋体" w:hAnsi="宋体" w:cs="宋体"/>
                <w:kern w:val="0"/>
                <w:szCs w:val="21"/>
                <w:highlight w:val="none"/>
              </w:rPr>
            </w:pPr>
            <w:r>
              <w:rPr>
                <w:rFonts w:hint="eastAsia" w:ascii="宋体" w:hAnsi="宋体" w:cs="宋体"/>
                <w:kern w:val="0"/>
                <w:szCs w:val="21"/>
                <w:highlight w:val="none"/>
              </w:rPr>
              <w:t>针对服务内容有标准化的服务规范、服务流程、回访制度、服务时间等方案进行评价。</w:t>
            </w:r>
          </w:p>
          <w:p>
            <w:pPr>
              <w:widowControl/>
              <w:spacing w:line="360" w:lineRule="auto"/>
              <w:rPr>
                <w:rFonts w:hint="eastAsia" w:ascii="宋体" w:hAnsi="宋体" w:cs="宋体"/>
                <w:kern w:val="0"/>
                <w:szCs w:val="21"/>
                <w:highlight w:val="none"/>
              </w:rPr>
            </w:pPr>
            <w:r>
              <w:rPr>
                <w:rFonts w:hint="eastAsia" w:ascii="宋体" w:hAnsi="宋体" w:cs="宋体"/>
                <w:kern w:val="0"/>
                <w:szCs w:val="21"/>
                <w:highlight w:val="none"/>
              </w:rPr>
              <w:t>1.方案描述清晰详细周到、切实可行、针对性强的得</w:t>
            </w:r>
            <w:r>
              <w:rPr>
                <w:rFonts w:hint="eastAsia" w:ascii="宋体" w:hAnsi="宋体" w:cs="宋体"/>
                <w:kern w:val="0"/>
                <w:szCs w:val="21"/>
                <w:highlight w:val="none"/>
                <w:lang w:val="en-US" w:eastAsia="zh-CN"/>
              </w:rPr>
              <w:t>6</w:t>
            </w:r>
            <w:r>
              <w:rPr>
                <w:rFonts w:hint="eastAsia" w:ascii="宋体" w:hAnsi="宋体" w:cs="宋体"/>
                <w:kern w:val="0"/>
                <w:szCs w:val="21"/>
                <w:highlight w:val="none"/>
              </w:rPr>
              <w:t>分；</w:t>
            </w:r>
          </w:p>
          <w:p>
            <w:pPr>
              <w:widowControl/>
              <w:spacing w:line="360" w:lineRule="auto"/>
              <w:rPr>
                <w:rFonts w:hint="eastAsia" w:ascii="宋体" w:hAnsi="宋体" w:cs="宋体"/>
                <w:kern w:val="0"/>
                <w:szCs w:val="21"/>
                <w:highlight w:val="none"/>
              </w:rPr>
            </w:pPr>
            <w:r>
              <w:rPr>
                <w:rFonts w:hint="eastAsia" w:ascii="宋体" w:hAnsi="宋体" w:cs="宋体"/>
                <w:kern w:val="0"/>
                <w:szCs w:val="21"/>
                <w:highlight w:val="none"/>
              </w:rPr>
              <w:t>2.方案描述清晰较详细 、切实可行、针对性较强的得3分；</w:t>
            </w:r>
          </w:p>
          <w:p>
            <w:pPr>
              <w:widowControl/>
              <w:spacing w:line="360" w:lineRule="auto"/>
              <w:rPr>
                <w:rFonts w:hint="eastAsia" w:ascii="宋体" w:hAnsi="宋体" w:cs="宋体"/>
                <w:kern w:val="0"/>
                <w:szCs w:val="21"/>
                <w:highlight w:val="none"/>
              </w:rPr>
            </w:pPr>
            <w:r>
              <w:rPr>
                <w:rFonts w:hint="eastAsia" w:ascii="宋体" w:hAnsi="宋体" w:cs="宋体"/>
                <w:kern w:val="0"/>
                <w:szCs w:val="21"/>
                <w:highlight w:val="none"/>
              </w:rPr>
              <w:t>3.方案描述、针对性一般的得</w:t>
            </w:r>
            <w:r>
              <w:rPr>
                <w:rFonts w:hint="eastAsia" w:ascii="宋体" w:hAnsi="宋体" w:cs="宋体"/>
                <w:kern w:val="0"/>
                <w:szCs w:val="21"/>
                <w:highlight w:val="none"/>
                <w:lang w:val="en-US" w:eastAsia="zh-CN"/>
              </w:rPr>
              <w:t>1</w:t>
            </w:r>
            <w:r>
              <w:rPr>
                <w:rFonts w:hint="eastAsia" w:ascii="宋体" w:hAnsi="宋体" w:cs="宋体"/>
                <w:kern w:val="0"/>
                <w:szCs w:val="21"/>
                <w:highlight w:val="none"/>
              </w:rPr>
              <w:t>分；</w:t>
            </w:r>
          </w:p>
          <w:p>
            <w:pPr>
              <w:widowControl/>
              <w:spacing w:line="360" w:lineRule="auto"/>
              <w:jc w:val="left"/>
              <w:rPr>
                <w:rFonts w:hint="eastAsia" w:ascii="宋体" w:hAnsi="宋体" w:cs="宋体"/>
                <w:szCs w:val="21"/>
                <w:highlight w:val="none"/>
                <w:lang w:val="zh-CN"/>
              </w:rPr>
            </w:pPr>
            <w:r>
              <w:rPr>
                <w:rFonts w:hint="eastAsia"/>
                <w:lang w:eastAsia="zh-CN"/>
              </w:rPr>
              <w:t>注：该项缺项得</w:t>
            </w:r>
            <w:r>
              <w:rPr>
                <w:rFonts w:hint="eastAsia"/>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1046" w:type="dxa"/>
            <w:vMerge w:val="continue"/>
            <w:vAlign w:val="center"/>
          </w:tcPr>
          <w:p>
            <w:pPr>
              <w:pStyle w:val="9"/>
              <w:spacing w:line="500" w:lineRule="exact"/>
              <w:rPr>
                <w:rFonts w:hint="eastAsia" w:ascii="宋体" w:hAnsi="宋体" w:eastAsia="宋体" w:cs="宋体"/>
                <w:b/>
                <w:sz w:val="21"/>
                <w:szCs w:val="21"/>
              </w:rPr>
            </w:pPr>
          </w:p>
        </w:tc>
        <w:tc>
          <w:tcPr>
            <w:tcW w:w="1418" w:type="dxa"/>
            <w:gridSpan w:val="2"/>
            <w:vAlign w:val="center"/>
          </w:tcPr>
          <w:p>
            <w:pPr>
              <w:widowControl/>
              <w:spacing w:line="500" w:lineRule="exact"/>
              <w:jc w:val="center"/>
              <w:rPr>
                <w:rFonts w:hint="eastAsia" w:ascii="宋体" w:hAnsi="宋体" w:cs="宋体"/>
                <w:b/>
                <w:bCs/>
                <w:szCs w:val="21"/>
                <w:lang w:val="en-US" w:eastAsia="zh-CN"/>
              </w:rPr>
            </w:pPr>
            <w:r>
              <w:rPr>
                <w:rFonts w:hint="eastAsia" w:ascii="宋体" w:hAnsi="宋体" w:cs="宋体"/>
                <w:b/>
                <w:bCs/>
                <w:szCs w:val="21"/>
                <w:lang w:val="en-US" w:eastAsia="zh-CN"/>
              </w:rPr>
              <w:t>进度计划及控制措施</w:t>
            </w:r>
          </w:p>
        </w:tc>
        <w:tc>
          <w:tcPr>
            <w:tcW w:w="1504" w:type="dxa"/>
            <w:vAlign w:val="center"/>
          </w:tcPr>
          <w:p>
            <w:pPr>
              <w:pStyle w:val="40"/>
              <w:tabs>
                <w:tab w:val="left" w:pos="0"/>
                <w:tab w:val="left" w:pos="709"/>
              </w:tabs>
              <w:ind w:firstLine="0" w:firstLineChars="0"/>
              <w:jc w:val="center"/>
              <w:rPr>
                <w:rFonts w:hint="eastAsia" w:cs="宋体"/>
                <w:b/>
                <w:bCs/>
                <w:lang w:val="en-US" w:eastAsia="zh-CN"/>
              </w:rPr>
            </w:pPr>
            <w:r>
              <w:rPr>
                <w:rFonts w:hint="eastAsia" w:cs="宋体"/>
                <w:b/>
                <w:bCs/>
                <w:lang w:val="en-US" w:eastAsia="zh-CN"/>
              </w:rPr>
              <w:t>6分</w:t>
            </w:r>
          </w:p>
        </w:tc>
        <w:tc>
          <w:tcPr>
            <w:tcW w:w="5493" w:type="dxa"/>
            <w:gridSpan w:val="2"/>
            <w:vAlign w:val="center"/>
          </w:tcPr>
          <w:p>
            <w:pPr>
              <w:widowControl/>
              <w:spacing w:line="360" w:lineRule="auto"/>
              <w:rPr>
                <w:rFonts w:hint="eastAsia" w:ascii="宋体" w:hAnsi="宋体" w:cs="宋体"/>
                <w:kern w:val="0"/>
                <w:szCs w:val="21"/>
                <w:highlight w:val="none"/>
                <w:lang w:bidi="zh-CN"/>
              </w:rPr>
            </w:pPr>
            <w:r>
              <w:rPr>
                <w:rFonts w:hint="eastAsia" w:ascii="宋体" w:hAnsi="宋体" w:cs="宋体"/>
                <w:kern w:val="0"/>
                <w:szCs w:val="21"/>
                <w:highlight w:val="none"/>
                <w:lang w:bidi="zh-CN"/>
              </w:rPr>
              <w:t xml:space="preserve">针对本项目各阶段进度计划时间节的工作安排合理，货物组织控制措施具体明确的得 </w:t>
            </w:r>
            <w:r>
              <w:rPr>
                <w:rFonts w:hint="eastAsia" w:ascii="宋体" w:hAnsi="宋体" w:cs="宋体"/>
                <w:kern w:val="0"/>
                <w:szCs w:val="21"/>
                <w:highlight w:val="none"/>
                <w:lang w:val="en-US" w:bidi="zh-CN"/>
              </w:rPr>
              <w:t>6</w:t>
            </w:r>
            <w:r>
              <w:rPr>
                <w:rFonts w:hint="eastAsia" w:ascii="宋体" w:hAnsi="宋体" w:cs="宋体"/>
                <w:kern w:val="0"/>
                <w:szCs w:val="21"/>
                <w:highlight w:val="none"/>
                <w:lang w:bidi="zh-CN"/>
              </w:rPr>
              <w:t>分；</w:t>
            </w:r>
          </w:p>
          <w:p>
            <w:pPr>
              <w:widowControl/>
              <w:spacing w:line="360" w:lineRule="auto"/>
              <w:rPr>
                <w:rFonts w:hint="eastAsia" w:ascii="宋体" w:hAnsi="宋体" w:cs="宋体"/>
                <w:kern w:val="0"/>
                <w:szCs w:val="21"/>
                <w:highlight w:val="none"/>
                <w:lang w:bidi="zh-CN"/>
              </w:rPr>
            </w:pPr>
            <w:r>
              <w:rPr>
                <w:rFonts w:hint="eastAsia" w:ascii="宋体" w:hAnsi="宋体" w:cs="宋体"/>
                <w:kern w:val="0"/>
                <w:szCs w:val="21"/>
                <w:highlight w:val="none"/>
                <w:lang w:bidi="zh-CN"/>
              </w:rPr>
              <w:t>工作安排基本合理，措施基本明确的得 3 分；</w:t>
            </w:r>
          </w:p>
          <w:p>
            <w:pPr>
              <w:widowControl/>
              <w:spacing w:line="360" w:lineRule="auto"/>
              <w:rPr>
                <w:rFonts w:hint="eastAsia" w:ascii="宋体" w:hAnsi="宋体" w:cs="宋体"/>
                <w:kern w:val="0"/>
                <w:szCs w:val="21"/>
                <w:highlight w:val="none"/>
                <w:lang w:bidi="zh-CN"/>
              </w:rPr>
            </w:pPr>
            <w:r>
              <w:rPr>
                <w:rFonts w:hint="eastAsia" w:ascii="宋体" w:hAnsi="宋体" w:cs="宋体"/>
                <w:kern w:val="0"/>
                <w:szCs w:val="21"/>
                <w:highlight w:val="none"/>
                <w:lang w:bidi="zh-CN"/>
              </w:rPr>
              <w:t xml:space="preserve">工作安排不太合理，措施不充分，内容不明确的得 </w:t>
            </w:r>
            <w:r>
              <w:rPr>
                <w:rFonts w:hint="eastAsia" w:ascii="宋体" w:hAnsi="宋体" w:cs="宋体"/>
                <w:kern w:val="0"/>
                <w:szCs w:val="21"/>
                <w:highlight w:val="none"/>
                <w:lang w:val="en-US" w:bidi="zh-CN"/>
              </w:rPr>
              <w:t>1</w:t>
            </w:r>
            <w:r>
              <w:rPr>
                <w:rFonts w:hint="eastAsia" w:ascii="宋体" w:hAnsi="宋体" w:cs="宋体"/>
                <w:kern w:val="0"/>
                <w:szCs w:val="21"/>
                <w:highlight w:val="none"/>
                <w:lang w:bidi="zh-CN"/>
              </w:rPr>
              <w:t xml:space="preserve"> 分；</w:t>
            </w:r>
          </w:p>
          <w:p>
            <w:pPr>
              <w:widowControl/>
              <w:spacing w:line="360" w:lineRule="auto"/>
              <w:jc w:val="left"/>
              <w:rPr>
                <w:rFonts w:hint="eastAsia" w:ascii="宋体" w:hAnsi="宋体" w:cs="宋体"/>
                <w:szCs w:val="21"/>
                <w:highlight w:val="none"/>
                <w:lang w:val="zh-CN"/>
              </w:rPr>
            </w:pPr>
            <w:r>
              <w:rPr>
                <w:rFonts w:hint="eastAsia"/>
                <w:lang w:eastAsia="zh-CN"/>
              </w:rPr>
              <w:t>注：该项缺项得</w:t>
            </w:r>
            <w:r>
              <w:rPr>
                <w:rFonts w:hint="eastAsia"/>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1046" w:type="dxa"/>
            <w:vMerge w:val="continue"/>
            <w:vAlign w:val="center"/>
          </w:tcPr>
          <w:p>
            <w:pPr>
              <w:pStyle w:val="9"/>
              <w:spacing w:line="500" w:lineRule="exact"/>
              <w:rPr>
                <w:rFonts w:ascii="宋体" w:hAnsi="宋体" w:eastAsia="宋体" w:cs="宋体"/>
                <w:b/>
                <w:sz w:val="21"/>
                <w:szCs w:val="21"/>
              </w:rPr>
            </w:pPr>
          </w:p>
        </w:tc>
        <w:tc>
          <w:tcPr>
            <w:tcW w:w="1418" w:type="dxa"/>
            <w:gridSpan w:val="2"/>
            <w:vAlign w:val="center"/>
          </w:tcPr>
          <w:p>
            <w:pPr>
              <w:widowControl/>
              <w:spacing w:line="500" w:lineRule="exact"/>
              <w:jc w:val="center"/>
              <w:rPr>
                <w:rFonts w:ascii="宋体" w:hAnsi="宋体" w:cs="宋体"/>
                <w:b/>
                <w:bCs/>
                <w:szCs w:val="21"/>
              </w:rPr>
            </w:pPr>
            <w:r>
              <w:rPr>
                <w:rFonts w:hint="eastAsia" w:ascii="宋体" w:hAnsi="宋体" w:cs="宋体"/>
                <w:b/>
                <w:bCs/>
                <w:kern w:val="0"/>
                <w:szCs w:val="21"/>
                <w:highlight w:val="none"/>
              </w:rPr>
              <w:t>质量保证措施</w:t>
            </w:r>
          </w:p>
        </w:tc>
        <w:tc>
          <w:tcPr>
            <w:tcW w:w="1504" w:type="dxa"/>
            <w:vAlign w:val="center"/>
          </w:tcPr>
          <w:p>
            <w:pPr>
              <w:pStyle w:val="40"/>
              <w:tabs>
                <w:tab w:val="left" w:pos="0"/>
                <w:tab w:val="left" w:pos="709"/>
              </w:tabs>
              <w:ind w:firstLine="0" w:firstLineChars="0"/>
              <w:jc w:val="center"/>
              <w:rPr>
                <w:rFonts w:cs="宋体"/>
                <w:b/>
                <w:bCs/>
              </w:rPr>
            </w:pPr>
            <w:r>
              <w:rPr>
                <w:rFonts w:hint="eastAsia" w:cs="宋体"/>
                <w:b/>
                <w:bCs/>
                <w:lang w:val="en-US" w:eastAsia="zh-CN"/>
              </w:rPr>
              <w:t>5</w:t>
            </w:r>
            <w:r>
              <w:rPr>
                <w:rFonts w:hint="eastAsia" w:cs="宋体"/>
                <w:b/>
                <w:bCs/>
              </w:rPr>
              <w:t>分</w:t>
            </w:r>
          </w:p>
        </w:tc>
        <w:tc>
          <w:tcPr>
            <w:tcW w:w="5493" w:type="dxa"/>
            <w:gridSpan w:val="2"/>
            <w:vAlign w:val="center"/>
          </w:tcPr>
          <w:p>
            <w:pPr>
              <w:widowControl/>
              <w:spacing w:line="360" w:lineRule="auto"/>
              <w:jc w:val="left"/>
              <w:rPr>
                <w:rFonts w:hint="default" w:eastAsia="宋体"/>
                <w:lang w:val="en-US" w:eastAsia="zh-CN"/>
              </w:rPr>
            </w:pPr>
            <w:r>
              <w:rPr>
                <w:rFonts w:hint="eastAsia" w:ascii="宋体" w:hAnsi="宋体" w:cs="宋体"/>
                <w:kern w:val="0"/>
                <w:szCs w:val="21"/>
                <w:highlight w:val="none"/>
                <w:lang w:bidi="zh-CN"/>
              </w:rPr>
              <w:t>根据投标人对本次采购项目在投标产品的生产、运输、安装、调试过程中从合理性、可靠性、实用性等方面所制订的质量保证措施，</w:t>
            </w:r>
            <w:r>
              <w:rPr>
                <w:rFonts w:hint="eastAsia" w:ascii="宋体" w:hAnsi="宋体" w:cs="宋体"/>
                <w:kern w:val="0"/>
                <w:szCs w:val="21"/>
                <w:highlight w:val="none"/>
              </w:rPr>
              <w:t>有详细可行的质量保证措施的得</w:t>
            </w:r>
            <w:r>
              <w:rPr>
                <w:rFonts w:hint="eastAsia" w:ascii="宋体" w:hAnsi="宋体" w:cs="宋体"/>
                <w:kern w:val="0"/>
                <w:szCs w:val="21"/>
                <w:highlight w:val="none"/>
                <w:lang w:val="en-US" w:eastAsia="zh-CN"/>
              </w:rPr>
              <w:t>5</w:t>
            </w:r>
            <w:r>
              <w:rPr>
                <w:rFonts w:hint="eastAsia" w:ascii="宋体" w:hAnsi="宋体" w:cs="宋体"/>
                <w:kern w:val="0"/>
                <w:szCs w:val="21"/>
                <w:highlight w:val="none"/>
              </w:rPr>
              <w:t>分，质量保证措施可行但不详尽的得3分</w:t>
            </w:r>
            <w:r>
              <w:rPr>
                <w:rFonts w:hint="eastAsia" w:ascii="宋体" w:hAnsi="宋体" w:cs="宋体"/>
                <w:kern w:val="0"/>
                <w:szCs w:val="21"/>
                <w:highlight w:val="none"/>
                <w:lang w:bidi="zh-CN"/>
              </w:rPr>
              <w:t>，</w:t>
            </w:r>
            <w:r>
              <w:rPr>
                <w:rFonts w:hint="eastAsia" w:ascii="宋体" w:hAnsi="宋体" w:cs="宋体"/>
                <w:kern w:val="0"/>
                <w:szCs w:val="21"/>
                <w:highlight w:val="none"/>
              </w:rPr>
              <w:t>质量保证措施一般的得1分，</w:t>
            </w:r>
            <w:r>
              <w:rPr>
                <w:rFonts w:hint="eastAsia" w:ascii="宋体" w:hAnsi="宋体" w:cs="宋体"/>
                <w:kern w:val="0"/>
                <w:szCs w:val="21"/>
                <w:highlight w:val="none"/>
                <w:lang w:bidi="zh-CN"/>
              </w:rPr>
              <w:t>未提供质量保证措施的不得分。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01" w:hRule="atLeast"/>
          <w:jc w:val="center"/>
        </w:trPr>
        <w:tc>
          <w:tcPr>
            <w:tcW w:w="1046" w:type="dxa"/>
            <w:vMerge w:val="restart"/>
            <w:vAlign w:val="center"/>
          </w:tcPr>
          <w:p>
            <w:pPr>
              <w:spacing w:line="500" w:lineRule="exact"/>
              <w:jc w:val="center"/>
              <w:rPr>
                <w:rFonts w:hint="eastAsia" w:ascii="宋体" w:hAnsi="宋体" w:eastAsia="宋体" w:cs="宋体"/>
                <w:b/>
                <w:bCs/>
                <w:kern w:val="2"/>
                <w:sz w:val="21"/>
                <w:szCs w:val="21"/>
                <w:lang w:val="en-US" w:eastAsia="zh-CN" w:bidi="ar-SA"/>
              </w:rPr>
            </w:pPr>
          </w:p>
          <w:p>
            <w:pPr>
              <w:spacing w:line="500" w:lineRule="exact"/>
              <w:jc w:val="center"/>
              <w:rPr>
                <w:rFonts w:hint="eastAsia" w:ascii="宋体" w:hAnsi="宋体" w:eastAsia="宋体" w:cs="宋体"/>
                <w:b/>
                <w:bCs/>
                <w:kern w:val="2"/>
                <w:sz w:val="21"/>
                <w:szCs w:val="21"/>
                <w:lang w:val="en-US" w:eastAsia="zh-CN" w:bidi="ar-SA"/>
              </w:rPr>
            </w:pPr>
          </w:p>
          <w:p>
            <w:pPr>
              <w:spacing w:line="500" w:lineRule="exact"/>
              <w:jc w:val="center"/>
              <w:rPr>
                <w:rFonts w:hint="eastAsia" w:ascii="宋体" w:hAnsi="宋体" w:eastAsia="宋体" w:cs="宋体"/>
                <w:b/>
                <w:bCs/>
                <w:kern w:val="2"/>
                <w:sz w:val="21"/>
                <w:szCs w:val="21"/>
                <w:lang w:val="en-US" w:eastAsia="zh-CN" w:bidi="ar-SA"/>
              </w:rPr>
            </w:pPr>
          </w:p>
          <w:p>
            <w:pPr>
              <w:spacing w:line="500" w:lineRule="exact"/>
              <w:jc w:val="center"/>
              <w:rPr>
                <w:rFonts w:hint="eastAsia" w:ascii="宋体" w:hAnsi="宋体" w:eastAsia="宋体" w:cs="宋体"/>
                <w:b/>
                <w:bCs/>
                <w:kern w:val="2"/>
                <w:sz w:val="21"/>
                <w:szCs w:val="21"/>
                <w:lang w:val="en-US" w:eastAsia="zh-CN" w:bidi="ar-SA"/>
              </w:rPr>
            </w:pPr>
          </w:p>
          <w:p>
            <w:pPr>
              <w:spacing w:line="500" w:lineRule="exact"/>
              <w:jc w:val="center"/>
              <w:rPr>
                <w:rFonts w:hint="eastAsia" w:ascii="宋体" w:hAnsi="宋体" w:eastAsia="宋体" w:cs="宋体"/>
                <w:b/>
                <w:bCs/>
                <w:kern w:val="2"/>
                <w:sz w:val="21"/>
                <w:szCs w:val="21"/>
                <w:lang w:val="en-US" w:eastAsia="zh-CN" w:bidi="ar-SA"/>
              </w:rPr>
            </w:pPr>
          </w:p>
          <w:p>
            <w:pPr>
              <w:spacing w:line="500" w:lineRule="exact"/>
              <w:jc w:val="center"/>
              <w:rPr>
                <w:rFonts w:hint="eastAsia" w:ascii="宋体" w:hAnsi="宋体" w:eastAsia="宋体" w:cs="宋体"/>
                <w:b/>
                <w:bCs/>
                <w:kern w:val="2"/>
                <w:sz w:val="21"/>
                <w:szCs w:val="21"/>
                <w:lang w:val="en-US" w:eastAsia="zh-CN" w:bidi="ar-SA"/>
              </w:rPr>
            </w:pPr>
          </w:p>
          <w:p>
            <w:pPr>
              <w:spacing w:line="500" w:lineRule="exact"/>
              <w:jc w:val="center"/>
              <w:rPr>
                <w:rFonts w:hint="eastAsia" w:ascii="宋体" w:hAnsi="宋体" w:eastAsia="宋体" w:cs="宋体"/>
                <w:b/>
                <w:bCs/>
                <w:kern w:val="2"/>
                <w:sz w:val="21"/>
                <w:szCs w:val="21"/>
                <w:lang w:val="en-US" w:eastAsia="zh-CN" w:bidi="ar-SA"/>
              </w:rPr>
            </w:pPr>
          </w:p>
          <w:p>
            <w:pPr>
              <w:spacing w:line="500" w:lineRule="exact"/>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综</w:t>
            </w:r>
          </w:p>
          <w:p>
            <w:pPr>
              <w:spacing w:line="500" w:lineRule="exact"/>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合</w:t>
            </w:r>
          </w:p>
          <w:p>
            <w:pPr>
              <w:spacing w:line="500" w:lineRule="exact"/>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标</w:t>
            </w:r>
          </w:p>
          <w:p>
            <w:pPr>
              <w:spacing w:line="500" w:lineRule="exact"/>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部</w:t>
            </w:r>
          </w:p>
          <w:p>
            <w:pPr>
              <w:spacing w:line="500" w:lineRule="exact"/>
              <w:jc w:val="center"/>
              <w:rPr>
                <w:rFonts w:hint="eastAsia" w:eastAsia="宋体"/>
                <w:lang w:eastAsia="zh-CN"/>
              </w:rPr>
            </w:pPr>
            <w:r>
              <w:rPr>
                <w:rFonts w:hint="eastAsia" w:ascii="宋体" w:hAnsi="宋体" w:eastAsia="宋体" w:cs="宋体"/>
                <w:b/>
                <w:bCs/>
                <w:kern w:val="2"/>
                <w:sz w:val="21"/>
                <w:szCs w:val="21"/>
                <w:lang w:val="en-US" w:eastAsia="zh-CN" w:bidi="ar-SA"/>
              </w:rPr>
              <w:t>分</w:t>
            </w:r>
          </w:p>
        </w:tc>
        <w:tc>
          <w:tcPr>
            <w:tcW w:w="1418" w:type="dxa"/>
            <w:gridSpan w:val="2"/>
            <w:vAlign w:val="center"/>
          </w:tcPr>
          <w:p>
            <w:pPr>
              <w:widowControl/>
              <w:spacing w:line="500" w:lineRule="exact"/>
              <w:jc w:val="center"/>
              <w:rPr>
                <w:rFonts w:hint="eastAsia" w:ascii="宋体" w:hAnsi="宋体" w:cs="宋体"/>
                <w:b/>
                <w:bCs/>
                <w:color w:val="auto"/>
                <w:szCs w:val="21"/>
              </w:rPr>
            </w:pPr>
            <w:r>
              <w:rPr>
                <w:rFonts w:hint="eastAsia" w:ascii="宋体" w:hAnsi="宋体" w:cs="宋体"/>
                <w:b/>
                <w:bCs/>
                <w:color w:val="auto"/>
                <w:szCs w:val="21"/>
              </w:rPr>
              <w:t>节能、环保</w:t>
            </w:r>
          </w:p>
        </w:tc>
        <w:tc>
          <w:tcPr>
            <w:tcW w:w="1504" w:type="dxa"/>
            <w:vAlign w:val="center"/>
          </w:tcPr>
          <w:p>
            <w:pPr>
              <w:widowControl/>
              <w:tabs>
                <w:tab w:val="left" w:pos="0"/>
                <w:tab w:val="left" w:pos="709"/>
              </w:tabs>
              <w:spacing w:line="500" w:lineRule="exact"/>
              <w:ind w:firstLine="422" w:firstLineChars="200"/>
              <w:rPr>
                <w:rFonts w:hint="eastAsia" w:ascii="宋体" w:hAnsi="宋体" w:cs="宋体"/>
                <w:b/>
                <w:bCs/>
                <w:color w:val="auto"/>
                <w:szCs w:val="21"/>
                <w:lang w:val="en-US" w:eastAsia="zh-CN"/>
              </w:rPr>
            </w:pPr>
            <w:r>
              <w:rPr>
                <w:rFonts w:hint="eastAsia" w:ascii="宋体" w:hAnsi="宋体" w:cs="宋体"/>
                <w:b/>
                <w:bCs/>
                <w:color w:val="auto"/>
                <w:szCs w:val="21"/>
                <w:lang w:val="en-US" w:eastAsia="zh-CN"/>
              </w:rPr>
              <w:t>2分</w:t>
            </w:r>
          </w:p>
        </w:tc>
        <w:tc>
          <w:tcPr>
            <w:tcW w:w="5493" w:type="dxa"/>
            <w:gridSpan w:val="2"/>
            <w:vAlign w:val="center"/>
          </w:tcPr>
          <w:p>
            <w:pPr>
              <w:widowControl/>
              <w:spacing w:line="360" w:lineRule="auto"/>
              <w:rPr>
                <w:rFonts w:hint="eastAsia" w:ascii="宋体" w:hAnsi="宋体" w:cs="宋体"/>
                <w:kern w:val="0"/>
                <w:szCs w:val="21"/>
                <w:highlight w:val="none"/>
              </w:rPr>
            </w:pPr>
            <w:r>
              <w:rPr>
                <w:rFonts w:hint="eastAsia" w:ascii="宋体" w:hAnsi="宋体" w:cs="宋体"/>
                <w:kern w:val="0"/>
                <w:szCs w:val="21"/>
                <w:highlight w:val="none"/>
              </w:rPr>
              <w:t>投标人提供所投产品是节能产品的（政府强制采购产品除外）、环境标志产品的，每有一项产品得1分，共2分。</w:t>
            </w:r>
          </w:p>
          <w:p>
            <w:pPr>
              <w:widowControl/>
              <w:spacing w:line="360" w:lineRule="auto"/>
              <w:jc w:val="left"/>
              <w:rPr>
                <w:rFonts w:hAnsi="宋体"/>
                <w:color w:val="auto"/>
                <w:szCs w:val="21"/>
              </w:rPr>
            </w:pPr>
            <w:r>
              <w:rPr>
                <w:rFonts w:hint="eastAsia" w:ascii="宋体" w:hAnsi="宋体" w:cs="宋体"/>
                <w:kern w:val="0"/>
                <w:szCs w:val="21"/>
                <w:highlight w:val="none"/>
              </w:rPr>
              <w:t>（投标人须在投标文件中附该产品经国家确定的认证机构出具的、处于有效期之内的《国家节能产品认证证书》《中国环境标志产品认证证书》</w:t>
            </w:r>
            <w:r>
              <w:rPr>
                <w:rFonts w:hint="eastAsia" w:ascii="宋体" w:hAnsi="宋体" w:cs="宋体"/>
                <w:kern w:val="0"/>
                <w:szCs w:val="21"/>
                <w:highlight w:val="none"/>
                <w:lang w:eastAsia="zh-CN"/>
              </w:rPr>
              <w:t>复印件或扫描件</w:t>
            </w:r>
            <w:r>
              <w:rPr>
                <w:rFonts w:hint="eastAsia" w:ascii="宋体" w:hAnsi="宋体" w:cs="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01" w:hRule="atLeast"/>
          <w:jc w:val="center"/>
        </w:trPr>
        <w:tc>
          <w:tcPr>
            <w:tcW w:w="1046" w:type="dxa"/>
            <w:vMerge w:val="continue"/>
            <w:vAlign w:val="center"/>
          </w:tcPr>
          <w:p>
            <w:pPr>
              <w:spacing w:line="500" w:lineRule="exact"/>
              <w:jc w:val="center"/>
              <w:rPr>
                <w:rFonts w:hint="eastAsia" w:ascii="宋体" w:hAnsi="宋体" w:eastAsia="宋体" w:cs="宋体"/>
                <w:b/>
                <w:bCs/>
                <w:kern w:val="2"/>
                <w:sz w:val="21"/>
                <w:szCs w:val="21"/>
                <w:lang w:val="en-US" w:eastAsia="zh-CN" w:bidi="ar-SA"/>
              </w:rPr>
            </w:pPr>
          </w:p>
        </w:tc>
        <w:tc>
          <w:tcPr>
            <w:tcW w:w="1418" w:type="dxa"/>
            <w:gridSpan w:val="2"/>
            <w:vAlign w:val="center"/>
          </w:tcPr>
          <w:p>
            <w:pPr>
              <w:widowControl/>
              <w:spacing w:line="500" w:lineRule="exact"/>
              <w:jc w:val="center"/>
              <w:rPr>
                <w:b/>
                <w:color w:val="FF0000"/>
              </w:rPr>
            </w:pPr>
            <w:r>
              <w:rPr>
                <w:rFonts w:hint="eastAsia" w:ascii="宋体" w:hAnsi="宋体" w:cs="宋体"/>
                <w:b/>
                <w:bCs/>
                <w:szCs w:val="21"/>
              </w:rPr>
              <w:t>售后服务</w:t>
            </w:r>
          </w:p>
        </w:tc>
        <w:tc>
          <w:tcPr>
            <w:tcW w:w="1504" w:type="dxa"/>
            <w:vAlign w:val="center"/>
          </w:tcPr>
          <w:p>
            <w:pPr>
              <w:widowControl/>
              <w:tabs>
                <w:tab w:val="left" w:pos="0"/>
                <w:tab w:val="left" w:pos="709"/>
              </w:tabs>
              <w:spacing w:line="500" w:lineRule="exact"/>
              <w:ind w:firstLine="422" w:firstLineChars="200"/>
              <w:rPr>
                <w:rFonts w:hint="eastAsia" w:ascii="宋体" w:hAnsi="宋体" w:cs="宋体"/>
                <w:b/>
                <w:bCs/>
                <w:color w:val="FF0000"/>
                <w:szCs w:val="21"/>
              </w:rPr>
            </w:pPr>
            <w:r>
              <w:rPr>
                <w:rFonts w:hint="eastAsia" w:ascii="宋体" w:hAnsi="宋体" w:cs="宋体"/>
                <w:b/>
                <w:bCs/>
                <w:szCs w:val="21"/>
                <w:lang w:val="en-US" w:eastAsia="zh-CN"/>
              </w:rPr>
              <w:t>6</w:t>
            </w:r>
            <w:r>
              <w:rPr>
                <w:rFonts w:hint="eastAsia" w:ascii="宋体" w:hAnsi="宋体" w:cs="宋体"/>
                <w:b/>
                <w:bCs/>
                <w:szCs w:val="21"/>
              </w:rPr>
              <w:t>分</w:t>
            </w:r>
          </w:p>
        </w:tc>
        <w:tc>
          <w:tcPr>
            <w:tcW w:w="5493"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pPr>
            <w:r>
              <w:rPr>
                <w:rFonts w:hint="eastAsia"/>
              </w:rPr>
              <w:t>（1）质保期内服务承诺；</w:t>
            </w:r>
            <w:r>
              <w:rPr>
                <w:rFonts w:hint="eastAsia" w:ascii="宋体" w:hAnsi="宋体" w:cs="宋体"/>
                <w:kern w:val="0"/>
                <w:szCs w:val="21"/>
                <w:lang w:eastAsia="zh-CN"/>
              </w:rPr>
              <w:t>优秀得</w:t>
            </w:r>
            <w:r>
              <w:rPr>
                <w:rFonts w:hint="eastAsia" w:ascii="宋体" w:hAnsi="宋体" w:cs="宋体"/>
                <w:kern w:val="0"/>
                <w:szCs w:val="21"/>
                <w:lang w:val="en-US" w:eastAsia="zh-CN"/>
              </w:rPr>
              <w:t>3分，次优秀得2分，差得1分</w:t>
            </w:r>
            <w:r>
              <w:rPr>
                <w:rFonts w:hint="eastAsia"/>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pPr>
            <w:r>
              <w:rPr>
                <w:rFonts w:hint="eastAsia"/>
              </w:rPr>
              <w:t>（2）质保期外服务承诺；</w:t>
            </w:r>
            <w:r>
              <w:rPr>
                <w:rFonts w:hint="eastAsia" w:ascii="宋体" w:hAnsi="宋体" w:cs="宋体"/>
                <w:kern w:val="0"/>
                <w:szCs w:val="21"/>
                <w:lang w:eastAsia="zh-CN"/>
              </w:rPr>
              <w:t>优秀得</w:t>
            </w:r>
            <w:r>
              <w:rPr>
                <w:rFonts w:hint="eastAsia" w:ascii="宋体" w:hAnsi="宋体" w:cs="宋体"/>
                <w:kern w:val="0"/>
                <w:szCs w:val="21"/>
                <w:lang w:val="en-US" w:eastAsia="zh-CN"/>
              </w:rPr>
              <w:t>3分，次优秀得2分，差得1分</w:t>
            </w:r>
            <w:r>
              <w:rPr>
                <w:rFonts w:hint="eastAsia"/>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lang w:eastAsia="zh-CN"/>
              </w:rPr>
            </w:pPr>
            <w:r>
              <w:rPr>
                <w:rFonts w:hint="eastAsia"/>
              </w:rPr>
              <w:t>包括售后服务安排的合理性、维修的反应速度及备品备件的准备和保障措施情况等；</w:t>
            </w:r>
          </w:p>
          <w:p>
            <w:pPr>
              <w:widowControl/>
              <w:spacing w:line="360" w:lineRule="auto"/>
              <w:jc w:val="left"/>
              <w:rPr>
                <w:rFonts w:hint="eastAsia"/>
                <w:b/>
                <w:color w:val="FF0000"/>
              </w:rPr>
            </w:pPr>
            <w:r>
              <w:rPr>
                <w:rFonts w:hint="eastAsia" w:ascii="Times New Roman" w:hAnsi="Times New Roman" w:eastAsia="宋体" w:cs="Times New Roman"/>
                <w:color w:val="auto"/>
                <w:kern w:val="2"/>
                <w:sz w:val="21"/>
                <w:szCs w:val="24"/>
                <w:lang w:val="en-US" w:eastAsia="zh-CN" w:bidi="ar-SA"/>
              </w:rPr>
              <w:t>注：该项缺项得0分。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01" w:hRule="atLeast"/>
          <w:jc w:val="center"/>
        </w:trPr>
        <w:tc>
          <w:tcPr>
            <w:tcW w:w="1046" w:type="dxa"/>
            <w:vMerge w:val="continue"/>
            <w:vAlign w:val="center"/>
          </w:tcPr>
          <w:p>
            <w:pPr>
              <w:spacing w:line="500" w:lineRule="exact"/>
              <w:jc w:val="center"/>
              <w:rPr>
                <w:rFonts w:hint="eastAsia" w:ascii="宋体" w:hAnsi="宋体" w:eastAsia="宋体" w:cs="宋体"/>
                <w:b/>
                <w:bCs/>
                <w:kern w:val="2"/>
                <w:sz w:val="21"/>
                <w:szCs w:val="21"/>
                <w:lang w:val="en-US" w:eastAsia="zh-CN" w:bidi="ar-SA"/>
              </w:rPr>
            </w:pPr>
          </w:p>
        </w:tc>
        <w:tc>
          <w:tcPr>
            <w:tcW w:w="1418" w:type="dxa"/>
            <w:gridSpan w:val="2"/>
            <w:vAlign w:val="center"/>
          </w:tcPr>
          <w:p>
            <w:pPr>
              <w:widowControl/>
              <w:spacing w:line="500" w:lineRule="exact"/>
              <w:jc w:val="center"/>
              <w:rPr>
                <w:b/>
                <w:color w:val="FF0000"/>
              </w:rPr>
            </w:pPr>
            <w:r>
              <w:rPr>
                <w:rFonts w:hint="eastAsia" w:ascii="宋体" w:hAnsi="宋体" w:cs="宋体"/>
                <w:b/>
                <w:bCs/>
                <w:szCs w:val="21"/>
              </w:rPr>
              <w:t>培训方案</w:t>
            </w:r>
          </w:p>
        </w:tc>
        <w:tc>
          <w:tcPr>
            <w:tcW w:w="1504" w:type="dxa"/>
            <w:vAlign w:val="center"/>
          </w:tcPr>
          <w:p>
            <w:pPr>
              <w:widowControl/>
              <w:tabs>
                <w:tab w:val="left" w:pos="0"/>
                <w:tab w:val="left" w:pos="709"/>
              </w:tabs>
              <w:spacing w:line="500" w:lineRule="exact"/>
              <w:ind w:firstLine="422" w:firstLineChars="200"/>
              <w:rPr>
                <w:rFonts w:hint="eastAsia" w:ascii="宋体" w:hAnsi="宋体" w:cs="宋体"/>
                <w:b/>
                <w:bCs/>
                <w:color w:val="FF0000"/>
                <w:szCs w:val="21"/>
              </w:rPr>
            </w:pPr>
            <w:r>
              <w:rPr>
                <w:rFonts w:hint="eastAsia" w:ascii="宋体" w:hAnsi="宋体" w:cs="宋体"/>
                <w:b/>
                <w:bCs/>
                <w:szCs w:val="21"/>
                <w:lang w:val="en-US" w:eastAsia="zh-CN"/>
              </w:rPr>
              <w:t>2</w:t>
            </w:r>
            <w:r>
              <w:rPr>
                <w:rFonts w:hint="eastAsia" w:ascii="宋体" w:hAnsi="宋体" w:cs="宋体"/>
                <w:b/>
                <w:bCs/>
                <w:szCs w:val="21"/>
              </w:rPr>
              <w:t>分</w:t>
            </w:r>
          </w:p>
        </w:tc>
        <w:tc>
          <w:tcPr>
            <w:tcW w:w="5493" w:type="dxa"/>
            <w:gridSpan w:val="2"/>
            <w:vAlign w:val="center"/>
          </w:tcPr>
          <w:p>
            <w:pPr>
              <w:widowControl/>
              <w:spacing w:line="500" w:lineRule="exact"/>
              <w:jc w:val="left"/>
              <w:rPr>
                <w:rFonts w:hAnsi="宋体"/>
                <w:szCs w:val="21"/>
              </w:rPr>
            </w:pPr>
            <w:r>
              <w:rPr>
                <w:rFonts w:hAnsi="宋体"/>
                <w:szCs w:val="21"/>
              </w:rPr>
              <w:t>有关设备使用及维修培训方案</w:t>
            </w:r>
            <w:r>
              <w:rPr>
                <w:rFonts w:hint="eastAsia" w:hAnsi="宋体"/>
                <w:szCs w:val="21"/>
                <w:lang w:eastAsia="zh-CN"/>
              </w:rPr>
              <w:t>，</w:t>
            </w:r>
            <w:r>
              <w:rPr>
                <w:rFonts w:hint="eastAsia" w:ascii="宋体" w:hAnsi="宋体" w:cs="宋体"/>
                <w:kern w:val="0"/>
                <w:szCs w:val="21"/>
                <w:lang w:eastAsia="zh-CN"/>
              </w:rPr>
              <w:t>培训方案完整、合理得</w:t>
            </w:r>
            <w:r>
              <w:rPr>
                <w:rFonts w:hint="eastAsia" w:ascii="宋体" w:hAnsi="宋体" w:cs="宋体"/>
                <w:kern w:val="0"/>
                <w:szCs w:val="21"/>
                <w:lang w:val="en-US" w:eastAsia="zh-CN"/>
              </w:rPr>
              <w:t>2</w:t>
            </w:r>
            <w:r>
              <w:rPr>
                <w:rFonts w:hAnsi="宋体"/>
                <w:szCs w:val="21"/>
              </w:rPr>
              <w:t>分</w:t>
            </w:r>
            <w:r>
              <w:rPr>
                <w:rFonts w:hint="eastAsia" w:hAnsi="宋体"/>
                <w:szCs w:val="21"/>
                <w:lang w:eastAsia="zh-CN"/>
              </w:rPr>
              <w:t>，</w:t>
            </w:r>
            <w:r>
              <w:rPr>
                <w:rFonts w:hint="eastAsia" w:ascii="宋体" w:hAnsi="宋体" w:cs="宋体"/>
                <w:kern w:val="0"/>
                <w:szCs w:val="21"/>
                <w:lang w:eastAsia="zh-CN"/>
              </w:rPr>
              <w:t>培训方案</w:t>
            </w:r>
            <w:r>
              <w:rPr>
                <w:rFonts w:hint="eastAsia" w:hAnsi="宋体"/>
                <w:szCs w:val="21"/>
                <w:lang w:eastAsia="zh-CN"/>
              </w:rPr>
              <w:t>次完整、合理得</w:t>
            </w:r>
            <w:r>
              <w:rPr>
                <w:rFonts w:hint="eastAsia" w:hAnsi="宋体"/>
                <w:szCs w:val="21"/>
                <w:lang w:val="en-US" w:eastAsia="zh-CN"/>
              </w:rPr>
              <w:t>1分，</w:t>
            </w:r>
            <w:r>
              <w:rPr>
                <w:rFonts w:hint="eastAsia" w:ascii="宋体" w:hAnsi="宋体" w:cs="宋体"/>
                <w:kern w:val="0"/>
                <w:szCs w:val="21"/>
                <w:lang w:eastAsia="zh-CN"/>
              </w:rPr>
              <w:t>培训方案</w:t>
            </w:r>
            <w:r>
              <w:rPr>
                <w:rFonts w:hint="eastAsia" w:hAnsi="宋体"/>
                <w:szCs w:val="21"/>
                <w:lang w:val="en-US" w:eastAsia="zh-CN"/>
              </w:rPr>
              <w:t>一般完整、合理得0.5分</w:t>
            </w:r>
            <w:r>
              <w:rPr>
                <w:rFonts w:hAnsi="宋体"/>
                <w:szCs w:val="21"/>
              </w:rPr>
              <w:t>。</w:t>
            </w:r>
          </w:p>
          <w:p>
            <w:pPr>
              <w:widowControl/>
              <w:spacing w:line="360" w:lineRule="auto"/>
              <w:jc w:val="left"/>
              <w:rPr>
                <w:rFonts w:hint="eastAsia"/>
                <w:b/>
                <w:color w:val="FF0000"/>
              </w:rPr>
            </w:pPr>
            <w:r>
              <w:rPr>
                <w:rFonts w:hint="eastAsia" w:ascii="宋体" w:hAnsi="宋体" w:cs="宋体"/>
                <w:kern w:val="0"/>
                <w:szCs w:val="21"/>
                <w:lang w:eastAsia="zh-CN"/>
              </w:rPr>
              <w:t>注：该项缺项得</w:t>
            </w:r>
            <w:r>
              <w:rPr>
                <w:rFonts w:hint="eastAsia" w:ascii="宋体" w:hAnsi="宋体" w:cs="宋体"/>
                <w:kern w:val="0"/>
                <w:szCs w:val="21"/>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9461" w:type="dxa"/>
            <w:gridSpan w:val="6"/>
            <w:vAlign w:val="center"/>
          </w:tcPr>
          <w:p>
            <w:pPr>
              <w:widowControl/>
              <w:spacing w:line="500" w:lineRule="exact"/>
              <w:jc w:val="center"/>
              <w:rPr>
                <w:rFonts w:ascii="宋体" w:hAnsi="宋体" w:cs="宋体"/>
              </w:rPr>
            </w:pPr>
            <w:r>
              <w:rPr>
                <w:rFonts w:hint="eastAsia" w:ascii="宋体" w:hAnsi="宋体" w:cs="宋体"/>
                <w:b/>
                <w:bCs/>
              </w:rPr>
              <w:t>废标条款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56" w:hRule="atLeast"/>
          <w:jc w:val="center"/>
        </w:trPr>
        <w:tc>
          <w:tcPr>
            <w:tcW w:w="9461" w:type="dxa"/>
            <w:gridSpan w:val="6"/>
            <w:vAlign w:val="center"/>
          </w:tcPr>
          <w:p>
            <w:pPr>
              <w:spacing w:line="500" w:lineRule="exact"/>
              <w:ind w:firstLine="453" w:firstLineChars="216"/>
              <w:rPr>
                <w:rFonts w:ascii="宋体" w:hAnsi="宋体"/>
              </w:rPr>
            </w:pPr>
            <w:r>
              <w:rPr>
                <w:rFonts w:hint="eastAsia" w:ascii="宋体" w:hAnsi="宋体"/>
              </w:rPr>
              <w:t>1.依据本章初步评审规定的评审标准对投标文件进行初步评审。有一项不符合评审标准的，作废标处理。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56" w:hRule="atLeast"/>
          <w:jc w:val="center"/>
        </w:trPr>
        <w:tc>
          <w:tcPr>
            <w:tcW w:w="9461" w:type="dxa"/>
            <w:gridSpan w:val="6"/>
            <w:vAlign w:val="center"/>
          </w:tcPr>
          <w:p>
            <w:pPr>
              <w:spacing w:line="500" w:lineRule="exact"/>
              <w:ind w:firstLine="453" w:firstLineChars="216"/>
              <w:rPr>
                <w:rFonts w:ascii="宋体" w:hAnsi="宋体"/>
              </w:rPr>
            </w:pPr>
            <w:r>
              <w:rPr>
                <w:rFonts w:hint="eastAsia" w:ascii="宋体" w:hAnsi="宋体"/>
              </w:rPr>
              <w:t>2．投标人有以下情形之一的，其投标作废标处理：</w:t>
            </w:r>
          </w:p>
          <w:p>
            <w:pPr>
              <w:spacing w:line="500" w:lineRule="exact"/>
              <w:ind w:firstLine="453" w:firstLineChars="216"/>
              <w:rPr>
                <w:rFonts w:ascii="宋体" w:hAnsi="宋体"/>
              </w:rPr>
            </w:pPr>
            <w:r>
              <w:rPr>
                <w:rFonts w:hint="eastAsia" w:ascii="宋体" w:hAnsi="宋体"/>
              </w:rPr>
              <w:t>(1)</w:t>
            </w:r>
            <w:r>
              <w:rPr>
                <w:rFonts w:hint="eastAsia" w:ascii="宋体" w:hAnsi="宋体"/>
              </w:rPr>
              <w:tab/>
            </w:r>
            <w:r>
              <w:rPr>
                <w:rFonts w:hint="eastAsia" w:ascii="宋体" w:hAnsi="宋体"/>
              </w:rPr>
              <w:t>串通投标或弄虚作假或有其他违法行为的；</w:t>
            </w:r>
          </w:p>
          <w:p>
            <w:pPr>
              <w:spacing w:line="500" w:lineRule="exact"/>
              <w:ind w:firstLine="453" w:firstLineChars="216"/>
              <w:rPr>
                <w:rFonts w:ascii="宋体" w:hAnsi="宋体" w:cs="宋体"/>
                <w:szCs w:val="21"/>
              </w:rPr>
            </w:pPr>
            <w:r>
              <w:rPr>
                <w:rFonts w:hint="eastAsia" w:ascii="宋体" w:hAnsi="宋体"/>
              </w:rPr>
              <w:t>(2)</w:t>
            </w:r>
            <w:r>
              <w:rPr>
                <w:rFonts w:hint="eastAsia" w:ascii="宋体" w:hAnsi="宋体"/>
              </w:rPr>
              <w:tab/>
            </w:r>
            <w:r>
              <w:rPr>
                <w:rFonts w:hint="eastAsia" w:ascii="宋体" w:hAnsi="宋体"/>
              </w:rPr>
              <w:t>不按评审委员会要求澄清、说明或补正的。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56" w:hRule="atLeast"/>
          <w:jc w:val="center"/>
        </w:trPr>
        <w:tc>
          <w:tcPr>
            <w:tcW w:w="9461" w:type="dxa"/>
            <w:gridSpan w:val="6"/>
            <w:vAlign w:val="center"/>
          </w:tcPr>
          <w:p>
            <w:pPr>
              <w:spacing w:line="500" w:lineRule="exact"/>
              <w:ind w:firstLine="453" w:firstLineChars="216"/>
              <w:rPr>
                <w:rFonts w:ascii="宋体" w:hAnsi="宋体" w:cs="宋体"/>
                <w:szCs w:val="21"/>
              </w:rPr>
            </w:pPr>
            <w:r>
              <w:rPr>
                <w:rFonts w:hint="eastAsia" w:ascii="宋体" w:hAnsi="宋体"/>
              </w:rPr>
              <w:t>3 .响应报价有算术错误的，评审委员会按以下原则对响应报价进行修正，修正的价格经投标人书面确认后具有约束力。投标人不接受修正价格的，其投标作废标处理。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56" w:hRule="atLeast"/>
          <w:jc w:val="center"/>
        </w:trPr>
        <w:tc>
          <w:tcPr>
            <w:tcW w:w="9461" w:type="dxa"/>
            <w:gridSpan w:val="6"/>
            <w:vAlign w:val="center"/>
          </w:tcPr>
          <w:p>
            <w:pPr>
              <w:numPr>
                <w:ilvl w:val="0"/>
                <w:numId w:val="5"/>
              </w:numPr>
              <w:spacing w:line="500" w:lineRule="exact"/>
              <w:ind w:left="420" w:leftChars="200"/>
              <w:rPr>
                <w:rFonts w:ascii="宋体" w:hAnsi="宋体" w:cs="宋体"/>
                <w:szCs w:val="21"/>
              </w:rPr>
            </w:pPr>
            <w:r>
              <w:rPr>
                <w:rFonts w:hint="eastAsia" w:ascii="宋体" w:hAnsi="宋体"/>
              </w:rPr>
              <w:t>评审委员会发现投标人的报价明显低于其他需报价，或者在设有标底时明显低于标底，使得</w:t>
            </w:r>
          </w:p>
          <w:p>
            <w:pPr>
              <w:spacing w:line="500" w:lineRule="exact"/>
              <w:rPr>
                <w:rFonts w:ascii="宋体" w:hAnsi="宋体" w:cs="宋体"/>
                <w:szCs w:val="21"/>
              </w:rPr>
            </w:pPr>
            <w:r>
              <w:rPr>
                <w:rFonts w:hint="eastAsia" w:ascii="宋体" w:hAnsi="宋体"/>
              </w:rPr>
              <w:t>其响应报价可能低于其个别成本的，应当要求该投标人作出书面说明并提供相应的证明材料。投标人不能合理说明或者不能提供相应证明材料的，由评审委员会认定该投标人以低于成本报价竞标，其投标作废标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461" w:type="dxa"/>
            <w:gridSpan w:val="6"/>
            <w:vAlign w:val="center"/>
          </w:tcPr>
          <w:p>
            <w:pPr>
              <w:widowControl/>
              <w:spacing w:line="500" w:lineRule="exact"/>
              <w:ind w:firstLine="420" w:firstLineChars="200"/>
              <w:rPr>
                <w:rFonts w:ascii="宋体" w:hAnsi="宋体" w:cs="宋体"/>
                <w:szCs w:val="21"/>
              </w:rPr>
            </w:pPr>
            <w:r>
              <w:rPr>
                <w:rFonts w:hint="eastAsia" w:ascii="宋体" w:hAnsi="宋体" w:cs="宋体"/>
                <w:szCs w:val="21"/>
              </w:rPr>
              <w:t>5.</w:t>
            </w:r>
            <w:r>
              <w:rPr>
                <w:rFonts w:hint="eastAsia" w:ascii="宋体" w:hAnsi="宋体"/>
              </w:rPr>
              <w:t>投标人投标文件制作机器码一致的，其投标做废标处理。</w:t>
            </w:r>
          </w:p>
        </w:tc>
      </w:tr>
    </w:tbl>
    <w:p>
      <w:pPr>
        <w:snapToGrid w:val="0"/>
        <w:spacing w:line="360" w:lineRule="auto"/>
        <w:rPr>
          <w:rFonts w:hint="eastAsia" w:ascii="宋体" w:hAnsi="宋体" w:cs="宋体"/>
          <w:b/>
          <w:color w:val="auto"/>
          <w:szCs w:val="21"/>
          <w:highlight w:val="none"/>
        </w:rPr>
      </w:pPr>
      <w:bookmarkStart w:id="534" w:name="_Toc7112_WPSOffice_Level2"/>
      <w:r>
        <w:rPr>
          <w:rFonts w:hint="eastAsia" w:ascii="宋体" w:hAnsi="宋体" w:cs="宋体"/>
          <w:b/>
          <w:color w:val="auto"/>
          <w:szCs w:val="21"/>
          <w:highlight w:val="none"/>
        </w:rPr>
        <w:t>注：根据《政府采购货物和服务采购投标管理办法》（财政部第87号令）第31条的规定，提供相同品牌产品且通过资格审查、符合性审查的不同供应商参加同一标段投标的，按一家供应商计算，评审后得分最高的同品牌供应商获得成交人推荐资格；评审得分相同的，以投标报价最低者获得成交人推荐资格；评审得分相同，报价也相同的，由评标委员会集体投票（少数服从多数）决定。</w:t>
      </w:r>
    </w:p>
    <w:p>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非单一产品采购项目，采购人应当根据采购项目技术构成、产品价格比重等合理确定核心产品，并在招标文件中载明。</w:t>
      </w:r>
    </w:p>
    <w:p>
      <w:pPr>
        <w:snapToGrid w:val="0"/>
        <w:spacing w:line="360" w:lineRule="auto"/>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本项目核心产品为：</w:t>
      </w:r>
      <w:r>
        <w:rPr>
          <w:rFonts w:hint="eastAsia" w:ascii="宋体" w:hAnsi="宋体" w:cs="宋体"/>
          <w:b/>
          <w:color w:val="auto"/>
          <w:szCs w:val="21"/>
          <w:highlight w:val="none"/>
          <w:lang w:val="en-US" w:eastAsia="zh-CN"/>
        </w:rPr>
        <w:t>86寸一体机</w:t>
      </w:r>
      <w:r>
        <w:rPr>
          <w:rFonts w:hint="eastAsia" w:ascii="宋体" w:hAnsi="宋体" w:cs="宋体"/>
          <w:b/>
          <w:color w:val="auto"/>
          <w:szCs w:val="21"/>
          <w:highlight w:val="none"/>
          <w:lang w:eastAsia="zh-CN"/>
        </w:rPr>
        <w:t>。</w:t>
      </w:r>
    </w:p>
    <w:p>
      <w:pPr>
        <w:snapToGrid w:val="0"/>
        <w:spacing w:line="360" w:lineRule="auto"/>
        <w:rPr>
          <w:rFonts w:ascii="宋体" w:hAnsi="宋体" w:cs="宋体"/>
          <w:b/>
          <w:szCs w:val="21"/>
        </w:rPr>
      </w:pPr>
      <w:r>
        <w:rPr>
          <w:rFonts w:hint="eastAsia" w:ascii="宋体" w:hAnsi="宋体" w:cs="宋体"/>
          <w:b/>
          <w:szCs w:val="21"/>
        </w:rPr>
        <w:t>1、计分办法</w:t>
      </w:r>
      <w:bookmarkEnd w:id="534"/>
    </w:p>
    <w:p>
      <w:pPr>
        <w:pStyle w:val="43"/>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评委根据招标文件、投标文件，按照评分办法，统一认定投标人的硬指标分值；再加上评委个人评判分值，得出每个评委对投标人的评标分数。投标人的最终得分为所有评委对其打分的算术平均值，打分结果保留小数点后两位。</w:t>
      </w:r>
    </w:p>
    <w:p>
      <w:pPr>
        <w:snapToGrid w:val="0"/>
        <w:spacing w:line="360" w:lineRule="auto"/>
        <w:rPr>
          <w:rFonts w:ascii="宋体" w:hAnsi="宋体" w:cs="宋体"/>
          <w:b/>
          <w:szCs w:val="21"/>
        </w:rPr>
      </w:pPr>
      <w:bookmarkStart w:id="535" w:name="_Toc3343_WPSOffice_Level2"/>
      <w:r>
        <w:rPr>
          <w:rFonts w:hint="eastAsia" w:ascii="宋体" w:hAnsi="宋体" w:cs="宋体"/>
          <w:b/>
          <w:szCs w:val="21"/>
        </w:rPr>
        <w:t>2、定标</w:t>
      </w:r>
      <w:bookmarkEnd w:id="535"/>
    </w:p>
    <w:p>
      <w:pPr>
        <w:pStyle w:val="43"/>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 评标委员会按照招标文件中评分办法的规定评定投标人名次。</w:t>
      </w:r>
    </w:p>
    <w:p>
      <w:pPr>
        <w:spacing w:line="360" w:lineRule="auto"/>
        <w:ind w:firstLine="420" w:firstLineChars="200"/>
        <w:rPr>
          <w:rFonts w:ascii="宋体" w:hAnsi="宋体" w:cs="宋体"/>
          <w:kern w:val="0"/>
          <w:szCs w:val="21"/>
        </w:rPr>
      </w:pPr>
      <w:r>
        <w:rPr>
          <w:rFonts w:hint="eastAsia" w:ascii="宋体" w:hAnsi="宋体" w:cs="宋体"/>
          <w:bCs/>
          <w:szCs w:val="21"/>
        </w:rPr>
        <w:t>2.</w:t>
      </w:r>
      <w:r>
        <w:rPr>
          <w:rFonts w:hint="eastAsia" w:ascii="宋体" w:hAnsi="宋体" w:cs="宋体"/>
          <w:kern w:val="0"/>
          <w:szCs w:val="21"/>
        </w:rPr>
        <w:t>投标人的排名按得分从高到低顺序排列。评标委员会写出评标报告向采购人推荐</w:t>
      </w:r>
      <w:r>
        <w:rPr>
          <w:rFonts w:hint="eastAsia" w:ascii="宋体" w:hAnsi="宋体" w:cs="宋体"/>
          <w:b/>
          <w:kern w:val="0"/>
          <w:szCs w:val="21"/>
          <w:u w:val="single"/>
        </w:rPr>
        <w:t>3</w:t>
      </w:r>
      <w:r>
        <w:rPr>
          <w:rFonts w:hint="eastAsia" w:ascii="宋体" w:hAnsi="宋体" w:cs="宋体"/>
          <w:kern w:val="0"/>
          <w:szCs w:val="21"/>
        </w:rPr>
        <w:t>名中标候选人。采购人原则上应按评标委员会推荐的顺序确定中标人。</w:t>
      </w:r>
    </w:p>
    <w:p>
      <w:pPr>
        <w:spacing w:line="360" w:lineRule="auto"/>
        <w:ind w:firstLine="420" w:firstLineChars="200"/>
        <w:rPr>
          <w:rFonts w:ascii="宋体" w:hAnsi="宋体" w:cs="宋体"/>
          <w:kern w:val="0"/>
          <w:szCs w:val="21"/>
        </w:rPr>
      </w:pPr>
      <w:r>
        <w:rPr>
          <w:rFonts w:hint="eastAsia" w:ascii="宋体" w:hAnsi="宋体" w:cs="宋体"/>
          <w:kern w:val="0"/>
          <w:szCs w:val="21"/>
        </w:rPr>
        <w:t>3.若前位中标候选人放弃中标、因不可抗力提出不能履行合同，可以按顺序向下确定中标人。</w:t>
      </w:r>
    </w:p>
    <w:p>
      <w:pPr>
        <w:spacing w:line="360" w:lineRule="auto"/>
        <w:ind w:left="317" w:leftChars="151" w:firstLine="210" w:firstLineChars="100"/>
        <w:rPr>
          <w:rFonts w:ascii="宋体" w:hAnsi="宋体" w:cs="宋体"/>
          <w:kern w:val="0"/>
          <w:szCs w:val="21"/>
        </w:rPr>
      </w:pPr>
      <w:r>
        <w:rPr>
          <w:rFonts w:hint="eastAsia" w:ascii="宋体" w:hAnsi="宋体" w:cs="宋体"/>
          <w:kern w:val="0"/>
          <w:szCs w:val="21"/>
        </w:rPr>
        <w:t>4. 若前位中标候选人确有重大实质性问题或违法行为，经监督部门认可后中标无效。应当按照中标条件从其余投标人中重新确定中标人或者重新评标。</w:t>
      </w:r>
    </w:p>
    <w:p>
      <w:pPr>
        <w:snapToGrid w:val="0"/>
        <w:spacing w:line="360" w:lineRule="auto"/>
        <w:rPr>
          <w:rFonts w:ascii="宋体" w:hAnsi="宋体" w:cs="宋体"/>
          <w:b/>
          <w:szCs w:val="21"/>
        </w:rPr>
      </w:pPr>
      <w:bookmarkStart w:id="536" w:name="_Toc29562_WPSOffice_Level2"/>
      <w:r>
        <w:rPr>
          <w:rFonts w:hint="eastAsia" w:ascii="宋体" w:hAnsi="宋体" w:cs="宋体"/>
          <w:b/>
          <w:szCs w:val="21"/>
        </w:rPr>
        <w:t>3、其它</w:t>
      </w:r>
      <w:bookmarkEnd w:id="536"/>
    </w:p>
    <w:p>
      <w:pPr>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szCs w:val="21"/>
        </w:rPr>
        <w:t>1.本招标文件未尽事宜按现行招标投标的有关法律法规和规定执行。</w:t>
      </w:r>
      <w:r>
        <w:rPr>
          <w:rFonts w:hint="eastAsia" w:ascii="宋体" w:hAnsi="宋体" w:cs="宋体"/>
          <w:kern w:val="0"/>
          <w:szCs w:val="21"/>
        </w:rPr>
        <w:t>如投标人在本次评标活动中有违反相关法律</w:t>
      </w:r>
      <w:r>
        <w:rPr>
          <w:rFonts w:hint="eastAsia" w:ascii="宋体" w:hAnsi="宋体" w:cs="宋体"/>
          <w:szCs w:val="21"/>
        </w:rPr>
        <w:t>法规的</w:t>
      </w:r>
      <w:r>
        <w:rPr>
          <w:rFonts w:hint="eastAsia" w:ascii="宋体" w:hAnsi="宋体" w:cs="宋体"/>
          <w:kern w:val="0"/>
          <w:szCs w:val="21"/>
        </w:rPr>
        <w:t>将根据相关法律</w:t>
      </w:r>
      <w:r>
        <w:rPr>
          <w:rFonts w:hint="eastAsia" w:ascii="宋体" w:hAnsi="宋体" w:cs="宋体"/>
          <w:szCs w:val="21"/>
        </w:rPr>
        <w:t>法规和规定对其进行处罚。</w:t>
      </w:r>
    </w:p>
    <w:p>
      <w:pPr>
        <w:spacing w:line="360" w:lineRule="auto"/>
        <w:ind w:firstLine="315" w:firstLineChars="150"/>
        <w:rPr>
          <w:rFonts w:ascii="宋体" w:hAnsi="宋体" w:cs="宋体"/>
          <w:szCs w:val="21"/>
        </w:rPr>
      </w:pPr>
      <w:r>
        <w:rPr>
          <w:rFonts w:hint="eastAsia" w:ascii="宋体" w:hAnsi="宋体" w:cs="宋体"/>
          <w:szCs w:val="21"/>
        </w:rPr>
        <w:t>2.本招标文件根椐国家有关规定，解释权属采购人。</w:t>
      </w:r>
    </w:p>
    <w:bookmarkEnd w:id="533"/>
    <w:p>
      <w:pPr>
        <w:pStyle w:val="37"/>
        <w:rPr>
          <w:rFonts w:eastAsia="黑体"/>
          <w:b/>
          <w:sz w:val="52"/>
          <w:szCs w:val="52"/>
        </w:rPr>
      </w:pPr>
    </w:p>
    <w:p>
      <w:pPr>
        <w:pStyle w:val="37"/>
        <w:rPr>
          <w:rFonts w:eastAsia="黑体"/>
          <w:b/>
          <w:sz w:val="52"/>
          <w:szCs w:val="52"/>
        </w:rPr>
      </w:pPr>
    </w:p>
    <w:p>
      <w:pPr>
        <w:pStyle w:val="37"/>
        <w:rPr>
          <w:rFonts w:eastAsia="黑体"/>
          <w:b/>
          <w:sz w:val="52"/>
          <w:szCs w:val="52"/>
        </w:rPr>
      </w:pPr>
    </w:p>
    <w:p>
      <w:pPr>
        <w:pStyle w:val="37"/>
        <w:rPr>
          <w:rFonts w:eastAsia="黑体"/>
          <w:b/>
          <w:sz w:val="52"/>
          <w:szCs w:val="52"/>
        </w:rPr>
      </w:pPr>
    </w:p>
    <w:p>
      <w:pPr>
        <w:pStyle w:val="3"/>
        <w:numPr>
          <w:ilvl w:val="0"/>
          <w:numId w:val="6"/>
        </w:numPr>
        <w:ind w:firstLine="301" w:firstLineChars="100"/>
        <w:jc w:val="center"/>
        <w:rPr>
          <w:rFonts w:hint="eastAsia"/>
          <w:sz w:val="30"/>
          <w:szCs w:val="30"/>
          <w:highlight w:val="none"/>
        </w:rPr>
      </w:pPr>
      <w:bookmarkStart w:id="537" w:name="_Toc20700"/>
      <w:bookmarkStart w:id="538" w:name="_Toc8369"/>
      <w:bookmarkStart w:id="539" w:name="_Toc3176"/>
      <w:bookmarkStart w:id="540" w:name="_Toc5426"/>
      <w:bookmarkStart w:id="541" w:name="_Toc30468"/>
      <w:bookmarkStart w:id="542" w:name="_Toc31507"/>
      <w:bookmarkStart w:id="543" w:name="_Toc8320"/>
      <w:bookmarkStart w:id="544" w:name="_Toc31160"/>
      <w:bookmarkStart w:id="545" w:name="_Toc32003"/>
      <w:bookmarkStart w:id="546" w:name="_Toc7272"/>
      <w:bookmarkStart w:id="547" w:name="_Toc1522"/>
      <w:r>
        <w:rPr>
          <w:rFonts w:hint="eastAsia"/>
          <w:sz w:val="30"/>
          <w:szCs w:val="30"/>
          <w:highlight w:val="none"/>
        </w:rPr>
        <w:t>合同条款及格式</w:t>
      </w:r>
      <w:bookmarkEnd w:id="537"/>
      <w:bookmarkEnd w:id="538"/>
      <w:bookmarkEnd w:id="539"/>
      <w:bookmarkEnd w:id="540"/>
      <w:bookmarkEnd w:id="541"/>
      <w:bookmarkEnd w:id="542"/>
      <w:bookmarkEnd w:id="543"/>
      <w:bookmarkEnd w:id="544"/>
      <w:bookmarkEnd w:id="545"/>
      <w:bookmarkEnd w:id="546"/>
      <w:bookmarkEnd w:id="547"/>
    </w:p>
    <w:p>
      <w:pPr>
        <w:jc w:val="center"/>
        <w:rPr>
          <w:highlight w:val="none"/>
        </w:rPr>
      </w:pPr>
      <w:r>
        <w:rPr>
          <w:rFonts w:hint="eastAsia"/>
          <w:highlight w:val="none"/>
        </w:rPr>
        <w:t>（本合同格式仅供参考，具体以实际签订合同为准）</w:t>
      </w:r>
    </w:p>
    <w:p>
      <w:pPr>
        <w:jc w:val="center"/>
        <w:rPr>
          <w:rFonts w:ascii="宋体" w:hAnsi="宋体" w:cs="宋体"/>
          <w:b/>
          <w:sz w:val="24"/>
          <w:highlight w:val="none"/>
        </w:rPr>
      </w:pPr>
      <w:r>
        <w:rPr>
          <w:rFonts w:hint="eastAsia" w:ascii="宋体" w:hAnsi="宋体" w:cs="宋体"/>
          <w:b/>
          <w:bCs/>
          <w:sz w:val="24"/>
          <w:highlight w:val="none"/>
          <w:lang w:eastAsia="zh-CN"/>
        </w:rPr>
        <w:t>荥阳市机关事务中心购置荥阳市人民武装部搬迁设施项目</w:t>
      </w:r>
      <w:r>
        <w:rPr>
          <w:rFonts w:hint="eastAsia" w:ascii="宋体" w:hAnsi="宋体" w:cs="宋体"/>
          <w:b/>
          <w:bCs/>
          <w:sz w:val="24"/>
          <w:highlight w:val="none"/>
        </w:rPr>
        <w:t>合同</w:t>
      </w:r>
    </w:p>
    <w:p>
      <w:pPr>
        <w:spacing w:line="360" w:lineRule="auto"/>
        <w:ind w:firstLine="422" w:firstLineChars="200"/>
        <w:rPr>
          <w:rFonts w:ascii="宋体" w:hAnsi="宋体" w:cs="宋体"/>
          <w:b/>
          <w:szCs w:val="21"/>
        </w:rPr>
      </w:pPr>
    </w:p>
    <w:p>
      <w:pPr>
        <w:spacing w:line="360" w:lineRule="auto"/>
        <w:ind w:firstLine="422" w:firstLineChars="200"/>
        <w:rPr>
          <w:rFonts w:ascii="宋体" w:hAnsi="宋体" w:cs="宋体"/>
          <w:b/>
          <w:szCs w:val="21"/>
          <w:u w:val="single"/>
        </w:rPr>
      </w:pPr>
      <w:r>
        <w:rPr>
          <w:rFonts w:hint="eastAsia" w:ascii="宋体" w:hAnsi="宋体" w:cs="宋体"/>
          <w:b/>
          <w:szCs w:val="21"/>
        </w:rPr>
        <w:t>甲方（全称）：</w:t>
      </w:r>
      <w:r>
        <w:rPr>
          <w:rFonts w:hint="eastAsia" w:ascii="宋体" w:hAnsi="宋体" w:cs="宋体"/>
          <w:b/>
          <w:szCs w:val="21"/>
          <w:u w:val="single"/>
        </w:rPr>
        <w:t xml:space="preserve">                              </w:t>
      </w:r>
    </w:p>
    <w:p>
      <w:pPr>
        <w:spacing w:line="360" w:lineRule="auto"/>
        <w:ind w:firstLine="422" w:firstLineChars="200"/>
        <w:rPr>
          <w:rFonts w:ascii="宋体" w:hAnsi="宋体" w:cs="宋体"/>
          <w:b/>
          <w:szCs w:val="21"/>
          <w:u w:val="single"/>
        </w:rPr>
      </w:pPr>
      <w:r>
        <w:rPr>
          <w:rFonts w:hint="eastAsia" w:ascii="宋体" w:hAnsi="宋体" w:cs="宋体"/>
          <w:b/>
          <w:szCs w:val="21"/>
        </w:rPr>
        <w:t>乙方（全称）：</w:t>
      </w:r>
      <w:r>
        <w:rPr>
          <w:rFonts w:hint="eastAsia" w:ascii="宋体" w:hAnsi="宋体" w:cs="宋体"/>
          <w:b/>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根据《</w:t>
      </w:r>
      <w:r>
        <w:rPr>
          <w:rFonts w:ascii="宋体" w:hAnsi="宋体" w:cs="宋体"/>
          <w:szCs w:val="21"/>
        </w:rPr>
        <w:t>中华人民共和国民法典</w:t>
      </w:r>
      <w:r>
        <w:rPr>
          <w:rFonts w:hint="eastAsia" w:ascii="宋体" w:hAnsi="宋体" w:cs="宋体"/>
          <w:szCs w:val="21"/>
        </w:rPr>
        <w:t>》及有关法律规定，遵循平等、自愿、公平和诚实信用的原则，双方就</w:t>
      </w:r>
      <w:r>
        <w:rPr>
          <w:rFonts w:hint="eastAsia" w:ascii="宋体" w:hAnsi="宋体" w:cs="宋体"/>
          <w:szCs w:val="21"/>
          <w:u w:val="single"/>
        </w:rPr>
        <w:t xml:space="preserve">                              </w:t>
      </w:r>
      <w:r>
        <w:rPr>
          <w:rFonts w:hint="eastAsia" w:ascii="宋体" w:hAnsi="宋体" w:cs="宋体"/>
          <w:szCs w:val="21"/>
        </w:rPr>
        <w:t>项目及有关事项协商一致，共同达成如下协议：</w:t>
      </w:r>
    </w:p>
    <w:p>
      <w:pPr>
        <w:numPr>
          <w:ilvl w:val="0"/>
          <w:numId w:val="7"/>
        </w:numPr>
        <w:spacing w:line="360" w:lineRule="auto"/>
        <w:rPr>
          <w:rFonts w:ascii="宋体" w:hAnsi="宋体" w:cs="宋体"/>
          <w:b/>
          <w:szCs w:val="21"/>
        </w:rPr>
      </w:pPr>
      <w:r>
        <w:rPr>
          <w:rFonts w:hint="eastAsia" w:ascii="宋体" w:hAnsi="宋体" w:cs="宋体"/>
          <w:b/>
          <w:szCs w:val="21"/>
        </w:rPr>
        <w:t xml:space="preserve">  合同文件</w:t>
      </w:r>
    </w:p>
    <w:p>
      <w:pPr>
        <w:spacing w:line="360" w:lineRule="auto"/>
        <w:ind w:firstLine="420" w:firstLineChars="200"/>
        <w:rPr>
          <w:rFonts w:ascii="宋体" w:hAnsi="宋体" w:cs="宋体"/>
          <w:szCs w:val="21"/>
        </w:rPr>
      </w:pPr>
      <w:r>
        <w:rPr>
          <w:rFonts w:hint="eastAsia" w:ascii="宋体" w:hAnsi="宋体" w:cs="宋体"/>
          <w:szCs w:val="21"/>
        </w:rPr>
        <w:t>下列与本次采购活动有关的文件及附件是本合同不可分割的组成部分，与本合同具有同等法律效力，这些文件包括但不限于：</w:t>
      </w:r>
    </w:p>
    <w:p>
      <w:pPr>
        <w:spacing w:line="360" w:lineRule="auto"/>
        <w:ind w:firstLine="420" w:firstLineChars="200"/>
        <w:rPr>
          <w:rFonts w:ascii="宋体" w:hAnsi="宋体" w:cs="宋体"/>
          <w:szCs w:val="21"/>
        </w:rPr>
      </w:pPr>
      <w:r>
        <w:rPr>
          <w:rFonts w:hint="eastAsia" w:ascii="宋体" w:hAnsi="宋体" w:cs="宋体"/>
          <w:szCs w:val="21"/>
        </w:rPr>
        <w:t>1.招标文件</w:t>
      </w:r>
    </w:p>
    <w:p>
      <w:pPr>
        <w:spacing w:line="360" w:lineRule="auto"/>
        <w:ind w:firstLine="420" w:firstLineChars="200"/>
        <w:rPr>
          <w:rFonts w:ascii="宋体" w:hAnsi="宋体" w:cs="宋体"/>
          <w:szCs w:val="21"/>
        </w:rPr>
      </w:pPr>
      <w:r>
        <w:rPr>
          <w:rFonts w:hint="eastAsia" w:ascii="宋体" w:hAnsi="宋体" w:cs="宋体"/>
          <w:szCs w:val="21"/>
        </w:rPr>
        <w:t>2.投标文件</w:t>
      </w:r>
    </w:p>
    <w:p>
      <w:pPr>
        <w:spacing w:line="360" w:lineRule="auto"/>
        <w:ind w:firstLine="420" w:firstLineChars="200"/>
        <w:rPr>
          <w:rFonts w:ascii="宋体" w:hAnsi="宋体" w:cs="宋体"/>
          <w:szCs w:val="21"/>
        </w:rPr>
      </w:pPr>
      <w:r>
        <w:rPr>
          <w:rFonts w:hint="eastAsia" w:ascii="宋体" w:hAnsi="宋体" w:cs="宋体"/>
          <w:szCs w:val="21"/>
        </w:rPr>
        <w:t>3.乙方在投标时的书面承诺</w:t>
      </w:r>
    </w:p>
    <w:p>
      <w:pPr>
        <w:spacing w:line="360" w:lineRule="auto"/>
        <w:ind w:firstLine="420" w:firstLineChars="200"/>
        <w:rPr>
          <w:rFonts w:ascii="宋体" w:hAnsi="宋体" w:cs="宋体"/>
          <w:szCs w:val="21"/>
        </w:rPr>
      </w:pPr>
      <w:r>
        <w:rPr>
          <w:rFonts w:hint="eastAsia" w:ascii="宋体" w:hAnsi="宋体" w:cs="宋体"/>
          <w:szCs w:val="21"/>
        </w:rPr>
        <w:t>4.中标通知书</w:t>
      </w:r>
    </w:p>
    <w:p>
      <w:pPr>
        <w:spacing w:line="360" w:lineRule="auto"/>
        <w:ind w:firstLine="420" w:firstLineChars="200"/>
        <w:rPr>
          <w:rFonts w:ascii="宋体" w:hAnsi="宋体" w:cs="宋体"/>
          <w:szCs w:val="21"/>
        </w:rPr>
      </w:pPr>
      <w:r>
        <w:rPr>
          <w:rFonts w:hint="eastAsia" w:ascii="宋体" w:hAnsi="宋体" w:cs="宋体"/>
          <w:szCs w:val="21"/>
        </w:rPr>
        <w:t>5.合同补充条款或说明</w:t>
      </w:r>
    </w:p>
    <w:p>
      <w:pPr>
        <w:spacing w:line="360" w:lineRule="auto"/>
        <w:ind w:firstLine="420" w:firstLineChars="200"/>
        <w:rPr>
          <w:rFonts w:ascii="宋体" w:hAnsi="宋体" w:cs="宋体"/>
          <w:szCs w:val="21"/>
        </w:rPr>
      </w:pPr>
      <w:r>
        <w:rPr>
          <w:rFonts w:hint="eastAsia" w:ascii="宋体" w:hAnsi="宋体" w:cs="宋体"/>
          <w:szCs w:val="21"/>
        </w:rPr>
        <w:t>6.保密协议或条款</w:t>
      </w:r>
    </w:p>
    <w:p>
      <w:pPr>
        <w:spacing w:line="360" w:lineRule="auto"/>
        <w:ind w:firstLine="420" w:firstLineChars="200"/>
        <w:rPr>
          <w:rFonts w:ascii="宋体" w:hAnsi="宋体" w:cs="宋体"/>
          <w:szCs w:val="21"/>
        </w:rPr>
      </w:pPr>
      <w:r>
        <w:rPr>
          <w:rFonts w:hint="eastAsia" w:ascii="宋体" w:hAnsi="宋体" w:cs="宋体"/>
          <w:szCs w:val="21"/>
        </w:rPr>
        <w:t>7.相关附件、图纸</w:t>
      </w:r>
    </w:p>
    <w:p>
      <w:pPr>
        <w:spacing w:line="360" w:lineRule="auto"/>
        <w:ind w:firstLine="420" w:firstLineChars="200"/>
        <w:rPr>
          <w:rFonts w:ascii="宋体" w:hAnsi="宋体" w:cs="宋体"/>
          <w:szCs w:val="21"/>
        </w:rPr>
      </w:pPr>
      <w:r>
        <w:rPr>
          <w:rFonts w:hint="eastAsia" w:ascii="宋体" w:hAnsi="宋体" w:cs="宋体"/>
          <w:szCs w:val="21"/>
        </w:rPr>
        <w:t>8.合同条款附件</w:t>
      </w:r>
    </w:p>
    <w:p>
      <w:pPr>
        <w:spacing w:line="360" w:lineRule="auto"/>
        <w:ind w:firstLine="420" w:firstLineChars="200"/>
        <w:rPr>
          <w:rFonts w:ascii="宋体" w:hAnsi="宋体" w:cs="宋体"/>
          <w:szCs w:val="21"/>
        </w:rPr>
      </w:pPr>
      <w:r>
        <w:rPr>
          <w:rFonts w:hint="eastAsia" w:ascii="宋体" w:hAnsi="宋体" w:cs="宋体"/>
          <w:szCs w:val="21"/>
        </w:rPr>
        <w:t>附件 1 供货明细一览表</w:t>
      </w:r>
    </w:p>
    <w:p>
      <w:pPr>
        <w:spacing w:line="360" w:lineRule="auto"/>
        <w:ind w:firstLine="420" w:firstLineChars="200"/>
        <w:rPr>
          <w:rFonts w:ascii="宋体" w:hAnsi="宋体" w:cs="宋体"/>
          <w:szCs w:val="21"/>
        </w:rPr>
      </w:pPr>
      <w:r>
        <w:rPr>
          <w:rFonts w:hint="eastAsia" w:ascii="宋体" w:hAnsi="宋体" w:cs="宋体"/>
          <w:szCs w:val="21"/>
        </w:rPr>
        <w:t>附件 2 技术规格</w:t>
      </w:r>
    </w:p>
    <w:p>
      <w:pPr>
        <w:spacing w:line="360" w:lineRule="auto"/>
        <w:ind w:left="482"/>
        <w:rPr>
          <w:rFonts w:ascii="宋体" w:hAnsi="宋体" w:cs="宋体"/>
          <w:b/>
          <w:szCs w:val="21"/>
        </w:rPr>
      </w:pPr>
      <w:r>
        <w:rPr>
          <w:rFonts w:hint="eastAsia" w:ascii="宋体" w:hAnsi="宋体" w:cs="宋体"/>
          <w:b/>
          <w:szCs w:val="21"/>
        </w:rPr>
        <w:t>第二条  合同标的</w:t>
      </w:r>
    </w:p>
    <w:p>
      <w:pPr>
        <w:spacing w:line="360" w:lineRule="auto"/>
        <w:ind w:firstLine="420" w:firstLineChars="200"/>
        <w:rPr>
          <w:rFonts w:ascii="宋体" w:hAnsi="宋体" w:cs="宋体"/>
          <w:szCs w:val="21"/>
        </w:rPr>
      </w:pPr>
      <w:r>
        <w:rPr>
          <w:rFonts w:hint="eastAsia" w:ascii="宋体" w:hAnsi="宋体" w:cs="宋体"/>
          <w:szCs w:val="21"/>
        </w:rPr>
        <w:t>乙方根据甲方需求提供下列货物，货物名称、规格及数量，备件、易损件和专用工具等（详见《供货明细一览表》）。</w:t>
      </w:r>
    </w:p>
    <w:p>
      <w:pPr>
        <w:spacing w:line="360" w:lineRule="auto"/>
        <w:ind w:left="482"/>
        <w:rPr>
          <w:rFonts w:ascii="宋体" w:hAnsi="宋体" w:cs="宋体"/>
          <w:b/>
          <w:szCs w:val="21"/>
        </w:rPr>
      </w:pPr>
      <w:r>
        <w:rPr>
          <w:rFonts w:hint="eastAsia" w:ascii="宋体" w:hAnsi="宋体" w:cs="宋体"/>
          <w:b/>
          <w:szCs w:val="21"/>
        </w:rPr>
        <w:t>第三条  合同总价款</w:t>
      </w:r>
    </w:p>
    <w:p>
      <w:pPr>
        <w:spacing w:line="360" w:lineRule="auto"/>
        <w:ind w:firstLine="420" w:firstLineChars="200"/>
        <w:rPr>
          <w:rFonts w:ascii="宋体" w:hAnsi="宋体" w:cs="宋体"/>
          <w:szCs w:val="21"/>
        </w:rPr>
      </w:pPr>
      <w:r>
        <w:rPr>
          <w:rFonts w:hint="eastAsia" w:ascii="宋体" w:hAnsi="宋体" w:cs="宋体"/>
          <w:szCs w:val="21"/>
        </w:rPr>
        <w:t xml:space="preserve">1. 本合同项下货物总价款：￥ </w:t>
      </w:r>
      <w:r>
        <w:rPr>
          <w:rFonts w:hint="eastAsia" w:ascii="宋体" w:hAnsi="宋体" w:cs="宋体"/>
          <w:szCs w:val="21"/>
          <w:u w:val="single"/>
        </w:rPr>
        <w:t xml:space="preserve">                  </w:t>
      </w:r>
      <w:r>
        <w:rPr>
          <w:rFonts w:hint="eastAsia" w:ascii="宋体" w:hAnsi="宋体" w:cs="宋体"/>
          <w:szCs w:val="21"/>
        </w:rPr>
        <w:t>元。</w:t>
      </w:r>
    </w:p>
    <w:p>
      <w:pPr>
        <w:spacing w:line="360" w:lineRule="auto"/>
        <w:ind w:firstLine="420" w:firstLineChars="200"/>
        <w:rPr>
          <w:rFonts w:ascii="宋体" w:hAnsi="宋体" w:cs="宋体"/>
          <w:szCs w:val="21"/>
        </w:rPr>
      </w:pPr>
      <w:r>
        <w:rPr>
          <w:rFonts w:hint="eastAsia" w:ascii="宋体" w:hAnsi="宋体" w:cs="宋体"/>
          <w:szCs w:val="21"/>
        </w:rPr>
        <w:t>大写：</w:t>
      </w:r>
      <w:r>
        <w:rPr>
          <w:rFonts w:hint="eastAsia" w:ascii="宋体" w:hAnsi="宋体" w:cs="宋体"/>
          <w:szCs w:val="21"/>
          <w:u w:val="single"/>
        </w:rPr>
        <w:t xml:space="preserve">                                      </w:t>
      </w:r>
      <w:r>
        <w:rPr>
          <w:rFonts w:hint="eastAsia" w:ascii="宋体" w:hAnsi="宋体" w:cs="宋体"/>
          <w:szCs w:val="21"/>
        </w:rPr>
        <w:t>元。</w:t>
      </w:r>
    </w:p>
    <w:p>
      <w:pPr>
        <w:spacing w:line="360" w:lineRule="auto"/>
        <w:ind w:firstLine="420" w:firstLineChars="200"/>
        <w:rPr>
          <w:rFonts w:ascii="宋体" w:hAnsi="宋体" w:cs="宋体"/>
          <w:szCs w:val="21"/>
        </w:rPr>
      </w:pPr>
      <w:r>
        <w:rPr>
          <w:rFonts w:hint="eastAsia" w:ascii="宋体" w:hAnsi="宋体" w:cs="宋体"/>
          <w:szCs w:val="21"/>
        </w:rPr>
        <w:t>2.分项价款在《供货一览表》中有明确规定。</w:t>
      </w:r>
    </w:p>
    <w:p>
      <w:pPr>
        <w:spacing w:line="360" w:lineRule="auto"/>
        <w:ind w:firstLine="420" w:firstLineChars="200"/>
        <w:rPr>
          <w:rFonts w:ascii="宋体" w:hAnsi="宋体" w:cs="宋体"/>
          <w:szCs w:val="21"/>
        </w:rPr>
      </w:pPr>
      <w:r>
        <w:rPr>
          <w:rFonts w:hint="eastAsia" w:ascii="宋体" w:hAnsi="宋体" w:cs="宋体"/>
          <w:szCs w:val="21"/>
        </w:rPr>
        <w:t>3.本合同总价款包括货物、软件、标准附件、备品备件、专用工具、图纸资料、技术服务，包装、运输、装卸、保险、税金，货到就位以及安装、调试、培训、保修等验收合格之前和质保期内的售后服务一切税金和费用。</w:t>
      </w:r>
    </w:p>
    <w:p>
      <w:pPr>
        <w:spacing w:line="360" w:lineRule="auto"/>
        <w:ind w:firstLine="420" w:firstLineChars="200"/>
        <w:rPr>
          <w:rFonts w:ascii="宋体" w:hAnsi="宋体" w:cs="宋体"/>
          <w:szCs w:val="21"/>
        </w:rPr>
      </w:pPr>
      <w:r>
        <w:rPr>
          <w:rFonts w:hint="eastAsia" w:ascii="宋体" w:hAnsi="宋体" w:cs="宋体"/>
          <w:szCs w:val="21"/>
        </w:rPr>
        <w:t>4.本合同执行期间合同总价款不变。</w:t>
      </w:r>
    </w:p>
    <w:p>
      <w:pPr>
        <w:spacing w:line="360" w:lineRule="auto"/>
        <w:ind w:firstLine="422" w:firstLineChars="200"/>
        <w:rPr>
          <w:rFonts w:ascii="宋体" w:hAnsi="宋体" w:cs="宋体"/>
          <w:szCs w:val="21"/>
        </w:rPr>
      </w:pPr>
      <w:r>
        <w:rPr>
          <w:rFonts w:ascii="宋体" w:hAnsi="宋体" w:cs="宋体"/>
          <w:b/>
          <w:szCs w:val="21"/>
        </w:rPr>
        <w:t xml:space="preserve">第四条  </w:t>
      </w:r>
      <w:r>
        <w:rPr>
          <w:rFonts w:ascii="宋体" w:hAnsi="宋体" w:cs="宋体"/>
          <w:b/>
          <w:bCs/>
          <w:szCs w:val="21"/>
        </w:rPr>
        <w:t>双方一般权利和义务</w:t>
      </w:r>
    </w:p>
    <w:p>
      <w:pPr>
        <w:spacing w:line="360" w:lineRule="auto"/>
        <w:ind w:firstLine="422" w:firstLineChars="200"/>
        <w:rPr>
          <w:rFonts w:ascii="宋体" w:hAnsi="宋体" w:cs="宋体"/>
          <w:b/>
          <w:szCs w:val="21"/>
        </w:rPr>
      </w:pPr>
      <w:r>
        <w:rPr>
          <w:rFonts w:ascii="宋体" w:hAnsi="宋体" w:cs="宋体"/>
          <w:b/>
          <w:szCs w:val="21"/>
        </w:rPr>
        <w:t>1.甲方的义务</w:t>
      </w:r>
    </w:p>
    <w:p>
      <w:pPr>
        <w:spacing w:line="360" w:lineRule="auto"/>
        <w:ind w:firstLine="315" w:firstLineChars="150"/>
        <w:rPr>
          <w:rFonts w:ascii="宋体" w:hAnsi="宋体" w:cs="宋体"/>
          <w:szCs w:val="21"/>
        </w:rPr>
      </w:pPr>
      <w:r>
        <w:rPr>
          <w:rFonts w:ascii="宋体" w:hAnsi="宋体" w:cs="宋体"/>
          <w:szCs w:val="21"/>
        </w:rPr>
        <w:t xml:space="preserve"> 1.1 委托工作的具体范围和内容：</w:t>
      </w:r>
      <w:r>
        <w:rPr>
          <w:rFonts w:ascii="宋体" w:hAnsi="宋体" w:cs="宋体"/>
          <w:szCs w:val="21"/>
          <w:u w:val="single"/>
        </w:rPr>
        <w:t xml:space="preserve">                          </w:t>
      </w:r>
      <w:r>
        <w:rPr>
          <w:rFonts w:ascii="宋体" w:hAnsi="宋体" w:cs="宋体"/>
          <w:szCs w:val="21"/>
        </w:rPr>
        <w:t>；</w:t>
      </w:r>
    </w:p>
    <w:p>
      <w:pPr>
        <w:spacing w:line="360" w:lineRule="auto"/>
        <w:ind w:firstLine="420" w:firstLineChars="200"/>
        <w:rPr>
          <w:rFonts w:ascii="宋体" w:hAnsi="宋体" w:cs="宋体"/>
          <w:szCs w:val="21"/>
        </w:rPr>
      </w:pPr>
      <w:r>
        <w:rPr>
          <w:rFonts w:ascii="宋体" w:hAnsi="宋体" w:cs="宋体"/>
          <w:szCs w:val="21"/>
        </w:rPr>
        <w:t>1.2 甲方应按约定的时间和要求完成下列工作：</w:t>
      </w:r>
    </w:p>
    <w:p>
      <w:pPr>
        <w:spacing w:line="360" w:lineRule="auto"/>
        <w:ind w:firstLine="420" w:firstLineChars="200"/>
        <w:rPr>
          <w:rFonts w:ascii="宋体" w:hAnsi="宋体" w:cs="宋体"/>
          <w:szCs w:val="21"/>
          <w:u w:val="single"/>
        </w:rPr>
      </w:pPr>
      <w:r>
        <w:rPr>
          <w:rFonts w:ascii="宋体" w:hAnsi="宋体" w:cs="宋体"/>
          <w:szCs w:val="21"/>
        </w:rPr>
        <w:t>（1）向乙方提供保证履行合同所需的全部资料的时间：</w:t>
      </w:r>
      <w:r>
        <w:rPr>
          <w:rFonts w:ascii="宋体" w:hAnsi="宋体" w:cs="宋体"/>
          <w:szCs w:val="21"/>
          <w:u w:val="single"/>
        </w:rPr>
        <w:t xml:space="preserve">合同签订后   个工作日内 </w:t>
      </w:r>
      <w:r>
        <w:rPr>
          <w:rFonts w:ascii="宋体" w:hAnsi="宋体" w:cs="宋体"/>
          <w:szCs w:val="21"/>
        </w:rPr>
        <w:t>。</w:t>
      </w:r>
    </w:p>
    <w:p>
      <w:pPr>
        <w:spacing w:line="360" w:lineRule="auto"/>
        <w:ind w:firstLine="420" w:firstLineChars="200"/>
        <w:rPr>
          <w:rFonts w:ascii="宋体" w:hAnsi="宋体" w:cs="宋体"/>
          <w:szCs w:val="21"/>
          <w:vertAlign w:val="subscript"/>
        </w:rPr>
      </w:pPr>
      <w:r>
        <w:rPr>
          <w:rFonts w:ascii="宋体" w:hAnsi="宋体" w:cs="宋体"/>
          <w:szCs w:val="21"/>
        </w:rPr>
        <w:t>（</w:t>
      </w:r>
      <w:r>
        <w:rPr>
          <w:rFonts w:hint="eastAsia" w:ascii="宋体" w:hAnsi="宋体" w:cs="宋体"/>
          <w:szCs w:val="21"/>
        </w:rPr>
        <w:t>2</w:t>
      </w:r>
      <w:r>
        <w:rPr>
          <w:rFonts w:ascii="宋体" w:hAnsi="宋体" w:cs="宋体"/>
          <w:szCs w:val="21"/>
        </w:rPr>
        <w:t>）需要与第三方协调的工作：</w:t>
      </w:r>
      <w:r>
        <w:rPr>
          <w:rFonts w:ascii="宋体" w:hAnsi="宋体" w:cs="宋体"/>
          <w:szCs w:val="21"/>
          <w:u w:val="single"/>
        </w:rPr>
        <w:t xml:space="preserve">无 </w:t>
      </w:r>
      <w:r>
        <w:rPr>
          <w:rFonts w:ascii="宋体" w:hAnsi="宋体" w:cs="宋体"/>
          <w:szCs w:val="21"/>
        </w:rPr>
        <w:t>。</w:t>
      </w:r>
    </w:p>
    <w:p>
      <w:pPr>
        <w:spacing w:line="360" w:lineRule="auto"/>
        <w:ind w:firstLine="420" w:firstLineChars="200"/>
        <w:rPr>
          <w:rFonts w:ascii="宋体" w:hAnsi="宋体" w:cs="宋体"/>
          <w:szCs w:val="21"/>
          <w:vertAlign w:val="subscript"/>
        </w:rPr>
      </w:pPr>
      <w:r>
        <w:rPr>
          <w:rFonts w:hint="eastAsia" w:ascii="宋体" w:hAnsi="宋体" w:cs="宋体"/>
          <w:szCs w:val="21"/>
        </w:rPr>
        <w:t>1.3 甲方有义务保守履约合同过程中有关的商业秘密。</w:t>
      </w:r>
    </w:p>
    <w:p>
      <w:pPr>
        <w:spacing w:line="360" w:lineRule="auto"/>
        <w:ind w:firstLine="422" w:firstLineChars="200"/>
        <w:rPr>
          <w:rFonts w:ascii="宋体" w:hAnsi="宋体" w:cs="宋体"/>
          <w:b/>
          <w:szCs w:val="21"/>
        </w:rPr>
      </w:pPr>
      <w:r>
        <w:rPr>
          <w:rFonts w:ascii="宋体" w:hAnsi="宋体" w:cs="宋体"/>
          <w:b/>
          <w:szCs w:val="21"/>
        </w:rPr>
        <w:t>2.乙方的义务</w:t>
      </w:r>
    </w:p>
    <w:p>
      <w:pPr>
        <w:spacing w:line="360" w:lineRule="auto"/>
        <w:ind w:firstLine="420" w:firstLineChars="200"/>
        <w:rPr>
          <w:rFonts w:ascii="宋体" w:hAnsi="宋体" w:cs="宋体"/>
          <w:szCs w:val="21"/>
        </w:rPr>
      </w:pPr>
      <w:r>
        <w:rPr>
          <w:rFonts w:ascii="宋体" w:hAnsi="宋体" w:cs="宋体"/>
          <w:szCs w:val="21"/>
        </w:rPr>
        <w:t>2.1 乙方应按约定的时间和要求完全下列工作：</w:t>
      </w:r>
    </w:p>
    <w:p>
      <w:pPr>
        <w:spacing w:line="360" w:lineRule="auto"/>
        <w:ind w:firstLine="420" w:firstLineChars="200"/>
        <w:rPr>
          <w:rFonts w:ascii="宋体" w:hAnsi="宋体" w:cs="宋体"/>
          <w:szCs w:val="21"/>
          <w:vertAlign w:val="subscript"/>
        </w:rPr>
      </w:pPr>
      <w:r>
        <w:rPr>
          <w:rFonts w:ascii="宋体" w:hAnsi="宋体" w:cs="宋体"/>
          <w:szCs w:val="21"/>
        </w:rPr>
        <w:t>（1）保证履行合同的内容和时间：</w:t>
      </w:r>
      <w:r>
        <w:rPr>
          <w:rFonts w:ascii="宋体" w:hAnsi="宋体" w:cs="宋体"/>
          <w:szCs w:val="21"/>
          <w:u w:val="single"/>
        </w:rPr>
        <w:t xml:space="preserve">                          </w:t>
      </w:r>
      <w:r>
        <w:rPr>
          <w:rFonts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3）应尽的其他义务：</w:t>
      </w:r>
      <w:r>
        <w:rPr>
          <w:rFonts w:ascii="宋体" w:hAnsi="宋体" w:cs="宋体"/>
          <w:szCs w:val="21"/>
          <w:u w:val="single"/>
        </w:rPr>
        <w:t xml:space="preserve">                     </w:t>
      </w:r>
      <w:r>
        <w:rPr>
          <w:rFonts w:ascii="宋体" w:hAnsi="宋体" w:cs="宋体"/>
          <w:szCs w:val="21"/>
        </w:rPr>
        <w:t>。</w:t>
      </w:r>
    </w:p>
    <w:p>
      <w:pPr>
        <w:spacing w:line="360" w:lineRule="auto"/>
        <w:ind w:firstLine="420" w:firstLineChars="200"/>
        <w:rPr>
          <w:rFonts w:ascii="宋体" w:hAnsi="宋体" w:cs="宋体"/>
          <w:szCs w:val="21"/>
          <w:vertAlign w:val="subscript"/>
        </w:rPr>
      </w:pPr>
      <w:r>
        <w:rPr>
          <w:rFonts w:ascii="宋体" w:hAnsi="宋体" w:cs="宋体"/>
          <w:szCs w:val="21"/>
        </w:rPr>
        <w:t>2.2乙方有义务保守履约合同过程中有关的商业秘密。</w:t>
      </w:r>
    </w:p>
    <w:p>
      <w:pPr>
        <w:spacing w:line="360" w:lineRule="auto"/>
        <w:ind w:firstLine="422" w:firstLineChars="200"/>
        <w:rPr>
          <w:rFonts w:ascii="宋体" w:hAnsi="宋体" w:cs="宋体"/>
          <w:b/>
          <w:szCs w:val="21"/>
        </w:rPr>
      </w:pPr>
      <w:r>
        <w:rPr>
          <w:rFonts w:ascii="宋体" w:hAnsi="宋体" w:cs="宋体"/>
          <w:b/>
          <w:szCs w:val="21"/>
        </w:rPr>
        <w:t>3. 甲方的权利</w:t>
      </w:r>
    </w:p>
    <w:p>
      <w:pPr>
        <w:spacing w:line="360" w:lineRule="auto"/>
        <w:ind w:firstLine="420" w:firstLineChars="200"/>
        <w:rPr>
          <w:rFonts w:ascii="宋体" w:hAnsi="宋体" w:cs="宋体"/>
          <w:szCs w:val="21"/>
        </w:rPr>
      </w:pPr>
      <w:r>
        <w:rPr>
          <w:rFonts w:ascii="宋体" w:hAnsi="宋体" w:cs="宋体"/>
          <w:szCs w:val="21"/>
        </w:rPr>
        <w:t>3.1 按合同约定，接收项目成果；</w:t>
      </w:r>
    </w:p>
    <w:p>
      <w:pPr>
        <w:spacing w:line="360" w:lineRule="auto"/>
        <w:ind w:firstLine="420" w:firstLineChars="200"/>
        <w:rPr>
          <w:rFonts w:ascii="宋体" w:hAnsi="宋体" w:cs="宋体"/>
          <w:szCs w:val="21"/>
        </w:rPr>
      </w:pPr>
      <w:r>
        <w:rPr>
          <w:rFonts w:ascii="宋体" w:hAnsi="宋体" w:cs="宋体"/>
          <w:szCs w:val="21"/>
        </w:rPr>
        <w:t>3.2 向乙方询问履行合同工作进展情况和相关内容或提出不违反法律、行政法规的建议；</w:t>
      </w:r>
    </w:p>
    <w:p>
      <w:pPr>
        <w:spacing w:line="360" w:lineRule="auto"/>
        <w:ind w:firstLine="420" w:firstLineChars="200"/>
        <w:rPr>
          <w:rFonts w:ascii="宋体" w:hAnsi="宋体" w:cs="宋体"/>
          <w:szCs w:val="21"/>
        </w:rPr>
      </w:pPr>
      <w:r>
        <w:rPr>
          <w:rFonts w:ascii="宋体" w:hAnsi="宋体" w:cs="宋体"/>
          <w:szCs w:val="21"/>
        </w:rPr>
        <w:t>3.3与乙方协商，建议更换其不称职的工作人员；</w:t>
      </w:r>
    </w:p>
    <w:p>
      <w:pPr>
        <w:spacing w:line="360" w:lineRule="auto"/>
        <w:ind w:firstLine="420" w:firstLineChars="200"/>
        <w:rPr>
          <w:rFonts w:ascii="宋体" w:hAnsi="宋体" w:cs="宋体"/>
          <w:szCs w:val="21"/>
        </w:rPr>
      </w:pPr>
      <w:r>
        <w:rPr>
          <w:rFonts w:ascii="宋体" w:hAnsi="宋体" w:cs="宋体"/>
          <w:szCs w:val="21"/>
        </w:rPr>
        <w:t>3.4本合同履行期间，由于乙方不履行合同约定的内容，给甲方造成损失或影响工作正常进行的，甲方有权终止本合同，并依法向乙方追索经济赔偿，直至追究法律责任；</w:t>
      </w:r>
    </w:p>
    <w:p>
      <w:pPr>
        <w:spacing w:line="360" w:lineRule="auto"/>
        <w:ind w:firstLine="420" w:firstLineChars="200"/>
        <w:rPr>
          <w:rFonts w:ascii="宋体" w:hAnsi="宋体" w:cs="宋体"/>
          <w:szCs w:val="21"/>
        </w:rPr>
      </w:pPr>
      <w:r>
        <w:rPr>
          <w:rFonts w:ascii="宋体" w:hAnsi="宋体" w:cs="宋体"/>
          <w:szCs w:val="21"/>
        </w:rPr>
        <w:t>3.5 甲方有权利对乙方在合同履行期间的行为进行监督。</w:t>
      </w:r>
    </w:p>
    <w:p>
      <w:pPr>
        <w:spacing w:line="360" w:lineRule="auto"/>
        <w:ind w:firstLine="422" w:firstLineChars="200"/>
        <w:rPr>
          <w:rFonts w:ascii="宋体" w:hAnsi="宋体" w:cs="宋体"/>
          <w:b/>
          <w:szCs w:val="21"/>
        </w:rPr>
      </w:pPr>
      <w:r>
        <w:rPr>
          <w:rFonts w:ascii="宋体" w:hAnsi="宋体" w:cs="宋体"/>
          <w:b/>
          <w:szCs w:val="21"/>
        </w:rPr>
        <w:t>4. 乙方的权利</w:t>
      </w:r>
    </w:p>
    <w:p>
      <w:pPr>
        <w:spacing w:line="360" w:lineRule="auto"/>
        <w:ind w:firstLine="420" w:firstLineChars="200"/>
        <w:rPr>
          <w:rFonts w:ascii="宋体" w:hAnsi="宋体" w:cs="宋体"/>
          <w:szCs w:val="21"/>
        </w:rPr>
      </w:pPr>
      <w:r>
        <w:rPr>
          <w:rFonts w:ascii="宋体" w:hAnsi="宋体" w:cs="宋体"/>
          <w:szCs w:val="21"/>
        </w:rPr>
        <w:t>4.1对履行合同中应由甲方做出的决定，乙方有权提出建议；</w:t>
      </w:r>
    </w:p>
    <w:p>
      <w:pPr>
        <w:spacing w:line="360" w:lineRule="auto"/>
        <w:ind w:firstLine="420" w:firstLineChars="200"/>
        <w:rPr>
          <w:rFonts w:ascii="宋体" w:hAnsi="宋体" w:cs="宋体"/>
          <w:szCs w:val="21"/>
        </w:rPr>
      </w:pPr>
      <w:r>
        <w:rPr>
          <w:rFonts w:ascii="宋体" w:hAnsi="宋体" w:cs="宋体"/>
          <w:szCs w:val="21"/>
        </w:rPr>
        <w:t>4.2当甲方提供的资料不足或不明确时，有权要求甲方补足资料或作出明确的答复；</w:t>
      </w:r>
    </w:p>
    <w:p>
      <w:pPr>
        <w:spacing w:line="360" w:lineRule="auto"/>
        <w:ind w:firstLine="420" w:firstLineChars="200"/>
        <w:rPr>
          <w:rFonts w:ascii="宋体" w:hAnsi="宋体" w:cs="宋体"/>
          <w:szCs w:val="21"/>
        </w:rPr>
      </w:pPr>
      <w:r>
        <w:rPr>
          <w:rFonts w:ascii="宋体" w:hAnsi="宋体" w:cs="宋体"/>
          <w:szCs w:val="21"/>
        </w:rPr>
        <w:t>4.3拒绝甲方提出的违反法律、行政法规的要求，并向甲方作出解释。</w:t>
      </w:r>
    </w:p>
    <w:p>
      <w:pPr>
        <w:spacing w:line="360" w:lineRule="auto"/>
        <w:ind w:firstLine="422" w:firstLineChars="200"/>
        <w:rPr>
          <w:rFonts w:ascii="宋体" w:hAnsi="宋体" w:cs="宋体"/>
          <w:b/>
          <w:szCs w:val="21"/>
        </w:rPr>
      </w:pPr>
      <w:r>
        <w:rPr>
          <w:rFonts w:ascii="宋体" w:hAnsi="宋体" w:cs="宋体"/>
          <w:b/>
          <w:szCs w:val="21"/>
        </w:rPr>
        <w:t>第五条  质量保证</w:t>
      </w:r>
    </w:p>
    <w:p>
      <w:pPr>
        <w:spacing w:line="360" w:lineRule="auto"/>
        <w:ind w:firstLine="420" w:firstLineChars="200"/>
        <w:rPr>
          <w:rFonts w:ascii="宋体" w:hAnsi="宋体" w:cs="宋体"/>
          <w:szCs w:val="21"/>
        </w:rPr>
      </w:pPr>
      <w:r>
        <w:rPr>
          <w:rFonts w:hint="eastAsia" w:ascii="宋体" w:hAnsi="宋体" w:cs="宋体"/>
          <w:szCs w:val="21"/>
        </w:rPr>
        <w:t>1.乙方应保证甲方在使用该货物或其任何一部分时不受第三方提出侵犯其专利权、版权、商标权或其他权利的起诉。一旦出现侵权，索赔或诉讼，乙方应承担全部责任。</w:t>
      </w:r>
    </w:p>
    <w:p>
      <w:pPr>
        <w:spacing w:line="360" w:lineRule="auto"/>
        <w:ind w:firstLine="420" w:firstLineChars="200"/>
        <w:rPr>
          <w:rFonts w:ascii="宋体" w:hAnsi="宋体" w:cs="宋体"/>
          <w:szCs w:val="21"/>
        </w:rPr>
      </w:pPr>
      <w:r>
        <w:rPr>
          <w:rFonts w:hint="eastAsia" w:ascii="宋体" w:hAnsi="宋体" w:cs="宋体"/>
          <w:szCs w:val="21"/>
        </w:rPr>
        <w:t>2.乙方保证货物是全新的、未使用过的，完全符合国家规范及甲乙双方确认的投标文件、本合同关于货物数量、质量的要求。货物符合实行国家“三包”规定的，应执行“三包”规定。</w:t>
      </w:r>
    </w:p>
    <w:p>
      <w:pPr>
        <w:spacing w:line="360" w:lineRule="auto"/>
        <w:ind w:firstLine="420" w:firstLineChars="200"/>
        <w:rPr>
          <w:rFonts w:ascii="宋体" w:hAnsi="宋体" w:cs="宋体"/>
          <w:szCs w:val="21"/>
        </w:rPr>
      </w:pPr>
      <w:r>
        <w:rPr>
          <w:rFonts w:hint="eastAsia" w:ascii="宋体" w:hAnsi="宋体" w:cs="宋体"/>
          <w:szCs w:val="21"/>
        </w:rPr>
        <w:t>本项目质保期</w:t>
      </w:r>
      <w:r>
        <w:rPr>
          <w:rFonts w:hint="eastAsia" w:ascii="宋体" w:hAnsi="宋体" w:cs="宋体"/>
          <w:szCs w:val="21"/>
          <w:u w:val="single"/>
        </w:rPr>
        <w:t xml:space="preserve">      </w:t>
      </w:r>
      <w:r>
        <w:rPr>
          <w:rFonts w:hint="eastAsia" w:ascii="宋体" w:hAnsi="宋体" w:cs="宋体"/>
          <w:szCs w:val="21"/>
        </w:rPr>
        <w:t>年。</w:t>
      </w:r>
    </w:p>
    <w:p>
      <w:pPr>
        <w:spacing w:line="360" w:lineRule="auto"/>
        <w:ind w:firstLine="420" w:firstLineChars="200"/>
        <w:rPr>
          <w:rFonts w:ascii="宋体" w:hAnsi="宋体" w:cs="宋体"/>
          <w:szCs w:val="21"/>
        </w:rPr>
      </w:pPr>
      <w:r>
        <w:rPr>
          <w:rFonts w:hint="eastAsia" w:ascii="宋体" w:hAnsi="宋体" w:cs="宋体"/>
          <w:szCs w:val="21"/>
        </w:rPr>
        <w:t>3.乙方提交的货物应符合投标文件中所记载的详细配置、技术参数、参数及性能，并应附有此类货物完整、详细的技术资料和说明文件。</w:t>
      </w:r>
    </w:p>
    <w:p>
      <w:pPr>
        <w:spacing w:line="360" w:lineRule="auto"/>
        <w:ind w:firstLine="420" w:firstLineChars="200"/>
        <w:rPr>
          <w:rFonts w:ascii="宋体" w:hAnsi="宋体" w:cs="宋体"/>
          <w:szCs w:val="21"/>
        </w:rPr>
      </w:pPr>
      <w:r>
        <w:rPr>
          <w:rFonts w:hint="eastAsia" w:ascii="宋体" w:hAnsi="宋体" w:cs="宋体"/>
          <w:szCs w:val="21"/>
        </w:rPr>
        <w:t>4.乙方提交的货物必须按照招标文件的要求和中标人投标文件的承诺，以约定标准进行制造、安装；采购的进口产品（如有）应执行原产地国家有关部门最新颁布的相应正式标准并提供国家商检、海关报关等手续。</w:t>
      </w:r>
    </w:p>
    <w:p>
      <w:pPr>
        <w:spacing w:line="360" w:lineRule="auto"/>
        <w:ind w:firstLine="420" w:firstLineChars="200"/>
        <w:rPr>
          <w:rFonts w:ascii="宋体" w:hAnsi="宋体" w:cs="宋体"/>
          <w:szCs w:val="21"/>
        </w:rPr>
      </w:pPr>
      <w:r>
        <w:rPr>
          <w:rFonts w:hint="eastAsia" w:ascii="宋体" w:hAnsi="宋体" w:cs="宋体"/>
          <w:szCs w:val="21"/>
        </w:rPr>
        <w:t>5.乙方应保证将货物按照国家或专业标准包装、确保货物安全无损运抵合同规定的供货地点，并进行安装、试运行。</w:t>
      </w:r>
    </w:p>
    <w:p>
      <w:pPr>
        <w:spacing w:line="360" w:lineRule="auto"/>
        <w:ind w:firstLine="420" w:firstLineChars="200"/>
        <w:rPr>
          <w:rFonts w:ascii="宋体" w:hAnsi="宋体" w:cs="宋体"/>
          <w:szCs w:val="21"/>
        </w:rPr>
      </w:pPr>
      <w:r>
        <w:rPr>
          <w:rFonts w:hint="eastAsia" w:ascii="宋体" w:hAnsi="宋体" w:cs="宋体"/>
          <w:szCs w:val="21"/>
        </w:rPr>
        <w:t>6、乙方保证货物不存在危及人身及财产安全的产品缺陷，否则应承担全部法律责任。</w:t>
      </w:r>
    </w:p>
    <w:p>
      <w:pPr>
        <w:spacing w:line="360" w:lineRule="auto"/>
        <w:ind w:left="482"/>
        <w:rPr>
          <w:rFonts w:ascii="宋体" w:hAnsi="宋体" w:cs="宋体"/>
          <w:b/>
          <w:szCs w:val="21"/>
        </w:rPr>
      </w:pPr>
      <w:r>
        <w:rPr>
          <w:rFonts w:hint="eastAsia" w:ascii="宋体" w:hAnsi="宋体" w:cs="宋体"/>
          <w:b/>
          <w:szCs w:val="21"/>
        </w:rPr>
        <w:t>第六条  付款方式</w:t>
      </w:r>
    </w:p>
    <w:p>
      <w:pPr>
        <w:spacing w:line="360" w:lineRule="auto"/>
        <w:ind w:firstLine="420" w:firstLineChars="200"/>
        <w:rPr>
          <w:rFonts w:ascii="宋体" w:hAnsi="宋体" w:cs="宋体"/>
          <w:szCs w:val="21"/>
        </w:rPr>
      </w:pPr>
      <w:r>
        <w:rPr>
          <w:rFonts w:hint="eastAsia" w:ascii="宋体" w:hAnsi="宋体" w:cs="宋体"/>
          <w:szCs w:val="21"/>
        </w:rPr>
        <w:t>1.本合同项下所有款项均以人民币支付。</w:t>
      </w:r>
    </w:p>
    <w:p>
      <w:pPr>
        <w:spacing w:line="360" w:lineRule="auto"/>
        <w:ind w:firstLine="420" w:firstLineChars="200"/>
        <w:rPr>
          <w:rFonts w:ascii="宋体" w:hAnsi="宋体" w:cs="宋体"/>
          <w:szCs w:val="21"/>
        </w:rPr>
      </w:pPr>
      <w:r>
        <w:rPr>
          <w:rFonts w:hint="eastAsia" w:ascii="宋体" w:hAnsi="宋体" w:cs="宋体"/>
          <w:szCs w:val="21"/>
        </w:rPr>
        <w:t>2.乙方向甲方提交下列文件材料，经甲方审核无误后支付采购价款：</w:t>
      </w:r>
    </w:p>
    <w:p>
      <w:pPr>
        <w:spacing w:line="360" w:lineRule="auto"/>
        <w:ind w:firstLine="420" w:firstLineChars="200"/>
        <w:rPr>
          <w:rFonts w:ascii="宋体" w:hAnsi="宋体" w:cs="宋体"/>
          <w:szCs w:val="21"/>
        </w:rPr>
      </w:pPr>
      <w:r>
        <w:rPr>
          <w:rFonts w:hint="eastAsia" w:ascii="宋体" w:hAnsi="宋体" w:cs="宋体"/>
          <w:szCs w:val="21"/>
        </w:rPr>
        <w:t>（1）经甲方确认的发票；</w:t>
      </w:r>
    </w:p>
    <w:p>
      <w:pPr>
        <w:spacing w:line="360" w:lineRule="auto"/>
        <w:ind w:firstLine="420" w:firstLineChars="200"/>
        <w:rPr>
          <w:rFonts w:ascii="宋体" w:hAnsi="宋体" w:cs="宋体"/>
          <w:szCs w:val="21"/>
        </w:rPr>
      </w:pPr>
      <w:r>
        <w:rPr>
          <w:rFonts w:hint="eastAsia" w:ascii="宋体" w:hAnsi="宋体" w:cs="宋体"/>
          <w:szCs w:val="21"/>
        </w:rPr>
        <w:t>（2）经甲乙双方确认签署的《验收报告》（或按项目进度阶段性《验收报告》）；</w:t>
      </w:r>
    </w:p>
    <w:p>
      <w:pPr>
        <w:spacing w:line="360" w:lineRule="auto"/>
        <w:ind w:firstLine="420" w:firstLineChars="200"/>
        <w:rPr>
          <w:rFonts w:ascii="宋体" w:hAnsi="宋体" w:cs="宋体"/>
          <w:szCs w:val="21"/>
        </w:rPr>
      </w:pPr>
      <w:r>
        <w:rPr>
          <w:rFonts w:hint="eastAsia" w:ascii="宋体" w:hAnsi="宋体" w:cs="宋体"/>
          <w:szCs w:val="21"/>
        </w:rPr>
        <w:t>（3）其他材料。</w:t>
      </w:r>
    </w:p>
    <w:p>
      <w:pPr>
        <w:spacing w:line="360" w:lineRule="auto"/>
        <w:ind w:firstLine="420" w:firstLineChars="200"/>
        <w:rPr>
          <w:rFonts w:ascii="宋体" w:hAnsi="宋体" w:cs="宋体"/>
          <w:szCs w:val="21"/>
        </w:rPr>
      </w:pPr>
      <w:r>
        <w:rPr>
          <w:rFonts w:hint="eastAsia" w:ascii="宋体" w:hAnsi="宋体" w:cs="宋体"/>
          <w:szCs w:val="21"/>
        </w:rPr>
        <w:t>3.款项的支付进度以招标文件的有关规定为准。如招标采购文件未作特别规定，则付款进度按如下约定履行：</w:t>
      </w:r>
    </w:p>
    <w:p>
      <w:pPr>
        <w:spacing w:line="360" w:lineRule="auto"/>
        <w:ind w:firstLine="420" w:firstLineChars="200"/>
        <w:rPr>
          <w:rFonts w:ascii="宋体" w:hAnsi="宋体" w:cs="宋体"/>
          <w:szCs w:val="21"/>
        </w:rPr>
      </w:pPr>
      <w:r>
        <w:rPr>
          <w:rFonts w:hint="eastAsia" w:ascii="宋体" w:hAnsi="宋体" w:cs="宋体"/>
          <w:szCs w:val="21"/>
        </w:rPr>
        <w:t>货到安装、调试、试运行、验收合格后支付至合同总价款的</w:t>
      </w:r>
      <w:r>
        <w:rPr>
          <w:rFonts w:hint="eastAsia" w:ascii="宋体" w:hAnsi="宋体" w:cs="宋体"/>
          <w:szCs w:val="21"/>
          <w:u w:val="single"/>
        </w:rPr>
        <w:t xml:space="preserve">     </w:t>
      </w:r>
      <w:r>
        <w:rPr>
          <w:rFonts w:hint="eastAsia" w:ascii="宋体" w:hAnsi="宋体" w:cs="宋体"/>
          <w:szCs w:val="21"/>
        </w:rPr>
        <w:t>％，余款</w:t>
      </w:r>
      <w:r>
        <w:rPr>
          <w:rFonts w:hint="eastAsia" w:ascii="宋体" w:hAnsi="宋体" w:cs="宋体"/>
          <w:szCs w:val="21"/>
          <w:u w:val="single"/>
        </w:rPr>
        <w:t xml:space="preserve">      </w:t>
      </w:r>
      <w:r>
        <w:rPr>
          <w:rFonts w:hint="eastAsia" w:ascii="宋体" w:hAnsi="宋体" w:cs="宋体"/>
          <w:szCs w:val="21"/>
        </w:rPr>
        <w:t>％于质保期</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（年）到期后，并经甲乙双方复验合格后的</w:t>
      </w:r>
      <w:r>
        <w:rPr>
          <w:rFonts w:hint="eastAsia" w:ascii="宋体" w:hAnsi="宋体" w:cs="宋体"/>
          <w:szCs w:val="21"/>
          <w:u w:val="single"/>
        </w:rPr>
        <w:t xml:space="preserve">       </w:t>
      </w:r>
      <w:r>
        <w:rPr>
          <w:rFonts w:hint="eastAsia" w:ascii="宋体" w:hAnsi="宋体" w:cs="宋体"/>
          <w:szCs w:val="21"/>
        </w:rPr>
        <w:t>个工作日内付清。</w:t>
      </w:r>
    </w:p>
    <w:p>
      <w:pPr>
        <w:spacing w:line="360" w:lineRule="auto"/>
        <w:ind w:firstLine="420" w:firstLineChars="200"/>
        <w:rPr>
          <w:rFonts w:ascii="宋体" w:hAnsi="宋体" w:cs="宋体"/>
          <w:szCs w:val="21"/>
        </w:rPr>
      </w:pPr>
      <w:r>
        <w:rPr>
          <w:rFonts w:hint="eastAsia" w:ascii="宋体" w:hAnsi="宋体" w:cs="宋体"/>
          <w:szCs w:val="21"/>
        </w:rPr>
        <w:t>4.经甲方审核无误后，甲方同意按照本合同的约定和乙方履约进度将采购资金支付至乙方收款账户：</w:t>
      </w:r>
    </w:p>
    <w:p>
      <w:pPr>
        <w:spacing w:line="360" w:lineRule="auto"/>
        <w:ind w:firstLine="420" w:firstLineChars="200"/>
        <w:rPr>
          <w:rFonts w:ascii="宋体" w:hAnsi="宋体" w:cs="宋体"/>
          <w:szCs w:val="21"/>
        </w:rPr>
      </w:pPr>
      <w:r>
        <w:rPr>
          <w:rFonts w:hint="eastAsia" w:ascii="宋体" w:hAnsi="宋体" w:cs="宋体"/>
          <w:szCs w:val="21"/>
        </w:rPr>
        <w:t>户名：</w:t>
      </w:r>
    </w:p>
    <w:p>
      <w:pPr>
        <w:spacing w:line="360" w:lineRule="auto"/>
        <w:ind w:firstLine="420" w:firstLineChars="200"/>
        <w:rPr>
          <w:rFonts w:ascii="宋体" w:hAnsi="宋体" w:cs="宋体"/>
          <w:szCs w:val="21"/>
        </w:rPr>
      </w:pPr>
      <w:r>
        <w:rPr>
          <w:rFonts w:hint="eastAsia" w:ascii="宋体" w:hAnsi="宋体" w:cs="宋体"/>
          <w:szCs w:val="21"/>
        </w:rPr>
        <w:t>开户行：</w:t>
      </w:r>
    </w:p>
    <w:p>
      <w:pPr>
        <w:spacing w:line="360" w:lineRule="auto"/>
        <w:ind w:firstLine="420" w:firstLineChars="200"/>
        <w:rPr>
          <w:rFonts w:ascii="宋体" w:hAnsi="宋体" w:cs="宋体"/>
          <w:szCs w:val="21"/>
        </w:rPr>
      </w:pPr>
      <w:r>
        <w:rPr>
          <w:rFonts w:hint="eastAsia" w:ascii="宋体" w:hAnsi="宋体" w:cs="宋体"/>
          <w:szCs w:val="21"/>
        </w:rPr>
        <w:t xml:space="preserve">账号： </w:t>
      </w:r>
    </w:p>
    <w:p>
      <w:pPr>
        <w:spacing w:line="360" w:lineRule="auto"/>
        <w:ind w:left="482"/>
        <w:rPr>
          <w:rFonts w:ascii="宋体" w:hAnsi="宋体" w:cs="宋体"/>
          <w:b/>
          <w:szCs w:val="21"/>
        </w:rPr>
      </w:pPr>
      <w:r>
        <w:rPr>
          <w:rFonts w:hint="eastAsia" w:ascii="宋体" w:hAnsi="宋体" w:cs="宋体"/>
          <w:b/>
          <w:szCs w:val="21"/>
        </w:rPr>
        <w:t>第七条  交货和验收</w:t>
      </w:r>
    </w:p>
    <w:p>
      <w:pPr>
        <w:spacing w:line="360" w:lineRule="auto"/>
        <w:ind w:firstLine="420" w:firstLineChars="200"/>
        <w:rPr>
          <w:rFonts w:ascii="宋体" w:hAnsi="宋体" w:cs="宋体"/>
          <w:szCs w:val="21"/>
          <w:u w:val="single"/>
        </w:rPr>
      </w:pPr>
      <w:r>
        <w:rPr>
          <w:rFonts w:hint="eastAsia" w:ascii="宋体" w:hAnsi="宋体" w:cs="宋体"/>
          <w:szCs w:val="21"/>
        </w:rPr>
        <w:t xml:space="preserve">1.交货时间： </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630" w:firstLineChars="300"/>
        <w:rPr>
          <w:rFonts w:ascii="宋体" w:hAnsi="宋体" w:cs="宋体"/>
          <w:szCs w:val="21"/>
        </w:rPr>
      </w:pPr>
      <w:r>
        <w:rPr>
          <w:rFonts w:hint="eastAsia" w:ascii="宋体" w:hAnsi="宋体" w:cs="宋体"/>
          <w:szCs w:val="21"/>
        </w:rPr>
        <w:t xml:space="preserve">供货地点： </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630" w:firstLineChars="300"/>
        <w:rPr>
          <w:rFonts w:ascii="宋体" w:hAnsi="宋体" w:cs="宋体"/>
          <w:szCs w:val="21"/>
        </w:rPr>
      </w:pPr>
      <w:r>
        <w:rPr>
          <w:rFonts w:hint="eastAsia" w:ascii="宋体" w:hAnsi="宋体" w:cs="宋体"/>
          <w:szCs w:val="21"/>
        </w:rPr>
        <w:t xml:space="preserve">安装调试时间： </w:t>
      </w:r>
      <w:r>
        <w:rPr>
          <w:rFonts w:hint="eastAsia" w:ascii="宋体" w:hAnsi="宋体" w:cs="宋体"/>
          <w:szCs w:val="21"/>
          <w:u w:val="single"/>
        </w:rPr>
        <w:t xml:space="preserve">                                    </w:t>
      </w:r>
      <w:r>
        <w:rPr>
          <w:rFonts w:hint="eastAsia" w:ascii="宋体" w:hAnsi="宋体" w:cs="宋体"/>
          <w:szCs w:val="21"/>
        </w:rPr>
        <w:t>。</w:t>
      </w:r>
    </w:p>
    <w:p>
      <w:pPr>
        <w:tabs>
          <w:tab w:val="left" w:pos="0"/>
        </w:tabs>
        <w:spacing w:line="360" w:lineRule="auto"/>
        <w:ind w:firstLine="420" w:firstLineChars="200"/>
        <w:rPr>
          <w:rFonts w:ascii="宋体" w:hAnsi="宋体" w:cs="宋体"/>
          <w:szCs w:val="21"/>
        </w:rPr>
      </w:pPr>
      <w:r>
        <w:rPr>
          <w:rFonts w:ascii="宋体" w:hAnsi="宋体" w:cs="宋体"/>
          <w:szCs w:val="21"/>
        </w:rPr>
        <w:t>2. 乙方应对提供的货物作出全面自查和整理，并列出清单，作为甲方验收和使用的技术条件依据，清单应随提供的验收资料交给甲方。</w:t>
      </w:r>
    </w:p>
    <w:p>
      <w:pPr>
        <w:spacing w:line="360" w:lineRule="auto"/>
        <w:ind w:firstLine="420" w:firstLineChars="200"/>
        <w:rPr>
          <w:rFonts w:ascii="宋体" w:hAnsi="宋体" w:cs="宋体"/>
          <w:szCs w:val="21"/>
        </w:rPr>
      </w:pPr>
      <w:r>
        <w:rPr>
          <w:rFonts w:hint="eastAsia" w:ascii="宋体" w:hAnsi="宋体" w:cs="宋体"/>
          <w:szCs w:val="21"/>
        </w:rPr>
        <w:t>3.乙方提供的货物应包括本合同“第一条 合同文件”规定的全部货物及其附（辅）件、资料。</w:t>
      </w:r>
    </w:p>
    <w:p>
      <w:pPr>
        <w:spacing w:line="360" w:lineRule="auto"/>
        <w:ind w:firstLine="420" w:firstLineChars="200"/>
        <w:rPr>
          <w:rFonts w:ascii="宋体" w:hAnsi="宋体" w:cs="宋体"/>
          <w:szCs w:val="21"/>
        </w:rPr>
      </w:pPr>
      <w:r>
        <w:rPr>
          <w:rFonts w:hint="eastAsia" w:ascii="宋体" w:hAnsi="宋体" w:cs="宋体"/>
          <w:szCs w:val="21"/>
        </w:rPr>
        <w:t>4.甲方应当在到货后的</w:t>
      </w:r>
      <w:r>
        <w:rPr>
          <w:rFonts w:hint="eastAsia" w:ascii="宋体" w:hAnsi="宋体" w:cs="宋体"/>
          <w:szCs w:val="21"/>
          <w:u w:val="single"/>
        </w:rPr>
        <w:t xml:space="preserve">     </w:t>
      </w:r>
      <w:r>
        <w:rPr>
          <w:rFonts w:hint="eastAsia" w:ascii="宋体" w:hAnsi="宋体" w:cs="宋体"/>
          <w:szCs w:val="21"/>
        </w:rPr>
        <w:t>个工作日内对货物进行验收。货物验收时，甲乙双方必须同时在场，双方共同确认货物与本合同规定的生产厂家产地、品牌、规格型号、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验收合格的，由双方共同签署《验收报告》。</w:t>
      </w:r>
    </w:p>
    <w:p>
      <w:pPr>
        <w:spacing w:line="360" w:lineRule="auto"/>
        <w:ind w:firstLine="420" w:firstLineChars="200"/>
        <w:rPr>
          <w:rFonts w:ascii="宋体" w:hAnsi="宋体" w:cs="宋体"/>
          <w:szCs w:val="21"/>
        </w:rPr>
      </w:pPr>
      <w:r>
        <w:rPr>
          <w:rFonts w:hint="eastAsia" w:ascii="宋体" w:hAnsi="宋体" w:cs="宋体"/>
          <w:szCs w:val="21"/>
        </w:rPr>
        <w:t>5.需要乙方对货物（包括软件）进行安装调试的，甲乙双方应在货物安装调试完毕后的</w:t>
      </w:r>
      <w:r>
        <w:rPr>
          <w:rFonts w:hint="eastAsia" w:ascii="宋体" w:hAnsi="宋体" w:cs="宋体"/>
          <w:szCs w:val="21"/>
          <w:u w:val="single"/>
        </w:rPr>
        <w:t xml:space="preserve">    </w:t>
      </w:r>
      <w:r>
        <w:rPr>
          <w:rFonts w:hint="eastAsia" w:ascii="宋体" w:hAnsi="宋体" w:cs="宋体"/>
          <w:szCs w:val="21"/>
        </w:rPr>
        <w:t>个工作日内进行运行效果验收。在验收之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w:t>
      </w:r>
    </w:p>
    <w:p>
      <w:pPr>
        <w:spacing w:line="360" w:lineRule="auto"/>
        <w:ind w:firstLine="420" w:firstLineChars="200"/>
        <w:rPr>
          <w:rFonts w:ascii="宋体" w:hAnsi="宋体" w:cs="宋体"/>
          <w:szCs w:val="21"/>
        </w:rPr>
      </w:pPr>
      <w:r>
        <w:rPr>
          <w:rFonts w:hint="eastAsia" w:ascii="宋体" w:hAnsi="宋体" w:cs="宋体"/>
          <w:szCs w:val="21"/>
        </w:rPr>
        <w:t>a.重新调试直至合格为止；</w:t>
      </w:r>
    </w:p>
    <w:p>
      <w:pPr>
        <w:spacing w:line="360" w:lineRule="auto"/>
        <w:ind w:firstLine="420" w:firstLineChars="200"/>
        <w:rPr>
          <w:rFonts w:ascii="宋体" w:hAnsi="宋体" w:cs="宋体"/>
          <w:szCs w:val="21"/>
        </w:rPr>
      </w:pPr>
      <w:r>
        <w:rPr>
          <w:rFonts w:hint="eastAsia" w:ascii="宋体" w:hAnsi="宋体" w:cs="宋体"/>
          <w:szCs w:val="21"/>
        </w:rPr>
        <w:t>b.要求乙方对货物进行免费更换，然后重新调试直至合格为止。</w:t>
      </w:r>
    </w:p>
    <w:p>
      <w:pPr>
        <w:spacing w:line="360" w:lineRule="auto"/>
        <w:ind w:firstLine="420" w:firstLineChars="200"/>
        <w:rPr>
          <w:rFonts w:ascii="宋体" w:hAnsi="宋体" w:cs="宋体"/>
          <w:szCs w:val="21"/>
        </w:rPr>
      </w:pPr>
      <w:r>
        <w:rPr>
          <w:rFonts w:hint="eastAsia" w:ascii="宋体" w:hAnsi="宋体" w:cs="宋体"/>
          <w:szCs w:val="21"/>
        </w:rPr>
        <w:t>甲方因乙方原因所产生的所有费用均由乙方负担。</w:t>
      </w:r>
    </w:p>
    <w:p>
      <w:pPr>
        <w:spacing w:line="360" w:lineRule="auto"/>
        <w:ind w:firstLine="420" w:firstLineChars="200"/>
        <w:rPr>
          <w:rFonts w:ascii="宋体" w:hAnsi="宋体" w:cs="宋体"/>
          <w:szCs w:val="21"/>
        </w:rPr>
      </w:pPr>
      <w:r>
        <w:rPr>
          <w:rFonts w:hint="eastAsia" w:ascii="宋体" w:hAnsi="宋体" w:cs="宋体"/>
          <w:szCs w:val="21"/>
        </w:rPr>
        <w:t>6.验收合格的，由双方共同签署《验收报告》。</w:t>
      </w:r>
    </w:p>
    <w:p>
      <w:pPr>
        <w:snapToGrid w:val="0"/>
        <w:spacing w:line="360" w:lineRule="auto"/>
        <w:ind w:firstLine="482"/>
        <w:textAlignment w:val="baseline"/>
        <w:rPr>
          <w:rFonts w:ascii="宋体" w:hAnsi="宋体" w:cs="宋体"/>
          <w:szCs w:val="21"/>
        </w:rPr>
      </w:pPr>
      <w:r>
        <w:rPr>
          <w:rFonts w:hint="eastAsia" w:ascii="宋体" w:hAnsi="宋体" w:cs="宋体"/>
          <w:szCs w:val="21"/>
        </w:rPr>
        <w:t>7.甲方可以视项目规模或复杂情况聘请专业人员参与验收，大型或复杂项目，以及特种货物应当邀请国家认可的第三方质量检测机构参与验收。</w:t>
      </w:r>
    </w:p>
    <w:p>
      <w:pPr>
        <w:spacing w:line="360" w:lineRule="auto"/>
        <w:ind w:firstLine="420" w:firstLineChars="200"/>
        <w:rPr>
          <w:rFonts w:ascii="宋体" w:hAnsi="宋体" w:cs="宋体"/>
          <w:szCs w:val="21"/>
        </w:rPr>
      </w:pPr>
      <w:r>
        <w:rPr>
          <w:rFonts w:hint="eastAsia" w:ascii="宋体" w:hAnsi="宋体" w:cs="宋体"/>
          <w:szCs w:val="21"/>
        </w:rPr>
        <w:t>8.货物验收包括：货物包装是否完好，产地生产厂家名称、品牌、型号、规格、数量、外观质量、配置、内在质量，以及调试运行是否达到“第一条合同文件”规定的效果。乙方应将所提供货物的装箱清单、产品合格证、甲方手册、原厂保修卡、随机资料及备品备件、易损件、专用工具等交付给甲方；乙方不能完整交付货物、附（辅）件和资料的，视为未按合同约定交货，乙方负责补齐，因此导致逾期交付的，由乙方承担相关的违约责任。</w:t>
      </w:r>
    </w:p>
    <w:p>
      <w:pPr>
        <w:spacing w:line="360" w:lineRule="auto"/>
        <w:ind w:firstLine="420" w:firstLineChars="200"/>
        <w:rPr>
          <w:rFonts w:ascii="宋体" w:hAnsi="宋体" w:cs="宋体"/>
          <w:szCs w:val="21"/>
        </w:rPr>
      </w:pPr>
      <w:r>
        <w:rPr>
          <w:rFonts w:hint="eastAsia" w:ascii="宋体" w:hAnsi="宋体" w:cs="宋体"/>
          <w:szCs w:val="21"/>
        </w:rPr>
        <w:t>9.货物达不到本合同“第一条合同文件”规定的数量、质量要求和运行效果，甲方有权拒收，并可以解除合同；由此引起甲方损失及赔偿责任由乙方承担。</w:t>
      </w:r>
    </w:p>
    <w:p>
      <w:pPr>
        <w:spacing w:line="360" w:lineRule="auto"/>
        <w:ind w:firstLine="420" w:firstLineChars="200"/>
        <w:rPr>
          <w:rFonts w:ascii="宋体" w:hAnsi="宋体" w:cs="宋体"/>
          <w:szCs w:val="21"/>
        </w:rPr>
      </w:pPr>
      <w:r>
        <w:rPr>
          <w:rFonts w:hint="eastAsia" w:ascii="宋体" w:hAnsi="宋体" w:cs="宋体"/>
          <w:szCs w:val="21"/>
        </w:rPr>
        <w:t>10.如果合同双方对《验收报告》有分歧，双方须于出现分歧后</w:t>
      </w:r>
      <w:r>
        <w:rPr>
          <w:rFonts w:hint="eastAsia" w:ascii="宋体" w:hAnsi="宋体" w:cs="宋体"/>
          <w:szCs w:val="21"/>
          <w:u w:val="single"/>
        </w:rPr>
        <w:t xml:space="preserve">    </w:t>
      </w:r>
      <w:r>
        <w:rPr>
          <w:rFonts w:hint="eastAsia" w:ascii="宋体" w:hAnsi="宋体" w:cs="宋体"/>
          <w:szCs w:val="21"/>
        </w:rPr>
        <w:t>天内给对方书面声明，以陈述己方的理由及要求，并附有关证据。分歧应通过协商解决。</w:t>
      </w:r>
    </w:p>
    <w:p>
      <w:pPr>
        <w:spacing w:line="360" w:lineRule="auto"/>
        <w:ind w:left="482"/>
        <w:rPr>
          <w:rFonts w:ascii="宋体" w:hAnsi="宋体" w:cs="宋体"/>
          <w:b/>
          <w:szCs w:val="21"/>
        </w:rPr>
      </w:pPr>
      <w:r>
        <w:rPr>
          <w:rFonts w:hint="eastAsia" w:ascii="宋体" w:hAnsi="宋体" w:cs="宋体"/>
          <w:b/>
          <w:szCs w:val="21"/>
        </w:rPr>
        <w:t>第八条  项目管理服务</w:t>
      </w:r>
    </w:p>
    <w:p>
      <w:pPr>
        <w:spacing w:line="360" w:lineRule="auto"/>
        <w:ind w:firstLine="420" w:firstLineChars="200"/>
        <w:rPr>
          <w:rFonts w:ascii="宋体" w:hAnsi="宋体" w:cs="宋体"/>
          <w:szCs w:val="21"/>
        </w:rPr>
      </w:pPr>
      <w:r>
        <w:rPr>
          <w:rFonts w:hint="eastAsia" w:ascii="宋体" w:hAnsi="宋体" w:cs="宋体"/>
          <w:szCs w:val="21"/>
        </w:rPr>
        <w:t>乙方应指定不少于一人全权全程负责本项目的商务服务，以及货物安装、调试、咨询、培训和售后等技术服务工作。</w:t>
      </w:r>
    </w:p>
    <w:p>
      <w:pPr>
        <w:snapToGrid w:val="0"/>
        <w:spacing w:line="360" w:lineRule="auto"/>
        <w:ind w:firstLine="481"/>
        <w:textAlignment w:val="baseline"/>
        <w:rPr>
          <w:rFonts w:ascii="宋体" w:hAnsi="宋体" w:cs="宋体"/>
          <w:szCs w:val="21"/>
        </w:rPr>
      </w:pPr>
      <w:r>
        <w:rPr>
          <w:rFonts w:hint="eastAsia" w:ascii="宋体" w:hAnsi="宋体" w:cs="宋体"/>
          <w:szCs w:val="21"/>
        </w:rPr>
        <w:t xml:space="preserve">项目负责人姓名： </w:t>
      </w:r>
      <w:r>
        <w:rPr>
          <w:rFonts w:hint="eastAsia" w:ascii="宋体" w:hAnsi="宋体" w:cs="宋体"/>
          <w:szCs w:val="21"/>
          <w:u w:val="single" w:color="000000"/>
        </w:rPr>
        <w:t xml:space="preserve">              </w:t>
      </w:r>
      <w:r>
        <w:rPr>
          <w:rFonts w:hint="eastAsia" w:ascii="宋体" w:hAnsi="宋体" w:cs="宋体"/>
          <w:szCs w:val="21"/>
        </w:rPr>
        <w:t>； 联系电话：</w:t>
      </w:r>
      <w:r>
        <w:rPr>
          <w:rFonts w:hint="eastAsia" w:ascii="宋体" w:hAnsi="宋体" w:cs="宋体"/>
          <w:szCs w:val="21"/>
          <w:u w:val="single" w:color="000000"/>
        </w:rPr>
        <w:t xml:space="preserve">                      </w:t>
      </w:r>
      <w:r>
        <w:rPr>
          <w:rFonts w:hint="eastAsia" w:ascii="宋体" w:hAnsi="宋体" w:cs="宋体"/>
          <w:szCs w:val="21"/>
        </w:rPr>
        <w:t>。</w:t>
      </w:r>
    </w:p>
    <w:p>
      <w:pPr>
        <w:spacing w:line="360" w:lineRule="auto"/>
        <w:ind w:firstLine="422" w:firstLineChars="200"/>
        <w:rPr>
          <w:rFonts w:ascii="宋体" w:hAnsi="宋体" w:cs="宋体"/>
          <w:b/>
          <w:szCs w:val="21"/>
        </w:rPr>
      </w:pPr>
      <w:r>
        <w:rPr>
          <w:rFonts w:hint="eastAsia" w:ascii="宋体" w:hAnsi="宋体" w:cs="宋体"/>
          <w:b/>
          <w:szCs w:val="21"/>
        </w:rPr>
        <w:t>第九条  售后服务</w:t>
      </w:r>
    </w:p>
    <w:p>
      <w:pPr>
        <w:spacing w:line="360" w:lineRule="auto"/>
        <w:ind w:firstLine="420" w:firstLineChars="200"/>
        <w:rPr>
          <w:rFonts w:ascii="宋体" w:hAnsi="宋体" w:cs="宋体"/>
          <w:szCs w:val="21"/>
        </w:rPr>
      </w:pPr>
      <w:r>
        <w:rPr>
          <w:rFonts w:hint="eastAsia" w:ascii="宋体" w:hAnsi="宋体" w:cs="宋体"/>
          <w:szCs w:val="21"/>
        </w:rPr>
        <w:t>1.质量保证期为自货物通过最终验收之日起</w:t>
      </w:r>
      <w:r>
        <w:rPr>
          <w:rFonts w:hint="eastAsia" w:ascii="宋体" w:hAnsi="宋体" w:cs="宋体"/>
          <w:szCs w:val="21"/>
          <w:u w:val="single"/>
        </w:rPr>
        <w:t xml:space="preserve">    </w:t>
      </w:r>
      <w:r>
        <w:rPr>
          <w:rFonts w:hint="eastAsia" w:ascii="宋体" w:hAnsi="宋体" w:cs="宋体"/>
          <w:szCs w:val="21"/>
        </w:rPr>
        <w:t>个月。若国家有明确规定的质量保证期高于此质量保证期的，执行国家规定。</w:t>
      </w:r>
    </w:p>
    <w:p>
      <w:pPr>
        <w:spacing w:line="360" w:lineRule="auto"/>
        <w:ind w:firstLine="420" w:firstLineChars="200"/>
        <w:rPr>
          <w:rFonts w:ascii="宋体" w:hAnsi="宋体" w:cs="宋体"/>
          <w:szCs w:val="21"/>
        </w:rPr>
      </w:pPr>
      <w:r>
        <w:rPr>
          <w:rFonts w:hint="eastAsia" w:ascii="宋体" w:hAnsi="宋体" w:cs="宋体"/>
          <w:szCs w:val="21"/>
        </w:rPr>
        <w:t>2.在货物质保期内，乙方应对由于设计、工艺、质量（含环保节能要求）、材料和的缺陷而发生的任何不足或故障负责，并解决存在的问题。</w:t>
      </w:r>
    </w:p>
    <w:p>
      <w:pPr>
        <w:spacing w:line="360" w:lineRule="auto"/>
        <w:ind w:firstLine="420" w:firstLineChars="200"/>
        <w:rPr>
          <w:rFonts w:ascii="宋体" w:hAnsi="宋体" w:cs="宋体"/>
          <w:szCs w:val="21"/>
        </w:rPr>
      </w:pPr>
      <w:r>
        <w:rPr>
          <w:rFonts w:hint="eastAsia" w:ascii="宋体" w:hAnsi="宋体" w:cs="宋体"/>
          <w:szCs w:val="21"/>
        </w:rPr>
        <w:t>3.对不符合本合同第四条规定要求的货物应立即进行调换，调换本身并不影响甲方就其损失向乙方索赔的权利。</w:t>
      </w:r>
    </w:p>
    <w:p>
      <w:pPr>
        <w:spacing w:line="360" w:lineRule="auto"/>
        <w:ind w:firstLine="420" w:firstLineChars="200"/>
        <w:rPr>
          <w:rFonts w:ascii="宋体" w:hAnsi="宋体" w:cs="宋体"/>
          <w:szCs w:val="21"/>
        </w:rPr>
      </w:pPr>
      <w:r>
        <w:rPr>
          <w:rFonts w:hint="eastAsia" w:ascii="宋体" w:hAnsi="宋体" w:cs="宋体"/>
          <w:szCs w:val="21"/>
        </w:rPr>
        <w:t>4.货物安装调试完成后，乙方应继续向甲方提供良好的技术支持。应当由专门队伍从事此项工作，并提供全天候的热线技术支持服务，应当对甲方所反映的任何问题在</w:t>
      </w:r>
      <w:r>
        <w:rPr>
          <w:rFonts w:hint="eastAsia" w:ascii="宋体" w:hAnsi="宋体" w:cs="宋体"/>
          <w:szCs w:val="21"/>
          <w:u w:val="single"/>
        </w:rPr>
        <w:t xml:space="preserve">    </w:t>
      </w:r>
      <w:r>
        <w:rPr>
          <w:rFonts w:hint="eastAsia" w:ascii="宋体" w:hAnsi="宋体" w:cs="宋体"/>
          <w:szCs w:val="21"/>
        </w:rPr>
        <w:t>日（小时）之内做出及时响应，在</w:t>
      </w:r>
      <w:r>
        <w:rPr>
          <w:rFonts w:hint="eastAsia" w:ascii="宋体" w:hAnsi="宋体" w:cs="宋体"/>
          <w:szCs w:val="21"/>
          <w:u w:val="single"/>
        </w:rPr>
        <w:t xml:space="preserve">    </w:t>
      </w:r>
      <w:r>
        <w:rPr>
          <w:rFonts w:hint="eastAsia" w:ascii="宋体" w:hAnsi="宋体" w:cs="宋体"/>
          <w:szCs w:val="21"/>
        </w:rPr>
        <w:t>日（小时）之内赶到现场实地解决问题。若问题、故障在检修</w:t>
      </w:r>
      <w:r>
        <w:rPr>
          <w:rFonts w:hint="eastAsia" w:ascii="宋体" w:hAnsi="宋体" w:cs="宋体"/>
          <w:szCs w:val="21"/>
          <w:u w:val="single"/>
        </w:rPr>
        <w:t xml:space="preserve">    </w:t>
      </w:r>
      <w:r>
        <w:rPr>
          <w:rFonts w:hint="eastAsia" w:ascii="宋体" w:hAnsi="宋体" w:cs="宋体"/>
          <w:szCs w:val="21"/>
        </w:rPr>
        <w:t>工作日（小时）后仍无法解决，乙方应在</w:t>
      </w:r>
      <w:r>
        <w:rPr>
          <w:rFonts w:hint="eastAsia" w:ascii="宋体" w:hAnsi="宋体" w:cs="宋体"/>
          <w:szCs w:val="21"/>
          <w:u w:val="single"/>
        </w:rPr>
        <w:t xml:space="preserve">     </w:t>
      </w:r>
      <w:r>
        <w:rPr>
          <w:rFonts w:hint="eastAsia" w:ascii="宋体" w:hAnsi="宋体" w:cs="宋体"/>
          <w:szCs w:val="21"/>
        </w:rPr>
        <w:t>日（小时）内免费提供不低于故障货物规格型号档次的备用货物供甲方使用，直至故障货物修复。</w:t>
      </w:r>
    </w:p>
    <w:p>
      <w:pPr>
        <w:spacing w:line="360" w:lineRule="auto"/>
        <w:ind w:firstLine="420" w:firstLineChars="200"/>
        <w:rPr>
          <w:rFonts w:ascii="宋体" w:hAnsi="宋体" w:cs="宋体"/>
          <w:szCs w:val="21"/>
        </w:rPr>
      </w:pPr>
      <w:r>
        <w:rPr>
          <w:rFonts w:hint="eastAsia" w:ascii="宋体" w:hAnsi="宋体" w:cs="宋体"/>
          <w:szCs w:val="21"/>
        </w:rPr>
        <w:t>5.乙方应当建立健全售后服务体系，确保设备正常运行。乙方应当遵守甲方的有关管理制度、操作规程。对于乙方违规操作造成甲方损失的，由乙方按照本合同第十二条的约定承担赔偿责任。</w:t>
      </w:r>
    </w:p>
    <w:p>
      <w:pPr>
        <w:spacing w:line="360" w:lineRule="auto"/>
        <w:ind w:firstLine="420" w:firstLineChars="200"/>
        <w:rPr>
          <w:rFonts w:ascii="宋体" w:hAnsi="宋体" w:cs="宋体"/>
          <w:szCs w:val="21"/>
        </w:rPr>
      </w:pPr>
      <w:r>
        <w:rPr>
          <w:rFonts w:hint="eastAsia" w:ascii="宋体" w:hAnsi="宋体" w:cs="宋体"/>
          <w:szCs w:val="21"/>
        </w:rPr>
        <w:t>6.乙方应负责货物及主要部件、配件维修更换。质保期内，乙方对货物（人为故意损坏除外）提供全免费保修或免费更换；质保期后，收取维修成本费（备品备件乙方应以投标文件承诺的优惠价格提供）。</w:t>
      </w:r>
    </w:p>
    <w:p>
      <w:pPr>
        <w:spacing w:line="360" w:lineRule="auto"/>
        <w:ind w:firstLine="422" w:firstLineChars="200"/>
        <w:rPr>
          <w:rFonts w:ascii="宋体" w:hAnsi="宋体" w:cs="宋体"/>
          <w:b/>
          <w:szCs w:val="21"/>
        </w:rPr>
      </w:pPr>
      <w:r>
        <w:rPr>
          <w:rFonts w:hint="eastAsia" w:ascii="宋体" w:hAnsi="宋体" w:cs="宋体"/>
          <w:b/>
          <w:szCs w:val="21"/>
        </w:rPr>
        <w:t>第十条  合同的生效</w:t>
      </w:r>
    </w:p>
    <w:p>
      <w:pPr>
        <w:spacing w:line="360" w:lineRule="auto"/>
        <w:ind w:firstLine="420" w:firstLineChars="200"/>
        <w:rPr>
          <w:rFonts w:ascii="宋体" w:hAnsi="宋体" w:cs="宋体"/>
          <w:szCs w:val="21"/>
        </w:rPr>
      </w:pPr>
      <w:r>
        <w:rPr>
          <w:rFonts w:hint="eastAsia" w:ascii="宋体" w:hAnsi="宋体" w:cs="宋体"/>
          <w:szCs w:val="21"/>
        </w:rPr>
        <w:t>1.本合同经甲乙双方或授权代表签订并加盖公章或合同专用章后生效。</w:t>
      </w:r>
    </w:p>
    <w:p>
      <w:pPr>
        <w:spacing w:line="360" w:lineRule="auto"/>
        <w:ind w:firstLine="420" w:firstLineChars="200"/>
        <w:rPr>
          <w:rFonts w:ascii="宋体" w:hAnsi="宋体" w:cs="宋体"/>
          <w:szCs w:val="21"/>
        </w:rPr>
      </w:pPr>
      <w:r>
        <w:rPr>
          <w:rFonts w:hint="eastAsia" w:ascii="宋体" w:hAnsi="宋体" w:cs="宋体"/>
          <w:szCs w:val="21"/>
        </w:rPr>
        <w:t>2.生效后，除《中华人民共和国政府采购法》第49条、第50条第二款规定的情形外，甲乙双方不得擅自变更、中止或终止合同。</w:t>
      </w:r>
    </w:p>
    <w:p>
      <w:pPr>
        <w:spacing w:line="360" w:lineRule="auto"/>
        <w:ind w:left="482"/>
        <w:rPr>
          <w:rFonts w:ascii="宋体" w:hAnsi="宋体" w:cs="宋体"/>
          <w:b/>
          <w:szCs w:val="21"/>
        </w:rPr>
      </w:pPr>
      <w:r>
        <w:rPr>
          <w:rFonts w:hint="eastAsia" w:ascii="宋体" w:hAnsi="宋体" w:cs="宋体"/>
          <w:b/>
          <w:szCs w:val="21"/>
        </w:rPr>
        <w:t>第十一条  违约责任</w:t>
      </w:r>
    </w:p>
    <w:p>
      <w:pPr>
        <w:spacing w:line="360" w:lineRule="auto"/>
        <w:ind w:firstLine="420" w:firstLineChars="200"/>
        <w:jc w:val="left"/>
        <w:rPr>
          <w:rFonts w:ascii="宋体" w:hAnsi="宋体" w:cs="宋体"/>
          <w:szCs w:val="21"/>
        </w:rPr>
      </w:pPr>
      <w:r>
        <w:rPr>
          <w:rFonts w:hint="eastAsia" w:ascii="宋体" w:hAnsi="宋体" w:cs="宋体"/>
          <w:szCs w:val="21"/>
        </w:rPr>
        <w:t>1.乙方所交付的货物不符合本合同规定的，甲方有权拒绝签收，乙方在得到甲方通知之日起    个工作日内采取补救措施，逾期仍未采取有效措施的，甲方有权要求乙方赔偿因此造成的损失或扣留履约保证金；同时乙方应向甲方支付合同总价</w:t>
      </w:r>
      <w:r>
        <w:rPr>
          <w:rFonts w:hint="eastAsia" w:ascii="宋体" w:hAnsi="宋体" w:cs="宋体"/>
          <w:szCs w:val="21"/>
          <w:u w:val="single"/>
        </w:rPr>
        <w:t xml:space="preserve">      </w:t>
      </w:r>
      <w:r>
        <w:rPr>
          <w:rFonts w:hint="eastAsia" w:ascii="宋体" w:hAnsi="宋体" w:cs="宋体"/>
          <w:szCs w:val="21"/>
        </w:rPr>
        <w:t>％的违约金。</w:t>
      </w:r>
    </w:p>
    <w:p>
      <w:pPr>
        <w:spacing w:line="360" w:lineRule="auto"/>
        <w:ind w:firstLine="420" w:firstLineChars="200"/>
        <w:rPr>
          <w:rFonts w:ascii="宋体" w:hAnsi="宋体" w:cs="宋体"/>
          <w:szCs w:val="21"/>
        </w:rPr>
      </w:pPr>
      <w:r>
        <w:rPr>
          <w:rFonts w:hint="eastAsia" w:ascii="宋体" w:hAnsi="宋体" w:cs="宋体"/>
          <w:szCs w:val="21"/>
        </w:rPr>
        <w:t>2.甲方无正当理由拒收货物、拒付货款的，甲方应向乙方偿付拒付货款</w:t>
      </w:r>
      <w:r>
        <w:rPr>
          <w:rFonts w:hint="eastAsia" w:ascii="宋体" w:hAnsi="宋体" w:cs="宋体"/>
          <w:szCs w:val="21"/>
          <w:u w:val="single"/>
        </w:rPr>
        <w:t xml:space="preserve">    </w:t>
      </w:r>
      <w:r>
        <w:rPr>
          <w:rFonts w:hint="eastAsia" w:ascii="宋体" w:hAnsi="宋体" w:cs="宋体"/>
          <w:szCs w:val="21"/>
        </w:rPr>
        <w:t>％的违约金。</w:t>
      </w:r>
    </w:p>
    <w:p>
      <w:pPr>
        <w:spacing w:line="360" w:lineRule="auto"/>
        <w:ind w:firstLine="420" w:firstLineChars="200"/>
        <w:rPr>
          <w:rFonts w:ascii="宋体" w:hAnsi="宋体" w:cs="宋体"/>
          <w:szCs w:val="21"/>
        </w:rPr>
      </w:pPr>
      <w:r>
        <w:rPr>
          <w:rFonts w:hint="eastAsia" w:ascii="宋体" w:hAnsi="宋体" w:cs="宋体"/>
          <w:szCs w:val="21"/>
        </w:rPr>
        <w:t>3.乙方无正当理由逾期交付货物的，每逾期1天，乙方向甲方偿付逾期交货部分货款总额的</w:t>
      </w:r>
      <w:r>
        <w:rPr>
          <w:rFonts w:hint="eastAsia" w:ascii="宋体" w:hAnsi="宋体" w:cs="宋体"/>
          <w:szCs w:val="21"/>
          <w:u w:val="single"/>
        </w:rPr>
        <w:t xml:space="preserve">    </w:t>
      </w:r>
      <w:r>
        <w:rPr>
          <w:rFonts w:hint="eastAsia" w:ascii="宋体" w:hAnsi="宋体" w:cs="宋体"/>
          <w:szCs w:val="21"/>
        </w:rPr>
        <w:t>‰的违约金。如乙方逾期交货达</w:t>
      </w:r>
      <w:r>
        <w:rPr>
          <w:rFonts w:hint="eastAsia" w:ascii="宋体" w:hAnsi="宋体" w:cs="宋体"/>
          <w:szCs w:val="21"/>
          <w:u w:val="single"/>
        </w:rPr>
        <w:t xml:space="preserve">    </w:t>
      </w:r>
      <w:r>
        <w:rPr>
          <w:rFonts w:hint="eastAsia" w:ascii="宋体" w:hAnsi="宋体" w:cs="宋体"/>
          <w:szCs w:val="21"/>
        </w:rPr>
        <w:t>天，甲方有权解除合同，甲方解除合同的通知自到达乙方时生效。在此情况下，乙方给甲方造成的实际损失高于违约金的，对高出违约金的部分乙方应予以赔偿。</w:t>
      </w:r>
    </w:p>
    <w:p>
      <w:pPr>
        <w:spacing w:line="360" w:lineRule="auto"/>
        <w:ind w:firstLine="420" w:firstLineChars="200"/>
        <w:rPr>
          <w:rFonts w:ascii="宋体" w:hAnsi="宋体" w:cs="宋体"/>
          <w:szCs w:val="21"/>
        </w:rPr>
      </w:pPr>
      <w:r>
        <w:rPr>
          <w:rFonts w:hint="eastAsia" w:ascii="宋体" w:hAnsi="宋体" w:cs="宋体"/>
          <w:szCs w:val="21"/>
        </w:rPr>
        <w:t>4.在乙方承诺的或国家规定的质量保证期内（取两者中最长的期限），如经乙方两次维修，货物仍不能达到合同约定的质量标准、运行效果的，甲方有权要求乙方更换为全新合格货物并按本条第1款处理，同时，乙方还须赔偿甲方因此遭受的损失。</w:t>
      </w:r>
    </w:p>
    <w:p>
      <w:pPr>
        <w:spacing w:line="360" w:lineRule="auto"/>
        <w:ind w:firstLine="420" w:firstLineChars="200"/>
        <w:rPr>
          <w:rFonts w:ascii="宋体" w:hAnsi="宋体" w:cs="宋体"/>
          <w:szCs w:val="21"/>
        </w:rPr>
      </w:pPr>
      <w:r>
        <w:rPr>
          <w:rFonts w:hint="eastAsia" w:ascii="宋体" w:hAnsi="宋体" w:cs="宋体"/>
          <w:szCs w:val="21"/>
        </w:rPr>
        <w:t>5.因乙方原因导致违约、本合同无法履行等情形造成甲方损失的，乙方除承担违约责任外还应支付甲方一切相关费用，包括但不限于诉讼费、保全费、鉴定费、律师费、交通费。</w:t>
      </w:r>
    </w:p>
    <w:p>
      <w:pPr>
        <w:spacing w:line="360" w:lineRule="auto"/>
        <w:ind w:firstLine="420" w:firstLineChars="200"/>
        <w:rPr>
          <w:rFonts w:ascii="宋体" w:hAnsi="宋体" w:cs="宋体"/>
          <w:szCs w:val="21"/>
        </w:rPr>
      </w:pPr>
      <w:r>
        <w:rPr>
          <w:rFonts w:hint="eastAsia" w:ascii="宋体" w:hAnsi="宋体" w:cs="宋体"/>
          <w:szCs w:val="21"/>
        </w:rPr>
        <w:t>6.其它未尽事宜，以《中华人民共和国民法典》和《中华人民共和国政府采购法》等有关法律法规规定为准，无相关规定的，双方协商解决。</w:t>
      </w:r>
    </w:p>
    <w:p>
      <w:pPr>
        <w:spacing w:line="360" w:lineRule="auto"/>
        <w:ind w:left="482"/>
        <w:rPr>
          <w:rFonts w:ascii="宋体" w:hAnsi="宋体" w:cs="宋体"/>
          <w:b/>
          <w:szCs w:val="21"/>
        </w:rPr>
      </w:pPr>
      <w:r>
        <w:rPr>
          <w:rFonts w:hint="eastAsia" w:ascii="宋体" w:hAnsi="宋体" w:cs="宋体"/>
          <w:b/>
          <w:szCs w:val="21"/>
        </w:rPr>
        <w:t>第十二条  不可抗力</w:t>
      </w:r>
    </w:p>
    <w:p>
      <w:pPr>
        <w:spacing w:line="360" w:lineRule="auto"/>
        <w:ind w:firstLine="420" w:firstLineChars="200"/>
        <w:rPr>
          <w:rFonts w:ascii="宋体" w:hAnsi="宋体" w:cs="宋体"/>
          <w:szCs w:val="21"/>
        </w:rPr>
      </w:pPr>
      <w:r>
        <w:rPr>
          <w:rFonts w:hint="eastAsia" w:ascii="宋体" w:hAnsi="宋体" w:cs="宋体"/>
          <w:szCs w:val="21"/>
        </w:rPr>
        <w:t>甲、乙方中任何一方，因不可抗力不能按时或完全履行合同的，应及时通知对方，并在</w:t>
      </w:r>
      <w:r>
        <w:rPr>
          <w:rFonts w:hint="eastAsia" w:ascii="宋体" w:hAnsi="宋体" w:cs="宋体"/>
          <w:szCs w:val="21"/>
          <w:u w:val="single"/>
        </w:rPr>
        <w:t xml:space="preserve">    </w:t>
      </w:r>
      <w:r>
        <w:rPr>
          <w:rFonts w:hint="eastAsia" w:ascii="宋体" w:hAnsi="宋体" w:cs="宋体"/>
          <w:szCs w:val="21"/>
        </w:rPr>
        <w:t>个工作日内提供相应证明。未履行完合同部分是否继续履行、如何履行等问题，可由双方初步协商，并向主管部门和政府采购管理部门报告。确定为不可抗力原因造成的损失，免予承担责任。</w:t>
      </w:r>
    </w:p>
    <w:p>
      <w:pPr>
        <w:spacing w:line="360" w:lineRule="auto"/>
        <w:ind w:left="482"/>
        <w:rPr>
          <w:rFonts w:ascii="宋体" w:hAnsi="宋体" w:cs="宋体"/>
          <w:b/>
          <w:szCs w:val="21"/>
        </w:rPr>
      </w:pPr>
      <w:r>
        <w:rPr>
          <w:rFonts w:hint="eastAsia" w:ascii="宋体" w:hAnsi="宋体" w:cs="宋体"/>
          <w:b/>
          <w:szCs w:val="21"/>
        </w:rPr>
        <w:t>第十三条  争议的解决方式</w:t>
      </w:r>
    </w:p>
    <w:p>
      <w:pPr>
        <w:spacing w:line="360" w:lineRule="auto"/>
        <w:ind w:firstLine="420" w:firstLineChars="200"/>
        <w:rPr>
          <w:rFonts w:ascii="宋体" w:hAnsi="宋体" w:cs="宋体"/>
          <w:szCs w:val="21"/>
        </w:rPr>
      </w:pPr>
      <w:r>
        <w:rPr>
          <w:rFonts w:hint="eastAsia" w:ascii="宋体" w:hAnsi="宋体" w:cs="宋体"/>
          <w:szCs w:val="21"/>
        </w:rPr>
        <w:t>1.因货物的质量问题发生争议的，应当邀请国家认可的质量检测机构对货物质量进行鉴定。货物符合标准的，鉴定费由甲方承担；货物不符合质量标准的，鉴定费由乙方承担。</w:t>
      </w:r>
    </w:p>
    <w:p>
      <w:pPr>
        <w:spacing w:line="360" w:lineRule="auto"/>
        <w:ind w:firstLine="420" w:firstLineChars="200"/>
        <w:rPr>
          <w:rFonts w:ascii="宋体" w:hAnsi="宋体" w:cs="宋体"/>
          <w:szCs w:val="21"/>
        </w:rPr>
      </w:pPr>
      <w:r>
        <w:rPr>
          <w:rFonts w:hint="eastAsia" w:ascii="宋体" w:hAnsi="宋体" w:cs="宋体"/>
          <w:szCs w:val="21"/>
        </w:rPr>
        <w:t>2.在解释或者执行本合同的过程中发生争议时，双方应通过协商方式解决。</w:t>
      </w:r>
    </w:p>
    <w:p>
      <w:pPr>
        <w:spacing w:line="360" w:lineRule="auto"/>
        <w:ind w:firstLine="420" w:firstLineChars="200"/>
        <w:rPr>
          <w:rFonts w:ascii="宋体" w:hAnsi="宋体" w:cs="宋体"/>
          <w:szCs w:val="21"/>
        </w:rPr>
      </w:pPr>
      <w:r>
        <w:rPr>
          <w:rFonts w:hint="eastAsia" w:ascii="宋体" w:hAnsi="宋体" w:cs="宋体"/>
          <w:szCs w:val="21"/>
        </w:rPr>
        <w:t>3.经协商不能解决的争议，双方可选择以下第</w:t>
      </w:r>
      <w:r>
        <w:rPr>
          <w:rFonts w:hint="eastAsia" w:ascii="宋体" w:hAnsi="宋体" w:cs="宋体"/>
          <w:szCs w:val="21"/>
          <w:u w:val="single"/>
        </w:rPr>
        <w:t xml:space="preserve">   </w:t>
      </w:r>
      <w:r>
        <w:rPr>
          <w:rFonts w:hint="eastAsia" w:ascii="宋体" w:hAnsi="宋体" w:cs="宋体"/>
          <w:szCs w:val="21"/>
        </w:rPr>
        <w:t>种方式解决：</w:t>
      </w:r>
    </w:p>
    <w:p>
      <w:pPr>
        <w:spacing w:line="360" w:lineRule="auto"/>
        <w:ind w:firstLine="420" w:firstLineChars="200"/>
        <w:rPr>
          <w:rFonts w:ascii="宋体" w:hAnsi="宋体" w:cs="宋体"/>
          <w:szCs w:val="21"/>
        </w:rPr>
      </w:pPr>
      <w:r>
        <w:rPr>
          <w:rFonts w:hint="eastAsia" w:ascii="宋体" w:hAnsi="宋体" w:cs="宋体"/>
          <w:szCs w:val="21"/>
        </w:rPr>
        <w:t>①向</w:t>
      </w:r>
      <w:r>
        <w:rPr>
          <w:rFonts w:hint="eastAsia" w:ascii="宋体" w:hAnsi="宋体" w:cs="宋体"/>
          <w:szCs w:val="21"/>
          <w:u w:val="single"/>
        </w:rPr>
        <w:t xml:space="preserve"> 甲方所在地 </w:t>
      </w:r>
      <w:r>
        <w:rPr>
          <w:rFonts w:hint="eastAsia" w:ascii="宋体" w:hAnsi="宋体" w:cs="宋体"/>
          <w:szCs w:val="21"/>
        </w:rPr>
        <w:t>有管辖权的法院提起诉讼；</w:t>
      </w:r>
    </w:p>
    <w:p>
      <w:pPr>
        <w:spacing w:line="360" w:lineRule="auto"/>
        <w:ind w:firstLine="420" w:firstLineChars="200"/>
        <w:rPr>
          <w:rFonts w:ascii="宋体" w:hAnsi="宋体" w:cs="宋体"/>
          <w:szCs w:val="21"/>
        </w:rPr>
      </w:pPr>
      <w:r>
        <w:rPr>
          <w:rFonts w:hint="eastAsia" w:ascii="宋体" w:hAnsi="宋体" w:cs="宋体"/>
          <w:szCs w:val="21"/>
        </w:rPr>
        <w:t>②向</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仲裁委员会提出仲裁。</w:t>
      </w:r>
    </w:p>
    <w:p>
      <w:pPr>
        <w:spacing w:line="360" w:lineRule="auto"/>
        <w:ind w:firstLine="420" w:firstLineChars="200"/>
        <w:rPr>
          <w:rFonts w:ascii="宋体" w:hAnsi="宋体" w:cs="宋体"/>
          <w:szCs w:val="21"/>
        </w:rPr>
      </w:pPr>
      <w:r>
        <w:rPr>
          <w:rFonts w:hint="eastAsia" w:ascii="宋体" w:hAnsi="宋体" w:cs="宋体"/>
          <w:szCs w:val="21"/>
        </w:rPr>
        <w:t>4.在法院审理和仲裁期间，除有争议部分外，本合同其他部分可以履行的仍应按合同条款继续履行。</w:t>
      </w:r>
    </w:p>
    <w:p>
      <w:pPr>
        <w:spacing w:line="360" w:lineRule="auto"/>
        <w:ind w:left="482"/>
        <w:rPr>
          <w:rFonts w:ascii="宋体" w:hAnsi="宋体" w:cs="宋体"/>
          <w:b/>
          <w:szCs w:val="21"/>
        </w:rPr>
      </w:pPr>
      <w:r>
        <w:rPr>
          <w:rFonts w:hint="eastAsia" w:ascii="宋体" w:hAnsi="宋体" w:cs="宋体"/>
          <w:b/>
          <w:szCs w:val="21"/>
        </w:rPr>
        <w:t>第十四条  其他</w:t>
      </w:r>
    </w:p>
    <w:p>
      <w:pPr>
        <w:spacing w:line="360" w:lineRule="auto"/>
        <w:ind w:firstLine="420" w:firstLineChars="200"/>
        <w:rPr>
          <w:rFonts w:ascii="宋体" w:hAnsi="宋体" w:cs="宋体"/>
          <w:szCs w:val="21"/>
        </w:rPr>
      </w:pPr>
      <w:r>
        <w:rPr>
          <w:rFonts w:hint="eastAsia" w:ascii="宋体" w:hAnsi="宋体" w:cs="宋体"/>
          <w:szCs w:val="21"/>
        </w:rPr>
        <w:t>符合《中华人民共和国政府采购法》第49条规定的，经双方协商，办理政府采购手续后，可签订补充合同，所签订的补充合同与本合同具有同等法律效力。</w:t>
      </w:r>
    </w:p>
    <w:p>
      <w:pPr>
        <w:spacing w:line="360" w:lineRule="auto"/>
        <w:ind w:firstLine="420" w:firstLineChars="200"/>
        <w:rPr>
          <w:rFonts w:ascii="宋体" w:hAnsi="宋体" w:cs="宋体"/>
          <w:szCs w:val="21"/>
        </w:rPr>
      </w:pPr>
      <w:r>
        <w:rPr>
          <w:rFonts w:hint="eastAsia" w:ascii="宋体" w:hAnsi="宋体" w:cs="宋体"/>
          <w:szCs w:val="21"/>
        </w:rPr>
        <w:t>本合同一式</w:t>
      </w:r>
      <w:r>
        <w:rPr>
          <w:rFonts w:hint="eastAsia" w:ascii="宋体" w:hAnsi="宋体" w:cs="宋体"/>
          <w:szCs w:val="21"/>
          <w:u w:val="single"/>
        </w:rPr>
        <w:t xml:space="preserve">    </w:t>
      </w:r>
      <w:r>
        <w:rPr>
          <w:rFonts w:hint="eastAsia" w:ascii="宋体" w:hAnsi="宋体" w:cs="宋体"/>
          <w:szCs w:val="21"/>
        </w:rPr>
        <w:t>份，甲、乙双方各执</w:t>
      </w:r>
      <w:r>
        <w:rPr>
          <w:rFonts w:hint="eastAsia" w:ascii="宋体" w:hAnsi="宋体" w:cs="宋体"/>
          <w:szCs w:val="21"/>
          <w:u w:val="single"/>
        </w:rPr>
        <w:t xml:space="preserve">    </w:t>
      </w:r>
      <w:r>
        <w:rPr>
          <w:rFonts w:hint="eastAsia" w:ascii="宋体" w:hAnsi="宋体" w:cs="宋体"/>
          <w:szCs w:val="21"/>
        </w:rPr>
        <w:t>份。</w:t>
      </w:r>
    </w:p>
    <w:p>
      <w:pPr>
        <w:spacing w:line="360" w:lineRule="auto"/>
        <w:ind w:firstLine="420" w:firstLineChars="200"/>
        <w:rPr>
          <w:rFonts w:ascii="宋体" w:hAnsi="宋体" w:cs="宋体"/>
          <w:szCs w:val="21"/>
        </w:rPr>
      </w:pPr>
      <w:r>
        <w:rPr>
          <w:rFonts w:hint="eastAsia" w:ascii="宋体" w:hAnsi="宋体" w:cs="宋体"/>
          <w:szCs w:val="21"/>
        </w:rPr>
        <w:t>甲   方：                        乙   方：</w:t>
      </w:r>
    </w:p>
    <w:p>
      <w:pPr>
        <w:spacing w:line="360" w:lineRule="auto"/>
        <w:ind w:firstLine="420" w:firstLineChars="200"/>
        <w:rPr>
          <w:rFonts w:ascii="宋体" w:hAnsi="宋体" w:cs="宋体"/>
          <w:szCs w:val="21"/>
        </w:rPr>
      </w:pPr>
      <w:r>
        <w:rPr>
          <w:rFonts w:hint="eastAsia" w:ascii="宋体" w:hAnsi="宋体" w:cs="宋体"/>
          <w:szCs w:val="21"/>
        </w:rPr>
        <w:t>名称：（盖章）                    名称：（盖章）</w:t>
      </w:r>
    </w:p>
    <w:p>
      <w:pPr>
        <w:spacing w:line="360" w:lineRule="auto"/>
        <w:ind w:firstLine="420" w:firstLineChars="200"/>
        <w:rPr>
          <w:rFonts w:ascii="宋体" w:hAnsi="宋体" w:cs="宋体"/>
          <w:szCs w:val="21"/>
        </w:rPr>
      </w:pPr>
      <w:r>
        <w:rPr>
          <w:rFonts w:hint="eastAsia" w:ascii="宋体" w:hAnsi="宋体" w:cs="宋体"/>
          <w:szCs w:val="21"/>
        </w:rPr>
        <w:t>地址：                           地址：</w:t>
      </w:r>
    </w:p>
    <w:p>
      <w:pPr>
        <w:spacing w:line="360" w:lineRule="auto"/>
        <w:ind w:firstLine="420" w:firstLineChars="200"/>
        <w:rPr>
          <w:rFonts w:ascii="宋体" w:hAnsi="宋体" w:cs="宋体"/>
          <w:szCs w:val="21"/>
        </w:rPr>
      </w:pPr>
      <w:r>
        <w:rPr>
          <w:rFonts w:hint="eastAsia" w:ascii="宋体" w:hAnsi="宋体" w:cs="宋体"/>
          <w:szCs w:val="21"/>
        </w:rPr>
        <w:t>法定代表人（签字）：              法定代表人（签字）：</w:t>
      </w:r>
    </w:p>
    <w:p>
      <w:pPr>
        <w:spacing w:line="360" w:lineRule="auto"/>
        <w:ind w:firstLine="420" w:firstLineChars="200"/>
        <w:rPr>
          <w:rFonts w:ascii="宋体" w:hAnsi="宋体" w:cs="宋体"/>
          <w:szCs w:val="21"/>
        </w:rPr>
      </w:pPr>
      <w:r>
        <w:rPr>
          <w:rFonts w:hint="eastAsia" w:ascii="宋体" w:hAnsi="宋体" w:cs="宋体"/>
          <w:szCs w:val="21"/>
        </w:rPr>
        <w:t>授权代表（签字）：                授权代表（签字）：</w:t>
      </w:r>
    </w:p>
    <w:p>
      <w:pPr>
        <w:spacing w:line="360" w:lineRule="auto"/>
        <w:ind w:firstLine="420" w:firstLineChars="200"/>
        <w:rPr>
          <w:rFonts w:ascii="宋体" w:hAnsi="宋体" w:cs="宋体"/>
          <w:szCs w:val="21"/>
        </w:rPr>
      </w:pPr>
      <w:r>
        <w:rPr>
          <w:rFonts w:hint="eastAsia" w:ascii="宋体" w:hAnsi="宋体" w:cs="宋体"/>
          <w:szCs w:val="21"/>
        </w:rPr>
        <w:t>开户银行：                       开户银行：</w:t>
      </w:r>
    </w:p>
    <w:p>
      <w:pPr>
        <w:spacing w:line="360" w:lineRule="auto"/>
        <w:ind w:firstLine="420" w:firstLineChars="200"/>
        <w:rPr>
          <w:rFonts w:ascii="宋体" w:hAnsi="宋体" w:cs="宋体"/>
          <w:szCs w:val="21"/>
        </w:rPr>
      </w:pPr>
      <w:r>
        <w:rPr>
          <w:rFonts w:hint="eastAsia" w:ascii="宋体" w:hAnsi="宋体" w:cs="宋体"/>
          <w:szCs w:val="21"/>
        </w:rPr>
        <w:t>银行帐号：                       银行帐号：</w:t>
      </w:r>
    </w:p>
    <w:p>
      <w:pPr>
        <w:tabs>
          <w:tab w:val="left" w:pos="3757"/>
          <w:tab w:val="left" w:pos="5622"/>
          <w:tab w:val="left" w:pos="9398"/>
        </w:tabs>
        <w:spacing w:before="161" w:after="120"/>
        <w:ind w:firstLine="420" w:firstLineChars="200"/>
        <w:jc w:val="both"/>
        <w:rPr>
          <w:rFonts w:hint="eastAsia"/>
          <w:sz w:val="30"/>
          <w:szCs w:val="30"/>
        </w:rPr>
      </w:pPr>
      <w:r>
        <w:rPr>
          <w:rFonts w:hint="eastAsia" w:ascii="宋体" w:hAnsi="宋体" w:cs="宋体"/>
          <w:szCs w:val="21"/>
        </w:rPr>
        <w:t>签 订 时  间：    年     月     日</w:t>
      </w:r>
      <w:bookmarkStart w:id="548" w:name="_Toc10368"/>
      <w:bookmarkStart w:id="549" w:name="_Toc9631"/>
      <w:bookmarkStart w:id="550" w:name="_Toc16197"/>
      <w:bookmarkStart w:id="551" w:name="_Toc19643"/>
      <w:bookmarkStart w:id="552" w:name="_Toc19084"/>
      <w:bookmarkStart w:id="553" w:name="_Toc8634"/>
      <w:bookmarkStart w:id="554" w:name="_Toc2300"/>
      <w:bookmarkStart w:id="555" w:name="_Toc3840"/>
      <w:bookmarkStart w:id="556" w:name="_Toc11856"/>
      <w:bookmarkStart w:id="557" w:name="_Toc32000"/>
      <w:bookmarkStart w:id="558" w:name="_Toc11944"/>
    </w:p>
    <w:p>
      <w:pPr>
        <w:pStyle w:val="3"/>
        <w:jc w:val="center"/>
        <w:rPr>
          <w:sz w:val="30"/>
          <w:szCs w:val="30"/>
        </w:rPr>
      </w:pPr>
      <w:r>
        <w:rPr>
          <w:rFonts w:hint="eastAsia"/>
          <w:sz w:val="30"/>
          <w:szCs w:val="30"/>
        </w:rPr>
        <w:t>第五章 技术参数</w:t>
      </w:r>
      <w:bookmarkEnd w:id="548"/>
    </w:p>
    <w:bookmarkEnd w:id="549"/>
    <w:bookmarkEnd w:id="550"/>
    <w:bookmarkEnd w:id="551"/>
    <w:bookmarkEnd w:id="552"/>
    <w:bookmarkEnd w:id="553"/>
    <w:bookmarkEnd w:id="554"/>
    <w:bookmarkEnd w:id="555"/>
    <w:bookmarkEnd w:id="556"/>
    <w:bookmarkEnd w:id="557"/>
    <w:bookmarkEnd w:id="558"/>
    <w:p>
      <w:pPr>
        <w:pStyle w:val="3"/>
        <w:jc w:val="both"/>
        <w:rPr>
          <w:rFonts w:hint="eastAsia"/>
          <w:sz w:val="30"/>
          <w:szCs w:val="30"/>
          <w:lang w:eastAsia="zh-CN"/>
        </w:rPr>
      </w:pPr>
      <w:bookmarkStart w:id="559" w:name="_Toc6038"/>
      <w:r>
        <w:rPr>
          <w:rFonts w:hint="eastAsia"/>
          <w:sz w:val="30"/>
          <w:szCs w:val="30"/>
          <w:lang w:eastAsia="zh-CN"/>
        </w:rPr>
        <w:t>核心产品：</w:t>
      </w:r>
      <w:r>
        <w:rPr>
          <w:rFonts w:hint="eastAsia"/>
          <w:sz w:val="30"/>
          <w:szCs w:val="30"/>
          <w:lang w:val="en-US" w:eastAsia="zh-CN"/>
        </w:rPr>
        <w:t>86寸一体机</w:t>
      </w:r>
    </w:p>
    <w:tbl>
      <w:tblPr>
        <w:tblStyle w:val="22"/>
        <w:tblW w:w="104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1"/>
        <w:gridCol w:w="1245"/>
        <w:gridCol w:w="1995"/>
        <w:gridCol w:w="549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规格（mm）</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参数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班台</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2000*1000*750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1、基材：采用环保中密度纤维板，所有材料均经过防虫、防腐等化学处理，强度大，尺寸稳定性好，握钉力强，不易变形。符合GB/T 11718-2021 、GB/T 35601-2017、GB 18580-2017、GB/T17657-2013、JC/T 2039-2010、GB/T 39600-2021标准；其含水率≤8%；吸水厚度膨胀率≤2.5%；静曲强度≥35MPa；弹性模量≥4800MPa；表面胶合强度≥2.0MPa；内胶合强度≥1.2MPa；甲醛释放量≤0.025mg/m³；苯、甲苯、二甲苯均未检出，总挥发性有机化合物（TVOC）未检出；抗菌性能（金黄色葡萄球菌）抑菌率≥99%；防霉菌性能（宛氏拟青素）防霉菌等级：0级或1级；板面握螺钉力≥1800N，板边握螺钉力≥1000N；砂光板面质量要求（检测项≥5项）检测合格；耐高温性能：无裂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2、面材：采用木皮贴面，经过防虫防腐处理，木皮平整度高，耐磨性好，纹理清晰自然，颜色均匀，色泽美观。符合GB 3324-2017、GB/T 18584-2001、GB/T 13010-2020标准；其厚度≥0.6mm；木材含水率≤10%；甲醛释放量≤0.1mg/L；刨切单板规格尺寸及其偏差：±0.01mm；刨切单板表面粗糙度检测合格。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3、胶粘剂：采用环保白乳胶，粘性强，久不分层，具有防水、防潮、耐油等特点。符合GB 18583-2008标准，游离甲醛≤0.05g/kg，苯≤0.02g/kg，甲苯+二甲苯≤0.02g/kg，总挥发性有机物≤15g/L。</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4、封边条：采用同色封边条，物理性能佳，严密平整，线条均匀，转角过渡自然，经过刨光、干燥、防虫、防腐等处理。符合QB/T 4463-2013标准，出厂含水率≤10%，甲醛释放量≤0.05mg/L。</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5、油漆：采用环保净味油漆，经过五底三面油漆工艺，保证产品光泽、平整、纹理清晰、环保，色泽效果持久平整。符合GB 18581-2020、GB/T 23997-2009标准；其VOC含量≤20g/L；苯含量、卤代烃总和含量、乙二醇醚及醚酯总和含量、总铅含量、可溶性重金属含量（镉、铬、汞）、甲醛含量均未检出；附着力≤1级；耐磨性（750g，500r）≤0.050g；耐冲击性：涂膜无脱落、无开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6、导轨：采用导轨，符合GB/T 6461-2002、QB/T 2454-2013、QB/T 3828-1999标准；其功能：操作力、耐久性（80000次）、垂直向下静载荷（150N）、水平侧向静载荷（75N）、拉出安全性、猛关或猛开（10次）均检测合格；下沉量≤3%；铜盐加速乙酸盐雾试验（CASS）连续喷雾≥300h，其保护评价（RP）≥10级，外观评级（RA）≥10级（VS），性能评级（RP/RA）：10/10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7、铰链：采用铰链，符合GB/T 6461-2002、QB/T 2189-2013、QB/T 3828-1999标准；其功能：操作力、垂直静载荷（15kg）、水平静载荷（30N）、耐久性（80000次）均检测合格；下沉量≤2.5mm；铜盐加速乙酸盐雾试验（CASS）连续喷雾≥300h，其保护评价（RP）≥10级，外观评级（RA）≥10级（VS），性能评级（RP/RA）：10/10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8、锁具：采用锁具，符合GB/T 6461-2002、QB/T 1621-2015、QB/T 3828-1999标准；其互开率≤0.05%；牢固度、灵活度、外观质量均检测合格；铜盐加速乙酸盐雾试验（CASS）连续喷雾≥300h，其保护评价（RP）≥10级，外观评级（RA）≥10级（VS），性能评级（RP/RA）：10/10。</w:t>
            </w:r>
          </w:p>
          <w:p>
            <w:pPr>
              <w:pStyle w:val="2"/>
              <w:rPr>
                <w:rFonts w:hint="eastAsi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班椅</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原腾实木，手工藤编。采用天然印尼藤和部分实木骨架精编，色泽饱满，手工精致，镂空点缀。</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保密柜</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H1850*W900*D420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1、内陷通体对开门，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2、内部二个抽屉，两块活动层板；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3、不锈钢三节滑轨；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4、国家保密局认证锁具；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5、整体选用0.7mm冷轧钢制作而成，采用高压静电喷塑，高温固化处理，浅灰色，焊接与连接部位牢固、可靠，产品外露部件均无尖锐棱角，钢制件外表面光洁、美观，防腐保密 蚀、耐老化。</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6、喷塑:各部件经除油-水洗-除锈-清洗-中和-磷化-水洗-烘干模具冲压,全点焊工艺,静电亚光喷塑。</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保密柜</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H900*W900*D420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1、内陷对开门，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2、内部二个抽屉，一块活动层板；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3、不锈钢三节滑轨；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4、国家保密局认证锁具；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5、整体选用0.7mm冷轧钢制作而成，采用高压静电喷塑，高温固化处理，浅灰色，焊接与连接部位牢固、可靠，产品外露部件均无尖锐棱角，钢制件外表面光洁、美观，防腐保密 蚀、耐老化。</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6、喷塑:各部件经除油-水洗-除锈-清洗-中和-磷化-水洗-烘干模具冲压,全点焊工艺,静电亚光喷塑。</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班前椅</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实木椅</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1、面料：采用西皮，经液态浸色及防潮、防污等工艺处理，皮面柔软舒适，光泽持久，无明显损伤、剥落质量。符合QB/T 4045-2010标准；其甲醛、可萃取重金属（铅、镉）、可裂解出致癌芳香胺的偶氮染料、五氯苯酚均未检出；无异常气味；色牢度（沾色）：耐水、耐酸汗液、耐碱汗液、耐干摩擦、耐唾液均检测合格。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2、海绵：采用阻燃海绵，表面有防腐化和防变型保护膜，防破碎、抗氧化，软硬适中，回弹性能好，抗变形能力强，根椐人体工程学原理设计，坐感舒适。符合 GB/T 10802-2006、GB/T 6343-2009、GB 20286-2006、GB 17927.1-2011标准；其感官要求检测合格；75%压缩永久变形≤4%，回弹率≥50%；拉伸强度≥160KPa；伸长率≥130%；撕裂强度≥4.5N/cm；干热老化后拉伸强度≥160KPa；湿热老化后拉伸强度≥160KPa；甲醛释放量≤0.015mg/㎡ h；抗引燃特性-阴燃的香烟：未观察到试样表面或内部出现任何续燃、阴燃现象，评定该试样为阻燃Ⅰ级，通过香烟抗引燃特性试验；燃烧性能：阻燃性能等级检测合格；恒定负荷反复压陷疲劳性能：8万次，恒定负荷反复压陷疲劳后40%硬度损失值≤20%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3、框架：采用实木方，经过防虫、防腐特殊处理，确保坚固可靠，长期使用不松动、不腐朽。符合GB/T 3324-2017、GB 18584-2001标准；木材含水率≤10%，甲醛释放量≤0.05mg/L。</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4、油漆：采用环保净味油漆，经过五底三面油漆工艺，保证产品光泽、平整、纹理清晰、环保，色泽效果持久平整。符合GB 18581-2020、GB/T 23997-2009标准；其VOC含量≤20g/L；苯含量、卤代烃总和含量、乙二醇醚及醚酯总和含量、总铅含量、可溶性重金属含量（镉、铬、汞）、甲醛含量均未检出；附着力≤1级；耐磨性（750g，500r）≤0.050g；耐冲击性：涂膜无脱落、无开裂。</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5、五金配件：采用五金配件，经防锈处理，耐腐蚀能力强。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沙发</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三人位</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1、面料：采用牛皮，经液态浸色及防潮、防污等工艺处理，皮面柔软舒适，光泽持久。符合GB/T 16799-2018、QB/T 22889-2021标准；其涂层厚度≥20μm；感官要求检测合格；摩擦色牢度：干擦（500次）≥4级，湿擦（250次）≥4级，碱性汗液（80次）≥4级；涂层粘着牢度≥3.0N/10mm，耐折牢度（50000次）无裂纹，耐磨性（CS-10，500g，500r）无明显损伤、剥落；撕裂力≥35N，气味≤2级；游离甲醛未检出，挥发性有机物（VOC）未检出，可萃取重金属：铅未检出、镉未检出；禁用偶氮染料未检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2、海绵：采用阻燃海绵，表面有防腐化和防变型保护膜，防破碎、抗氧化，软硬适中，回弹性能好，抗变形能力强，根椐人体工程学原理设计，坐感舒适。符合 GB/T 10802-2006、GB/T 6343-2009、GB 20286-2006、GB 17927.1-2011标准；其感官要求检测合格；75%压缩永久变形≤4%，回弹率≥50%；拉伸强度≥160KPa；伸长率≥130%；撕裂强度≥4.5N/cm；干热老化后拉伸强度≥160KPa；湿热老化后拉伸强度≥160KPa；甲醛释放量≤0.015mg/㎡ h；抗引燃特性-阴燃的香烟：未观察到试样表面或内部出现任何续燃、阴燃现象，评定该试样为阻燃Ⅰ级，通过香烟抗引燃特性试验；燃烧性能：阻燃性能等级检测合格；恒定负荷反复压陷疲劳性能：8万次，恒定负荷反复压陷疲劳后40%硬度损失值≤20%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3、框架：采用实木方，经过防虫、防腐特殊处理，确保坚固可靠，长期使用不松动、不腐朽。符合GB/T 3324-2017、GB 18584-2001标准；木材含水率≤10%，甲醛释放量≤0.05mg/L。</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4、油漆：采用环保净味油漆，经过五底三面油漆工艺，保证产品光泽、平整、纹理清晰、环保，色泽效果持久平整。符合GB 18581-2020、GB/T 23997-2009标准；其VOC含量≤20g/L；苯含量、卤代烃总和含量、乙二醇醚及醚酯总和含量、总铅含量、可溶性重金属含量（镉、铬、汞）、甲醛含量均未检出；附着力≤1级；耐磨性（750g，500r）≤0.050g；耐冲击性：涂膜无脱落、无开裂。</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5、五金配件：采用五金配件，经防锈处理，耐腐蚀能力强。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茶几</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1200*600*450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1、基材：采用环保中密度纤维板，所有材料均经过防虫、防腐等化学处理，强度大，尺寸稳定性好，握钉力强，不易变形。符合GB/T 11718-2021 、GB/T 35601-2017、GB 18580-2017、GB/T17657-2013、JC/T 2039-2010、GB/T 39600-2021标准；其含水率≤8%；吸水厚度膨胀率≤2.5%；静曲强度≥35MPa；弹性模量≥4800MPa；表面胶合强度≥2.0MPa；内胶合强度≥1.2MPa；甲醛释放量≤0.025mg/m³；苯、甲苯、二甲苯均未检出，总挥发性有机化合物（TVOC）未检出；抗菌性能（金黄色葡萄球菌）抑菌率≥99%；防霉菌性能（宛氏拟青素）防霉菌等级：0级或1级；板面握螺钉力≥1800N，板边握螺钉力≥1000N；砂光板面质量要求（检测项≥5项）检测合格；耐高温性能：无裂纹。</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2、面材：采用木皮贴面，经过防虫防腐处理，木皮平整度高，耐磨性好，纹理清晰自然，颜色均匀，色泽美观。符合GB 3324-2017、GB/T 18584-2001、GB/T 13010-2020标准；其厚度≥0.6mm；木材含水率≤10%；甲醛释放量≤0.1mg/L；刨切单板规格尺寸及其偏差：±0.01mm；刨切单板表面粗糙度检测合格。</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3、胶粘剂：采用环保白乳胶，粘性强，久不分层，具有防水、防潮、耐油等特点。符合GB 18583-2008标准，游离甲醛≤0.05g/kg，苯≤0.02g/kg，甲苯+二甲苯≤0.02g/kg，总挥发性有机物≤15g/L。</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4、封边条：采用同色封边条，物理性能佳，严密平整，线条均匀，转角过渡自然，经过刨光、干燥、防虫、防腐等处理。符合QB/T 4463-2013标准，出厂含水率≤10%，甲醛释放量≤0.05mg/L。</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5、油漆：采用环保净味油漆，经过五底三面油漆工艺，保证产品光泽、平整、纹理清晰、环保，色泽效果持久平整。符合GB 18581-2020、GB/T 23997-2009标准；其VOC含量≤20g/L；苯含量、卤代烃总和含量、乙二醇醚及醚酯总和含量、总铅含量、可溶性重金属含量（镉、铬、汞）、甲醛含量均未检出；附着力≤1级；耐磨性（750g，500r）≤0.050g；耐冲击性：涂膜无脱落、无开裂。</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班台</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1800*900*750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1、基材：采用环保中密度纤维板，所有材料均经过防虫、防腐等化学处理，强度大，尺寸稳定性好，握钉力强，不易变形。符合GB/T 11718-2021 、GB/T 35601-2017、GB 18580-2017、GB/T17657-2013、JC/T 2039-2010、GB/T 39600-2021标准；其含水率≤8%；吸水厚度膨胀率≤2.5%；静曲强度≥35MPa；弹性模量≥4800MPa；表面胶合强度≥2.0MPa；内胶合强度≥1.2MPa；甲醛释放量≤0.025mg/m³；苯、甲苯、二甲苯均未检出，总挥发性有机化合物（TVOC）未检出；抗菌性能（金黄色葡萄球菌）抑菌率≥99%；防霉菌性能（宛氏拟青素）防霉菌等级：0级或1级；板面握螺钉力≥1800N，板边握螺钉力≥1000N；砂光板面质量要求（检测项≥5项）检测合格；耐高温性能：无裂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2、面材：采用木皮贴面，经过防虫防腐处理，木皮平整度高，耐磨性好，纹理清晰自然，颜色均匀，色泽美观。符合GB 3324-2017、GB/T 18584-2001、GB/T 13010-2020标准；其厚度≥0.6mm；木材含水率≤10%；甲醛释放量≤0.1mg/L；刨切单板规格尺寸及其偏差：±0.01mm；刨切单板表面粗糙度检测合格。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3、胶粘剂：采用环保白乳胶，粘性强，久不分层，具有防水、防潮、耐油等特点。符合GB 18583-2008标准，游离甲醛≤0.05g/kg，苯≤0.02g/kg，甲苯+二甲苯≤0.02g/kg，总挥发性有机物≤15g/L。</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4、封边条：采用同色封边条，物理性能佳，严密平整，线条均匀，转角过渡自然，经过刨光、干燥、防虫、防腐等处理。符合QB/T 4463-2013标准，出厂含水率≤10%，甲醛释放量≤0.05mg/L。</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5、油漆：采用环保净味油漆，经过五底三面油漆工艺，保证产品光泽、平整、纹理清晰、环保，色泽效果持久平整。符合GB 18581-2020、GB/T 23997-2009标准；其VOC含量≤20g/L；苯含量、卤代烃总和含量、乙二醇醚及醚酯总和含量、总铅含量、可溶性重金属含量（镉、铬、汞）、甲醛含量均未检出；附着力≤1级；耐磨性（750g，500r）≤0.050g；耐冲击性：涂膜无脱落、无开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6、导轨：采用导轨，符合GB/T 6461-2002、QB/T 2454-2013、QB/T 3828-1999标准；其功能：操作力、耐久性（80000次）、垂直向下静载荷（150N）、水平侧向静载荷（75N）、拉出安全性、猛关或猛开（10次）均检测合格；下沉量≤3%；铜盐加速乙酸盐雾试验（CASS）连续喷雾≥300h，其保护评价（RP）≥10级，外观评级（RA）≥10级（VS），性能评级（RP/RA）：10/10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7、铰链：采用铰链，符合GB/T 6461-2002、QB/T 2189-2013、QB/T 3828-1999标准；其功能：操作力、垂直静载荷（15kg）、水平静载荷（30N）、耐久性（80000次）均检测合格；下沉量≤2.5mm；铜盐加速乙酸盐雾试验（CASS）连续喷雾≥300h，其保护评价（RP）≥10级，外观评级（RA）≥10级（VS），性能评级（RP/RA）：10/10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8、锁具：采用锁具，符合GB/T 6461-2002、QB/T 1621-2015、QB/T 3828-1999标准；其互开率≤0.05%；牢固度、灵活度、外观质量均检测合格；铜盐加速乙酸盐雾试验（CASS）连续喷雾≥300h，其保护评价（RP）≥10级，外观评级（RA）≥10级（VS），性能评级（RP/RA）：10/10。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班椅</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原腾实木，手工藤编。采用天然印尼藤和部分实木骨架精编，色泽饱满，手工精致，镂空点缀。</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保密柜</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H1850*W900*D420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1、内陷通体对开门，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2、内部二个抽屉，两块活动层板；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3、不锈钢三节滑轨；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4、国家保密局认证锁具；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5、整体选用0.7mm冷轧钢制作而成，采用高压静电喷塑，高温固化处理，浅灰色，焊接与连接部位牢固、可靠，产品外露部件均无尖锐棱角，钢制件外表面光洁、美观，防腐保密 蚀、耐老化。</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6、喷塑:各部件经除油-水洗-除锈-清洗-中和-磷化-水洗-烘干模具冲压,全点焊工艺,静电亚光喷塑。</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保密柜</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H900*W900*D420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1、内陷对开门，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2、内部二个抽屉，一块活动层板；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3、不锈钢三节滑轨；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4、国家保密局认证锁具；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5、整体选用0.7mm冷轧钢制作而成，采用高压静电喷塑，高温固化处理，浅灰色，焊接与连接部位牢固、可靠，产品外露部件均无尖锐棱角，钢制件外表面光洁、美观，防腐保密 蚀、耐老化。</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6、喷塑:各部件经除油-水洗-除锈-清洗-中和-磷化-水洗-烘干模具冲压,全点焊工艺,静电亚光喷塑。</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班前椅</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实木椅</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1、面料：采用西皮，经液态浸色及防潮、防污等工艺处理，皮面柔软舒适，光泽持久，无明显损伤、剥落质量。符合QB/T 4045-2010标准；其甲醛、可萃取重金属（铅、镉）、可裂解出致癌芳香胺的偶氮染料、五氯苯酚均未检出；无异常气味；色牢度（沾色）：耐水、耐酸汗液、耐碱汗液、耐干摩擦、耐唾液均检测合格。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2、海绵：采用阻燃海绵，表面有防腐化和防变型保护膜，防破碎、抗氧化，软硬适中，回弹性能好，抗变形能力强，根椐人体工程学原理设计，坐感舒适。符合 GB/T 10802-2006、GB/T 6343-2009、GB 20286-2006、GB 17927.1-2011标准；其感官要求检测合格；75%压缩永久变形≤4%，回弹率≥50%；拉伸强度≥160KPa；伸长率≥130%；撕裂强度≥4.5N/cm；干热老化后拉伸强度≥160KPa；湿热老化后拉伸强度≥160KPa；甲醛释放量≤0.015mg/㎡ h；抗引燃特性-阴燃的香烟：未观察到试样表面或内部出现任何续燃、阴燃现象，评定该试样为阻燃Ⅰ级，通过香烟抗引燃特性试验；燃烧性能：阻燃性能等级检测合格；恒定负荷反复压陷疲劳性能：8万次，恒定负荷反复压陷疲劳后40%硬度损失值≤20%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3、框架：采用实木方，经过防虫、防腐特殊处理，确保坚固可靠，长期使用不松动、不腐朽。符合GB/T 3324-2017、GB 18584-2001标准；木材含水率≤10%，甲醛释放量≤0.05mg/L。</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4、油漆：采用环保净味油漆，经过五底三面油漆工艺，保证产品光泽、平整、纹理清晰、环保，色泽效果持久平整。符合GB 18581-2020、GB/T 23997-2009标准；其VOC含量≤20g/L；苯含量、卤代烃总和含量、乙二醇醚及醚酯总和含量、总铅含量、可溶性重金属含量（镉、铬、汞）、甲醛含量均未检出；附着力≤1级；耐磨性（750g，500r）≤0.050g；耐冲击性：涂膜无脱落、无开裂。</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5、五金配件：采用五金配件，经防锈处理，耐腐蚀能力强。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沙发</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三人位真皮</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1、面料：采用牛皮，经液态浸色及防潮、防污等工艺处理，皮面柔软舒适，光泽持久。符合GB/T 16799-2018、QB/T 22889-2021标准；其涂层厚度≥20μm；感官要求检测合格；摩擦色牢度：干擦（500次）≥4级，湿擦（250次）≥4级，碱性汗液（80次）≥4级；涂层粘着牢度≥3.0N/10mm，耐折牢度（50000次）无裂纹，耐磨性（CS-10，500g，500r）无明显损伤、剥落；撕裂力≥35N，气味≤2级；游离甲醛未检出，挥发性有机物（VOC）未检出，可萃取重金属：铅未检出、镉未检出；禁用偶氮染料未检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2、海绵：采用阻燃海绵，表面有防腐化和防变型保护膜，防破碎、抗氧化，软硬适中，回弹性能好，抗变形能力强，根椐人体工程学原理设计，坐感舒适。符合 GB/T 10802-2006、GB/T 6343-2009、GB 20286-2006、GB 17927.1-2011标准；其感官要求检测合格；75%压缩永久变形≤4%，回弹率≥50%；拉伸强度≥160KPa；伸长率≥130%；撕裂强度≥4.5N/cm；干热老化后拉伸强度≥160KPa；湿热老化后拉伸强度≥160KPa；甲醛释放量≤0.015mg/㎡ h；抗引燃特性-阴燃的香烟：未观察到试样表面或内部出现任何续燃、阴燃现象，评定该试样为阻燃Ⅰ级，通过香烟抗引燃特性试验；燃烧性能：阻燃性能等级检测合格；恒定负荷反复压陷疲劳性能：8万次，恒定负荷反复压陷疲劳后40%硬度损失值≤20%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3、框架：采用实木方，经过防虫、防腐特殊处理，确保坚固可靠，长期使用不松动、不腐朽。符合GB/T 3324-2017、GB 18584-2001标准；木材含水率≤10%，甲醛释放量≤0.05mg/L。</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4、油漆：采用环保净味油漆，经过五底三面油漆工艺，保证产品光泽、平整、纹理清晰、环保，色泽效果持久平整。符合GB 18581-2020、GB/T 23997-2009标准；其VOC含量≤20g/L；苯含量、卤代烃总和含量、乙二醇醚及醚酯总和含量、总铅含量、可溶性重金属含量（镉、铬、汞）、甲醛含量均未检出；附着力≤1级；耐磨性（750g，500r）≤0.050g；耐冲击性：涂膜无脱落、无开裂。</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5、五金配件：采用五金配件，经防锈处理，耐腐蚀能力强。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茶几</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1200*600*450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1、基材：采用环保中密度纤维板，所有材料均经过防虫、防腐等化学处理，强度大，尺寸稳定性好，握钉力强，不易变形。符合GB/T 11718-2021 、GB/T 35601-2017、GB 18580-2017、GB/T17657-2013、JC/T 2039-2010、GB/T 39600-2021标准；其含水率≤8%；吸水厚度膨胀率≤2.5%；静曲强度≥35MPa；弹性模量≥4800MPa；表面胶合强度≥2.0MPa；内胶合强度≥1.2MPa；甲醛释放量≤0.025mg/m³；苯、甲苯、二甲苯均未检出，总挥发性有机化合物（TVOC）未检出；抗菌性能（金黄色葡萄球菌）抑菌率≥99%；防霉菌性能（宛氏拟青素）防霉菌等级：0级或1级；板面握螺钉力≥1800N，板边握螺钉力≥1000N；砂光板面质量要求（检测项≥5项）检测合格；耐高温性能：无裂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2、面材：采用木皮贴面，经过防虫防腐处理，木皮平整度高，耐磨性好，纹理清晰自然，颜色均匀，色泽美观。符合GB 3324-2017、GB/T 18584-2001、GB/T 13010-2020标准；其厚度≥0.6mm；木材含水率≤10%；甲醛释放量≤0.1mg/L；刨切单板规格尺寸及其偏差：±0.01mm；刨切单板表面粗糙度检测合格。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3、胶粘剂：采用环保白乳胶，粘性强，久不分层，具有防水、防潮、耐油等特点。符合GB 18583-2008标准，游离甲醛≤0.05g/kg，苯≤0.02g/kg，甲苯+二甲苯≤0.02g/kg，总挥发性有机物≤15g/L。</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4、封边条：采用同色封边条，物理性能佳，严密平整，线条均匀，转角过渡自然，经过刨光、干燥、防虫、防腐等处理。符合QB/T 4463-2013标准，出厂含水率≤10%，甲醛释放量≤0.05mg/L。</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5、油漆：采用环保净味油漆，经过五底三面油漆工艺，保证产品光泽、平整、纹理清晰、环保，色泽效果持久平整。符合GB 18581-2020、GB/T 23997-2009标准；其VOC含量≤20g/L；苯含量、卤代烃总和含量、乙二醇醚及醚酯总和含量、总铅含量、可溶性重金属含量（镉、铬、汞）、甲醛含量均未检出；附着力≤1级；耐磨性（750g，500r）≤0.050g；耐冲击性：涂膜无脱落、无开裂。</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办公桌</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1400*700*750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1、基材：采用环保中密度纤维板，所有材料均经过防虫、防腐等化学处理，强度大，尺寸稳定性好，握钉力强，不易变形。符合GB/T 11718-2021 、GB/T 35601-2017、GB 18580-2017、GB/T17657-2013、JC/T 2039-2010、GB/T 39600-2021标准；其含水率≤8%；吸水厚度膨胀率≤2.5%；静曲强度≥35MPa；弹性模量≥4800MPa；表面胶合强度≥2.0MPa；内胶合强度≥1.2MPa；甲醛释放量≤0.025mg/m³；苯、甲苯、二甲苯均未检出，总挥发性有机化合物（TVOC）未检出；抗菌性能（金黄色葡萄球菌）抑菌率≥99%；防霉菌性能（宛氏拟青素）防霉菌等级：0级或1级；板面握螺钉力≥1800N，板边握螺钉力≥1000N；砂光板面质量要求（检测项≥5项）检测合格；耐高温性能：无裂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2、面材：采用木皮贴面，经过防虫防腐处理，木皮平整度高，耐磨性好，纹理清晰自然，颜色均匀，色泽美观。符合GB 3324-2017、GB/T 18584-2001、GB/T 13010-2020标准；其厚度≥0.6mm；木材含水率≤10%；甲醛释放量≤0.1mg/L；刨切单板规格尺寸及其偏差：±0.01mm；刨切单板表面粗糙度检测合格。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3、胶粘剂：采用环保白乳胶，粘性强，久不分层，具有防水、防潮、耐油等特点。符合GB 18583-2008标准，游离甲醛≤0.05g/kg，苯≤0.02g/kg，甲苯+二甲苯≤0.02g/kg，总挥发性有机物≤15g/L。</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4、封边条：采用同色封边条，物理性能佳，严密平整，线条均匀，转角过渡自然，经过刨光、干燥、防虫、防腐等处理。符合QB/T 4463-2013标准，出厂含水率≤10%，甲醛释放量≤0.05mg/L。</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5、油漆：采用环保净味油漆，经过五底三面油漆工艺，保证产品光泽、平整、纹理清晰、环保，色泽效果持久平整。符合GB 18581-2020、GB/T 23997-2009标准；其VOC含量≤20g/L；苯含量、卤代烃总和含量、乙二醇醚及醚酯总和含量、总铅含量、可溶性重金属含量（镉、铬、汞）、甲醛含量均未检出；附着力≤1级；耐磨性（750g，500r）≤0.050g；耐冲击性：涂膜无脱落、无开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6、导轨：采用导轨，符合GB/T 6461-2002、QB/T 2454-2013、QB/T 3828-1999标准；其功能：操作力、耐久性（80000次）、垂直向下静载荷（150N）、水平侧向静载荷（75N）、拉出安全性、猛关或猛开（10次）均检测合格；下沉量≤3%；铜盐加速乙酸盐雾试验（CASS）连续喷雾≥300h，其保护评价（RP）≥10级，外观评级（RA）≥10级（VS），性能评级（RP/RA）：10/10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7、铰链：采用铰链，符合GB/T 6461-2002、QB/T 2189-2013、QB/T 3828-1999标准；其功能：操作力、垂直静载荷（15kg）、水平静载荷（30N）、耐久性（80000次）均检测合格；下沉量≤2.5mm；铜盐加速乙酸盐雾试验（CASS）连续喷雾≥300h，其保护评价（RP）≥10级，外观评级（RA）≥10级（VS），性能评级（RP/RA）：10/10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8、锁具：采用锁具，符合GB/T 6461-2002、QB/T 1621-2015、QB/T 3828-1999标准；其互开率≤0.05%；牢固度、灵活度、外观质量均检测合格；铜盐加速乙酸盐雾试验（CASS）连续喷雾≥300h，其保护评价（RP）≥10级，外观评级（RA）≥10级（VS），性能评级（RP/RA）：10/10。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办公椅</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1、面料：采用西皮，经液态浸色及防潮、防污等工艺处理，皮面柔软舒适，光泽持久，无明显损伤、剥落质量。符合QB/T 4045-2010标准；其甲醛、可萃取重金属（铅、镉）、可裂解出致癌芳香胺的偶氮染料、五氯苯酚均未检出；无异常气味；色牢度（沾色）：耐水、耐酸汗液、耐碱汗液、耐干摩擦、耐唾液均检测合格。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2、海绵：采用阻燃海绵，表面有防腐化和防变型保护膜，防破碎、抗氧化，软硬适中，回弹性能好，抗变形能力强，根椐人体工程学原理设计，坐感舒适。符合 GB/T 10802-2006、GB/T 6343-2009、GB 20286-2006、GB 17927.1-2011标准；其感官要求检测合格；75%压缩永久变形≤4%，回弹率≥50%；拉伸强度≥160KPa；伸长率≥130%；撕裂强度≥4.5N/cm；干热老化后拉伸强度≥160KPa；湿热老化后拉伸强度≥160KPa；甲醛释放量≤0.015mg/㎡ h；抗引燃特性-阴燃的香烟：未观察到试样表面或内部出现任何续燃、阴燃现象，评定该试样为阻燃Ⅰ级，通过香烟抗引燃特性试验；燃烧性能：阻燃性能等级检测合格；恒定负荷反复压陷疲劳性能：8万次，恒定负荷反复压陷疲劳后40%硬度损失值≤20%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3、框架：采用实木方，经过防虫、防腐特殊处理，确保坚固可靠，长期使用不松动、不腐朽。符合GB/T 3324-2017、GB 18584-2001标准；木材含水率≤10%，甲醛释放量≤0.05mg/L。</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4、油漆：采用环保净味油漆，经过五底三面油漆工艺，保证产品光泽、平整、纹理清晰、环保，色泽效果持久平整。符合GB 18581-2020、GB/T 23997-2009标准；其VOC含量≤20g/L；苯含量、卤代烃总和含量、乙二醇醚及醚酯总和含量、总铅含量、可溶性重金属含量（镉、铬、汞）、甲醛含量均未检出；附着力≤1级；耐磨性（750g，500r）≤0.050g；耐冲击性：涂膜无脱落、无开裂。</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5、五金配件：采用五金配件，经防锈处理，耐腐蚀能力强。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保密柜</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H1850*W900*D420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1、内陷通体对开门，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2、内部二个抽屉，两块活动层板；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3、不锈钢三节滑轨；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4、国家保密局认证锁具；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5、整体选用0.7mm冷轧钢制作而成，采用高压静电喷塑，高温固化处理，浅灰色，焊接与连接部位牢固、可靠，产品外露部件均无尖锐棱角，钢制件外表面光洁、美观，防腐保密 蚀、耐老化。</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6、喷塑:各部件经除油-水洗-除锈-清洗-中和-磷化-水洗-烘干模具冲压,全点焊工艺,静电亚光喷塑。</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档案密集架</w:t>
            </w:r>
          </w:p>
        </w:tc>
        <w:tc>
          <w:tcPr>
            <w:tcW w:w="199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1连4</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8列</w:t>
            </w:r>
          </w:p>
        </w:tc>
        <w:tc>
          <w:tcPr>
            <w:tcW w:w="54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规格：标准架高2400mm,宽度900mm，深度560mm，总层数为6层（双面型），层距325mm。</w:t>
            </w:r>
          </w:p>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产品主要采用的标准及规范  GB/T13667.3-2003</w:t>
            </w:r>
          </w:p>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装配结合结构： 档案密集架为框架结构，主要由轨道、底座、立柱、隔板、挂板、侧靠板、顶板、防尘板、护板、门板、传动机构、防倾倒、防震、缓冲密集装置组成。每列密集架体均有橡胶磁性吸附密封条，确保柜体闭合无噪声，合拢无间隙。  按规定铺设导轨、安装传动机构、防倒装置等；</w:t>
            </w:r>
          </w:p>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结构要求 :密集架立柱正面成型W6mm*D1.5mm*2条凹槽、密集架隔板平面成型W6mm*D1.5mm*4条凹槽、隔板侧面各成型一条W6mm*D1.5mm凹槽。横撑正面成型W6mm*D1.5mm*2条凹槽、以及密集架挡书条除开口外三面各成型一条W3mm*D1.5mm凹槽，凹槽的形成是产品的承重力、扭曲力、使产品承载能力及稳定性得到更高的提升，产品外形线条流畅</w:t>
            </w:r>
            <w:r>
              <w:rPr>
                <w:rFonts w:hint="eastAsia" w:ascii="宋体" w:hAnsi="宋体" w:eastAsia="宋体" w:cs="宋体"/>
                <w:i w:val="0"/>
                <w:iCs w:val="0"/>
                <w:color w:val="auto"/>
                <w:kern w:val="0"/>
                <w:sz w:val="22"/>
                <w:szCs w:val="22"/>
                <w:u w:val="none"/>
                <w:lang w:val="en-US" w:eastAsia="zh-CN" w:bidi="ar"/>
              </w:rPr>
              <w:t>。</w:t>
            </w:r>
          </w:p>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制造加工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 所有钣金件，机加工后打磨毛刺、无裂缝、无伤痕。</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所有焊接件，焊接牢固，焊痕光滑、平整。</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 在一个组合之间的产品零部件能保持互换性。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六、传动装置  一般应包括：摇手、轴、链轮、轴承链条、滚轮、 轨道、连接管等主要部件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七、载重性能要求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单面搁板上均匀载重40kg，双面均匀布负载80kg，最大挠度为小于4mm，24h卸载后，搁板没有裂缝，残余变形量不大于0.3mm。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 标准节（六层双面搁板）在全负载（每块单面搁板均布载重40kg）的情况下，架体、立柱没有明显变形，架体不会产生倾倒现象。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 全负载的情况下，各列密集柜在动手操纵下运行自如，没有阻滞现象。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 在受全部载荷1/20外力（沿X、Y轴两个方向的水平外力）的作用反复100次后，取消外力，架体所产生的倾斜不大于总高的1%，支架、立柱没有明显的变形。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八、表面喷涂材料要求：符合GB-1720、1732、1734标准、外观质量</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 密集架各零件、组合件、面光滑、平整，没有尖角、凸起。</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 表面经过酸洗、磷化、烘干处理采用静电喷塑工艺，色泽一致，漆面均匀光滑、无划伤。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九、主要材料执行标准：agcl LT01.24.1-2014。</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部件名称 材料规格 材料标准 备注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 导轨 20mm*20mm 45#实心方钢</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 轨道 ≥2.5mm ST12冷轧板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 底盘 ≥2.5mm ST12冷轧板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 立柱采用1.2mm ST12冷轧板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 顶板 0.8mm ST12冷轧板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 侧板 0.8mm ST12冷轧板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 搁板 0.9mm ST12冷轧板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 门板 0.8mm ST12冷轧板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 防尘板0.8mm ST12冷轧板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 挂板 0.9mm ST12冷轧板  </w:t>
            </w:r>
          </w:p>
          <w:p>
            <w:pPr>
              <w:keepNext w:val="0"/>
              <w:keepLines w:val="0"/>
              <w:widowControl/>
              <w:numPr>
                <w:ilvl w:val="0"/>
                <w:numId w:val="0"/>
              </w:numPr>
              <w:suppressLineNumbers w:val="0"/>
              <w:jc w:val="lef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 xml:space="preserve">11  防倒装置  3.0mm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智能控制系统技术参数及功能</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1、电源 220V±10％ 50HZ -- 60HZ</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2、单列电机功率 90W--200W</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3、总功率200 X n(W). 其中n为总列数</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4、噪声≤ 50dB</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5、运行速度(自动时) 3.0--4.0/min</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6、列载重量≤3600kg</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7、控制柜体功能：a、电动控制移动功能；b、采用快速启动、高速运行、轻柔合拢的曲线运行以提高操作效率；</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8、库区列控制功能：移动列：7寸彩色液晶显示屏触摸控制（左移、右移、锁定、暂停等功能）；固定列：10寸彩色液晶显示屏，非工控机（打开、关闭、通风、锁定、库区管理等功能）；</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9、其他功能：液晶屏底色显示功能、灯光照明功能、通风监测功能、查询及显示功能、语音播报功能、屏保功能、电机保护功能、电机过载及过流检测保护、触屏急停功能。</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8"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更衣柜</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900*420*1850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1、规格1850*900*400 mm高宽深</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2、材质用料: 柜体用冷轧钢板, 门板、侧板、顶板厚度不低于0.6mm，背板层板不低于0.5mm，边框为25mm设计，更美观。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产品焊接牢固, 外表平整光滑, 没有毛刺、 焊瘤、 夹渣, 无裂缝、无错位 、 无漏焊等缺陷。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3、结构：单独九个柜门，内部带有挂一杆。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4、配件：扣手采用钢制压型扣手，规格≥长220mm×宽20mm×深15mm，锁具为叶片锁，  防潮、防锈。调整脚符合GB/T-3325-2017标准，外观：电镀层应表面无剥落、返锈、毛刺，塑料件外观应无裂纹，无明显变形，无明显缩孔、气泡、杂质、伤痕，外表用塑料件表面光洁、无划痕，无污渍，无明显色差，符合GB/T-3325-2017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8"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衣帽架</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1.基材：采用橡木实木，经过防虫、防腐特殊处理，含水率≤10%，确保坚固可靠，长期使用不松动、不腐朽；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2.油漆：采用环保油漆，经过五底三面油漆工序；其中水性底漆VOC含量≤96g/L，水性面漆VOC含量≤68g/L。</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沙发</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三人位</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1、面料：采用西皮，经液态浸色及防潮、防污等工艺处理，皮面柔软舒适，光泽持久，无明显损伤、剥落质量。符合QB/T 4045-2010标准；其甲醛、可萃取重金属（铅、镉）、可裂解出致癌芳香胺的偶氮染料、五氯苯酚均未检出；无异常气味；色牢度（沾色）：耐水、耐酸汗液、耐碱汗液、耐干摩擦、耐唾液均检测合格。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2、海绵：采用阻燃海绵，表面有防腐化和防变型保护膜，防破碎、抗氧化，软硬适中，回弹性能好，抗变形能力强，根椐人体工程学原理设计，坐感舒适。符合 GB/T 10802-2006、GB/T 6343-2009、GB 20286-2006、GB 17927.1-2011标准；其感官要求检测合格；75%压缩永久变形≤4%，回弹率≥50%；拉伸强度≥160KPa；伸长率≥130%；撕裂强度≥4.5N/cm；干热老化后拉伸强度≥160KPa；湿热老化后拉伸强度≥160KPa；甲醛释放量≤0.015mg/㎡ h；抗引燃特性-阴燃的香烟：未观察到试样表面或内部出现任何续燃、阴燃现象，评定该试样为阻燃Ⅰ级，通过香烟抗引燃特性试验；燃烧性能：阻燃性能等级检测合格；恒定负荷反复压陷疲劳性能：8万次，恒定负荷反复压陷疲劳后40%硬度损失值≤20%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3、框架：采用实木方，经过防虫、防腐特殊处理，确保坚固可靠，长期使用不松动、不腐朽。符合GB/T 3324-2017、GB 18584-2001标准；木材含水率≤10%，甲醛释放量≤0.05mg/L。</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4、油漆：采用环保净味油漆，经过五底三面油漆工艺，保证产品光泽、平整、纹理清晰、环保，色泽效果持久平整。符合GB 18581-2020、GB/T 23997-2009标准；其VOC含量≤20g/L；苯含量、卤代烃总和含量、乙二醇醚及醚酯总和含量、总铅含量、可溶性重金属含量（镉、铬、汞）、甲醛含量均未检出；附着力≤1级；耐磨性（750g，500r）≤0.050g；耐冲击性：涂膜无脱落、无开裂。</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5、五金配件：采用五金配件，经防锈处理，耐腐蚀能力强。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茶水柜</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1200*400*850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1、基材：采用环保中密度纤维板，所有材料均经过防虫、防腐等化学处理，强度大，尺寸稳定性好，握钉力强，不易变形。符合GB/T 11718-2021 、GB/T 35601-2017、GB 18580-2017、GB/T17657-2013、JC/T 2039-2010、GB/T 39600-2021标准；其含水率≤8%；吸水厚度膨胀率≤2.5%；静曲强度≥35MPa；弹性模量≥4800MPa；表面胶合强度≥2.0MPa；内胶合强度≥1.2MPa；甲醛释放量≤0.025mg/m³；苯、甲苯、二甲苯均未检出，总挥发性有机化合物（TVOC）未检出；抗菌性能（金黄色葡萄球菌）抑菌率≥99%；防霉菌性能（宛氏拟青素）防霉菌等级：0级或1级；板面握螺钉力≥1800N，板边握螺钉力≥1000N；砂光板面质量要求（检测项≥5项）检测合格；耐高温性能：无裂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2、面材：采用木皮贴面，经过防虫防腐处理，木皮平整度高，耐磨性好，纹理清晰自然，颜色均匀，色泽美观。符合GB 3324-2017、GB/T 18584-2001、GB/T 13010-2020标准；其厚度≥0.6mm；木材含水率≤10%；甲醛释放量≤0.1mg/L；刨切单板规格尺寸及其偏差：±0.01mm；刨切单板表面粗糙度检测合格。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3、胶粘剂：采用环保白乳胶，粘性强，久不分层，具有防水、防潮、耐油等特点。符合GB 18583-2008标准，游离甲醛≤0.05g/kg，苯≤0.02g/kg，甲苯+二甲苯≤0.02g/kg，总挥发性有机物≤15g/L。</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4、封边条：采用同色封边条，物理性能佳，严密平整，线条均匀，转角过渡自然，经过刨光、干燥、防虫、防腐等处理。符合QB/T 4463-2013标准，出厂含水率≤10%，甲醛释放量≤0.05mg/L。</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5、油漆：采用环保净味油漆，经过五底三面油漆工艺，保证产品光泽、平整、纹理清晰、环保，色泽效果持久平整。符合GB 18581-2020、GB/T 23997-2009标准；其VOC含量≤20g/L；苯含量、卤代烃总和含量、乙二醇醚及醚酯总和含量、总铅含量、可溶性重金属含量（镉、铬、汞）、甲醛含量均未检出；附着力≤1级；耐磨性（750g，500r）≤0.050g；耐冲击性：涂膜无脱落、无开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6、导轨：采用导轨，符合GB/T 6461-2002、QB/T 2454-2013、QB/T 3828-1999标准；其功能：操作力、耐久性（80000次）、垂直向下静载荷（150N）、水平侧向静载荷（75N）、拉出安全性、猛关或猛开（10次）均检测合格；下沉量≤3%；铜盐加速乙酸盐雾试验（CASS）连续喷雾≥300h，其保护评价（RP）≥10级，外观评级（RA）≥10级（VS），性能评级（RP/RA）：10/10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7、铰链：采用铰链，符合GB/T 6461-2002、QB/T 2189-2013、QB/T 3828-1999标准；其功能：操作力、垂直静载荷（15kg）、水平静载荷（30N）、耐久性（80000次）均检测合格；下沉量≤2.5mm；铜盐加速乙酸盐雾试验（CASS）连续喷雾≥300h，其保护评价（RP）≥10级，外观评级（RA）≥10级（VS），性能评级（RP/RA）：10/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长茶几</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1200*600*450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1、基材：采用环保中密度纤维板，所有材料均经过防虫、防腐等化学处理，强度大，尺寸稳定性好，握钉力强，不易变形。符合GB/T 11718-2021 、GB/T 35601-2017、GB 18580-2017、GB/T17657-2013、JC/T 2039-2010、GB/T 39600-2021标准；其含水率≤8%；吸水厚度膨胀率≤2.5%；静曲强度≥35MPa；弹性模量≥4800MPa；表面胶合强度≥2.0MPa；内胶合强度≥1.2MPa；甲醛释放量≤0.025mg/m³；苯、甲苯、二甲苯均未检出，总挥发性有机化合物（TVOC）未检出；抗菌性能（金黄色葡萄球菌）抑菌率≥99%；防霉菌性能（宛氏拟青素）防霉菌等级：0级或1级；板面握螺钉力≥1800N，板边握螺钉力≥1000N；砂光板面质量要求（检测项≥5项）检测合格；耐高温性能：无裂纹。</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2、面材：采用木皮贴面，经过防虫防腐处理，木皮平整度高，耐磨性好，纹理清晰自然，颜色均匀，色泽美观。符合GB 3324-2017、GB/T 18584-2001、GB/T 13010-2020标准；其厚度≥0.6mm；木材含水率≤10%；甲醛释放量≤0.1mg/L；刨切单板规格尺寸及其偏差：±0.01mm；刨切单板表面粗糙度检测合格。</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3、胶粘剂：采用环保白乳胶，粘性强，久不分层，具有防水、防潮、耐油等特点。符合GB 18583-2008标准，游离甲醛≤0.05g/kg，苯≤0.02g/kg，甲苯+二甲苯≤0.02g/kg，总挥发性有机物≤15g/L。</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4、封边条：采用同色封边条，物理性能佳，严密平整，线条均匀，转角过渡自然，经过刨光、干燥、防虫、防腐等处理。符合QB/T 4463-2013标准，出厂含水率≤10%，甲醛释放量≤0.05mg/L。</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5、油漆：采用环保净味油漆，经过五底三面油漆工艺，保证产品光泽、平整、纹理清晰、环保，色泽效果持久平整。符合GB 18581-2020、GB/T 23997-2009标准；其VOC含量≤20g/L；苯含量、卤代烃总和含量、乙二醇醚及醚酯总和含量、总铅含量、可溶性重金属含量（镉、铬、汞）、甲醛含量均未检出；附着力≤1级；耐磨性（750g，500r）≤0.050g；耐冲击性：涂膜无脱落、无开裂。</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方茶几</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600*600*450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1、基材：采用环保中密度纤维板，所有材料均经过防虫、防腐等化学处理，强度大，尺寸稳定性好，握钉力强，不易变形。符合GB/T 11718-2021 、GB/T 35601-2017、GB 18580-2017、GB/T17657-2013、JC/T 2039-2010、GB/T 39600-2021标准；其含水率≤8%；吸水厚度膨胀率≤2.5%；静曲强度≥35MPa；弹性模量≥4800MPa；表面胶合强度≥2.0MPa；内胶合强度≥1.2MPa；甲醛释放量≤0.025mg/m³；苯、甲苯、二甲苯均未检出，总挥发性有机化合物（TVOC）未检出；抗菌性能（金黄色葡萄球菌）抑菌率≥99%；防霉菌性能（宛氏拟青素）防霉菌等级：0级或1级；板面握螺钉力≥1800N，板边握螺钉力≥1000N；砂光板面质量要求（检测项≥5项）检测合格；耐高温性能：无裂纹。</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2、面材：采用木皮贴面，经过防虫防腐处理，木皮平整度高，耐磨性好，纹理清晰自然，颜色均匀，色泽美观。符合GB 3324-2017、GB/T 18584-2001、GB/T 13010-2020标准；其厚度≥0.6mm；木材含水率≤10%；甲醛释放量≤0.1mg/L；刨切单板规格尺寸及其偏差：±0.01mm；刨切单板表面粗糙度检测合格。</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3、胶粘剂：采用环保白乳胶，粘性强，久不分层，具有防水、防潮、耐油等特点。符合GB 18583-2008标准，游离甲醛≤0.05g/kg，苯≤0.02g/kg，甲苯+二甲苯≤0.02g/kg，总挥发性有机物≤15g/L。</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4、封边条：采用同色封边条，物理性能佳，严密平整，线条均匀，转角过渡自然，经过刨光、干燥、防虫、防腐等处理。符合QB/T 4463-2013标准，出厂含水率≤10%，甲醛释放量≤0.05mg/L。</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5、油漆：采用环保净味油漆，经过五底三面油漆工艺，保证产品光泽、平整、纹理清晰、环保，色泽效果持久平整。符合GB 18581-2020、GB/T 23997-2009标准；其VOC含量≤20g/L；苯含量、卤代烃总和含量、乙二醇醚及醚酯总和含量、总铅含量、可溶性重金属含量（镉、铬、汞）、甲醛含量均未检出；附着力≤1级；耐磨性（750g，500r）≤0.050g；耐冲击性：涂膜无脱落、无开裂。</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主席台</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定制</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900*600*750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1、基材：采用环保中密度纤维板，所有材料均经过防虫、防腐等化学处理，强度大，尺寸稳定性好，握钉力强，不易变形。符合GB/T 11718-2021 、GB/T 35601-2017、GB 18580-2017、GB/T17657-2013、JC/T 2039-2010、GB/T 39600-2021标准；其含水率≤8%；吸水厚度膨胀率≤2.5%；静曲强度≥35MPa；弹性模量≥4800MPa；表面胶合强度≥2.0MPa；内胶合强度≥1.2MPa；甲醛释放量≤0.025mg/m³；苯、甲苯、二甲苯均未检出，总挥发性有机化合物（TVOC）未检出；抗菌性能（金黄色葡萄球菌）抑菌率≥99%；防霉菌性能（宛氏拟青素）防霉菌等级：0级或1级；板面握螺钉力≥1800N，板边握螺钉力≥1000N；砂光板面质量要求（检测项≥5项）检测合格；耐高温性能：无裂纹。</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2、面材：采用木皮贴面，经过防虫防腐处理，木皮平整度高，耐磨性好，纹理清晰自然，颜色均匀，色泽美观。符合GB 3324-2017、GB/T 18584-2001、GB/T 13010-2020标准；其厚度≥0.6mm；木材含水率≤10%；甲醛释放量≤0.1mg/L；刨切单板规格尺寸及其偏差：±0.01mm；刨切单板表面粗糙度检测合格。</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3、胶粘剂：采用环保白乳胶，粘性强，久不分层，具有防水、防潮、耐油等特点。符合GB 18583-2008标准，游离甲醛≤0.05g/kg，苯≤0.02g/kg，甲苯+二甲苯≤0.02g/kg，总挥发性有机物≤15g/L。</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4、封边条：采用同色封边条，物理性能佳，严密平整，线条均匀，转角过渡自然，经过刨光、干燥、防虫、防腐等处理。符合QB/T 4463-2013标准，出厂含水率≤10%，甲醛释放量≤0.05mg/L。</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5、油漆：采用环保净味油漆，经过五底三面油漆工艺，保证产品光泽、平整、纹理清晰、环保，色泽效果持久平整。符合GB 18581-2020、GB/T 23997-2009标准；其VOC含量≤20g/L；苯含量、卤代烃总和含量、乙二醇醚及醚酯总和含量、总铅含量、可溶性重金属含量（镉、铬、汞）、甲醛含量均未检出；附着力≤1级；耐磨性（750g，500r）≤0.050g；耐冲击性：涂膜无脱落、无开裂。</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主席台</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2100*600*750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1、基材：采用环保中密度纤维板，所有材料均经过防虫、防腐等化学处理，强度大，尺寸稳定性好，握钉力强，不易变形。符合GB/T 11718-2021 、GB/T 35601-2017、GB 18580-2017、GB/T17657-2013、JC/T 2039-2010、GB/T 39600-2021标准；其含水率≤8%；吸水厚度膨胀率≤2.5%；静曲强度≥35MPa；弹性模量≥4800MPa；表面胶合强度≥2.0MPa；内胶合强度≥1.2MPa；甲醛释放量≤0.025mg/m³；苯、甲苯、二甲苯均未检出，总挥发性有机化合物（TVOC）未检出；抗菌性能（金黄色葡萄球菌）抑菌率≥99%；防霉菌性能（宛氏拟青素）防霉菌等级：0级或1级；板面握螺钉力≥1800N，板边握螺钉力≥1000N；砂光板面质量要求（检测项≥5项）检测合格；耐高温性能：无裂纹。</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2、面材：采用木皮贴面，经过防虫防腐处理，木皮平整度高，耐磨性好，纹理清晰自然，颜色均匀，色泽美观。符合GB 3324-2017、GB/T 18584-2001、GB/T 13010-2020标准；其厚度≥0.6mm；木材含水率≤10%；甲醛释放量≤0.1mg/L；刨切单板规格尺寸及其偏差：±0.01mm；刨切单板表面粗糙度检测合格。</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3、胶粘剂：采用环保白乳胶，粘性强，久不分层，具有防水、防潮、耐油等特点。符合GB 18583-2008标准，游离甲醛≤0.05g/kg，苯≤0.02g/kg，甲苯+二甲苯≤0.02g/kg，总挥发性有机物≤15g/L。</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4、封边条：采用同色封边条，物理性能佳，严密平整，线条均匀，转角过渡自然，经过刨光、干燥、防虫、防腐等处理。符合QB/T 4463-2013标准，出厂含水率≤10%，甲醛释放量≤0.05mg/L。</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5、油漆：采用环保净味油漆，经过五底三面油漆工艺，保证产品光泽、平整、纹理清晰、环保，色泽效果持久平整。符合GB 18581-2020、GB/T 23997-2009标准；其VOC含量≤20g/L；苯含量、卤代烃总和含量、乙二醇醚及醚酯总和含量、总铅含量、可溶性重金属含量（镉、铬、汞）、甲醛含量均未检出；附着力≤1级；耐磨性（750g，500r）≤0.050g；耐冲击性：涂膜无脱落、无开裂。</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主席台椅</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1、面料：采用西皮，经液态浸色及防潮、防污等工艺处理，皮面柔软舒适，光泽持久，无明显损伤、剥落质量。符合QB/T 4045-2010标准；其甲醛、可萃取重金属（铅、镉）、可裂解出致癌芳香胺的偶氮染料、五氯苯酚均未检出；无异常气味；色牢度（沾色）：耐水、耐酸汗液、耐碱汗液、耐干摩擦、耐唾液均检测合格。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2、海绵：采用阻燃海绵，表面有防腐化和防变型保护膜，防破碎、抗氧化，软硬适中，回弹性能好，抗变形能力强，根椐人体工程学原理设计，坐感舒适。符合 GB/T 10802-2006、GB/T 6343-2009、GB 20286-2006、GB 17927.1-2011标准；其感官要求检测合格；75%压缩永久变形≤4%，回弹率≥50%；拉伸强度≥160KPa；伸长率≥130%；撕裂强度≥4.5N/cm；干热老化后拉伸强度≥160KPa；湿热老化后拉伸强度≥160KPa；甲醛释放量≤0.015mg/㎡ h；抗引燃特性-阴燃的香烟：未观察到试样表面或内部出现任何续燃、阴燃现象，评定该试样为阻燃Ⅰ级，通过香烟抗引燃特性试验；燃烧性能：阻燃性能等级检测合格；恒定负荷反复压陷疲劳性能：8万次，恒定负荷反复压陷疲劳后40%硬度损失值≤20%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3、框架：采用实木方，经过防虫、防腐特殊处理，确保坚固可靠，长期使用不松动、不腐朽。符合GB/T 3324-2017、GB 18584-2001标准；木材含水率≤10%，甲醛释放量≤0.05mg/L。</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4、油漆：采用环保净味油漆，经过五底三面油漆工艺，保证产品光泽、平整、纹理清晰、环保，色泽效果持久平整。符合GB 18581-2020、GB/T 23997-2009标准；其VOC含量≤20g/L；苯含量、卤代烃总和含量、乙二醇醚及醚酯总和含量、总铅含量、可溶性重金属含量（镉、铬、汞）、甲醛含量均未检出；附着力≤1级；耐磨性（750g，500r）≤0.050g；耐冲击性：涂膜无脱落、无开裂。</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5、五金配件：采用五金配件，经防锈处理，耐腐蚀能力强。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演讲台</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780*590*1150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1、基材：采用环保中密度纤维板，所有材料均经过防虫、防腐等化学处理，强度大，尺寸稳定性好，握钉力强，不易变形。符合GB/T 11718-2021 、GB/T 35601-2017、GB 18580-2017、GB/T17657-2013、JC/T 2039-2010、GB/T 39600-2021标准；其含水率≤8%；吸水厚度膨胀率≤2.5%；静曲强度≥35MPa；弹性模量≥4800MPa；表面胶合强度≥2.0MPa；内胶合强度≥1.2MPa；甲醛释放量≤0.025mg/m³；苯、甲苯、二甲苯均未检出，总挥发性有机化合物（TVOC）未检出；抗菌性能（金黄色葡萄球菌）抑菌率≥99%；防霉菌性能（宛氏拟青素）防霉菌等级：0级或1级；板面握螺钉力≥1800N，板边握螺钉力≥1000N；砂光板面质量要求（检测项≥5项）检测合格；耐高温性能：无裂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2、面材：采用木皮贴面，经过防虫防腐处理，木皮平整度高，耐磨性好，纹理清晰自然，颜色均匀，色泽美观。符合GB 3324-2017、GB/T 18584-2001、GB/T 13010-2020标准；其厚度≥0.6mm；木材含水率≤10%；甲醛释放量≤0.1mg/L；刨切单板规格尺寸及其偏差：±0.01mm；刨切单板表面粗糙度检测合格。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3、胶粘剂：采用环保白乳胶，粘性强，久不分层，具有防水、防潮、耐油等特点。符合GB 18583-2008标准，游离甲醛≤0.05g/kg，苯≤0.02g/kg，甲苯+二甲苯≤0.02g/kg，总挥发性有机物≤15g/L。</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4、封边条：采用同色封边条，物理性能佳，严密平整，线条均匀，转角过渡自然，经过刨光、干燥、防虫、防腐等处理。符合QB/T 4463-2013标准，出厂含水率≤10%，甲醛释放量≤0.05mg/L。</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5、油漆：采用环保净味油漆，经过五底三面油漆工艺，保证产品光泽、平整、纹理清晰、环保，色泽效果持久平整。符合GB 18581-2020、GB/T 23997-2009标准；其VOC含量≤20g/L；苯含量、卤代烃总和含量、乙二醇醚及醚酯总和含量、总铅含量、可溶性重金属含量（镉、铬、汞）、甲醛含量均未检出；附着力≤1级；耐磨性（750g，500r）≤0.050g；耐冲击性：涂膜无脱落、无开裂。</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条桌</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1400*440*750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1、基材：采用环保中密度纤维板，所有材料均经过防虫、防腐等化学处理，强度大，尺寸稳定性好，握钉力强，不易变形。符合GB/T 11718-2021 、GB/T 35601-2017、GB 18580-2017、GB/T17657-2013、JC/T 2039-2010、GB/T 39600-2021标准；其含水率≤8%；吸水厚度膨胀率≤2.5%；静曲强度≥35MPa；弹性模量≥4800MPa；表面胶合强度≥2.0MPa；内胶合强度≥1.2MPa；甲醛释放量≤0.025mg/m³；苯、甲苯、二甲苯均未检出，总挥发性有机化合物（TVOC）未检出；抗菌性能（金黄色葡萄球菌）抑菌率≥99%；防霉菌性能（宛氏拟青素）防霉菌等级：0级或1级；板面握螺钉力≥1800N，板边握螺钉力≥1000N；砂光板面质量要求（检测项≥5项）检测合格；耐高温性能：无裂纹。</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2、面材：采用木皮贴面，经过防虫防腐处理，木皮平整度高，耐磨性好，纹理清晰自然，颜色均匀，色泽美观。符合GB 3324-2017、GB/T 18584-2001、GB/T 13010-2020标准；其厚度≥0.6mm；木材含水率≤10%；甲醛释放量≤0.1mg/L；刨切单板规格尺寸及其偏差：±0.01mm；刨切单板表面粗糙度检测合格。</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3、胶粘剂：采用环保白乳胶，粘性强，久不分层，具有防水、防潮、耐油等特点。符合GB 18583-2008标准，游离甲醛≤0.05g/kg，苯≤0.02g/kg，甲苯+二甲苯≤0.02g/kg，总挥发性有机物≤15g/</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4、封边条：采用同色封边条，物理性能佳，严密平整，线条均匀，转角过渡自然，经过刨光、干燥、防虫、防腐等处理。符合QB/T 4463-2013标准，出厂含水率≤10%，甲醛释放量≤0.05mg/L。</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5、油漆：采用环保净味油漆，经过五底三面油漆工艺，保证产品光泽、平整、纹理清晰、环保，色泽效果持久平整。符合GB 18581-2020、GB/T 23997-2009标准；其VOC含量≤20g/L；苯含量、卤代烃总和含量、乙二醇醚及醚酯总和含量、总铅含量、可溶性重金属含量（镉、铬、汞）、甲醛含量均未检出；附着力≤1级；耐磨性（750g，500r）≤0.050g；耐冲击性：涂膜无脱落、无开裂。</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条桌椅</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1、面料：采用西皮，经液态浸色及防潮、防污等工艺处理，皮面柔软舒适，光泽持久，无明显损伤、剥落质量。符合QB/T 4045-2010标准；其甲醛、可萃取重金属（铅、镉）、可裂解出致癌芳香胺的偶氮染料、五氯苯酚均未检出；无异常气味；色牢度（沾色）：耐水、耐酸汗液、耐碱汗液、耐干摩擦、耐唾液均检测合格。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2、海绵：采用阻燃海绵，表面有防腐化和防变型保护膜，防破碎、抗氧化，软硬适中，回弹性能好，抗变形能力强，根椐人体工程学原理设计，坐感舒适。符合 GB/T 10802-2006、GB/T 6343-2009、GB 20286-2006、GB 17927.1-2011标准；其感官要求检测合格；75%压缩永久变形≤4%，回弹率≥50%；拉伸强度≥160KPa；伸长率≥130%；撕裂强度≥4.5N/cm；干热老化后拉伸强度≥160KPa；湿热老化后拉伸强度≥160KPa；甲醛释放量≤0.015mg/㎡ h；抗引燃特性-阴燃的香烟：未观察到试样表面或内部出现任何续燃、阴燃现象，评定该试样为阻燃Ⅰ级，通过香烟抗引燃特性试验；燃烧性能：阻燃性能等级检测合格；恒定负荷反复压陷疲劳性能：8万次，恒定负荷反复压陷疲劳后40%硬度损失值≤20%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3、框架：采用实木方，经过防虫、防腐特殊处理，确保坚固可靠，长期使用不松动、不腐朽。符合GB/T 3324-2017、GB 18584-2001标准；木材含水率≤10%，甲醛释放量≤0.05mg/L。</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4、油漆：采用环保净味油漆，经过五底三面油漆工艺，保证产品光泽、平整、纹理清晰、环保，色泽效果持久平整。符合GB 18581-2020、GB/T 23997-2009标准；其VOC含量≤20g/L；苯含量、卤代烃总和含量、乙二醇醚及醚酯总和含量、总铅含量、可溶性重金属含量（镉、铬、汞）、甲醛含量均未检出；附着力≤1级；耐磨性（750g，500r）≤0.050g；耐冲击性：涂膜无脱落、无开裂。</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5、五金配件：采用五金配件，经防锈处理，耐腐蚀能力强。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会议桌</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4000*1600*750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1、基材：采用环保中密度纤维板，所有材料均经过防虫、防腐等化学处理，强度大，尺寸稳定性好，握钉力强，不易变形。符合GB/T 11718-2021 、GB/T 35601-2017、GB 18580-2017、GB/T17657-2013、JC/T 2039-2010、GB/T 39600-2021标准；其含水率≤8%；吸水厚度膨胀率≤2.5%；静曲强度≥35MPa；弹性模量≥4800MPa；表面胶合强度≥2.0MPa；内胶合强度≥1.2MPa；甲醛释放量≤0.025mg/m³；苯、甲苯、二甲苯均未检出，总挥发性有机化合物（TVOC）未检出；抗菌性能（金黄色葡萄球菌）抑菌率≥99%；防霉菌性能（宛氏拟青素）防霉菌等级：0级或1级；板面握螺钉力≥1800N，板边握螺钉力≥1000N；砂光板面质量要求（检测项≥5项）检测合格；耐高温性能：无裂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2、面材：采用木皮贴面，经过防虫防腐处理，木皮平整度高，耐磨性好，纹理清晰自然，颜色均匀，色泽美观。符合GB 3324-2017、GB/T 18584-2001、GB/T 13010-2020标准；其厚度≥0.6mm；木材含水率≤10%；甲醛释放量≤0.1mg/L；刨切单板规格尺寸及其偏差：±0.01mm；刨切单板表面粗糙度检测合格。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3、胶粘剂：采用环保白乳胶，粘性强，久不分层，具有防水、防潮、耐油等特点。符合GB 18583-2008标准，游离甲醛≤0.05g/kg，苯≤0.02g/kg，甲苯+二甲苯≤0.02g/kg，总挥发性有机物≤15g/L。</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4、封边条：采用同色封边条，物理性能佳，严密平整，线条均匀，转角过渡自然，经过刨光、干燥、防虫、防腐等处理。符合QB/T 4463-2013标准，出厂含水率≤10%，甲醛释放量≤0.05mg/L。</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5、油漆：采用环保净味油漆，经过五底三面油漆工艺，保证产品光泽、平整、纹理清晰、环保，色泽效果持久平整。符合GB 18581-2020、GB/T 23997-2009标准；其VOC含量≤20g/L；苯含量、卤代烃总和含量、乙二醇醚及醚酯总和含量、总铅含量、可溶性重金属含量（镉、铬、汞）、甲醛含量均未检出；附着力≤1级；耐磨性（750g，500r）≤0.050g；耐冲击性：涂膜无脱落、无开裂。</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会议椅</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实木椅</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1、面料：采用西皮，经液态浸色及防潮、防污等工艺处理，皮面柔软舒适，光泽持久，无明显损伤、剥落质量。符合QB/T 4045-2010标准；其甲醛、可萃取重金属（铅、镉）、可裂解出致癌芳香胺的偶氮染料、五氯苯酚均未检出；无异常气味；色牢度（沾色）：耐水、耐酸汗液、耐碱汗液、耐干摩擦、耐唾液均检测合格。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2、海绵：采用阻燃海绵，表面有防腐化和防变型保护膜，防破碎、抗氧化，软硬适中，回弹性能好，抗变形能力强，根椐人体工程学原理设计，坐感舒适。符合 GB/T 10802-2006、GB/T 6343-2009、GB 20286-2006、GB 17927.1-2011标准；其感官要求检测合格；75%压缩永久变形≤4%，回弹率≥50%；拉伸强度≥160KPa；伸长率≥130%；撕裂强度≥4.5N/cm；干热老化后拉伸强度≥160KPa；湿热老化后拉伸强度≥160KPa；甲醛释放量≤0.015mg/㎡ h；抗引燃特性-阴燃的香烟：未观察到试样表面或内部出现任何续燃、阴燃现象，评定该试样为阻燃Ⅰ级，通过香烟抗引燃特性试验；燃烧性能：阻燃性能等级检测合格；恒定负荷反复压陷疲劳性能：8万次，恒定负荷反复压陷疲劳后40%硬度损失值≤20%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3、框架：采用实木方，经过防虫、防腐特殊处理，确保坚固可靠，长期使用不松动、不腐朽。符合GB/T 3324-2017、GB 18584-2001标准；木材含水率≤10%，甲醛释放量≤0.05mg/L。</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4、油漆：采用环保净味油漆，经过五底三面油漆工艺，保证产品光泽、平整、纹理清晰、环保，色泽效果持久平整。符合GB 18581-2020、GB/T 23997-2009标准；其VOC含量≤20g/L；苯含量、卤代烃总和含量、乙二醇醚及醚酯总和含量、总铅含量、可溶性重金属含量（镉、铬、汞）、甲醛含量均未检出；附着力≤1级；耐磨性（750g，500r）≤0.050g；耐冲击性：涂膜无脱落、无开裂。</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5、五金配件：采用五金配件，经防锈处理，耐腐蚀能力强。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升降学习桌</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1200*600*750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1、基材：采用环保中密度纤维板，所有材料均经过防虫、防腐等化学处理，强度大，尺寸稳定性好，握钉力强，不易变形。符合GB/T 11718-2021 、GB/T 35601-2017、GB 18580-2017、GB/T17657-2013、JC/T 2039-2010、GB/T 39600-2021标准；其含水率≤8%；吸水厚度膨胀率≤2.5%；静曲强度≥35MPa；弹性模量≥4800MPa；表面胶合强度≥2.0MPa；内胶合强度≥1.2MPa；甲醛释放量≤0.025mg/m³；苯、甲苯、二甲苯均未检出，总挥发性有机化合物（TVOC）未检出；抗菌性能（金黄色葡萄球菌）抑菌率≥99%；防霉菌性能（宛氏拟青素）防霉菌等级：0级或1级；板面握螺钉力≥1800N，板边握螺钉力≥1000N；砂光板面质量要求（检测项≥5项）检测合格；耐高温性能：无裂纹。</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2、面材：采用木皮贴面，经过防虫防腐处理，木皮平整度高，耐磨性好，纹理清晰自然，颜色均匀，色泽美观。符合GB 3324-2017、GB/T 18584-2001、GB/T 13010-2020标准；其厚度≥0.6mm；木材含水率≤10%；甲醛释放量≤0.1mg/L；刨切单板规格尺寸及其偏差：±0.01mm；刨切单板表面粗糙度检测合格。</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3、胶粘剂：采用环保白乳胶，粘性强，久不分层，具有防水、防潮、耐油等特点。符合GB 18583-2008标准，游离甲醛≤0.05g/kg，苯≤0.02g/kg，甲苯+二甲苯≤0.02g/kg，总挥发性有机物≤15g/L。</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4、封边条：采用同色封边条，物理性能佳，严密平整，线条均匀，转角过渡自然，经过刨光、干燥、防虫、防腐等处理。符合QB/T 4463-2013标准，出厂含水率≤10%，甲醛释放量≤0.05mg/L。</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5、油漆：采用环保净味油漆，经过五底三面油漆工艺，保证产品光泽、平整、纹理清晰、环保，色泽效果持久平整。符合GB 18581-2020、GB/T 23997-2009标准；其VOC含量≤20g/L；苯含量、卤代烃总和含量、乙二醇醚及醚酯总和含量、总铅含量、可溶性重金属含量（镉、铬、汞）、甲醛含量均未检出；附着力≤1级；耐磨性（750g，500r）≤0.050g；耐冲击性：涂膜无脱落、无开裂。</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升降器</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21寸显示屏</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拉丝面板，造型时尚大方。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同步轨道升降 运行平稳、噪音小。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自动断电保护 具有液晶显示屏自动断电保护功能。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防尘防水设计 有效减少灰尘堆积与防止意外溅水。  电机控制 双电机分别控制，有效达到最佳视觉效果。</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主机显示器</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1、机型：国产台式机；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2、处理器：飞腾D2000处理器，主频≥2.3GHz、核心≥8个；</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3、主板：与处理器相匹配芯片组主板；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4、内存：≥8GB DDR4 2666MHz 内存，≥2个内存扩展槽；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5、硬盘：≥256GB SSD 硬盘，预留3.5英寸SATA硬盘仓位；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6、光驱：内置DVDRW光驱；</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7、显卡：≥2GB显存独立显卡，≥VGA + HDMI视频输出接口；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8、音频：集成声卡或独立声卡，≥2个前置音频接口；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9、网卡：集成千兆网卡，具备网络唤醒功能；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10、I/O扩展槽：≥2个PCIe x16, ≥1个PCIe x1，≥1个M.2；</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11、I/O扩展接口：≥8个USB接口（6个USB3.0，2个USB2.0接口），1个内置USB 快速充电口接口，≥1个串口；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12、键盘鼠标：USB接口防泼溅键盘、光电鼠标；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13、电源：≥200W电源；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14、BIOS：简体中文BIOS，支持设置键盘快捷键开机；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15、机箱：体积≤10L机箱；</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16、操作系统：预装国产麒麟桌面操作系统；</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17、显示器：≥21英寸液晶显示器，分辨率≥1920x1080、VGA + HDMI接口带原厂HDMI 线缆、VESA标准安装孔；</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阅览桌</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2000*1000*750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1、基材：采用环保刨花板，握钉力强，吸水膨胀率低。符合GB/T 4897-2015、GB/T 35601-2017、GB 18580-2017、GB/T 17657-2013、GB/T 39600-2021、QB/T 4371-2012、JC/T 2039-2010标准；其尺寸偏差、外观质量均检测合格；含水率≤8%；板内密度偏差：±1%；静曲强度≥35MPa，弹性模量≥3800MPa，内胶合强度≥1.1MPa，表面胶合强度≥1.8MPa，板边握螺钉力≥900N，板面握螺钉力≥1800N，2h吸水厚度膨胀率≤2.5%；甲醛释放量≤0.025mg/m³；苯、甲苯、二甲苯均未检出，总挥发性有机化合物（TVOC）未检出；抗菌性能（金黄色葡萄球菌）抑菌率≥99%；防霉菌性能（宛氏拟青素）防霉菌等级：0级或1级；耐高温性能：无裂纹。</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2、面材：采用环保三聚氰胺纸，耐磨性好，表面平滑光洁，易维护清洁。符合GB/T 28996-2012标准，其甲醛释放量≤0.3mg/L；挥发物含量≤8%；预固化度20%-50%；耐磨转数≥9000r；纵横向伸缩率检测合格。</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3、封边：采用PVC封边条，封边平滑，严密平整，线条均匀，转角过渡自然，颜色与板材一致，经过刨光干燥防虫防腐等处理。符合QB/T 4463-2013标准；其外观、规格尺寸及其偏差和形状公差、理化性能均检测合格；多溴联苯、多溴联苯醚、甲醛释放量、可迁移元素（铅、镉、铬、汞、砷、钡、锑、硒）均未检出；邻苯二甲酸酯未检出；氯乙烯单体未检出。</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4、热熔胶：采用环保热熔胶，粘性强，粘接时间快，屏蔽性卓越，有效防止有害物质溢出，符合GB 18583-2008标准，总挥发性有机物≤10g/L。</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阅览椅</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1.椅身：采用聚丙烯加玻璃纤维，一体成型分两段式插入带卡扣锁定功能。</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 椅座：整椅采用无螺丝结构，座与铁脚连接分三段卡扣式直插设计、快捷式安装，卡槽尺寸(总长210mm，单扣13mm，厚度5mm)。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 椅背：分两段可双色搭配，后背带手提、挂钩一体成型功能，【具备使用者单手手提和挂包功能】；（手提弧长220mm，直线长度160mm，厚度5mm）挂钩尺寸（长37mm，宽16mm，厚6mm）。背座连接锁件（直径26mm厚度10mm）内小外大、且成三角导向形锁扣，牢固不脱落。椅脚：由直径16mm*1.5mm厚冷轧钢板制成表面经酸洗、磷化等防锈处理，流水线静电喷涂，具有耐磨，防腐，抗老化等性能。</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4.脚垫：前脚垫：长：68.5mm 宽：22.5mm 高：65mm 厚度：2mm。后脚垫：长：72mm   宽：22mm   高：67mm 厚度：2mm。全新聚丙烯加玻璃纤维制作，抗磨损性强。采用配套的耐磨塑料材质，能使整椅稳定性更强，使用时不会翻倒；产品在堆叠时，可以保护产品不会碰伤；防滑性好，不会刮花木地板；</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5.塑料件外观应无裂纹、明显变形、缩水、针孔；应无凹陷、飞边、杂质、伤痕、白印；</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表面应光洁，应无划痕、毛刺、拉毛、污渍；应无明显色差。</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塑料板用料检验须依据 QB/T 4371-2012，抑制金黄色葡萄球菌率大于99%，抑制大肠杆菌率大于99%。</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五金件用料检验须依据:GB/T 3325-2017，QB/T 3832-1999，QB/T 3827-1999 经过乙酸盐雾测试连续喷雾48小时，镀层测试等级为10级。</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双面书架</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H2330*W900*D470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书架参数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1.采用冷轧钢板，产品技术指标按 “GB/T13667.2003” 、“GB/T13668.2003”国家标准以及档案密集架DA/T7-1992行业标准。所用材料符合“GB/T11253”国家标准。产品磷化处理符合“GB6807-2001”国家标准环保要求符合GB18580-2001、GB18584-2001等国家标准。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全拆装设计，螺丝固定连接，安装快捷。主体结构分底框、立柱、搁板、挂板、侧板、书档六部分，采用柜式底座，安装时可拆开运输安装。各部位的安装牢固、可靠、无松动现象，格板外沿与立柱外侧、同联同层板均在一个水平面上，挂式连接部位活动量均小于1.0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3.材质：（1）立柱结构采用1.2MM无缝冷轧钢管部件组成,组装后平整牢固。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（2）格板采用0.8MM冷轧板模具冲压成形,互换性强。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（3）挂板采用0.8MM冷轧板模具冲压成形,互换性强。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（4）顶板采用0.7MM冷轧板模具冲压成形,互换性强。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（5）底框采用1.0MM冷轧板，结构为焊接式，可分段拼装，加工精度高，</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1.5米床</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1500*2000*450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1、基材：采用环保刨花板，握钉力强，吸水膨胀率低。符合GB/T 4897-2015、GB/T 35601-2017、GB 18580-2017、GB/T 17657-2013、GB/T 39600-2021、QB/T 4371-2012、JC/T 2039-2010标准；其尺寸偏差、外观质量均检测合格；含水率≤8%；板内密度偏差：±1%；静曲强度≥35MPa，弹性模量≥3800MPa，内胶合强度≥1.1MPa，表面胶合强度≥1.8MPa，板边握螺钉力≥900N，板面握螺钉力≥1800N，2h吸水厚度膨胀率≤2.5%；甲醛释放量≤0.025mg/m³；苯、甲苯、二甲苯均未检出，总挥发性有机化合物（TVOC）未检出；抗菌性能（金黄色葡萄球菌）抑菌率≥99%；防霉菌性能（宛氏拟青素）防霉菌等级：0级或1级；耐高温性能：无裂纹。</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2、面材：采用环保三聚氰胺纸，耐磨性好，表面平滑光洁，易维护清洁。符合GB/T 28996-2012标准，其甲醛释放量≤0.3mg/L；挥发物含量≤8%；预固化度20%-50%；耐磨转数≥9000r；纵横向伸缩率检测合格。</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3、封边：采用PVC封边条，封边平滑，严密平整，线条均匀，转角过渡自然，颜色与板材一致，经过刨光干燥防虫防腐等处理。符合QB/T 4463-2013标准；其外观、规格尺寸及其偏差和形状公差、理化性能均检测合格；多溴联苯、多溴联苯醚、甲醛释放量、可迁移元素（铅、镉、铬、汞、砷、钡、锑、硒）均未检出；邻苯二甲酸酯未检出；氯乙烯单体未检出。</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4、热熔胶：采用环保热熔胶，粘性强，粘接时间快，屏蔽性卓越，有效防止有害物质溢出，符合GB 18583-2008标准，总挥发性有机物≤10g/L。</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1.5米床垫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1500*2000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1.床垫材质：精选山椰棕垫，棕丝均匀。无胶水，内用无纺布夹层山椰棕丝，环保无味。2.不低于5公分环保棕垫。3.380g高档针织无纺布面料.4、超软舒适型海绵，增强柔软性，经过高温杀菌防霉菌和螨虫处理。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床头柜</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1、基材：采用环保刨花板，握钉力强，吸水膨胀率低。符合GB/T 4897-2015、GB/T 35601-2017、GB 18580-2017、GB/T 17657-2013、GB/T 39600-2021、QB/T 4371-2012、JC/T 2039-2010标准；其尺寸偏差、外观质量均检测合格；含水率≤8%；板内密度偏差：±1%；静曲强度≥35MPa，弹性模量≥3800MPa，内胶合强度≥1.1MPa，表面胶合强度≥1.8MPa，板边握螺钉力≥900N，板面握螺钉力≥1800N，2h吸水厚度膨胀率≤2.5%；甲醛释放量≤0.025mg/m³；苯、甲苯、二甲苯均未检出，总挥发性有机化合物（TVOC）未检出；抗菌性能（金黄色葡萄球菌）抑菌率≥99%；防霉菌性能（宛氏拟青素）防霉菌等级：0级或1级；耐高温性能：无裂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2、面材：采用环保三聚氰胺纸，耐磨性好，表面平滑光洁，易维护清洁。符合GB/T 28996-2012标准，其甲醛释放量≤0.3mg/L；挥发物含量≤8%；预固化度20%-50%；耐磨转数≥9000r；纵横向伸缩率检测合格。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3、封边：采用PVC封边条，封边平滑，严密平整，线条均匀，转角过渡自然，颜色与板材一致，经过刨光干燥防虫防腐等处理。符合QB/T 4463-2013标准；其外观、规格尺寸及其偏差和形状公差、理化性能均检测合格；多溴联苯、多溴联苯醚、甲醛释放量、可迁移元素（铅、镉、铬、汞、砷、钡、锑、硒）均未检出；邻苯二甲酸酯未检出；氯乙烯单体未检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4、热熔胶：采用环保热熔胶，粘性强，粘接时间快，屏蔽性卓越，有效防止有害物质溢出，符合GB 18583-2008标准，总挥发性有机物≤10g/L。</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7"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沙发</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颜色可调</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1、面料：采用阻燃绒布，具有防潮、防污、易清洁、耐磨性强等优点。符合GB 18401-2010、GB 8624-2012、GB 17927.1-2011标准；其染色牢度：耐水（变色、沾色）、耐酸汗渍（变色、沾色）、耐碱汗渍（变色、沾色）、耐唾液（变色、沾色）、耐干摩擦）均检测合格；甲醛含量未检出；可分解致癌芳香胺染料未检出；无异味；抗引燃特性-阴燃的香烟：未观察到试样表面或内部出现任何续燃、阴燃现象，评定该试样为阻燃I级，通过香烟抗引燃特性试验；窗帘幕布、家具制品装饰用织物的燃烧性能B1级检测合格，阴燃时间≤10s，续燃时间≤5s。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2、海绵：采用阻燃海绵，表面有防腐化和防变型保护膜，防破碎、抗氧化，软硬适中，回弹性能好，抗变形能力强，根椐人体工程学原理设计，坐感舒适。符合 GB/T 10802-2006、GB/T 6343-2009、GB 20286-2006、GB 17927.1-2011标准；其感官要求检测合格；75%压缩永久变形≤4%，回弹率≥50%；拉伸强度≥160KPa；伸长率≥130%；撕裂强度≥4.5N/cm；干热老化后拉伸强度≥160KPa；湿热老化后拉伸强度≥160KPa；甲醛释放量≤0.015mg/㎡ h；抗引燃特性-阴燃的香烟：未观察到试样表面或内部出现任何续燃、阴燃现象，评定该试样为阻燃Ⅰ级，通过香烟抗引燃特性试验；燃烧性能：阻燃性能等级检测合格；恒定负荷反复压陷疲劳性能：8万次，恒定负荷反复压陷疲劳后40%硬度损失值≤20%。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3、框架：采用实木方，经过防虫、防腐特殊处理，确保坚固可靠，长期使用不松动、不腐朽。符合GB/T 3324-2017、GB 18584-2001标准；木材含水率≤10%，甲醛释放量≤0.05mg/L。</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5"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1.2米床</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1200*2000*450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1、基材：采用环保刨花板，握钉力强，吸水膨胀率低。符合GB/T 4897-2015、GB/T 35601-2017、GB 18580-2017、GB/T 17657-2013、GB/T 39600-2021、QB/T 4371-2012、JC/T 2039-2010标准；其尺寸偏差、外观质量均检测合格；含水率≤8%；板内密度偏差：±1%；静曲强度≥35MPa，弹性模量≥3800MPa，内胶合强度≥1.1MPa，表面胶合强度≥1.8MPa，板边握螺钉力≥900N，板面握螺钉力≥1800N，2h吸水厚度膨胀率≤2.5%；甲醛释放量≤0.025mg/m³；苯、甲苯、二甲苯均未检出，总挥发性有机化合物（TVOC）未检出；抗菌性能（金黄色葡萄球菌）抑菌率≥99%；防霉菌性能（宛氏拟青素）防霉菌等级：0级或1级；耐高温性能：无裂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2、面材：采用环保三聚氰胺纸，耐磨性好，表面平滑光洁，易维护清洁。符合GB/T 28996-2012标准，其甲醛释放量≤0.3mg/L；挥发物含量≤8%；预固化度20%-50%；耐磨转数≥9000r；纵横向伸缩率检测合格。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3、封边：采用PVC封边条，封边平滑，严密平整，线条均匀，转角过渡自然，颜色与板材一致，经过刨光干燥防虫防腐等处理。符合QB/T 4463-2013标准；其外观、规格尺寸及其偏差和形状公差、理化性能均检测合格；多溴联苯、多溴联苯醚、甲醛释放量、可迁移元素（铅、镉、铬、汞、砷、钡、锑、硒）均未检出；邻苯二甲酸酯未检出；氯乙烯单体未检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4、热熔胶：采用环保热熔胶，粘性强，粘接时间快，屏蔽性卓越，有效防止有害物质溢出，符合GB 18583-2008标准，总挥发性有机物≤10g/L。</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1.2米床垫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1200*2000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1.床垫材质：精选山椰棕垫，棕丝均匀。无胶水，内用无纺布夹层山椰棕丝，环保无味。2.不低于5公分环保棕垫。3.380g高档针织无纺布面料.4、超软舒适型海绵，增强柔软性，经过高温杀菌防霉菌和螨虫处理。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7"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衣柜</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900*500*2000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1、外形尺寸： 900×500×2000mm；2、柜体：采用0.6mm厚冷轧薄钢板（钣金工艺成型）；3、军官柜下门扇：采用0.6mm厚冷轧薄钢板（钣金工艺成型）；4、上门扇：采用0.6mm厚冷轧薄钢板（钣金工艺成型）；5、抽屉：采用0.8mm厚冷轧薄钢板（钣金工艺成型）；6、挂衣杆：Φ20×1mm不锈钢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书桌</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1200*600*750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1、基材：采用环保刨花板，握钉力强，吸水膨胀率低。符合GB/T 4897-2015、GB/T 35601-2017、GB 18580-2017、GB/T 17657-2013、GB/T 39600-2021、QB/T 4371-2012、JC/T 2039-2010标准；其尺寸偏差、外观质量均检测合格；含水率≤8%；板内密度偏差：±1%；静曲强度≥35MPa，弹性模量≥3800MPa，内胶合强度≥1.1MPa，表面胶合强度≥1.8MPa，板边握螺钉力≥900N，板面握螺钉力≥1800N，2h吸水厚度膨胀率≤2.5%；甲醛释放量≤0.025mg/m³；苯、甲苯、二甲苯均未检出，总挥发性有机化合物（TVOC）未检出；抗菌性能（金黄色葡萄球菌）抑菌率≥99%；防霉菌性能（宛氏拟青素）防霉菌等级：0级或1级；耐高温性能：无裂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2、面材：采用环保三聚氰胺纸，耐磨性好，表面平滑光洁，易维护清洁。符合GB/T 28996-2012标准，其甲醛释放量≤0.3mg/L；挥发物含量≤8%；预固化度20%-50%；耐磨转数≥9000r；纵横向伸缩率检测合格。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3、封边：采用PVC封边条，封边平滑，严密平整，线条均匀，转角过渡自然，颜色与板材一致，经过刨光干燥防虫防腐等处理。符合QB/T 4463-2013标准；其外观、规格尺寸及其偏差和形状公差、理化性能均检测合格；多溴联苯、多溴联苯醚、甲醛释放量、可迁移元素（铅、镉、铬、汞、砷、钡、锑、硒）均未检出；邻苯二甲酸酯未检出；氯乙烯单体未检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4、热熔胶：采用环保热熔胶，粘性强，粘接时间快，屏蔽性卓越，有效防止有害物质溢出，符合GB 18583-2008标准，总挥发性有机物≤10g/L。</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5、导轨：采用导轨，符合GB/T 6461-2002、QB/T 2454-2013、QB/T 3828-1999标准；其功能：操作力、耐久性（80000次）、垂直向下静载荷（150N）、水平侧向静载荷（75N）、拉出安全性、猛关或猛开（10次）均检测合格；下沉量≤3%；铜盐加速乙酸盐雾试验（CASS）连续喷雾≥300h，其保护评价（RP）≥10级，外观评级（RA）≥10级（VS），性能评级（RP/RA）：10/10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6、铰链：采用铰链，符合GB/T 6461-2002、QB/T 2189-2013、QB/T 3828-1999标准；其功能：操作力、垂直静载荷（15kg）、水平静载荷（30N）、耐久性（80000次）均检测合格；下沉量≤2.5mm；铜盐加速乙酸盐雾试验（CASS）连续喷雾≥300h，其保护评价（RP）≥10级，外观评级（RA）≥10级（VS），性能评级（RP/RA）：10/10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7、锁具：采用锁具，符合GB/T 6461-2002、QB/T 1621-2015、QB/T 3828-1999标准；其互开率≤0.05%；牢固度、灵活度、外观质量均检测合格；铜盐加速乙酸盐雾试验（CASS）连续喷雾≥300h，其保护评价（RP）≥10级，外观评级（RA）≥10级（VS），性能评级（RP/RA）：10/10。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椅子</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1.椅身:原材料采用全新聚丙烯加玻璃纤维,三部分组成（座面、椅背、装饰盖），厚度6-8mm，整体3.8kg。具有拆卸功能。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2.座面：宽445mm,背宽405mm，座深430mm，背高475mm,厚度最厚9MM，最薄6mm。顶腰高度190mm,顶腰和包覆性明显。（可加定型棉软包座垫）</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3.装饰盖：长度395mm,宽度405mm,高度135mm,厚度6mm,整重0.96KG,装饰壳长度235mm,宽度330mm,高度90mm,厚度2mm,整壳重量0.20KG,安装方式是卡扣加隐藏式螺丝（常规颜色为白色）</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4.椅背：独立拆卸式靠背0.96KG，靠背整高390mm，弧长420mm,包覆性明显，提高整椅的舒适度。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5.挂钩：拆卸式挂钩，配备长度60mm，宽度37mm，高度35mm、厚度6mm，可以承重8公斤。</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6.钢制扶手，长度41mm、宽度21mm、厚度1.5mm榄管</w:t>
            </w:r>
            <w:r>
              <w:rPr>
                <w:rFonts w:hint="eastAsia" w:ascii="宋体" w:hAnsi="宋体" w:eastAsia="宋体" w:cs="宋体"/>
                <w:i w:val="0"/>
                <w:iCs w:val="0"/>
                <w:color w:val="FF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尼龙扶手面。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7.底盘具体升级功能；3级100行程气杆，安全、稳定；H320尼龙脚半径320mm，安全、稳定，搭配ø60PU脚轮；</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塑料板用料检验须依据 QB/T 4371-2012，抑制金黄色葡萄球菌率大于99%，抑制大肠杆菌率大于99%。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高低床</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900*2000*1850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2000*900*1800床腿40*40*1.2方管，床横梁30*50*1.2方管，床橧25*25*0.8方管，护栏、爬梯20*20*1.2mm方管管。床下抽屉0.6mm冷轧钢板。表面采用亚光静电喷塑工艺，床体表面经预脱脂-脱脂-水洗-酸洗-水洗-中和-表调-磷化-水洗-钝化十工位表面前处理工序，焊接部分采用高标准熔接焊，表面平整光滑。常规颜色为灰白皱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高低床定制</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1.床垫材质：精选山椰棕垫，棕丝均匀。无胶水，内用无纺布夹层山椰棕丝，环保无味。2.不低于5公分环保棕垫。3.380g高档针织无纺布面料.4、超软舒适型海绵，增强柔软性，经过高温杀菌防霉菌和螨虫处理。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宿舍桌子</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1100*550*780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1100*550*780桌腿40*40*1.2方管，中空吹塑桌面。钢架采用亚光静电喷塑工艺，表面经预脱脂-脱脂-水洗-酸洗-水洗-中和-表调-磷化-水洗-钝化十工位表面前处理工序，焊接部分采用高标准熔接焊，表面平整光滑。常规颜色为灰白皱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宿舍凳子</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485*520*780椅架采用20*20*1.2方管，椅面和靠背为中空吹塑一次成型。钢架采用亚光静电喷塑工艺，表面经预脱脂-脱脂-水洗-酸洗-水洗-中和-表调-磷化-水洗-钝化十工位表面前处理工序，焊接部分采用高标准熔接焊，表面平整光滑。常规颜色为灰白皱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接待沙发</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接待室</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1、面料：采用阻燃绒布，具有防潮、防污、易清洁、耐磨性强等优点。符合GB 18401-2010、GB 8624-2012、GB 17927.1-2011标准；其染色牢度：耐水（变色、沾色）、耐酸汗渍（变色、沾色）、耐碱汗渍（变色、沾色）、耐唾液（变色、沾色）、耐干摩擦）均检测合格；甲醛含量未检出；可分解致癌芳香胺染料未检出；无异味；抗引燃特性-阴燃的香烟：未观察到试样表面或内部出现任何续燃、阴燃现象，评定该试样为阻燃I级，通过香烟抗引燃特性试验；窗帘幕布、家具制品装饰用织物的燃烧性能B1级检测合格，阴燃时间≤10s，续燃时间≤5s。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2、海绵：采用阻燃海绵，表面有防腐化和防变型保护膜，防破碎、抗氧化，软硬适中，回弹性能好，抗变形能力强，根椐人体工程学原理设计，坐感舒适。符合 GB/T 10802-2006、GB/T 6343-2009、GB 20286-2006、GB 17927.1-2011标准；其感官要求检测合格；75%压缩永久变形≤4%，回弹率≥50%；拉伸强度≥160KPa；伸长率≥130%；撕裂强度≥4.5N/cm；干热老化后拉伸强度≥160KPa；湿热老化后拉伸强度≥160KPa；甲醛释放量≤0.015mg/㎡ h；抗引燃特性-阴燃的香烟：未观察到试样表面或内部出现任何续燃、阴燃现象，评定该试样为阻燃Ⅰ级，通过香烟抗引燃特性试验；燃烧性能：阻燃性能等级检测合格；恒定负荷反复压陷疲劳性能：8万次，恒定负荷反复压陷疲劳后40%硬度损失值≤20%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3、框架：采用实木方，经过防虫、防腐特殊处理，确保坚固可靠，长期使用不松动、不腐朽。符合GB/T 3324-2017、GB 18584-2001标准；木材含水率≤10%，甲醛释放量≤0.05mg/L。</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4、油漆：采用环保净味油漆，经过五底三面油漆工艺，保证产品光泽、平整、纹理清晰、环保，色泽效果持久平整。符合GB 18581-2020、GB/T 23997-2009标准；其VOC含量≤20g/L；苯含量、卤代烃总和含量、乙二醇醚及醚酯总和含量、总铅含量、可溶性重金属含量（镉、铬、汞）、甲醛含量均未检出；附着力≤1级；耐磨性（750g，500r）≤0.050g；耐冲击性：涂膜无脱落、无开裂。</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接待茶几</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450*700*550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mmAAA级胡桃木皮，基材：E1级高密度板纤维板，所有板材全部经过蒸、压、煮、烘干、杀菌、杀虫处理。材料不会变形、不生虫，不带有害气体，木材含水率低于9%；油漆：采用哑光聚酯漆面漆，PE底漆，甲醛释放量为≤0.7mg/L低于国家质检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地毯</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35平方</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材质：条纶，吸音降噪，助燃。</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吧台</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5800*600*1000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1、面材：人造石。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2、基材：采用环保刨花板，甲醛释放量≤0.124mg/m³。达到国家环保标准，并经过防虫、防腐等化学处理。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封边：采用与板材同色全自动封边机封边，厚度≥2.0mm，无缝封边，色泽均匀一致，具有良好的耐气候性能，确保在本地区气温、湿度的变化中不受影响，能长期不变形、不开裂，耐污、耐磨、防撞、防水、防虫，保证板材封边质量，延长产品使用寿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4、胶水、采用热溶胶，品质优异，证贴合及封边牢固，经得起寒冷和高温气候考验，胶水中的有害物质的含量远底于国家标准。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5、五金配件：采用国内五金连接件，永不生锈腐蚀，拼装紧凑牢固。所有五金配件做防锈、防腐处理。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吧椅</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升降</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1.椅子外饰面材采用环保韩皮面料，柔韧且富有弹性；海绵采用高回弹一次成型泡棉，座面密度≥35KG/m³,背密度≥30KG/m³,回弹力 90%；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2.椅架采用钢制型材，管壁厚度≥1.5mm，喷涂前处理：架体各部件通过酸洗→脱脂→中和→磷化→表调→水洗→干燥等多道工序严格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3.表面喷涂：架体各部件采用环保型热固性粉末，亚光静电喷涂，涂层表面应平整光滑，色泽均匀一致，不允许有流挂、起粒、皱皮、</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露底、剥落、伤痕等外观缺陷。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连排椅</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三人位</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厚度0.8mm以上冷轧钢板冲压而成，产品表面经除油、清洗、去锈、磷化清洗、预处理、清洗、钝化等九道工序处理，具有极强的抗酸性、防腐性、防锈性、防蚀性。力学性能：下屈服强度≥270MPa，断后伸长率≥40%，弯曲试验检测合格；铜盐加速乙酸盐雾试验（CASS）连续喷雾≥300h，其保护评价（RP）≥10级，外观评级（RA）≥10级（VS），性能评级（RP/RA）：10/10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面料：采用西皮，经液态浸色及防潮、防污等工艺处理，皮面柔软舒适，光泽持久，无明显损伤、剥落质量。其甲醛、可萃取重金属（铅、镉）、可裂解出致癌芳香胺的偶氮染料、五氯苯酚均未检出；无异常气味；色牢度（沾色）：耐水、耐酸汗液、耐碱汗液、耐干摩擦、耐唾液均检测合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3、海绵：采用阻燃海绵，表面有防腐化和防变型保护膜，防破碎、抗氧化，软硬适中，回弹性能好，抗变形能力强，根椐人体工程学原理设计，坐感舒适。符合 GB/T 10802-2006、GB/T 6343-2009、GB 20286-2006、GB 17927.1-2011标准；其感官要求检测合格；75%压缩永久变形≤4%，回弹率≥50%；拉伸强度≥160KPa；伸长率≥130%；撕裂强度≥4.5N/cm；干热老化后拉伸强度≥160KPa；湿热老化后拉伸强度≥160KPa；甲醛释放量≤0.015mg/㎡ h；抗引燃特性-阴燃的香烟：未观察到试样表面或内部出现任何续燃、阴燃现象，评定该试样为阻燃Ⅰ级，通过香烟抗引燃特性试验；燃烧性能：阻燃性能等级检测合格；恒定负荷反复压陷疲劳性能：8万次，恒定负荷反复压陷疲劳后40%硬度损失值≤20%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涂料：采用静电喷涂粉末，喷塑表面平整、光滑，无流挂、起料、皱皮、露底脱落、伤痕等影响质量的缺陷。其干附着力≤1级；铅笔硬度（内聚破坏中擦伤）≥2H；完全试验≤2mm；总铅（Pb）含量未检出；耐冲击性（正向冲击）无裂纹、皱纹及剥落现象；耐湿性500h无异常。</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更衣凳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1800*600*550</w:t>
            </w:r>
          </w:p>
        </w:tc>
        <w:tc>
          <w:tcPr>
            <w:tcW w:w="5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面料：面料为密实麻布料或环保皮，实木框架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基材：基材为实木板材，经防潮、防虫、防腐处理，刚性好、不变形；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五金配件：采用家具专业五金配件，配件紧密拼接，牢固，间隙细小且均匀，平整无毛刺。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更衣凳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1500*600*550</w:t>
            </w:r>
          </w:p>
        </w:tc>
        <w:tc>
          <w:tcPr>
            <w:tcW w:w="5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86寸一体机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会议专用</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1.UHD液晶屏体：A规屏，显示尺寸≥86英寸，物理分辨率：3840×2160可无损播放4K片源，屏体亮度≥400cd/ M2，对比度≥4000：1，最大可视角度≥178度；</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 xml:space="preserve">2.★交互平板屏体色彩覆盖率不低于120%，最高灰阶 256 灰阶；(提供相关检测报告并加盖厂家公章) </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3.交互平板采用防眩光高强度钢化玻璃保护，厚度≤4mm，雾度≤8%，硬度≥9H；</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 xml:space="preserve">4.★红外触控技术，在双系统下均支持不少于20点触控及同时书写；(提供相关检测报告并加盖厂家公章) </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5.交互平板具备抗强光干扰，在≥100K LUX照度的光照下保证书写功能正常；</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6.前置接口采用隐藏式内嵌结构，具有翻转式防护盖板，盖板高度不小于4cm，闭合后防护盖板与屏体齐平，保证用户使用安全的同时，也可防止前置接口粉尘堆积，避免造成损坏；</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 xml:space="preserve">7.★为便于用户操作交互平板，至少具备8个前置物理按键，每个按键均可实现两种及以上常用功能；(提供相关检测报告并加盖厂家公章) </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 xml:space="preserve">8.★交互平板整机须具备前置物理电脑还原按键，针孔式设计防止误操作，并具有中文丝印标识便于识别；(提供相关检测报告并加盖厂家公章) </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 xml:space="preserve">9.★为方便用户售后维修，前置接口面板和前置按键面板具备隐藏式前拆式结构；(提供相关检测报告并加盖厂家公章) </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10.为充分满足用户实际使用需求，前置面板需具有以下输入接口：≥2路双通道USB3.0接口与≥1路USB Type-C接口，为避免用户误操作交互平板前置接口均须具有中文标识；</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11.★交互平板前置1路标准非转接HDMI接口或VGA接口，便于教师传屏；</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12.为方便教师使用，交互平板后置≥2路HDMI输入接口且最少包含一路HDMI2.0接口、≥1路YPbPr分量输入接、≥1路USB Type-B触控接口、≥1路VGA，以上接口不接受扩展坞方式；</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13.交互平板与外接电脑设备连接时，支持以一根USB线直接读取插在交互平板上的U盘，并识别连接至交互平板的翻页笔、无线键鼠等USB设备；</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14.通电关机状态下交互平板与外接电脑、机顶盒等设备通过HDMI/VGA连接时，识别到外接设备的输入信号后自动开机；</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 xml:space="preserve">15.★交互平板整机须具备前置物理电脑还原按键，针孔式设计防止误操作，并具有中文丝印标识便于识别；(提供相关检测报告并加盖厂家公章) </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16.交互平板具有物理开机防蓝光功能，不接受通过菜单或按键设置方式进行防蓝光模式与非防蓝光模式的切换；并可通过扫描交互平板前置二维码即可获取产品防蓝光检测证书；</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17.★为满足课堂视听需求，交互平板采用多声道组合音响，前置双扬声器功率高于30W，且为保证高人声还原度，谐振频率低于300Hz；(提供相关检测报告并加盖厂家公章)</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18.交互平板支持通电关机状态下通过交互平板进行扩音,及提供网络无线热点，供教师设备连接使用；</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 xml:space="preserve">19.、★交互平板板具有一体化2D降噪4K摄像头，像素不低于1300万，水平视角 120°，视角在120°的范围下，畸变不大于5%， 拾音单元有效保真拾音距离可达12米，全结构无外部连线与屏体齐平；高清摄像头模组支持远程巡课系统，并可对接人脸识别软件进行使用；(提供相关检测报告并加盖厂家公章) </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20.智能交互平板具备多键合一功能:电源开关、电脑开关、辅助电脑系统还原、轻按按键实现节能息屏与唤醒，息屏模式下可达到95%的节能效果；</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21.为响应国家节能政策，整机功率要求不大于300 W；会议辅助系统：</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 xml:space="preserve">22.内置安卓会议辅助系统，采用四核CPU， ROM不小于8G（支持内存拓展）, RAM不小于2G, 安卓系统版本不低于11.0； </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 xml:space="preserve">23.CPU采用国产处理器八核八线程2.3GH在，内存：≥8G DDR4；硬盘：≥256G SSD固态硬盘；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军旗</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旗杆：采用不锈钢制作。旗帜：丝网印刷工艺，镀金工艺。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LED液晶条形屏</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条形屏</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1.像素间距：4.0MM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2.LED封装类型：表贴三合一LED</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4.模组平整度：0.08mm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5.像素中心距相对偏差：1.5%</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6.白平衡亮度：800-1400cd/㎡(可调）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7.水平视角：170︒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8.垂直视角：170︒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9.最高对比度：8000：1</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10.亮度度校正：支持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11.校正数据存储与回读：模组亮度色度逐点校正，校正数据可保存及回读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12.亮度均匀性：99.6%</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13.色度均匀度：±0.003Cx，Cy之内</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14.NTSC色域覆盖率：118%</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15.DCI-P3色域覆盖率：95%</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16.驱动方式：恒流驱动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17.换帧频率：60HZ</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18.刷新频率：3840HZ</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19.灰度等级：14/16Bit</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20.低亮高灰：亮度为20%是信号处理深度（灰度等级）达到14bit,亮度为40%是信号处理深度（灰度等级）达到16bit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LED液晶显示屏</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像素点间距：2.5mm；显示尺寸：10.56米宽*4.8米高, 含边框尺寸：宽10.66米，高4.9米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水水平视角：≥178°；垂直视角：≥178°；</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亮度度均匀性：≥99%；</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发光点中心距偏差：&lt;3%；</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对比度：≥8000:1；</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平整度≤0.2mm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亮度：≥500可调；像素失控率：≤1/100000；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亮度调节：手动、自动调节；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刷新率：3840HZ；</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换帧频率：50-60HZ/S；功耗：峰值功率：≤460W/㎡，平均功率：≤150W/m2；</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灰度等级最高可达16bit；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IP防护等级：IP4X；</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拥有良好的产品性能，屏幕亮点、暗点数量为零；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支持3D数字梳状滤波和3D数字图像降噪技术，可消除图像细节的杂波干扰、边缘锯齿现象，具备H2S宽动态处理技术；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支持HDR显示技术，支持HDR高动态光照渲染技术，支持视频降噪、增强、运动补偿、色彩变换等功能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含屏体，电源，接收卡，内部连接线，磁铁等</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电动幕布</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无线遥控升降，4K高清，178°大广角。漫反射护眼。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调音台</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机柜，调音台，反馈抑制器，后级功放。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音响</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挂式</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规格：8寸2分频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低音单元：203mm（8"）圆锥外型喇叭*1</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高音单元：76mm（3"）圆锥外型喇叭*1</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材质：15mm多层木板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频率响应：55Hz-20kHz</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阻抗：8Ω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额定功率：110W</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灵敏度：93dB（1W/m）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最大声压级：113dB SPL</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尺寸：234*255*355mm（宽*厚*高）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重量：6125g</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连接方式：NL4*1 线夹*1</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出厂配置：音箱、支架、说明书、合格证、保修卡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话筒</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有线</w:t>
            </w:r>
          </w:p>
        </w:tc>
        <w:tc>
          <w:tcPr>
            <w:tcW w:w="549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有线话筒：背极式驻极体电容传声器</w:t>
            </w:r>
            <w:r>
              <w:rPr>
                <w:rFonts w:hint="eastAsia" w:ascii="宋体" w:hAnsi="宋体" w:eastAsia="宋体" w:cs="宋体"/>
                <w:i w:val="0"/>
                <w:iCs w:val="0"/>
                <w:color w:val="FF0000"/>
                <w:kern w:val="0"/>
                <w:sz w:val="22"/>
                <w:szCs w:val="22"/>
                <w:u w:val="none"/>
                <w:lang w:val="en-US" w:eastAsia="zh-CN" w:bidi="ar"/>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按摩椅</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1、一键启动，全身覆盖同步按摩：头部，颈部，肩部，背部、腰部，臀部，手臂，大腿，小腿，脚背、足底等多个部位。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2、90°、180°坐躺一机多用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3、液晶显示屏一触即控+中控快捷按钮+手机充电口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4、精灵智控，可轻松操作机子</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跑步机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10.1吋高清彩屏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WiFi听歌看电影</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多种模式/程式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多重阻尼减震系统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实时心率监测一键智能燃脂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手机同步运动数据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3D模拟实景跑步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自带私教系统</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电动按摩/仰卧起坐</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4"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划船机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双倍燃脂。五块强磁+铝合金双规，16挡全智能调阻。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原木红橡木框架，微弱电能，真正做到无需插电，可达到边运动边抽屉式推拉折叠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一推一拉免抬收纳 抽屉式推拉折叠，轻轻一推，即可快速折叠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无需费力抬起竖立，避免额外占地</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新一代仿生旋翼双桨设计。</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6"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窗帘</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【面料】加厚涤纶（全遮光）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【上轨】加厚铝合金圆管（28MM/38MM）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【下轨】环保PVC</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1.5P挂机 </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1：制冷量:3500(150-4750)W</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2：制冷额定输入功率:855(75-1650)W</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 制冷量:4900(150-6500)W</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 制热额定输入功率:1260(75-2100)W</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5、能效等级：≥1级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 含3米铜管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 含遥控器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备注：此报价应包含设备主体及安装所需的全部费用。</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3P柜机 </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1：制冷量:7290(900-9210)W</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2：制冷额定输入功率:2150(300-3690)W</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 制冷量:8700(850-9800)W</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 制热额定输入功率:2900(260-4035)W</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5、能效等级：≥1级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 含3米铜管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 含遥控器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备注：此报价应包含设备主体及安装所需的全部费用。</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保密防盗窗</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不锈钢制作，横间距不超11CM,竖间距不超40CM。</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保密碎纸机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5级保密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单次碎纸6张连续碎纸10分钟可碎卡/光盘/书钉</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报警器</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供电：Micro USB 5V/1000 mA</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后备电池：3.7V/500mAh 锂电池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工作电流：＜ 150mA@待机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无线频率：433 Mhz</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GSM: 850/900/1800/1900MHz</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Wi-Fi:IEEE 802.11 b/g/n</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工作温度：- 10~55°C</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不间断电源</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输入电压140-290Vac输出电压220Vac士10%内置电池12V 9AH*4噪音等级小于40dB容量3000VA/1800W产品名称UPS电源产品材质金属外壳频率范围50Hz士1Hz输出波形方波充电能力6小时恢复到90%容量产品净重19kg尺寸145*390*210(mm)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茶吧机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隐藏式双出水口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机身高达1.01米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金属侧板钢化玻璃门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升级大屏LED双显智能远程遥控升级一键选温</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抽湿机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最大除湿量90L/D名义除湿量1.84kg/h最大电流6.6A最大功率1450W额定功率</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1075W产品毛重50KG产品尺寸（mm）460*358*843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复印机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大型A3</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国产A3/A4黑白多功能数码激光复合机/打印/复印/扫描(主机/输稿器/单纸盒/工作柜)</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小型A4</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黑白激光打印机双系统打印 A4幅面商务办公自动双面单打印31页/分钟国产办公打印机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大字</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1米</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按甲方要求不锈钢制作</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净水机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商用</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参数：采用不锈钢板材，三级过滤，直饮水常温及热水，符合国家卫生标准，使用更安全卫生。【功率：220V/3KW】</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8"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地图柜</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550*1300*930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1、抽屉卷边工艺，侧箱环内陷，承重轴承滑轨，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2、三节一台，带站脚，每节5抽；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3、抽屉尺寸：1210*855mm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4、图纸尺寸A1：1189*841mm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防滑垫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55平方</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气味小，采用橡胶材质，绿色环保</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质量过关，面层色彩鲜艳，拼接缝隙小，地面整齐</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地垫韧性强，颗粒之间压合整齐稳固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货架</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2000*600*2000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1.材质：主体框架采用1.0 mm厚冷轧钢板，层板采用0.6mm冷轧钢板，三面带8MM实心钢筋网，经流水线酸洗磷化等十几道工序精工而成，防生锈，耐压强度大，抗冲击不易变形。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2.工艺：表面为静电喷塑；喷塑材料采用热固性粉沫涂料（环保材料）。                                                                   3.搁板为可调式，搁板扣孔排列紧密，间隙小，可根据使用需求调节搁板高度，可使搁板承受大量的书籍资料而不易脱落。                                                                                                                    4.焊接点牢固，无虚焊。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5.表面经酸洗磷化，静电喷涂。</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镜子</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满足甲方使用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拼图桌</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2400*1200*750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1、基材：采用环保刨花板，甲醛释放量≤0.124mg/m³。达到国家环保标准，并经过防虫、防腐等化学处理。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封边：采用与板材同色全自动封边机封边，厚度≥2.0mm，无缝封边，色泽均匀一致，具有良好的耐气候性能，确保在本地区气温、湿度的变化中不受影响，能长期不变形、不开裂，耐污、耐磨、防撞、防水、防虫，保证板材封边质量，延长产品使用寿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3、胶水、采用国内热溶胶，品质优异，证贴合及封边牢固，经得起寒冷和高温气候考验，胶水中的有害物质的含量远底于国家标准。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4、五金配件：采用国内五金连接件，永不生锈腐蚀，拼装紧凑牢固。所有五金配件做防锈、防腐处理。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手机存放屏蔽柜</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壁挂24门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手机屏蔽柜通过严密的结构设计采用1.2mm热镀锌电解钢板，表面静电喷塑，安全无毒且耐磨防腐性能极高。经过12道工艺最终测试合格出厂；制作标准高、支撑力更强。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文件盒</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PP材质，3色可选，A4纸张，魔术贴设计，开合方便。</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信号屏蔽器</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屏蔽：移动，电信，联通，广电 手机信号2G,3G,4G,5G， WAIF。</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电动门</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伸缩门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按照甲方要求制作。</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值班平台</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2.4米</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厚度0.8mm以上冷轧钢板冲压而成，产品表面经除油、清洗、去锈、磷化清洗、预处理、清洗、钝化等九道工序处理，具有极强的抗酸性、防腐性、防锈性、防蚀性。力学性能：下屈服强度≥270MPa，断后伸长率≥40%，弯曲试验检测合格；铜盐加速乙酸盐雾试验（CASS）连续喷雾≥300h，其保护评价（RP）≥10级，外观评级（RA）≥10级（VS），性能评级（RP/RA）：10/10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涂料：采用静电喷涂粉末，喷塑表面平整、光滑，无流挂、起料、皱皮、露底脱落、伤痕等影响质量的缺陷。其干附着力≤1级；铅笔硬度（内聚破坏中擦伤）≥2H；完全试验≤2mm；总铅（Pb）含量未检出；耐冲击性（正向冲击）无裂纹、皱纹及剥落现象；耐湿性500h无异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门牌</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铝合金型材，烤漆门牌，丝印字体。</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制度牌</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透明亚克力制作。</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垃圾箱</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1.0不锈钢板制作，表面光滑无毛刺。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洗衣机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12公斤</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容量12KG：产品上盖材质：玻璃上盖。操作方式：按犍。箱体颜色：星蕴银    电机：变频。洗净比0.9。耗电量（kWh/周期）0.12。耗水量（L/周期）145。自编程：浸泡洗。特色：除菌/除螨。强度调节：强度可调。功能桶自洁。</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宣传栏</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1.0不锈钢管制作，表面光滑无毛刺。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停车棚</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前口3.3米</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后口2.3米</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膜布1050克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梁的规格220*110*100*6个厚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立柱规格450*100*6个厚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梁的连接杆横杆规格89圆管3个厚。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撑杆48圆管2个厚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基础板400*600*12个厚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基础深度一米，宽度一米，1个方混凝土浇灌。</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冲锋舟棚</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方管焊接制作，表面光滑无毛刺。顶棚采用0.4彩钢瓦。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晾衣架</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1.0不锈钢管制作，表面光滑无毛刺。顶棚采用透明阳光瓦。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bl>
    <w:p>
      <w:pPr>
        <w:rPr>
          <w:rFonts w:hint="eastAsia"/>
          <w:lang w:eastAsia="zh-CN"/>
        </w:rPr>
      </w:pPr>
    </w:p>
    <w:p>
      <w:pPr>
        <w:pStyle w:val="37"/>
        <w:rPr>
          <w:rFonts w:hint="eastAsia"/>
        </w:rPr>
      </w:pPr>
    </w:p>
    <w:p>
      <w:pPr>
        <w:pStyle w:val="37"/>
        <w:rPr>
          <w:rFonts w:hint="eastAsia"/>
        </w:rPr>
      </w:pPr>
    </w:p>
    <w:p>
      <w:pPr>
        <w:pStyle w:val="3"/>
        <w:jc w:val="center"/>
        <w:rPr>
          <w:rFonts w:hint="eastAsia"/>
          <w:sz w:val="30"/>
          <w:szCs w:val="30"/>
        </w:rPr>
      </w:pPr>
    </w:p>
    <w:p>
      <w:pPr>
        <w:rPr>
          <w:rFonts w:hint="eastAsia"/>
          <w:sz w:val="30"/>
          <w:szCs w:val="30"/>
        </w:rPr>
      </w:pPr>
    </w:p>
    <w:p>
      <w:pPr>
        <w:pStyle w:val="2"/>
        <w:rPr>
          <w:rFonts w:hint="eastAsia"/>
          <w:sz w:val="30"/>
          <w:szCs w:val="30"/>
        </w:rPr>
      </w:pPr>
    </w:p>
    <w:p>
      <w:pPr>
        <w:rPr>
          <w:rFonts w:hint="eastAsia"/>
          <w:sz w:val="30"/>
          <w:szCs w:val="30"/>
        </w:rPr>
      </w:pPr>
    </w:p>
    <w:p>
      <w:pPr>
        <w:pStyle w:val="3"/>
        <w:jc w:val="center"/>
        <w:rPr>
          <w:sz w:val="30"/>
          <w:szCs w:val="30"/>
        </w:rPr>
      </w:pPr>
      <w:r>
        <w:rPr>
          <w:rFonts w:hint="eastAsia"/>
          <w:sz w:val="30"/>
          <w:szCs w:val="30"/>
        </w:rPr>
        <w:t>第六章  其他要求</w:t>
      </w:r>
    </w:p>
    <w:p>
      <w:pPr>
        <w:pStyle w:val="9"/>
        <w:ind w:firstLine="3213" w:firstLineChars="1000"/>
        <w:rPr>
          <w:rFonts w:hint="eastAsia" w:ascii="宋体" w:hAnsi="宋体"/>
          <w:b/>
          <w:bCs w:val="0"/>
          <w:szCs w:val="21"/>
        </w:rPr>
      </w:pPr>
    </w:p>
    <w:p>
      <w:pPr>
        <w:pStyle w:val="9"/>
        <w:ind w:firstLine="3213" w:firstLineChars="1000"/>
        <w:rPr>
          <w:rFonts w:ascii="宋体" w:hAnsi="宋体"/>
          <w:b/>
          <w:bCs w:val="0"/>
          <w:szCs w:val="21"/>
        </w:rPr>
        <w:sectPr>
          <w:headerReference r:id="rId5" w:type="default"/>
          <w:footerReference r:id="rId6" w:type="default"/>
          <w:pgSz w:w="11906" w:h="16838"/>
          <w:pgMar w:top="1418" w:right="1134" w:bottom="1418" w:left="1134" w:header="851" w:footer="992" w:gutter="0"/>
          <w:cols w:space="720" w:num="1"/>
          <w:docGrid w:type="lines" w:linePitch="312" w:charSpace="0"/>
        </w:sectPr>
      </w:pPr>
      <w:r>
        <w:rPr>
          <w:rFonts w:hint="eastAsia" w:ascii="宋体" w:hAnsi="宋体"/>
          <w:b/>
          <w:bCs w:val="0"/>
          <w:szCs w:val="21"/>
        </w:rPr>
        <w:t>以采购人实际要求为准</w:t>
      </w:r>
    </w:p>
    <w:bookmarkEnd w:id="559"/>
    <w:p>
      <w:pPr>
        <w:pStyle w:val="3"/>
        <w:jc w:val="center"/>
        <w:rPr>
          <w:sz w:val="30"/>
          <w:szCs w:val="30"/>
        </w:rPr>
      </w:pPr>
      <w:bookmarkStart w:id="560" w:name="_Toc32552"/>
      <w:r>
        <w:rPr>
          <w:rFonts w:hint="eastAsia"/>
          <w:sz w:val="30"/>
          <w:szCs w:val="30"/>
        </w:rPr>
        <w:t>第七章 投标文件格式</w:t>
      </w:r>
      <w:bookmarkEnd w:id="560"/>
    </w:p>
    <w:p>
      <w:pPr>
        <w:pStyle w:val="3"/>
        <w:rPr>
          <w:sz w:val="30"/>
          <w:szCs w:val="30"/>
        </w:rPr>
      </w:pPr>
    </w:p>
    <w:p>
      <w:pPr>
        <w:pStyle w:val="3"/>
        <w:rPr>
          <w:sz w:val="30"/>
          <w:szCs w:val="30"/>
        </w:rPr>
      </w:pPr>
    </w:p>
    <w:p>
      <w:pPr>
        <w:pStyle w:val="3"/>
        <w:rPr>
          <w:sz w:val="30"/>
          <w:szCs w:val="30"/>
        </w:rPr>
      </w:pPr>
    </w:p>
    <w:p>
      <w:pPr>
        <w:pStyle w:val="3"/>
        <w:rPr>
          <w:sz w:val="30"/>
          <w:szCs w:val="30"/>
        </w:rPr>
      </w:pPr>
    </w:p>
    <w:p>
      <w:pPr>
        <w:pStyle w:val="3"/>
        <w:jc w:val="center"/>
        <w:rPr>
          <w:sz w:val="30"/>
          <w:szCs w:val="30"/>
        </w:rPr>
      </w:pPr>
    </w:p>
    <w:p>
      <w:pPr>
        <w:spacing w:line="360" w:lineRule="auto"/>
        <w:rPr>
          <w:rFonts w:ascii="宋体" w:hAnsi="宋体"/>
          <w:szCs w:val="21"/>
        </w:rPr>
      </w:pPr>
    </w:p>
    <w:p>
      <w:pPr>
        <w:pStyle w:val="9"/>
        <w:rPr>
          <w:rFonts w:ascii="宋体" w:hAnsi="宋体"/>
          <w:szCs w:val="21"/>
        </w:rPr>
      </w:pPr>
    </w:p>
    <w:p>
      <w:pPr>
        <w:pStyle w:val="9"/>
        <w:rPr>
          <w:rFonts w:ascii="宋体" w:hAnsi="宋体"/>
          <w:szCs w:val="21"/>
        </w:rPr>
      </w:pPr>
    </w:p>
    <w:p/>
    <w:p>
      <w:pPr>
        <w:spacing w:line="360" w:lineRule="auto"/>
        <w:rPr>
          <w:rFonts w:ascii="宋体" w:hAnsi="宋体"/>
          <w:szCs w:val="21"/>
        </w:rPr>
      </w:pPr>
    </w:p>
    <w:p>
      <w:pPr>
        <w:spacing w:line="360" w:lineRule="auto"/>
        <w:rPr>
          <w:rFonts w:ascii="宋体" w:hAnsi="宋体"/>
          <w:szCs w:val="21"/>
        </w:rPr>
        <w:sectPr>
          <w:headerReference r:id="rId7" w:type="default"/>
          <w:footerReference r:id="rId8" w:type="default"/>
          <w:pgSz w:w="11906" w:h="16838"/>
          <w:pgMar w:top="1418" w:right="1134" w:bottom="1418" w:left="1134" w:header="851" w:footer="992" w:gutter="0"/>
          <w:cols w:space="720" w:num="1"/>
          <w:docGrid w:type="lines" w:linePitch="312" w:charSpace="0"/>
        </w:sectPr>
      </w:pPr>
    </w:p>
    <w:p>
      <w:pPr>
        <w:pStyle w:val="13"/>
        <w:jc w:val="center"/>
        <w:rPr>
          <w:rFonts w:hAnsi="宋体" w:cs="宋体"/>
          <w:b/>
          <w:spacing w:val="20"/>
          <w:sz w:val="24"/>
        </w:rPr>
      </w:pPr>
    </w:p>
    <w:p>
      <w:pPr>
        <w:pStyle w:val="13"/>
        <w:rPr>
          <w:rFonts w:hAnsi="宋体" w:cs="宋体"/>
          <w:b/>
          <w:sz w:val="24"/>
        </w:rPr>
      </w:pPr>
    </w:p>
    <w:p>
      <w:pPr>
        <w:pStyle w:val="13"/>
        <w:rPr>
          <w:rFonts w:hAnsi="宋体" w:cs="宋体"/>
          <w:b/>
          <w:sz w:val="24"/>
        </w:rPr>
      </w:pPr>
      <w:bookmarkStart w:id="561" w:name="_Toc12627_WPSOffice_Level1"/>
      <w:r>
        <w:rPr>
          <w:rFonts w:hint="eastAsia" w:hAnsi="宋体" w:cs="宋体"/>
          <w:b/>
          <w:sz w:val="24"/>
        </w:rPr>
        <w:t>采 购 人 ：</w:t>
      </w:r>
      <w:bookmarkEnd w:id="561"/>
      <w:r>
        <w:rPr>
          <w:rFonts w:hint="eastAsia" w:hAnsi="宋体" w:cs="宋体"/>
          <w:b/>
          <w:sz w:val="24"/>
          <w:u w:val="single"/>
        </w:rPr>
        <w:t xml:space="preserve"> </w:t>
      </w:r>
      <w:r>
        <w:rPr>
          <w:rFonts w:hint="eastAsia" w:hAnsi="宋体" w:cs="宋体"/>
          <w:b/>
          <w:sz w:val="24"/>
          <w:u w:val="single"/>
          <w:lang w:eastAsia="zh-CN"/>
        </w:rPr>
        <w:t>荥阳市机关事务中心</w:t>
      </w:r>
      <w:r>
        <w:rPr>
          <w:rFonts w:hint="eastAsia" w:hAnsi="宋体" w:cs="宋体"/>
          <w:b/>
          <w:sz w:val="24"/>
          <w:u w:val="single"/>
        </w:rPr>
        <w:t xml:space="preserve"> </w:t>
      </w:r>
    </w:p>
    <w:p>
      <w:pPr>
        <w:jc w:val="center"/>
        <w:rPr>
          <w:rFonts w:ascii="宋体" w:hAnsi="宋体" w:cs="宋体"/>
          <w:b/>
          <w:sz w:val="40"/>
          <w:szCs w:val="40"/>
        </w:rPr>
      </w:pPr>
    </w:p>
    <w:p>
      <w:pPr>
        <w:jc w:val="center"/>
        <w:rPr>
          <w:rFonts w:hint="eastAsia" w:ascii="宋体" w:hAnsi="宋体" w:eastAsia="宋体" w:cs="宋体"/>
          <w:b/>
          <w:sz w:val="36"/>
          <w:szCs w:val="36"/>
          <w:lang w:eastAsia="zh-CN"/>
        </w:rPr>
      </w:pPr>
      <w:r>
        <w:rPr>
          <w:rFonts w:hint="eastAsia" w:ascii="宋体" w:hAnsi="宋体" w:cs="宋体"/>
          <w:b/>
          <w:sz w:val="36"/>
          <w:szCs w:val="36"/>
          <w:lang w:eastAsia="zh-CN"/>
        </w:rPr>
        <w:t>荥阳市机关事务中心购置荥阳市人民武装部搬迁设施项目</w:t>
      </w:r>
    </w:p>
    <w:p>
      <w:pPr>
        <w:pStyle w:val="38"/>
        <w:spacing w:line="400" w:lineRule="exact"/>
        <w:ind w:firstLine="2570" w:firstLineChars="800"/>
        <w:rPr>
          <w:b/>
          <w:bCs/>
          <w:sz w:val="32"/>
          <w:szCs w:val="32"/>
        </w:rPr>
      </w:pPr>
      <w:bookmarkStart w:id="562" w:name="_Toc17511_WPSOffice_Level2"/>
      <w:bookmarkStart w:id="563" w:name="_Toc1433"/>
    </w:p>
    <w:p>
      <w:pPr>
        <w:pStyle w:val="38"/>
        <w:spacing w:line="400" w:lineRule="exact"/>
        <w:ind w:firstLine="2570" w:firstLineChars="800"/>
        <w:rPr>
          <w:b/>
          <w:bCs/>
          <w:sz w:val="32"/>
          <w:szCs w:val="32"/>
        </w:rPr>
      </w:pPr>
    </w:p>
    <w:p>
      <w:pPr>
        <w:pStyle w:val="38"/>
        <w:spacing w:line="400" w:lineRule="exact"/>
        <w:ind w:firstLine="2570" w:firstLineChars="800"/>
        <w:rPr>
          <w:b/>
          <w:bCs/>
          <w:sz w:val="32"/>
          <w:szCs w:val="32"/>
        </w:rPr>
      </w:pPr>
      <w:r>
        <w:rPr>
          <w:rFonts w:hint="eastAsia"/>
          <w:b/>
          <w:bCs/>
          <w:sz w:val="32"/>
          <w:szCs w:val="32"/>
        </w:rPr>
        <w:t>项目编号：荥财公开-2024-15</w:t>
      </w:r>
    </w:p>
    <w:p>
      <w:pPr>
        <w:rPr>
          <w:rFonts w:ascii="宋体" w:hAnsi="宋体"/>
          <w:b/>
          <w:sz w:val="28"/>
        </w:rPr>
      </w:pPr>
    </w:p>
    <w:p>
      <w:pPr>
        <w:jc w:val="center"/>
        <w:rPr>
          <w:rFonts w:ascii="宋体" w:hAnsi="宋体" w:cs="宋体"/>
          <w:bCs/>
          <w:sz w:val="48"/>
          <w:szCs w:val="18"/>
        </w:rPr>
      </w:pPr>
    </w:p>
    <w:p>
      <w:pPr>
        <w:jc w:val="center"/>
        <w:rPr>
          <w:rFonts w:ascii="宋体" w:hAnsi="宋体" w:cs="宋体"/>
          <w:b/>
          <w:sz w:val="84"/>
        </w:rPr>
      </w:pPr>
    </w:p>
    <w:p>
      <w:pPr>
        <w:jc w:val="center"/>
        <w:rPr>
          <w:rFonts w:ascii="宋体" w:hAnsi="宋体" w:cs="宋体"/>
          <w:b/>
          <w:sz w:val="84"/>
        </w:rPr>
      </w:pPr>
      <w:r>
        <w:rPr>
          <w:rFonts w:hint="eastAsia" w:ascii="宋体" w:hAnsi="宋体" w:cs="宋体"/>
          <w:b/>
          <w:sz w:val="84"/>
        </w:rPr>
        <w:t>投 标 文 件</w:t>
      </w:r>
      <w:bookmarkEnd w:id="562"/>
      <w:bookmarkEnd w:id="563"/>
    </w:p>
    <w:p>
      <w:pPr>
        <w:jc w:val="center"/>
        <w:rPr>
          <w:rFonts w:ascii="宋体" w:hAnsi="宋体" w:cs="宋体"/>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ind w:firstLine="1124" w:firstLineChars="400"/>
        <w:outlineLvl w:val="0"/>
        <w:rPr>
          <w:rFonts w:ascii="宋体" w:hAnsi="宋体" w:cs="宋体"/>
          <w:b/>
          <w:bCs/>
          <w:sz w:val="32"/>
          <w:szCs w:val="32"/>
        </w:rPr>
      </w:pPr>
      <w:r>
        <w:rPr>
          <w:rFonts w:hint="eastAsia" w:ascii="宋体" w:hAnsi="宋体" w:cs="宋体"/>
          <w:b/>
          <w:sz w:val="28"/>
          <w:szCs w:val="28"/>
        </w:rPr>
        <w:t xml:space="preserve"> </w:t>
      </w:r>
      <w:bookmarkStart w:id="564" w:name="_Toc11170"/>
      <w:bookmarkStart w:id="565" w:name="_Toc5449"/>
      <w:bookmarkStart w:id="566" w:name="_Toc21694"/>
      <w:bookmarkStart w:id="567" w:name="_Toc1034"/>
      <w:bookmarkStart w:id="568" w:name="_Toc17638"/>
      <w:bookmarkStart w:id="569" w:name="_Toc5335"/>
      <w:r>
        <w:rPr>
          <w:rFonts w:hint="eastAsia" w:ascii="宋体" w:hAnsi="宋体" w:cs="宋体"/>
          <w:b/>
          <w:bCs/>
          <w:sz w:val="32"/>
          <w:szCs w:val="32"/>
        </w:rPr>
        <w:t>投标人：</w:t>
      </w:r>
      <w:r>
        <w:rPr>
          <w:rFonts w:hint="eastAsia" w:ascii="宋体" w:hAnsi="宋体" w:cs="宋体"/>
          <w:b/>
          <w:bCs/>
          <w:sz w:val="32"/>
          <w:szCs w:val="32"/>
          <w:u w:val="single"/>
        </w:rPr>
        <w:t xml:space="preserve">                       </w:t>
      </w:r>
      <w:r>
        <w:rPr>
          <w:rFonts w:hint="eastAsia" w:ascii="宋体" w:hAnsi="宋体" w:cs="宋体"/>
          <w:b/>
          <w:bCs/>
          <w:sz w:val="32"/>
          <w:szCs w:val="32"/>
        </w:rPr>
        <w:t>（盖单位章）</w:t>
      </w:r>
      <w:bookmarkEnd w:id="564"/>
      <w:bookmarkEnd w:id="565"/>
      <w:bookmarkEnd w:id="566"/>
      <w:bookmarkEnd w:id="567"/>
      <w:bookmarkEnd w:id="568"/>
      <w:bookmarkEnd w:id="569"/>
    </w:p>
    <w:p>
      <w:pPr>
        <w:spacing w:line="360" w:lineRule="auto"/>
        <w:jc w:val="center"/>
        <w:rPr>
          <w:rFonts w:ascii="宋体" w:hAnsi="宋体" w:cs="宋体"/>
          <w:b/>
          <w:bCs/>
          <w:sz w:val="32"/>
          <w:szCs w:val="32"/>
        </w:rPr>
      </w:pPr>
      <w:r>
        <w:rPr>
          <w:rFonts w:hint="eastAsia" w:ascii="宋体" w:hAnsi="宋体" w:cs="宋体"/>
          <w:b/>
          <w:bCs/>
          <w:sz w:val="32"/>
          <w:szCs w:val="32"/>
        </w:rPr>
        <w:t xml:space="preserve">  法定代表人或其委托代理人：</w:t>
      </w:r>
      <w:r>
        <w:rPr>
          <w:rFonts w:hint="eastAsia" w:ascii="宋体" w:hAnsi="宋体" w:cs="宋体"/>
          <w:b/>
          <w:bCs/>
          <w:sz w:val="32"/>
          <w:szCs w:val="32"/>
          <w:u w:val="single"/>
        </w:rPr>
        <w:t xml:space="preserve">            </w:t>
      </w:r>
      <w:r>
        <w:rPr>
          <w:rFonts w:hint="eastAsia" w:ascii="宋体" w:hAnsi="宋体" w:cs="宋体"/>
          <w:b/>
          <w:bCs/>
          <w:sz w:val="32"/>
          <w:szCs w:val="32"/>
        </w:rPr>
        <w:t>（签字</w:t>
      </w:r>
      <w:r>
        <w:rPr>
          <w:rFonts w:hint="eastAsia" w:ascii="宋体" w:hAnsi="宋体" w:cs="宋体"/>
          <w:b/>
          <w:bCs/>
          <w:sz w:val="32"/>
          <w:szCs w:val="32"/>
          <w:lang w:eastAsia="zh-CN"/>
        </w:rPr>
        <w:t>或盖章</w:t>
      </w:r>
      <w:r>
        <w:rPr>
          <w:rFonts w:hint="eastAsia" w:ascii="宋体" w:hAnsi="宋体" w:cs="宋体"/>
          <w:b/>
          <w:bCs/>
          <w:sz w:val="32"/>
          <w:szCs w:val="32"/>
        </w:rPr>
        <w:t>）</w:t>
      </w:r>
    </w:p>
    <w:p>
      <w:pPr>
        <w:spacing w:line="360" w:lineRule="auto"/>
        <w:jc w:val="center"/>
        <w:rPr>
          <w:rFonts w:ascii="宋体" w:hAnsi="宋体" w:cs="宋体"/>
          <w:b/>
          <w:bCs/>
          <w:sz w:val="32"/>
          <w:szCs w:val="32"/>
        </w:rPr>
        <w:sectPr>
          <w:footerReference r:id="rId9" w:type="default"/>
          <w:pgSz w:w="11906" w:h="16838"/>
          <w:pgMar w:top="1418" w:right="1134" w:bottom="1418" w:left="1134" w:header="851" w:footer="992" w:gutter="0"/>
          <w:cols w:space="720" w:num="1"/>
          <w:docGrid w:type="lines" w:linePitch="312" w:charSpace="0"/>
        </w:sectPr>
      </w:pPr>
      <w:r>
        <w:rPr>
          <w:rFonts w:hint="eastAsia" w:ascii="宋体" w:hAnsi="宋体" w:cs="宋体"/>
          <w:b/>
          <w:bCs/>
          <w:sz w:val="32"/>
          <w:szCs w:val="32"/>
          <w:u w:val="single"/>
        </w:rPr>
        <w:t xml:space="preserve">         </w:t>
      </w:r>
      <w:r>
        <w:rPr>
          <w:rFonts w:hint="eastAsia" w:ascii="宋体" w:hAnsi="宋体" w:cs="宋体"/>
          <w:b/>
          <w:bCs/>
          <w:sz w:val="32"/>
          <w:szCs w:val="32"/>
        </w:rPr>
        <w:t>年</w:t>
      </w:r>
      <w:r>
        <w:rPr>
          <w:rFonts w:hint="eastAsia" w:ascii="宋体" w:hAnsi="宋体" w:cs="宋体"/>
          <w:b/>
          <w:bCs/>
          <w:sz w:val="32"/>
          <w:szCs w:val="32"/>
          <w:u w:val="single"/>
        </w:rPr>
        <w:t xml:space="preserve">    </w:t>
      </w:r>
      <w:r>
        <w:rPr>
          <w:rFonts w:hint="eastAsia" w:ascii="宋体" w:hAnsi="宋体" w:cs="宋体"/>
          <w:b/>
          <w:bCs/>
          <w:sz w:val="32"/>
          <w:szCs w:val="32"/>
        </w:rPr>
        <w:t>月</w:t>
      </w:r>
      <w:r>
        <w:rPr>
          <w:rFonts w:hint="eastAsia" w:ascii="宋体" w:hAnsi="宋体" w:cs="宋体"/>
          <w:b/>
          <w:bCs/>
          <w:sz w:val="32"/>
          <w:szCs w:val="32"/>
          <w:u w:val="single"/>
        </w:rPr>
        <w:t xml:space="preserve">    </w:t>
      </w:r>
      <w:r>
        <w:rPr>
          <w:rFonts w:hint="eastAsia" w:ascii="宋体" w:hAnsi="宋体" w:cs="宋体"/>
          <w:b/>
          <w:bCs/>
          <w:sz w:val="32"/>
          <w:szCs w:val="32"/>
        </w:rPr>
        <w:t>日</w:t>
      </w:r>
    </w:p>
    <w:p>
      <w:pPr>
        <w:spacing w:line="480" w:lineRule="auto"/>
        <w:ind w:firstLine="1820" w:firstLineChars="650"/>
        <w:rPr>
          <w:rFonts w:ascii="宋体" w:hAnsi="宋体" w:cs="宋体"/>
          <w:sz w:val="28"/>
          <w:szCs w:val="28"/>
        </w:rPr>
      </w:pPr>
    </w:p>
    <w:p>
      <w:pPr>
        <w:jc w:val="center"/>
        <w:rPr>
          <w:rFonts w:ascii="宋体" w:hAnsi="宋体" w:cs="宋体"/>
          <w:sz w:val="24"/>
        </w:rPr>
      </w:pPr>
    </w:p>
    <w:p>
      <w:pPr>
        <w:pStyle w:val="3"/>
        <w:spacing w:before="240" w:after="240" w:line="240" w:lineRule="auto"/>
        <w:jc w:val="center"/>
        <w:rPr>
          <w:rFonts w:ascii="宋体" w:hAnsi="宋体" w:cs="宋体"/>
          <w:sz w:val="44"/>
        </w:rPr>
      </w:pPr>
      <w:bookmarkStart w:id="570" w:name="_Toc28354"/>
      <w:bookmarkStart w:id="571" w:name="_Toc533590165"/>
      <w:bookmarkStart w:id="572" w:name="_Toc419114457"/>
      <w:bookmarkStart w:id="573" w:name="_Toc24622"/>
      <w:bookmarkStart w:id="574" w:name="_Toc13688"/>
      <w:bookmarkStart w:id="575" w:name="_Toc30607"/>
      <w:bookmarkStart w:id="576" w:name="_Toc8535"/>
      <w:bookmarkStart w:id="577" w:name="_Toc2819"/>
      <w:bookmarkStart w:id="578" w:name="_Toc786"/>
      <w:bookmarkStart w:id="579" w:name="_Toc15029"/>
      <w:bookmarkStart w:id="580" w:name="_Toc16730"/>
      <w:bookmarkStart w:id="581" w:name="_Toc492883625"/>
      <w:bookmarkStart w:id="582" w:name="_Toc1146"/>
      <w:bookmarkStart w:id="583" w:name="_Toc7249"/>
      <w:bookmarkStart w:id="584" w:name="_Toc22258"/>
      <w:bookmarkStart w:id="585" w:name="_Toc3016"/>
      <w:bookmarkStart w:id="586" w:name="_Toc419109048"/>
      <w:bookmarkStart w:id="587" w:name="_Toc25405"/>
      <w:bookmarkStart w:id="588" w:name="_Toc19965"/>
      <w:bookmarkStart w:id="589" w:name="_Toc32004_WPSOffice_Level1"/>
      <w:bookmarkStart w:id="590" w:name="_Toc27006"/>
      <w:bookmarkStart w:id="591" w:name="_Toc31498"/>
      <w:bookmarkStart w:id="592" w:name="_Toc11110"/>
    </w:p>
    <w:p>
      <w:pPr>
        <w:pStyle w:val="3"/>
        <w:spacing w:before="240" w:after="240" w:line="240" w:lineRule="auto"/>
        <w:jc w:val="center"/>
        <w:rPr>
          <w:rFonts w:ascii="宋体" w:hAnsi="宋体" w:cs="宋体"/>
          <w:sz w:val="44"/>
        </w:rPr>
      </w:pPr>
      <w:bookmarkStart w:id="593" w:name="_Toc32015"/>
      <w:bookmarkStart w:id="594" w:name="_Toc18119"/>
      <w:bookmarkStart w:id="595" w:name="_Toc32106"/>
      <w:bookmarkStart w:id="596" w:name="_Toc7179"/>
      <w:bookmarkStart w:id="597" w:name="_Toc10416"/>
      <w:bookmarkStart w:id="598" w:name="_Toc14223"/>
      <w:bookmarkStart w:id="599" w:name="_Toc13747"/>
      <w:bookmarkStart w:id="600" w:name="_Toc12117"/>
      <w:bookmarkStart w:id="601" w:name="_Toc2625"/>
      <w:bookmarkStart w:id="602" w:name="_Toc16147"/>
      <w:bookmarkStart w:id="603" w:name="_Toc1031"/>
      <w:bookmarkStart w:id="604" w:name="_Toc25879"/>
      <w:r>
        <w:rPr>
          <w:rFonts w:hint="eastAsia" w:ascii="宋体" w:hAnsi="宋体" w:cs="宋体"/>
          <w:sz w:val="44"/>
        </w:rPr>
        <w:t>目  录</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pPr>
        <w:spacing w:line="360" w:lineRule="auto"/>
        <w:rPr>
          <w:rFonts w:ascii="宋体" w:hAnsi="宋体" w:cs="宋体"/>
          <w:sz w:val="24"/>
        </w:rPr>
      </w:pPr>
    </w:p>
    <w:p>
      <w:pPr>
        <w:pStyle w:val="5"/>
        <w:jc w:val="both"/>
        <w:rPr>
          <w:rFonts w:ascii="宋体" w:hAnsi="宋体" w:cs="宋体"/>
          <w:kern w:val="0"/>
          <w:sz w:val="32"/>
        </w:rPr>
      </w:pPr>
      <w:bookmarkStart w:id="605" w:name="_Toc28393"/>
      <w:r>
        <w:rPr>
          <w:rFonts w:hint="eastAsia" w:ascii="宋体" w:hAnsi="宋体" w:cs="宋体"/>
        </w:rPr>
        <w:t>建议编制详细目录以便查找</w:t>
      </w:r>
      <w:r>
        <w:rPr>
          <w:rFonts w:hint="eastAsia" w:ascii="宋体" w:hAnsi="宋体" w:cs="宋体"/>
        </w:rPr>
        <w:br w:type="page"/>
      </w:r>
      <w:bookmarkStart w:id="606" w:name="_Toc4884"/>
      <w:bookmarkStart w:id="607" w:name="_Toc5113"/>
      <w:bookmarkStart w:id="608" w:name="_Toc11818"/>
      <w:bookmarkStart w:id="609" w:name="_Toc419114458"/>
      <w:bookmarkStart w:id="610" w:name="_Toc18907"/>
      <w:bookmarkStart w:id="611" w:name="_Toc26166"/>
      <w:bookmarkStart w:id="612" w:name="_Toc533590166"/>
      <w:bookmarkStart w:id="613" w:name="_Toc31944"/>
      <w:bookmarkStart w:id="614" w:name="_Toc17566_WPSOffice_Level1"/>
      <w:bookmarkStart w:id="615" w:name="_Toc12603"/>
      <w:bookmarkStart w:id="616" w:name="_Toc492883626"/>
      <w:bookmarkStart w:id="617" w:name="_Toc419109049"/>
      <w:bookmarkStart w:id="618" w:name="_Toc10004"/>
      <w:r>
        <w:rPr>
          <w:rFonts w:hint="eastAsia" w:ascii="宋体" w:hAnsi="宋体" w:cs="宋体"/>
        </w:rPr>
        <w:t xml:space="preserve">                         </w:t>
      </w:r>
      <w:r>
        <w:rPr>
          <w:rFonts w:hint="eastAsia" w:ascii="宋体" w:hAnsi="宋体" w:cs="宋体"/>
          <w:kern w:val="0"/>
          <w:sz w:val="32"/>
        </w:rPr>
        <w:t xml:space="preserve">  </w:t>
      </w:r>
      <w:bookmarkEnd w:id="606"/>
      <w:bookmarkEnd w:id="607"/>
      <w:bookmarkEnd w:id="608"/>
      <w:bookmarkEnd w:id="609"/>
      <w:bookmarkEnd w:id="610"/>
      <w:bookmarkEnd w:id="611"/>
      <w:bookmarkEnd w:id="612"/>
      <w:bookmarkEnd w:id="613"/>
      <w:bookmarkEnd w:id="614"/>
      <w:bookmarkEnd w:id="615"/>
      <w:bookmarkEnd w:id="616"/>
      <w:bookmarkEnd w:id="617"/>
      <w:bookmarkEnd w:id="618"/>
      <w:bookmarkStart w:id="619" w:name="_Toc16836"/>
      <w:bookmarkStart w:id="620" w:name="_Toc5091"/>
      <w:bookmarkStart w:id="621" w:name="_Toc24719"/>
      <w:bookmarkStart w:id="622" w:name="_Toc12151"/>
      <w:bookmarkStart w:id="623" w:name="_Toc18465"/>
      <w:bookmarkStart w:id="624" w:name="_Toc184635138"/>
      <w:r>
        <w:rPr>
          <w:rFonts w:hint="eastAsia" w:ascii="宋体" w:hAnsi="宋体" w:cs="宋体"/>
          <w:kern w:val="0"/>
          <w:sz w:val="32"/>
        </w:rPr>
        <w:t>一、投标函及投标函附录</w:t>
      </w:r>
      <w:bookmarkEnd w:id="605"/>
      <w:bookmarkEnd w:id="619"/>
      <w:bookmarkEnd w:id="620"/>
      <w:bookmarkEnd w:id="621"/>
      <w:bookmarkEnd w:id="622"/>
      <w:bookmarkEnd w:id="623"/>
      <w:bookmarkEnd w:id="624"/>
    </w:p>
    <w:p>
      <w:pPr>
        <w:pStyle w:val="6"/>
        <w:jc w:val="center"/>
        <w:rPr>
          <w:rFonts w:ascii="宋体" w:hAnsi="宋体" w:cs="宋体"/>
          <w:sz w:val="24"/>
          <w:szCs w:val="24"/>
        </w:rPr>
      </w:pPr>
      <w:bookmarkStart w:id="625" w:name="_Toc21686"/>
      <w:bookmarkStart w:id="626" w:name="_Toc18866"/>
      <w:bookmarkStart w:id="627" w:name="_Toc3153"/>
      <w:r>
        <w:rPr>
          <w:rFonts w:hint="eastAsia" w:ascii="宋体" w:hAnsi="宋体" w:cs="宋体"/>
          <w:sz w:val="24"/>
          <w:szCs w:val="24"/>
        </w:rPr>
        <w:t>（一）投标函</w:t>
      </w:r>
      <w:bookmarkEnd w:id="625"/>
      <w:bookmarkEnd w:id="626"/>
      <w:bookmarkEnd w:id="627"/>
    </w:p>
    <w:p>
      <w:pPr>
        <w:spacing w:line="360" w:lineRule="auto"/>
        <w:rPr>
          <w:rFonts w:ascii="宋体" w:hAnsi="宋体" w:cs="宋体"/>
          <w:sz w:val="24"/>
        </w:rPr>
      </w:pPr>
      <w:r>
        <w:rPr>
          <w:rFonts w:hint="eastAsia" w:ascii="宋体" w:hAnsi="宋体" w:cs="宋体"/>
          <w:sz w:val="24"/>
          <w:u w:val="single"/>
        </w:rPr>
        <w:t xml:space="preserve">                     </w:t>
      </w:r>
      <w:r>
        <w:rPr>
          <w:rFonts w:hint="eastAsia" w:ascii="宋体" w:hAnsi="宋体" w:cs="宋体"/>
          <w:sz w:val="24"/>
        </w:rPr>
        <w:t xml:space="preserve">（采购人名称）: </w:t>
      </w:r>
    </w:p>
    <w:p>
      <w:pPr>
        <w:spacing w:line="360" w:lineRule="auto"/>
        <w:ind w:left="210" w:leftChars="100" w:firstLine="240" w:firstLineChars="100"/>
        <w:rPr>
          <w:rFonts w:ascii="宋体" w:hAnsi="宋体" w:cs="宋体"/>
          <w:sz w:val="24"/>
        </w:rPr>
      </w:pPr>
      <w:r>
        <w:rPr>
          <w:rFonts w:hint="eastAsia" w:ascii="宋体" w:hAnsi="宋体" w:cs="宋体"/>
          <w:sz w:val="24"/>
        </w:rPr>
        <w:t>1．我方己仔细研究了</w:t>
      </w:r>
      <w:r>
        <w:rPr>
          <w:rFonts w:hint="eastAsia" w:ascii="宋体" w:hAnsi="宋体" w:cs="宋体"/>
          <w:sz w:val="24"/>
          <w:u w:val="single"/>
        </w:rPr>
        <w:t xml:space="preserve">                  </w:t>
      </w:r>
      <w:r>
        <w:rPr>
          <w:rFonts w:hint="eastAsia" w:ascii="宋体" w:hAnsi="宋体" w:cs="宋体"/>
          <w:sz w:val="24"/>
        </w:rPr>
        <w:t>（项目名称）采购文件的全部内容，愿意以人民币（大写）</w:t>
      </w:r>
      <w:r>
        <w:rPr>
          <w:rFonts w:hint="eastAsia" w:ascii="宋体" w:hAnsi="宋体" w:cs="宋体"/>
          <w:sz w:val="24"/>
          <w:u w:val="single"/>
        </w:rPr>
        <w:t xml:space="preserve">         元</w:t>
      </w:r>
      <w:r>
        <w:rPr>
          <w:rFonts w:hint="eastAsia" w:ascii="宋体" w:hAnsi="宋体" w:cs="宋体"/>
          <w:sz w:val="24"/>
        </w:rPr>
        <w:t>（</w:t>
      </w:r>
      <w:r>
        <w:rPr>
          <w:rFonts w:ascii="Arial" w:hAnsi="Arial" w:cs="Arial"/>
          <w:sz w:val="24"/>
        </w:rPr>
        <w:t>¥</w:t>
      </w:r>
      <w:r>
        <w:rPr>
          <w:rFonts w:hint="eastAsia" w:ascii="宋体" w:hAnsi="宋体" w:cs="宋体"/>
          <w:sz w:val="24"/>
          <w:u w:val="single"/>
        </w:rPr>
        <w:t xml:space="preserve">      </w:t>
      </w:r>
      <w:r>
        <w:rPr>
          <w:rFonts w:hint="eastAsia" w:ascii="宋体" w:hAnsi="宋体" w:cs="宋体"/>
          <w:sz w:val="24"/>
        </w:rPr>
        <w:t>）的投标报价，供货安装及调试期限</w:t>
      </w:r>
      <w:r>
        <w:rPr>
          <w:rFonts w:hint="eastAsia" w:ascii="宋体" w:hAnsi="宋体" w:cs="宋体"/>
          <w:sz w:val="24"/>
          <w:u w:val="single"/>
        </w:rPr>
        <w:t xml:space="preserve">        </w:t>
      </w:r>
      <w:r>
        <w:rPr>
          <w:rFonts w:hint="eastAsia" w:ascii="宋体" w:hAnsi="宋体" w:cs="宋体"/>
          <w:sz w:val="24"/>
        </w:rPr>
        <w:t>，按合同约定实施和完成项目内容，质量要求：</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2．我方承诺在投标有效期内不修改、撤销投标文件。</w:t>
      </w:r>
    </w:p>
    <w:p>
      <w:pPr>
        <w:spacing w:line="360" w:lineRule="auto"/>
        <w:ind w:firstLine="480" w:firstLineChars="200"/>
        <w:rPr>
          <w:rFonts w:ascii="宋体" w:hAnsi="宋体" w:cs="宋体"/>
          <w:sz w:val="24"/>
        </w:rPr>
      </w:pPr>
      <w:r>
        <w:rPr>
          <w:rFonts w:hint="eastAsia" w:ascii="宋体" w:hAnsi="宋体" w:cs="宋体"/>
          <w:sz w:val="24"/>
        </w:rPr>
        <w:t>3．如我方中标：</w:t>
      </w:r>
    </w:p>
    <w:p>
      <w:pPr>
        <w:spacing w:line="360" w:lineRule="auto"/>
        <w:ind w:firstLine="480" w:firstLineChars="200"/>
        <w:rPr>
          <w:rFonts w:ascii="宋体" w:hAnsi="宋体" w:cs="宋体"/>
          <w:sz w:val="24"/>
        </w:rPr>
      </w:pPr>
      <w:r>
        <w:rPr>
          <w:rFonts w:hint="eastAsia" w:ascii="宋体" w:hAnsi="宋体" w:cs="宋体"/>
          <w:sz w:val="24"/>
        </w:rPr>
        <w:t>(l）我方承诺在收到中标通知书后，在中标通知书规定的期限内与你方签订合同。</w:t>
      </w:r>
    </w:p>
    <w:p>
      <w:pPr>
        <w:spacing w:line="360" w:lineRule="auto"/>
        <w:ind w:firstLine="480" w:firstLineChars="200"/>
        <w:rPr>
          <w:rFonts w:ascii="宋体" w:hAnsi="宋体" w:cs="宋体"/>
          <w:sz w:val="24"/>
        </w:rPr>
      </w:pPr>
      <w:r>
        <w:rPr>
          <w:rFonts w:hint="eastAsia" w:ascii="宋体" w:hAnsi="宋体" w:cs="宋体"/>
          <w:sz w:val="24"/>
        </w:rPr>
        <w:t>(2）随同本投标函递交的投标函附录属于合同文件的组成部分。</w:t>
      </w:r>
    </w:p>
    <w:p>
      <w:pPr>
        <w:spacing w:line="360" w:lineRule="auto"/>
        <w:ind w:firstLine="480" w:firstLineChars="200"/>
        <w:rPr>
          <w:rFonts w:ascii="宋体" w:hAnsi="宋体" w:cs="宋体"/>
          <w:sz w:val="24"/>
        </w:rPr>
      </w:pPr>
      <w:r>
        <w:rPr>
          <w:rFonts w:hint="eastAsia" w:ascii="宋体" w:hAnsi="宋体" w:cs="宋体"/>
          <w:sz w:val="24"/>
        </w:rPr>
        <w:t>(3）我方承诺按照招标文件规定向你方递交履约担保（现金或转账形式之一）。</w:t>
      </w:r>
    </w:p>
    <w:p>
      <w:pPr>
        <w:spacing w:line="360" w:lineRule="auto"/>
        <w:ind w:firstLine="480" w:firstLineChars="200"/>
        <w:rPr>
          <w:rFonts w:ascii="宋体" w:hAnsi="宋体" w:cs="宋体"/>
          <w:sz w:val="24"/>
        </w:rPr>
      </w:pPr>
      <w:r>
        <w:rPr>
          <w:rFonts w:hint="eastAsia" w:ascii="宋体" w:hAnsi="宋体" w:cs="宋体"/>
          <w:sz w:val="24"/>
        </w:rPr>
        <w:t>(4）我方承诺在合同约定的期限内完成并移交全部合同工程。</w:t>
      </w:r>
    </w:p>
    <w:p>
      <w:pPr>
        <w:spacing w:line="360" w:lineRule="auto"/>
        <w:ind w:firstLine="480" w:firstLineChars="200"/>
        <w:rPr>
          <w:rFonts w:ascii="宋体" w:hAnsi="宋体" w:cs="宋体"/>
          <w:sz w:val="24"/>
        </w:rPr>
      </w:pPr>
      <w:r>
        <w:rPr>
          <w:rFonts w:hint="eastAsia" w:ascii="宋体" w:hAnsi="宋体" w:cs="宋体"/>
          <w:sz w:val="24"/>
        </w:rPr>
        <w:t>4．我方同意按照贵方可能提出的要求而提供与投标有关的任何其它数据或信息。</w:t>
      </w:r>
    </w:p>
    <w:p>
      <w:pPr>
        <w:spacing w:line="360" w:lineRule="auto"/>
        <w:ind w:firstLine="480" w:firstLineChars="200"/>
        <w:rPr>
          <w:rFonts w:ascii="宋体" w:hAnsi="宋体" w:cs="宋体"/>
          <w:sz w:val="24"/>
        </w:rPr>
      </w:pPr>
      <w:r>
        <w:rPr>
          <w:rFonts w:hint="eastAsia" w:ascii="宋体" w:hAnsi="宋体" w:cs="宋体"/>
          <w:sz w:val="24"/>
        </w:rPr>
        <w:t>5.我方理解贵方不一定要接受最低的投标或任何贵方可能收到的任何投标，并可不作任何解释。</w:t>
      </w:r>
    </w:p>
    <w:p>
      <w:pPr>
        <w:spacing w:line="360" w:lineRule="auto"/>
        <w:ind w:firstLine="480" w:firstLineChars="200"/>
        <w:rPr>
          <w:rFonts w:ascii="宋体" w:hAnsi="宋体" w:cs="宋体"/>
          <w:sz w:val="24"/>
        </w:rPr>
      </w:pPr>
      <w:r>
        <w:rPr>
          <w:rFonts w:hint="eastAsia" w:ascii="宋体" w:hAnsi="宋体" w:cs="宋体"/>
          <w:sz w:val="24"/>
        </w:rPr>
        <w:t>6. 如果我方中标,我方将按照招标文件规定一次性交纳中标服务费。</w:t>
      </w:r>
    </w:p>
    <w:p>
      <w:pPr>
        <w:spacing w:line="360" w:lineRule="auto"/>
        <w:ind w:firstLine="4920" w:firstLineChars="2050"/>
        <w:rPr>
          <w:rFonts w:ascii="宋体" w:hAnsi="宋体" w:cs="宋体"/>
          <w:sz w:val="24"/>
        </w:rPr>
      </w:pPr>
    </w:p>
    <w:p>
      <w:pPr>
        <w:spacing w:line="360" w:lineRule="auto"/>
        <w:ind w:right="380"/>
        <w:rPr>
          <w:rFonts w:ascii="宋体" w:hAnsi="宋体" w:cs="宋体"/>
          <w:sz w:val="24"/>
        </w:rPr>
      </w:pPr>
      <w:r>
        <w:rPr>
          <w:rFonts w:hint="eastAsia" w:ascii="宋体" w:hAnsi="宋体" w:cs="宋体"/>
          <w:sz w:val="24"/>
        </w:rPr>
        <w:t xml:space="preserve">                                    投标人：</w:t>
      </w:r>
      <w:r>
        <w:rPr>
          <w:rFonts w:hint="eastAsia" w:ascii="宋体" w:hAnsi="宋体" w:cs="宋体"/>
          <w:sz w:val="24"/>
          <w:u w:val="single"/>
        </w:rPr>
        <w:t xml:space="preserve">                     </w:t>
      </w:r>
      <w:r>
        <w:rPr>
          <w:rFonts w:hint="eastAsia" w:ascii="宋体" w:hAnsi="宋体" w:cs="宋体"/>
          <w:sz w:val="24"/>
        </w:rPr>
        <w:t>（盖单位章）</w:t>
      </w:r>
    </w:p>
    <w:p>
      <w:pPr>
        <w:spacing w:line="360" w:lineRule="auto"/>
        <w:jc w:val="center"/>
        <w:rPr>
          <w:rFonts w:ascii="宋体" w:hAnsi="宋体" w:cs="宋体"/>
          <w:sz w:val="24"/>
        </w:rPr>
      </w:pPr>
      <w:r>
        <w:rPr>
          <w:rFonts w:hint="eastAsia" w:ascii="宋体" w:hAnsi="宋体" w:cs="宋体"/>
          <w:sz w:val="24"/>
        </w:rPr>
        <w:t xml:space="preserve">                                   法定代表人或其委托代理人：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ind w:right="380"/>
        <w:rPr>
          <w:rFonts w:ascii="宋体" w:hAnsi="宋体" w:cs="宋体"/>
          <w:sz w:val="24"/>
          <w:u w:val="single"/>
        </w:rPr>
      </w:pPr>
      <w:r>
        <w:rPr>
          <w:rFonts w:hint="eastAsia" w:ascii="宋体" w:hAnsi="宋体" w:cs="宋体"/>
          <w:sz w:val="24"/>
        </w:rPr>
        <w:t xml:space="preserve">                                    地址：</w:t>
      </w:r>
      <w:r>
        <w:rPr>
          <w:rFonts w:hint="eastAsia" w:ascii="宋体" w:hAnsi="宋体" w:cs="宋体"/>
          <w:sz w:val="24"/>
          <w:u w:val="single"/>
        </w:rPr>
        <w:t xml:space="preserve">                     </w:t>
      </w:r>
    </w:p>
    <w:p>
      <w:pPr>
        <w:spacing w:line="360" w:lineRule="auto"/>
        <w:ind w:right="380"/>
        <w:rPr>
          <w:rFonts w:ascii="宋体" w:hAnsi="宋体" w:cs="宋体"/>
          <w:sz w:val="24"/>
          <w:u w:val="single"/>
        </w:rPr>
      </w:pPr>
      <w:r>
        <w:rPr>
          <w:rFonts w:hint="eastAsia" w:ascii="宋体" w:hAnsi="宋体" w:cs="宋体"/>
          <w:sz w:val="24"/>
        </w:rPr>
        <w:t xml:space="preserve">                                    手机号码：</w:t>
      </w:r>
      <w:r>
        <w:rPr>
          <w:rFonts w:hint="eastAsia" w:ascii="宋体" w:hAnsi="宋体" w:cs="宋体"/>
          <w:sz w:val="24"/>
          <w:u w:val="single"/>
        </w:rPr>
        <w:t xml:space="preserve">                 </w:t>
      </w:r>
    </w:p>
    <w:p>
      <w:pPr>
        <w:spacing w:line="360" w:lineRule="auto"/>
        <w:ind w:right="380" w:firstLine="4320" w:firstLineChars="1800"/>
        <w:rPr>
          <w:rFonts w:ascii="宋体" w:hAnsi="宋体" w:cs="宋体"/>
          <w:sz w:val="24"/>
        </w:rPr>
      </w:pPr>
      <w:r>
        <w:rPr>
          <w:rFonts w:hint="eastAsia" w:ascii="宋体" w:hAnsi="宋体" w:cs="宋体"/>
          <w:sz w:val="24"/>
        </w:rPr>
        <w:t>邮政编码：</w:t>
      </w:r>
      <w:r>
        <w:rPr>
          <w:rFonts w:hint="eastAsia" w:ascii="宋体" w:hAnsi="宋体" w:cs="宋体"/>
          <w:sz w:val="24"/>
          <w:u w:val="single"/>
        </w:rPr>
        <w:t xml:space="preserve">                  </w:t>
      </w:r>
    </w:p>
    <w:p>
      <w:pPr>
        <w:spacing w:line="360" w:lineRule="auto"/>
        <w:ind w:right="380"/>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640"/>
        <w:rPr>
          <w:rFonts w:ascii="宋体" w:hAnsi="宋体" w:cs="宋体"/>
          <w:szCs w:val="21"/>
        </w:rPr>
      </w:pPr>
    </w:p>
    <w:p>
      <w:pPr>
        <w:pStyle w:val="4"/>
        <w:jc w:val="center"/>
        <w:rPr>
          <w:rFonts w:hint="eastAsia" w:ascii="宋体" w:hAnsi="宋体" w:eastAsia="宋体" w:cs="宋体"/>
        </w:rPr>
      </w:pPr>
      <w:bookmarkStart w:id="628" w:name="_Toc512"/>
      <w:bookmarkStart w:id="629" w:name="_Toc13714"/>
      <w:bookmarkStart w:id="630" w:name="_Toc16298_WPSOffice_Level1"/>
      <w:bookmarkStart w:id="631" w:name="_Toc5698"/>
      <w:bookmarkStart w:id="632" w:name="_Toc16099"/>
      <w:bookmarkStart w:id="633" w:name="_Toc27347"/>
      <w:bookmarkStart w:id="634" w:name="_Toc14555"/>
      <w:bookmarkStart w:id="635" w:name="_Toc16001"/>
      <w:bookmarkStart w:id="636" w:name="_Toc28545"/>
      <w:bookmarkStart w:id="637" w:name="_Toc2182"/>
      <w:bookmarkStart w:id="638" w:name="_Toc29049"/>
      <w:bookmarkStart w:id="639" w:name="_Toc30100"/>
      <w:bookmarkStart w:id="640" w:name="_Toc419114459"/>
      <w:bookmarkStart w:id="641" w:name="_Toc9122"/>
      <w:bookmarkStart w:id="642" w:name="_Toc29858"/>
      <w:bookmarkStart w:id="643" w:name="_Toc11159"/>
      <w:bookmarkStart w:id="644" w:name="_Toc31211"/>
      <w:bookmarkStart w:id="645" w:name="_Toc419109050"/>
      <w:bookmarkStart w:id="646" w:name="_Toc14074"/>
      <w:bookmarkStart w:id="647" w:name="_Toc13630"/>
      <w:bookmarkStart w:id="648" w:name="_Toc7567"/>
      <w:bookmarkStart w:id="649" w:name="_Toc492883627"/>
      <w:bookmarkStart w:id="650" w:name="_Toc17941"/>
      <w:bookmarkStart w:id="651" w:name="_Toc27467"/>
      <w:bookmarkStart w:id="652" w:name="_Toc4492"/>
      <w:bookmarkStart w:id="653" w:name="_Toc1935"/>
      <w:bookmarkStart w:id="654" w:name="_Toc14544"/>
      <w:bookmarkStart w:id="655" w:name="_Toc533590167"/>
      <w:bookmarkStart w:id="656" w:name="_Toc25908"/>
      <w:bookmarkStart w:id="657" w:name="_Toc18952"/>
      <w:bookmarkStart w:id="658" w:name="_Toc31554"/>
      <w:bookmarkStart w:id="659" w:name="_Toc14021"/>
    </w:p>
    <w:p>
      <w:pPr>
        <w:pStyle w:val="7"/>
        <w:rPr>
          <w:rFonts w:hint="eastAsia" w:ascii="宋体" w:hAnsi="宋体" w:eastAsia="宋体" w:cs="宋体"/>
        </w:rPr>
      </w:pPr>
    </w:p>
    <w:p>
      <w:pPr>
        <w:pStyle w:val="8"/>
        <w:rPr>
          <w:rFonts w:hint="eastAsia"/>
        </w:rPr>
      </w:pPr>
    </w:p>
    <w:p>
      <w:pPr>
        <w:pStyle w:val="4"/>
        <w:jc w:val="center"/>
        <w:rPr>
          <w:rFonts w:hint="eastAsia" w:ascii="宋体" w:hAnsi="宋体" w:eastAsia="宋体" w:cs="宋体"/>
        </w:rPr>
      </w:pPr>
      <w:r>
        <w:rPr>
          <w:rFonts w:hint="eastAsia" w:ascii="宋体" w:hAnsi="宋体" w:eastAsia="宋体" w:cs="宋体"/>
        </w:rPr>
        <w:t>（二）投标函附表</w:t>
      </w:r>
    </w:p>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tbl>
      <w:tblPr>
        <w:tblStyle w:val="22"/>
        <w:tblpPr w:leftFromText="181" w:rightFromText="181" w:vertAnchor="text" w:horzAnchor="margin" w:tblpY="130"/>
        <w:tblOverlap w:val="never"/>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2454"/>
        <w:gridCol w:w="1594"/>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trPr>
        <w:tc>
          <w:tcPr>
            <w:tcW w:w="2108" w:type="dxa"/>
            <w:vAlign w:val="center"/>
          </w:tcPr>
          <w:p>
            <w:pPr>
              <w:spacing w:line="480" w:lineRule="auto"/>
              <w:jc w:val="center"/>
              <w:rPr>
                <w:rFonts w:ascii="宋体" w:hAnsi="宋体" w:cs="宋体"/>
                <w:szCs w:val="21"/>
              </w:rPr>
            </w:pPr>
            <w:r>
              <w:rPr>
                <w:rFonts w:hint="eastAsia" w:ascii="宋体" w:hAnsi="宋体" w:cs="宋体"/>
                <w:szCs w:val="21"/>
              </w:rPr>
              <w:t>项目名称</w:t>
            </w:r>
          </w:p>
        </w:tc>
        <w:tc>
          <w:tcPr>
            <w:tcW w:w="7363" w:type="dxa"/>
            <w:gridSpan w:val="3"/>
            <w:vAlign w:val="center"/>
          </w:tcPr>
          <w:p>
            <w:pPr>
              <w:spacing w:line="480" w:lineRule="auto"/>
              <w:jc w:val="center"/>
              <w:rPr>
                <w:rFonts w:hint="eastAsia" w:ascii="宋体" w:hAnsi="宋体" w:eastAsia="宋体" w:cs="宋体"/>
                <w:szCs w:val="21"/>
                <w:lang w:eastAsia="zh-CN"/>
              </w:rPr>
            </w:pPr>
            <w:r>
              <w:rPr>
                <w:rFonts w:hint="eastAsia" w:ascii="宋体" w:hAnsi="宋体" w:cs="宋体"/>
                <w:szCs w:val="21"/>
                <w:lang w:eastAsia="zh-CN"/>
              </w:rPr>
              <w:t>荥阳市机关事务中心购置荥阳市人民武装部搬迁设施项目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2108" w:type="dxa"/>
            <w:vAlign w:val="center"/>
          </w:tcPr>
          <w:p>
            <w:pPr>
              <w:spacing w:line="480" w:lineRule="auto"/>
              <w:jc w:val="center"/>
              <w:rPr>
                <w:rFonts w:ascii="宋体" w:hAnsi="宋体" w:cs="宋体"/>
                <w:szCs w:val="21"/>
              </w:rPr>
            </w:pPr>
            <w:r>
              <w:rPr>
                <w:rFonts w:hint="eastAsia" w:ascii="宋体" w:hAnsi="宋体" w:cs="宋体"/>
                <w:szCs w:val="21"/>
              </w:rPr>
              <w:t>项目编号</w:t>
            </w:r>
          </w:p>
        </w:tc>
        <w:tc>
          <w:tcPr>
            <w:tcW w:w="7363" w:type="dxa"/>
            <w:gridSpan w:val="3"/>
            <w:vAlign w:val="center"/>
          </w:tcPr>
          <w:p>
            <w:pPr>
              <w:spacing w:line="480" w:lineRule="auto"/>
              <w:jc w:val="center"/>
              <w:rPr>
                <w:rFonts w:ascii="宋体" w:hAnsi="宋体" w:cs="宋体"/>
                <w:szCs w:val="21"/>
              </w:rPr>
            </w:pPr>
            <w:r>
              <w:rPr>
                <w:rFonts w:hint="eastAsia" w:ascii="宋体" w:hAnsi="宋体" w:cs="宋体"/>
                <w:szCs w:val="21"/>
              </w:rPr>
              <w:t>荥财公开-2024-15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2108" w:type="dxa"/>
            <w:vAlign w:val="center"/>
          </w:tcPr>
          <w:p>
            <w:pPr>
              <w:spacing w:line="480" w:lineRule="auto"/>
              <w:jc w:val="center"/>
              <w:rPr>
                <w:rFonts w:ascii="宋体" w:hAnsi="宋体" w:cs="宋体"/>
                <w:szCs w:val="21"/>
              </w:rPr>
            </w:pPr>
            <w:r>
              <w:rPr>
                <w:rFonts w:hint="eastAsia" w:ascii="宋体" w:hAnsi="宋体" w:cs="宋体"/>
                <w:szCs w:val="21"/>
              </w:rPr>
              <w:t>投标人名称</w:t>
            </w:r>
          </w:p>
        </w:tc>
        <w:tc>
          <w:tcPr>
            <w:tcW w:w="7363" w:type="dxa"/>
            <w:gridSpan w:val="3"/>
            <w:vAlign w:val="center"/>
          </w:tcPr>
          <w:p>
            <w:pPr>
              <w:spacing w:line="48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108" w:type="dxa"/>
            <w:vMerge w:val="restart"/>
            <w:vAlign w:val="center"/>
          </w:tcPr>
          <w:p>
            <w:pPr>
              <w:spacing w:line="480" w:lineRule="auto"/>
              <w:jc w:val="center"/>
              <w:rPr>
                <w:rFonts w:ascii="宋体" w:hAnsi="宋体" w:cs="宋体"/>
                <w:szCs w:val="21"/>
              </w:rPr>
            </w:pPr>
            <w:r>
              <w:rPr>
                <w:rFonts w:hint="eastAsia" w:ascii="宋体" w:hAnsi="宋体" w:cs="宋体"/>
                <w:szCs w:val="21"/>
              </w:rPr>
              <w:t>投标报价（元）</w:t>
            </w:r>
          </w:p>
        </w:tc>
        <w:tc>
          <w:tcPr>
            <w:tcW w:w="7363" w:type="dxa"/>
            <w:gridSpan w:val="3"/>
            <w:vAlign w:val="center"/>
          </w:tcPr>
          <w:p>
            <w:pPr>
              <w:spacing w:line="480" w:lineRule="auto"/>
              <w:jc w:val="left"/>
              <w:rPr>
                <w:rFonts w:ascii="宋体" w:hAnsi="宋体" w:cs="宋体"/>
                <w:szCs w:val="21"/>
              </w:rPr>
            </w:pPr>
            <w:r>
              <w:rPr>
                <w:rFonts w:hint="eastAsia" w:ascii="宋体" w:hAnsi="宋体" w:cs="宋体"/>
                <w:szCs w:val="21"/>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108" w:type="dxa"/>
            <w:vMerge w:val="continue"/>
            <w:vAlign w:val="center"/>
          </w:tcPr>
          <w:p>
            <w:pPr>
              <w:spacing w:line="480" w:lineRule="auto"/>
              <w:jc w:val="left"/>
              <w:rPr>
                <w:rFonts w:ascii="宋体" w:hAnsi="宋体" w:cs="宋体"/>
                <w:szCs w:val="21"/>
              </w:rPr>
            </w:pPr>
          </w:p>
        </w:tc>
        <w:tc>
          <w:tcPr>
            <w:tcW w:w="7363" w:type="dxa"/>
            <w:gridSpan w:val="3"/>
            <w:vAlign w:val="center"/>
          </w:tcPr>
          <w:p>
            <w:pPr>
              <w:spacing w:line="480" w:lineRule="auto"/>
              <w:jc w:val="left"/>
              <w:rPr>
                <w:rFonts w:ascii="宋体" w:hAnsi="宋体" w:cs="宋体"/>
                <w:szCs w:val="21"/>
              </w:rPr>
            </w:pPr>
            <w:r>
              <w:rPr>
                <w:rFonts w:hint="eastAsia" w:ascii="宋体" w:hAnsi="宋体" w:cs="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2108" w:type="dxa"/>
            <w:vAlign w:val="center"/>
          </w:tcPr>
          <w:p>
            <w:pPr>
              <w:spacing w:line="480" w:lineRule="auto"/>
              <w:jc w:val="center"/>
              <w:rPr>
                <w:rFonts w:ascii="宋体" w:hAnsi="宋体" w:cs="宋体"/>
                <w:szCs w:val="21"/>
              </w:rPr>
            </w:pPr>
            <w:r>
              <w:rPr>
                <w:rFonts w:hint="eastAsia" w:ascii="宋体" w:hAnsi="宋体" w:cs="宋体"/>
                <w:szCs w:val="21"/>
              </w:rPr>
              <w:t>供货安装及调试期限</w:t>
            </w:r>
          </w:p>
        </w:tc>
        <w:tc>
          <w:tcPr>
            <w:tcW w:w="7363" w:type="dxa"/>
            <w:gridSpan w:val="3"/>
            <w:vAlign w:val="center"/>
          </w:tcPr>
          <w:p>
            <w:pPr>
              <w:spacing w:line="480" w:lineRule="auto"/>
              <w:jc w:val="center"/>
              <w:rPr>
                <w:rFonts w:hint="eastAsia" w:ascii="宋体" w:hAnsi="宋体" w:eastAsia="宋体" w:cs="宋体"/>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108" w:type="dxa"/>
            <w:vAlign w:val="center"/>
          </w:tcPr>
          <w:p>
            <w:pPr>
              <w:spacing w:line="480" w:lineRule="auto"/>
              <w:jc w:val="center"/>
              <w:rPr>
                <w:rFonts w:hint="eastAsia" w:ascii="宋体" w:hAnsi="宋体" w:eastAsia="宋体" w:cs="宋体"/>
                <w:szCs w:val="21"/>
                <w:lang w:eastAsia="zh-CN"/>
              </w:rPr>
            </w:pPr>
            <w:r>
              <w:rPr>
                <w:rFonts w:hint="eastAsia" w:ascii="宋体" w:hAnsi="宋体" w:cs="宋体"/>
                <w:szCs w:val="21"/>
                <w:highlight w:val="none"/>
                <w:lang w:eastAsia="zh-CN"/>
              </w:rPr>
              <w:t>质保期</w:t>
            </w:r>
          </w:p>
        </w:tc>
        <w:tc>
          <w:tcPr>
            <w:tcW w:w="7363" w:type="dxa"/>
            <w:gridSpan w:val="3"/>
            <w:vAlign w:val="center"/>
          </w:tcPr>
          <w:p>
            <w:pPr>
              <w:spacing w:line="480" w:lineRule="auto"/>
              <w:jc w:val="center"/>
              <w:rPr>
                <w:rFonts w:hint="eastAsia" w:ascii="宋体" w:hAnsi="宋体" w:eastAsia="宋体" w:cs="宋体"/>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2108" w:type="dxa"/>
            <w:vAlign w:val="center"/>
          </w:tcPr>
          <w:p>
            <w:pPr>
              <w:spacing w:line="480" w:lineRule="auto"/>
              <w:jc w:val="center"/>
              <w:rPr>
                <w:rFonts w:ascii="宋体" w:hAnsi="宋体" w:cs="宋体"/>
                <w:szCs w:val="21"/>
              </w:rPr>
            </w:pPr>
            <w:r>
              <w:rPr>
                <w:rFonts w:hint="eastAsia" w:ascii="宋体" w:hAnsi="宋体" w:cs="宋体"/>
                <w:szCs w:val="21"/>
              </w:rPr>
              <w:t>响应的采购需求范围</w:t>
            </w:r>
          </w:p>
        </w:tc>
        <w:tc>
          <w:tcPr>
            <w:tcW w:w="7363" w:type="dxa"/>
            <w:gridSpan w:val="3"/>
            <w:vAlign w:val="center"/>
          </w:tcPr>
          <w:p>
            <w:pPr>
              <w:spacing w:line="480" w:lineRule="auto"/>
              <w:jc w:val="center"/>
              <w:rPr>
                <w:rFonts w:ascii="宋体" w:hAnsi="宋体" w:cs="宋体"/>
                <w:kern w:val="0"/>
                <w:szCs w:val="21"/>
              </w:rPr>
            </w:pPr>
            <w:r>
              <w:rPr>
                <w:rFonts w:hint="eastAsia" w:ascii="宋体" w:hAnsi="宋体" w:cs="宋体"/>
                <w:kern w:val="0"/>
                <w:szCs w:val="21"/>
              </w:rPr>
              <w:t>主要为荥阳市人民武装部搬迁购置一批办公设备。（详见招标文件内容）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2108" w:type="dxa"/>
            <w:vAlign w:val="center"/>
          </w:tcPr>
          <w:p>
            <w:pPr>
              <w:spacing w:line="480" w:lineRule="auto"/>
              <w:jc w:val="center"/>
              <w:rPr>
                <w:rFonts w:ascii="宋体" w:hAnsi="宋体" w:cs="宋体"/>
                <w:w w:val="90"/>
                <w:szCs w:val="21"/>
              </w:rPr>
            </w:pPr>
            <w:r>
              <w:rPr>
                <w:rFonts w:hint="eastAsia" w:ascii="宋体" w:hAnsi="宋体" w:cs="宋体"/>
                <w:szCs w:val="21"/>
              </w:rPr>
              <w:t>质量要求</w:t>
            </w:r>
          </w:p>
        </w:tc>
        <w:tc>
          <w:tcPr>
            <w:tcW w:w="7363" w:type="dxa"/>
            <w:gridSpan w:val="3"/>
            <w:vAlign w:val="center"/>
          </w:tcPr>
          <w:p>
            <w:pPr>
              <w:spacing w:line="480" w:lineRule="auto"/>
              <w:jc w:val="center"/>
              <w:rPr>
                <w:rFonts w:ascii="宋体" w:hAnsi="宋体" w:cs="宋体"/>
                <w:szCs w:val="21"/>
              </w:rPr>
            </w:pPr>
            <w:r>
              <w:rPr>
                <w:rFonts w:hint="eastAsia" w:ascii="宋体" w:hAnsi="宋体" w:cs="宋体"/>
                <w:kern w:val="0"/>
                <w:szCs w:val="21"/>
              </w:rPr>
              <w:t>合格，符合国家、地方现行相关规范要求，通过相关部门审查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2108" w:type="dxa"/>
            <w:vAlign w:val="center"/>
          </w:tcPr>
          <w:p>
            <w:pPr>
              <w:spacing w:line="480" w:lineRule="auto"/>
              <w:jc w:val="center"/>
              <w:rPr>
                <w:rFonts w:ascii="宋体" w:hAnsi="宋体" w:cs="宋体"/>
                <w:szCs w:val="21"/>
              </w:rPr>
            </w:pPr>
            <w:r>
              <w:rPr>
                <w:rFonts w:hint="eastAsia" w:ascii="宋体" w:hAnsi="宋体" w:cs="宋体"/>
                <w:szCs w:val="21"/>
              </w:rPr>
              <w:t>项目负责人</w:t>
            </w:r>
          </w:p>
        </w:tc>
        <w:tc>
          <w:tcPr>
            <w:tcW w:w="2454" w:type="dxa"/>
            <w:vAlign w:val="center"/>
          </w:tcPr>
          <w:p>
            <w:pPr>
              <w:spacing w:line="480" w:lineRule="auto"/>
              <w:jc w:val="center"/>
              <w:rPr>
                <w:rFonts w:ascii="宋体" w:hAnsi="宋体" w:cs="宋体"/>
                <w:szCs w:val="21"/>
              </w:rPr>
            </w:pPr>
          </w:p>
        </w:tc>
        <w:tc>
          <w:tcPr>
            <w:tcW w:w="1594" w:type="dxa"/>
            <w:vAlign w:val="center"/>
          </w:tcPr>
          <w:p>
            <w:pPr>
              <w:spacing w:line="480" w:lineRule="auto"/>
              <w:jc w:val="center"/>
              <w:rPr>
                <w:rFonts w:ascii="宋体" w:hAnsi="宋体" w:cs="宋体"/>
                <w:szCs w:val="21"/>
              </w:rPr>
            </w:pPr>
            <w:r>
              <w:rPr>
                <w:rFonts w:hint="eastAsia" w:ascii="宋体" w:hAnsi="宋体" w:cs="宋体"/>
                <w:szCs w:val="21"/>
              </w:rPr>
              <w:t>身份证号</w:t>
            </w:r>
          </w:p>
        </w:tc>
        <w:tc>
          <w:tcPr>
            <w:tcW w:w="3315" w:type="dxa"/>
            <w:vAlign w:val="center"/>
          </w:tcPr>
          <w:p>
            <w:pPr>
              <w:spacing w:line="48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2108" w:type="dxa"/>
            <w:vAlign w:val="center"/>
          </w:tcPr>
          <w:p>
            <w:pPr>
              <w:spacing w:line="480" w:lineRule="auto"/>
              <w:jc w:val="center"/>
              <w:rPr>
                <w:rFonts w:ascii="宋体" w:hAnsi="宋体" w:cs="宋体"/>
                <w:szCs w:val="21"/>
              </w:rPr>
            </w:pPr>
            <w:r>
              <w:rPr>
                <w:rFonts w:hint="eastAsia" w:ascii="宋体" w:hAnsi="宋体" w:cs="宋体"/>
                <w:szCs w:val="21"/>
              </w:rPr>
              <w:t>投标有效期</w:t>
            </w:r>
          </w:p>
        </w:tc>
        <w:tc>
          <w:tcPr>
            <w:tcW w:w="7363" w:type="dxa"/>
            <w:gridSpan w:val="3"/>
            <w:vAlign w:val="center"/>
          </w:tcPr>
          <w:p>
            <w:pPr>
              <w:spacing w:line="480" w:lineRule="auto"/>
              <w:jc w:val="center"/>
              <w:rPr>
                <w:rFonts w:ascii="宋体" w:hAnsi="宋体" w:cs="宋体"/>
                <w:szCs w:val="21"/>
              </w:rPr>
            </w:pPr>
            <w:r>
              <w:rPr>
                <w:rFonts w:hint="eastAsia" w:ascii="宋体" w:hAnsi="宋体" w:cs="宋体"/>
                <w:szCs w:val="21"/>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2108" w:type="dxa"/>
            <w:vAlign w:val="center"/>
          </w:tcPr>
          <w:p>
            <w:pPr>
              <w:spacing w:line="480" w:lineRule="auto"/>
              <w:jc w:val="center"/>
              <w:rPr>
                <w:rFonts w:ascii="宋体" w:hAnsi="宋体" w:cs="宋体"/>
                <w:szCs w:val="21"/>
              </w:rPr>
            </w:pPr>
            <w:r>
              <w:rPr>
                <w:rFonts w:hint="eastAsia" w:ascii="宋体" w:hAnsi="宋体" w:cs="宋体"/>
                <w:szCs w:val="21"/>
              </w:rPr>
              <w:t>需要说明的问题</w:t>
            </w:r>
          </w:p>
        </w:tc>
        <w:tc>
          <w:tcPr>
            <w:tcW w:w="7363" w:type="dxa"/>
            <w:gridSpan w:val="3"/>
            <w:vAlign w:val="center"/>
          </w:tcPr>
          <w:p>
            <w:pPr>
              <w:spacing w:line="480" w:lineRule="auto"/>
              <w:jc w:val="center"/>
              <w:rPr>
                <w:rFonts w:ascii="宋体" w:hAnsi="宋体" w:cs="宋体"/>
                <w:szCs w:val="21"/>
              </w:rPr>
            </w:pPr>
          </w:p>
        </w:tc>
      </w:tr>
    </w:tbl>
    <w:p>
      <w:pPr>
        <w:spacing w:line="360" w:lineRule="auto"/>
        <w:jc w:val="right"/>
        <w:rPr>
          <w:rFonts w:ascii="宋体" w:hAnsi="宋体" w:cs="宋体"/>
          <w:szCs w:val="21"/>
        </w:rPr>
      </w:pPr>
      <w:r>
        <w:rPr>
          <w:rFonts w:hint="eastAsia" w:ascii="宋体" w:hAnsi="宋体" w:cs="宋体"/>
          <w:szCs w:val="21"/>
        </w:rPr>
        <w:tab/>
      </w:r>
    </w:p>
    <w:p>
      <w:pPr>
        <w:spacing w:line="360" w:lineRule="auto"/>
        <w:ind w:right="380" w:firstLine="4560" w:firstLineChars="1900"/>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（盖单位章）</w:t>
      </w:r>
    </w:p>
    <w:p>
      <w:pPr>
        <w:spacing w:line="360" w:lineRule="auto"/>
        <w:jc w:val="center"/>
        <w:rPr>
          <w:rFonts w:ascii="宋体" w:hAnsi="宋体" w:cs="宋体"/>
          <w:sz w:val="24"/>
        </w:rPr>
      </w:pPr>
      <w:r>
        <w:rPr>
          <w:rFonts w:hint="eastAsia" w:ascii="宋体" w:hAnsi="宋体" w:cs="宋体"/>
          <w:sz w:val="24"/>
        </w:rPr>
        <w:t xml:space="preserve">                                       法定代表人或其委托代理人：</w:t>
      </w:r>
      <w:r>
        <w:rPr>
          <w:rFonts w:hint="eastAsia" w:ascii="宋体" w:hAnsi="宋体" w:cs="宋体"/>
          <w:sz w:val="24"/>
          <w:u w:val="single"/>
        </w:rPr>
        <w:t xml:space="preserve">    </w:t>
      </w:r>
      <w:r>
        <w:rPr>
          <w:rFonts w:hint="eastAsia" w:ascii="宋体" w:hAnsi="宋体" w:cs="宋体"/>
          <w:sz w:val="24"/>
        </w:rPr>
        <w:t>（签字或盖章）</w:t>
      </w:r>
    </w:p>
    <w:p>
      <w:pPr>
        <w:autoSpaceDE w:val="0"/>
        <w:autoSpaceDN w:val="0"/>
        <w:adjustRightInd w:val="0"/>
        <w:spacing w:line="360" w:lineRule="auto"/>
        <w:ind w:right="380"/>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jc w:val="center"/>
        <w:rPr>
          <w:rFonts w:ascii="宋体" w:hAnsi="宋体" w:cs="宋体"/>
          <w:sz w:val="24"/>
        </w:rPr>
        <w:sectPr>
          <w:pgSz w:w="11906" w:h="16838"/>
          <w:pgMar w:top="1418" w:right="1134" w:bottom="1418" w:left="1134" w:header="851" w:footer="992" w:gutter="0"/>
          <w:cols w:space="720" w:num="1"/>
          <w:docGrid w:type="lines" w:linePitch="312" w:charSpace="0"/>
        </w:sectPr>
      </w:pPr>
    </w:p>
    <w:p>
      <w:pPr>
        <w:pStyle w:val="5"/>
        <w:jc w:val="center"/>
        <w:rPr>
          <w:rFonts w:ascii="宋体" w:hAnsi="宋体" w:cs="宋体"/>
          <w:kern w:val="0"/>
          <w:sz w:val="32"/>
        </w:rPr>
      </w:pPr>
      <w:bookmarkStart w:id="660" w:name="_Toc184635139"/>
      <w:bookmarkStart w:id="661" w:name="_Toc3818"/>
      <w:bookmarkStart w:id="662" w:name="_Toc30188"/>
      <w:bookmarkStart w:id="663" w:name="_Toc28453"/>
      <w:bookmarkStart w:id="664" w:name="_Toc15714"/>
      <w:bookmarkStart w:id="665" w:name="_Toc26008"/>
      <w:bookmarkStart w:id="666" w:name="_Toc2235"/>
      <w:r>
        <w:rPr>
          <w:rFonts w:hint="eastAsia" w:ascii="宋体" w:hAnsi="宋体" w:cs="宋体"/>
          <w:kern w:val="0"/>
          <w:sz w:val="32"/>
        </w:rPr>
        <w:t>二、法定代表人身份证明</w:t>
      </w:r>
      <w:bookmarkEnd w:id="660"/>
      <w:bookmarkEnd w:id="661"/>
      <w:bookmarkEnd w:id="662"/>
      <w:bookmarkEnd w:id="663"/>
      <w:bookmarkEnd w:id="664"/>
      <w:bookmarkEnd w:id="665"/>
      <w:bookmarkEnd w:id="666"/>
    </w:p>
    <w:p>
      <w:pPr>
        <w:spacing w:line="360" w:lineRule="auto"/>
        <w:ind w:firstLine="420" w:firstLineChars="200"/>
        <w:rPr>
          <w:rFonts w:ascii="宋体" w:hAnsi="宋体" w:cs="宋体"/>
          <w:szCs w:val="21"/>
        </w:rPr>
      </w:pPr>
    </w:p>
    <w:p>
      <w:pPr>
        <w:spacing w:line="360" w:lineRule="auto"/>
        <w:ind w:firstLine="480" w:firstLineChars="200"/>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480" w:firstLineChars="200"/>
        <w:rPr>
          <w:rFonts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_</w:t>
      </w:r>
    </w:p>
    <w:p>
      <w:pPr>
        <w:spacing w:line="360" w:lineRule="auto"/>
        <w:ind w:firstLine="480" w:firstLineChars="20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（投标人名称）的法定代表人。</w:t>
      </w:r>
    </w:p>
    <w:p>
      <w:pPr>
        <w:spacing w:line="360" w:lineRule="auto"/>
        <w:ind w:firstLine="480" w:firstLineChars="200"/>
        <w:rPr>
          <w:rFonts w:ascii="宋体" w:hAnsi="宋体" w:cs="宋体"/>
          <w:sz w:val="24"/>
        </w:rPr>
      </w:pPr>
      <w:r>
        <w:rPr>
          <w:rFonts w:hint="eastAsia" w:ascii="宋体" w:hAnsi="宋体" w:cs="宋体"/>
          <w:sz w:val="24"/>
        </w:rPr>
        <w:t>特此证明。</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                                         投标人：</w:t>
      </w:r>
      <w:r>
        <w:rPr>
          <w:rFonts w:hint="eastAsia" w:ascii="宋体" w:hAnsi="宋体" w:cs="宋体"/>
          <w:sz w:val="24"/>
          <w:u w:val="single"/>
        </w:rPr>
        <w:t xml:space="preserve">                </w:t>
      </w:r>
      <w:r>
        <w:rPr>
          <w:rFonts w:hint="eastAsia" w:ascii="宋体" w:hAnsi="宋体" w:cs="宋体"/>
          <w:sz w:val="24"/>
        </w:rPr>
        <w:t>（盖单位章）</w:t>
      </w:r>
    </w:p>
    <w:p>
      <w:pPr>
        <w:spacing w:line="360" w:lineRule="auto"/>
        <w:rPr>
          <w:rFonts w:ascii="宋体" w:hAnsi="宋体" w:cs="宋体"/>
          <w:sz w:val="24"/>
        </w:rPr>
      </w:pPr>
      <w:r>
        <w:rPr>
          <w:rFonts w:hint="eastAsia" w:ascii="宋体" w:hAnsi="宋体" w:cs="宋体"/>
          <w:sz w:val="24"/>
        </w:rPr>
        <w:t xml:space="preserve">                                         日期：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480" w:firstLineChars="200"/>
        <w:rPr>
          <w:rFonts w:ascii="宋体" w:hAnsi="宋体" w:cs="宋体"/>
          <w:sz w:val="24"/>
        </w:rPr>
        <w:sectPr>
          <w:pgSz w:w="11906" w:h="16838"/>
          <w:pgMar w:top="1418" w:right="1134" w:bottom="1418" w:left="1134" w:header="851" w:footer="992" w:gutter="0"/>
          <w:cols w:space="720" w:num="1"/>
          <w:docGrid w:type="lines" w:linePitch="312" w:charSpace="0"/>
        </w:sectPr>
      </w:pPr>
    </w:p>
    <w:p>
      <w:pPr>
        <w:spacing w:line="360" w:lineRule="auto"/>
        <w:ind w:firstLine="472" w:firstLineChars="225"/>
        <w:rPr>
          <w:rFonts w:ascii="宋体" w:hAnsi="宋体" w:cs="宋体"/>
          <w:szCs w:val="21"/>
        </w:rPr>
      </w:pPr>
    </w:p>
    <w:p>
      <w:pPr>
        <w:pStyle w:val="5"/>
        <w:jc w:val="center"/>
        <w:rPr>
          <w:rFonts w:ascii="宋体" w:hAnsi="宋体" w:cs="宋体"/>
          <w:kern w:val="0"/>
          <w:sz w:val="32"/>
        </w:rPr>
      </w:pPr>
      <w:bookmarkStart w:id="667" w:name="_Toc15273"/>
      <w:bookmarkStart w:id="668" w:name="_Toc13029"/>
      <w:bookmarkStart w:id="669" w:name="_Toc18272"/>
      <w:bookmarkStart w:id="670" w:name="_Toc12962"/>
      <w:bookmarkStart w:id="671" w:name="_Toc30163"/>
      <w:bookmarkStart w:id="672" w:name="_Toc184635140"/>
      <w:bookmarkStart w:id="673" w:name="_Toc24099"/>
      <w:r>
        <w:rPr>
          <w:rFonts w:hint="eastAsia" w:ascii="宋体" w:hAnsi="宋体" w:cs="宋体"/>
          <w:kern w:val="0"/>
          <w:sz w:val="32"/>
        </w:rPr>
        <w:t>三、授权委托书</w:t>
      </w:r>
      <w:bookmarkEnd w:id="667"/>
      <w:bookmarkEnd w:id="668"/>
      <w:bookmarkEnd w:id="669"/>
      <w:bookmarkEnd w:id="670"/>
      <w:bookmarkEnd w:id="671"/>
      <w:bookmarkEnd w:id="672"/>
      <w:bookmarkEnd w:id="673"/>
    </w:p>
    <w:p>
      <w:pPr>
        <w:spacing w:line="360" w:lineRule="auto"/>
        <w:ind w:firstLine="480" w:firstLineChars="200"/>
        <w:rPr>
          <w:rFonts w:ascii="宋体" w:hAnsi="宋体" w:cs="宋体"/>
          <w:sz w:val="24"/>
        </w:rPr>
      </w:pPr>
    </w:p>
    <w:p>
      <w:pPr>
        <w:spacing w:line="360" w:lineRule="auto"/>
        <w:ind w:left="210" w:leftChars="100" w:firstLine="240" w:firstLineChars="100"/>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（投标人名称）的法定代表人，现委托</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（姓名）为我方代理人。代理人根据授权，以我方名义签署、澄清、说明、补正、递交、撤回、修改________________（项目名称）投标文件、签订合同和处理有关事宜，其法律后果由我方承担。</w:t>
      </w:r>
    </w:p>
    <w:p>
      <w:pPr>
        <w:spacing w:line="360" w:lineRule="auto"/>
        <w:ind w:firstLine="480" w:firstLineChars="200"/>
        <w:rPr>
          <w:rFonts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代理人无转委托权。</w:t>
      </w:r>
    </w:p>
    <w:p>
      <w:pPr>
        <w:spacing w:line="360" w:lineRule="auto"/>
        <w:ind w:firstLine="480" w:firstLineChars="200"/>
        <w:rPr>
          <w:rFonts w:ascii="宋体" w:hAnsi="宋体" w:cs="宋体"/>
          <w:sz w:val="24"/>
        </w:rPr>
      </w:pPr>
      <w:r>
        <w:rPr>
          <w:rFonts w:hint="eastAsia" w:ascii="宋体" w:hAnsi="宋体" w:cs="宋体"/>
          <w:sz w:val="24"/>
        </w:rPr>
        <w:t>附：法定代表人身份证、委托代理人身份证</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wordWrap w:val="0"/>
        <w:spacing w:line="360" w:lineRule="auto"/>
        <w:jc w:val="center"/>
        <w:rPr>
          <w:rFonts w:ascii="宋体" w:hAnsi="宋体" w:cs="宋体"/>
          <w:sz w:val="24"/>
        </w:rPr>
      </w:pPr>
      <w:r>
        <w:rPr>
          <w:rFonts w:hint="eastAsia" w:ascii="宋体" w:hAnsi="宋体" w:cs="宋体"/>
          <w:sz w:val="24"/>
        </w:rPr>
        <w:t xml:space="preserve">                             投标人：</w:t>
      </w:r>
      <w:r>
        <w:rPr>
          <w:rFonts w:hint="eastAsia" w:ascii="宋体" w:hAnsi="宋体" w:cs="宋体"/>
          <w:sz w:val="24"/>
          <w:u w:val="single"/>
        </w:rPr>
        <w:t xml:space="preserve">                       </w:t>
      </w:r>
      <w:r>
        <w:rPr>
          <w:rFonts w:hint="eastAsia" w:ascii="宋体" w:hAnsi="宋体" w:cs="宋体"/>
          <w:sz w:val="24"/>
        </w:rPr>
        <w:t>（盖单位章）</w:t>
      </w:r>
    </w:p>
    <w:p>
      <w:pPr>
        <w:spacing w:line="360" w:lineRule="auto"/>
        <w:ind w:right="190"/>
        <w:jc w:val="center"/>
        <w:rPr>
          <w:rFonts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ind w:right="380"/>
        <w:rPr>
          <w:rFonts w:ascii="宋体" w:hAnsi="宋体" w:cs="宋体"/>
          <w:sz w:val="24"/>
        </w:rPr>
      </w:pPr>
      <w:r>
        <w:rPr>
          <w:rFonts w:hint="eastAsia" w:ascii="宋体" w:hAnsi="宋体" w:cs="宋体"/>
          <w:sz w:val="24"/>
        </w:rPr>
        <w:t xml:space="preserve">                             身份证号码： </w:t>
      </w:r>
      <w:r>
        <w:rPr>
          <w:rFonts w:hint="eastAsia" w:ascii="宋体" w:hAnsi="宋体" w:cs="宋体"/>
          <w:sz w:val="24"/>
          <w:u w:val="single"/>
        </w:rPr>
        <w:t xml:space="preserve">                                </w:t>
      </w:r>
    </w:p>
    <w:p>
      <w:pPr>
        <w:spacing w:line="360" w:lineRule="auto"/>
        <w:ind w:right="95"/>
        <w:jc w:val="center"/>
        <w:rPr>
          <w:rFonts w:ascii="宋体" w:hAnsi="宋体" w:cs="宋体"/>
          <w:sz w:val="24"/>
        </w:rPr>
      </w:pPr>
      <w:r>
        <w:rPr>
          <w:rFonts w:hint="eastAsia" w:ascii="宋体" w:hAnsi="宋体" w:cs="宋体"/>
          <w:sz w:val="24"/>
        </w:rPr>
        <w:t xml:space="preserve">                       委托代理人：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ind w:right="380"/>
        <w:jc w:val="center"/>
        <w:rPr>
          <w:rFonts w:ascii="宋体" w:hAnsi="宋体" w:cs="宋体"/>
          <w:sz w:val="24"/>
          <w:u w:val="single"/>
        </w:rPr>
      </w:pPr>
      <w:r>
        <w:rPr>
          <w:rFonts w:hint="eastAsia" w:ascii="宋体" w:hAnsi="宋体" w:cs="宋体"/>
          <w:sz w:val="24"/>
        </w:rPr>
        <w:t xml:space="preserve">   身份证号码：</w:t>
      </w:r>
      <w:r>
        <w:rPr>
          <w:rFonts w:hint="eastAsia" w:ascii="宋体" w:hAnsi="宋体" w:cs="宋体"/>
          <w:sz w:val="24"/>
          <w:u w:val="single"/>
        </w:rPr>
        <w:t xml:space="preserve">                                     </w:t>
      </w:r>
    </w:p>
    <w:p>
      <w:pPr>
        <w:spacing w:line="360" w:lineRule="auto"/>
        <w:ind w:right="380"/>
        <w:jc w:val="center"/>
        <w:rPr>
          <w:rFonts w:ascii="宋体" w:hAnsi="宋体" w:cs="宋体"/>
          <w:sz w:val="24"/>
        </w:rPr>
      </w:pPr>
      <w:r>
        <w:rPr>
          <w:rFonts w:hint="eastAsia" w:ascii="宋体" w:hAnsi="宋体" w:cs="宋体"/>
          <w:sz w:val="24"/>
        </w:rPr>
        <w:t xml:space="preserve">                       日期：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7"/>
        <w:ind w:firstLine="640"/>
        <w:rPr>
          <w:rFonts w:ascii="宋体" w:hAnsi="宋体" w:cs="宋体"/>
          <w:sz w:val="32"/>
        </w:rPr>
      </w:pPr>
    </w:p>
    <w:p>
      <w:pPr>
        <w:pStyle w:val="8"/>
        <w:rPr>
          <w:rFonts w:ascii="宋体" w:hAnsi="宋体" w:cs="宋体"/>
          <w:sz w:val="32"/>
        </w:rPr>
      </w:pPr>
    </w:p>
    <w:p>
      <w:pPr>
        <w:pStyle w:val="8"/>
        <w:rPr>
          <w:rFonts w:ascii="宋体" w:hAnsi="宋体" w:cs="宋体"/>
          <w:sz w:val="32"/>
        </w:rPr>
      </w:pPr>
    </w:p>
    <w:p>
      <w:pPr>
        <w:pStyle w:val="8"/>
        <w:rPr>
          <w:rFonts w:ascii="宋体" w:hAnsi="宋体" w:cs="宋体"/>
          <w:sz w:val="32"/>
        </w:rPr>
      </w:pPr>
    </w:p>
    <w:p>
      <w:pPr>
        <w:pStyle w:val="8"/>
        <w:rPr>
          <w:rFonts w:ascii="宋体" w:hAnsi="宋体" w:cs="宋体"/>
          <w:sz w:val="32"/>
        </w:rPr>
      </w:pPr>
    </w:p>
    <w:p>
      <w:pPr>
        <w:pStyle w:val="8"/>
      </w:pPr>
    </w:p>
    <w:p>
      <w:pPr>
        <w:pStyle w:val="5"/>
        <w:jc w:val="center"/>
        <w:rPr>
          <w:rFonts w:ascii="宋体" w:hAnsi="宋体" w:cs="宋体"/>
          <w:kern w:val="0"/>
          <w:sz w:val="32"/>
        </w:rPr>
      </w:pPr>
      <w:bookmarkStart w:id="674" w:name="_Toc19037"/>
      <w:bookmarkStart w:id="675" w:name="_Toc22516"/>
      <w:bookmarkStart w:id="676" w:name="_Toc26764"/>
      <w:bookmarkStart w:id="677" w:name="_Toc17531"/>
      <w:bookmarkStart w:id="678" w:name="_Toc20372"/>
      <w:bookmarkStart w:id="679" w:name="_Toc6896"/>
      <w:bookmarkStart w:id="680" w:name="_Toc20514"/>
      <w:bookmarkStart w:id="681" w:name="_Toc28956"/>
      <w:bookmarkStart w:id="682" w:name="_Toc20362"/>
      <w:bookmarkStart w:id="683" w:name="_Toc11535"/>
      <w:bookmarkStart w:id="684" w:name="_Toc24260"/>
      <w:r>
        <w:rPr>
          <w:rFonts w:hint="eastAsia" w:ascii="宋体" w:hAnsi="宋体" w:cs="宋体"/>
          <w:kern w:val="0"/>
          <w:sz w:val="32"/>
        </w:rPr>
        <w:t>四、报价明细表</w:t>
      </w:r>
      <w:bookmarkEnd w:id="674"/>
      <w:bookmarkEnd w:id="675"/>
      <w:bookmarkEnd w:id="676"/>
      <w:bookmarkEnd w:id="677"/>
      <w:bookmarkEnd w:id="678"/>
      <w:bookmarkEnd w:id="679"/>
      <w:bookmarkEnd w:id="680"/>
      <w:bookmarkEnd w:id="681"/>
      <w:bookmarkEnd w:id="682"/>
      <w:bookmarkEnd w:id="683"/>
      <w:bookmarkEnd w:id="684"/>
    </w:p>
    <w:p>
      <w:pPr>
        <w:pStyle w:val="4"/>
        <w:spacing w:line="360" w:lineRule="auto"/>
        <w:jc w:val="center"/>
        <w:rPr>
          <w:rFonts w:ascii="宋体" w:hAnsi="宋体" w:eastAsia="宋体" w:cs="宋体"/>
        </w:rPr>
      </w:pPr>
    </w:p>
    <w:p>
      <w:pPr>
        <w:pStyle w:val="5"/>
        <w:rPr>
          <w:rFonts w:ascii="宋体" w:hAnsi="宋体" w:cs="宋体"/>
        </w:rPr>
      </w:pPr>
    </w:p>
    <w:p>
      <w:pPr>
        <w:pStyle w:val="4"/>
        <w:jc w:val="center"/>
        <w:rPr>
          <w:rFonts w:ascii="宋体" w:hAnsi="宋体" w:eastAsia="宋体" w:cs="宋体"/>
        </w:rPr>
      </w:pPr>
      <w:bookmarkStart w:id="685" w:name="_Toc15583"/>
      <w:bookmarkStart w:id="686" w:name="_Toc25522"/>
      <w:r>
        <w:rPr>
          <w:rFonts w:hint="eastAsia" w:ascii="宋体" w:hAnsi="宋体" w:eastAsia="宋体" w:cs="宋体"/>
        </w:rPr>
        <w:t>（格式自拟）</w:t>
      </w:r>
      <w:bookmarkEnd w:id="685"/>
      <w:bookmarkEnd w:id="686"/>
    </w:p>
    <w:p>
      <w:pPr>
        <w:pStyle w:val="5"/>
        <w:rPr>
          <w:rFonts w:ascii="宋体" w:hAnsi="宋体" w:cs="宋体"/>
        </w:rPr>
      </w:pPr>
    </w:p>
    <w:p>
      <w:pPr>
        <w:pStyle w:val="5"/>
        <w:rPr>
          <w:rFonts w:ascii="宋体" w:hAnsi="宋体" w:cs="宋体"/>
        </w:rPr>
      </w:pPr>
    </w:p>
    <w:p>
      <w:pPr>
        <w:pStyle w:val="20"/>
        <w:rPr>
          <w:rFonts w:ascii="宋体" w:hAnsi="宋体" w:cs="宋体"/>
          <w:b/>
        </w:rPr>
      </w:pPr>
    </w:p>
    <w:p>
      <w:pPr>
        <w:pStyle w:val="20"/>
        <w:rPr>
          <w:rFonts w:ascii="宋体" w:hAnsi="宋体" w:cs="宋体"/>
          <w:b/>
        </w:rPr>
      </w:pPr>
    </w:p>
    <w:p>
      <w:pPr>
        <w:pStyle w:val="20"/>
        <w:rPr>
          <w:rFonts w:ascii="宋体" w:hAnsi="宋体" w:cs="宋体"/>
          <w:b/>
        </w:rPr>
      </w:pPr>
    </w:p>
    <w:p>
      <w:pPr>
        <w:pStyle w:val="20"/>
        <w:rPr>
          <w:rFonts w:ascii="宋体" w:hAnsi="宋体" w:cs="宋体"/>
          <w:b/>
        </w:rPr>
      </w:pPr>
    </w:p>
    <w:p>
      <w:pPr>
        <w:adjustRightInd w:val="0"/>
        <w:snapToGrid w:val="0"/>
        <w:spacing w:line="440" w:lineRule="exact"/>
        <w:rPr>
          <w:rFonts w:ascii="宋体" w:hAnsi="宋体" w:cs="宋体"/>
          <w:sz w:val="24"/>
        </w:rPr>
      </w:pPr>
    </w:p>
    <w:p>
      <w:pPr>
        <w:pStyle w:val="9"/>
        <w:rPr>
          <w:rFonts w:ascii="宋体" w:hAnsi="宋体" w:eastAsia="宋体" w:cs="宋体"/>
          <w:sz w:val="24"/>
        </w:rPr>
      </w:pPr>
    </w:p>
    <w:p>
      <w:pPr>
        <w:rPr>
          <w:rFonts w:ascii="宋体" w:hAnsi="宋体" w:cs="宋体"/>
          <w:sz w:val="24"/>
        </w:rPr>
      </w:pPr>
    </w:p>
    <w:p>
      <w:pPr>
        <w:pStyle w:val="9"/>
        <w:rPr>
          <w:rFonts w:ascii="宋体" w:hAnsi="宋体" w:eastAsia="宋体" w:cs="宋体"/>
          <w:sz w:val="24"/>
        </w:rPr>
      </w:pPr>
    </w:p>
    <w:p>
      <w:pPr>
        <w:rPr>
          <w:rFonts w:ascii="宋体" w:hAnsi="宋体" w:cs="宋体"/>
          <w:sz w:val="24"/>
        </w:rPr>
      </w:pPr>
    </w:p>
    <w:p>
      <w:pPr>
        <w:pStyle w:val="9"/>
        <w:rPr>
          <w:rFonts w:ascii="宋体" w:hAnsi="宋体" w:eastAsia="宋体" w:cs="宋体"/>
          <w:sz w:val="24"/>
        </w:rPr>
      </w:pPr>
    </w:p>
    <w:p/>
    <w:p>
      <w:pPr>
        <w:adjustRightInd w:val="0"/>
        <w:snapToGrid w:val="0"/>
        <w:spacing w:line="440" w:lineRule="exact"/>
        <w:jc w:val="right"/>
        <w:rPr>
          <w:rFonts w:ascii="宋体" w:hAnsi="宋体" w:cs="宋体"/>
          <w:sz w:val="24"/>
        </w:rPr>
      </w:pPr>
    </w:p>
    <w:p>
      <w:pPr>
        <w:adjustRightInd w:val="0"/>
        <w:snapToGrid w:val="0"/>
        <w:spacing w:line="440" w:lineRule="exact"/>
        <w:jc w:val="right"/>
        <w:rPr>
          <w:rFonts w:ascii="宋体" w:hAnsi="宋体" w:cs="宋体"/>
          <w:sz w:val="24"/>
        </w:rPr>
      </w:pPr>
    </w:p>
    <w:p>
      <w:pPr>
        <w:adjustRightInd w:val="0"/>
        <w:snapToGrid w:val="0"/>
        <w:spacing w:line="440" w:lineRule="exact"/>
        <w:jc w:val="right"/>
        <w:rPr>
          <w:rFonts w:ascii="宋体" w:hAnsi="宋体" w:cs="宋体"/>
          <w:sz w:val="24"/>
        </w:rPr>
      </w:pPr>
    </w:p>
    <w:p>
      <w:pPr>
        <w:adjustRightInd w:val="0"/>
        <w:snapToGrid w:val="0"/>
        <w:spacing w:line="440" w:lineRule="exact"/>
        <w:jc w:val="right"/>
        <w:rPr>
          <w:rFonts w:ascii="宋体" w:hAnsi="宋体" w:cs="宋体"/>
          <w:sz w:val="24"/>
        </w:rPr>
      </w:pPr>
    </w:p>
    <w:p>
      <w:pPr>
        <w:adjustRightInd w:val="0"/>
        <w:snapToGrid w:val="0"/>
        <w:spacing w:line="440" w:lineRule="exact"/>
        <w:jc w:val="right"/>
        <w:rPr>
          <w:rFonts w:ascii="宋体" w:hAnsi="宋体" w:cs="宋体"/>
          <w:sz w:val="24"/>
        </w:rPr>
      </w:pPr>
    </w:p>
    <w:p>
      <w:pPr>
        <w:adjustRightInd w:val="0"/>
        <w:snapToGrid w:val="0"/>
        <w:spacing w:line="440" w:lineRule="exact"/>
        <w:jc w:val="right"/>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（盖章）</w:t>
      </w:r>
    </w:p>
    <w:p>
      <w:pPr>
        <w:adjustRightInd w:val="0"/>
        <w:snapToGrid w:val="0"/>
        <w:spacing w:line="440" w:lineRule="exact"/>
        <w:jc w:val="right"/>
        <w:rPr>
          <w:rFonts w:ascii="宋体" w:hAnsi="宋体" w:cs="宋体"/>
          <w:b/>
          <w:bCs/>
          <w:sz w:val="24"/>
        </w:rPr>
      </w:pPr>
      <w:r>
        <w:rPr>
          <w:rFonts w:hint="eastAsia" w:ascii="宋体" w:hAnsi="宋体" w:cs="宋体"/>
          <w:sz w:val="24"/>
        </w:rPr>
        <w:t xml:space="preserve">法定代表人或其委托代理人（签字或盖章）：    </w:t>
      </w:r>
      <w:r>
        <w:rPr>
          <w:rFonts w:hint="eastAsia" w:ascii="宋体" w:hAnsi="宋体" w:cs="宋体"/>
          <w:sz w:val="24"/>
          <w:u w:val="single"/>
        </w:rPr>
        <w:t xml:space="preserve">                  </w:t>
      </w:r>
    </w:p>
    <w:p>
      <w:pPr>
        <w:adjustRightInd w:val="0"/>
        <w:snapToGrid w:val="0"/>
        <w:spacing w:line="440" w:lineRule="exact"/>
        <w:jc w:val="right"/>
        <w:rPr>
          <w:rFonts w:ascii="宋体" w:hAnsi="宋体" w:cs="宋体"/>
          <w:sz w:val="24"/>
        </w:rPr>
      </w:pPr>
      <w:r>
        <w:rPr>
          <w:rFonts w:hint="eastAsia" w:ascii="宋体" w:hAnsi="宋体" w:cs="宋体"/>
          <w:sz w:val="24"/>
        </w:rPr>
        <w:t>日期：  年    月   日</w:t>
      </w:r>
    </w:p>
    <w:p>
      <w:pPr>
        <w:pStyle w:val="13"/>
        <w:jc w:val="right"/>
        <w:rPr>
          <w:rFonts w:hAnsi="宋体" w:cs="宋体"/>
          <w:sz w:val="24"/>
          <w:szCs w:val="24"/>
        </w:rPr>
      </w:pPr>
    </w:p>
    <w:p>
      <w:pPr>
        <w:pStyle w:val="13"/>
        <w:jc w:val="right"/>
        <w:rPr>
          <w:rFonts w:hAnsi="宋体" w:cs="宋体"/>
          <w:sz w:val="24"/>
          <w:szCs w:val="24"/>
        </w:rPr>
      </w:pPr>
    </w:p>
    <w:p>
      <w:pPr>
        <w:ind w:firstLine="480" w:firstLineChars="200"/>
        <w:jc w:val="right"/>
        <w:rPr>
          <w:rFonts w:ascii="宋体" w:hAnsi="宋体" w:cs="宋体"/>
          <w:sz w:val="24"/>
        </w:rPr>
      </w:pPr>
      <w:r>
        <w:rPr>
          <w:rFonts w:hint="eastAsia" w:ascii="宋体" w:hAnsi="宋体" w:cs="宋体"/>
          <w:sz w:val="24"/>
        </w:rPr>
        <w:br w:type="page"/>
      </w:r>
    </w:p>
    <w:p>
      <w:pPr>
        <w:pStyle w:val="5"/>
        <w:jc w:val="center"/>
        <w:rPr>
          <w:rFonts w:ascii="宋体" w:hAnsi="宋体" w:cs="宋体"/>
          <w:kern w:val="0"/>
          <w:sz w:val="32"/>
        </w:rPr>
      </w:pPr>
      <w:bookmarkStart w:id="687" w:name="_Toc20738"/>
      <w:bookmarkStart w:id="688" w:name="_Toc1326"/>
      <w:bookmarkStart w:id="689" w:name="_Toc24620"/>
      <w:bookmarkStart w:id="690" w:name="_Toc27155"/>
      <w:bookmarkStart w:id="691" w:name="_Toc5685"/>
      <w:bookmarkStart w:id="692" w:name="_Toc28955"/>
      <w:bookmarkStart w:id="693" w:name="_Toc9309"/>
      <w:bookmarkStart w:id="694" w:name="_Toc16082"/>
      <w:bookmarkStart w:id="695" w:name="_Toc24286"/>
      <w:bookmarkStart w:id="696" w:name="_Toc1192"/>
      <w:bookmarkStart w:id="697" w:name="_Toc17145"/>
      <w:bookmarkStart w:id="698" w:name="_Toc32232"/>
      <w:bookmarkStart w:id="699" w:name="_Toc21128"/>
      <w:bookmarkStart w:id="700" w:name="_Toc12590"/>
      <w:r>
        <w:rPr>
          <w:rFonts w:hint="eastAsia" w:ascii="宋体" w:hAnsi="宋体" w:cs="宋体"/>
          <w:kern w:val="0"/>
          <w:sz w:val="32"/>
        </w:rPr>
        <w:t>五、</w:t>
      </w:r>
      <w:bookmarkEnd w:id="687"/>
      <w:bookmarkEnd w:id="688"/>
      <w:bookmarkEnd w:id="689"/>
      <w:bookmarkEnd w:id="690"/>
      <w:bookmarkEnd w:id="691"/>
      <w:bookmarkEnd w:id="692"/>
      <w:bookmarkEnd w:id="693"/>
      <w:bookmarkEnd w:id="694"/>
      <w:bookmarkEnd w:id="695"/>
      <w:bookmarkEnd w:id="696"/>
      <w:bookmarkEnd w:id="697"/>
      <w:bookmarkEnd w:id="698"/>
      <w:bookmarkEnd w:id="699"/>
      <w:r>
        <w:rPr>
          <w:rFonts w:hint="eastAsia" w:ascii="宋体" w:hAnsi="宋体" w:cs="宋体"/>
          <w:kern w:val="0"/>
          <w:sz w:val="32"/>
        </w:rPr>
        <w:t>资格审查资料</w:t>
      </w:r>
      <w:bookmarkEnd w:id="700"/>
    </w:p>
    <w:p>
      <w:pPr>
        <w:pStyle w:val="5"/>
        <w:rPr>
          <w:rFonts w:ascii="宋体" w:hAnsi="宋体" w:cs="宋体"/>
          <w:b w:val="0"/>
          <w:bCs w:val="0"/>
          <w:szCs w:val="24"/>
        </w:rPr>
      </w:pPr>
    </w:p>
    <w:p>
      <w:pPr>
        <w:pStyle w:val="5"/>
        <w:rPr>
          <w:rFonts w:ascii="宋体" w:hAnsi="宋体" w:cs="宋体"/>
          <w:b w:val="0"/>
          <w:bCs w:val="0"/>
          <w:szCs w:val="24"/>
        </w:rPr>
      </w:pPr>
    </w:p>
    <w:p>
      <w:pPr>
        <w:pStyle w:val="5"/>
        <w:rPr>
          <w:rFonts w:ascii="宋体" w:hAnsi="宋体" w:cs="宋体"/>
          <w:szCs w:val="24"/>
        </w:rPr>
      </w:pPr>
      <w:bookmarkStart w:id="701" w:name="_Toc23688"/>
      <w:bookmarkStart w:id="702" w:name="_Toc8665"/>
      <w:r>
        <w:rPr>
          <w:rFonts w:hint="eastAsia" w:ascii="宋体" w:hAnsi="宋体" w:cs="宋体"/>
          <w:b w:val="0"/>
          <w:bCs w:val="0"/>
          <w:szCs w:val="24"/>
        </w:rPr>
        <w:t>附按照招标文件要求（投标须知前附表、评分办法前附表等）规定附相关证明材料</w:t>
      </w:r>
      <w:bookmarkEnd w:id="701"/>
      <w:bookmarkEnd w:id="702"/>
    </w:p>
    <w:p>
      <w:pPr>
        <w:spacing w:line="360" w:lineRule="auto"/>
        <w:ind w:firstLine="640"/>
        <w:rPr>
          <w:rFonts w:ascii="宋体" w:hAnsi="宋体" w:cs="宋体"/>
        </w:rPr>
      </w:pPr>
    </w:p>
    <w:p>
      <w:pPr>
        <w:pStyle w:val="2"/>
        <w:rPr>
          <w:rFonts w:ascii="宋体" w:hAnsi="宋体" w:cs="宋体"/>
          <w:color w:val="auto"/>
        </w:rPr>
      </w:pPr>
    </w:p>
    <w:p>
      <w:pPr>
        <w:rPr>
          <w:rFonts w:ascii="宋体" w:hAnsi="宋体" w:cs="宋体"/>
        </w:rPr>
      </w:pPr>
    </w:p>
    <w:p>
      <w:pPr>
        <w:pStyle w:val="2"/>
        <w:rPr>
          <w:rFonts w:ascii="宋体" w:hAnsi="宋体" w:cs="宋体"/>
          <w:color w:val="auto"/>
        </w:rPr>
      </w:pPr>
    </w:p>
    <w:p>
      <w:pPr>
        <w:rPr>
          <w:rFonts w:ascii="宋体" w:hAnsi="宋体" w:cs="宋体"/>
        </w:rPr>
      </w:pPr>
    </w:p>
    <w:p>
      <w:pPr>
        <w:pStyle w:val="2"/>
        <w:rPr>
          <w:rFonts w:ascii="宋体" w:hAnsi="宋体" w:cs="宋体"/>
          <w:color w:val="auto"/>
        </w:rPr>
      </w:pPr>
    </w:p>
    <w:p>
      <w:pPr>
        <w:rPr>
          <w:rFonts w:ascii="宋体" w:hAnsi="宋体" w:cs="宋体"/>
        </w:rPr>
      </w:pPr>
    </w:p>
    <w:p>
      <w:pPr>
        <w:pStyle w:val="2"/>
        <w:rPr>
          <w:rFonts w:ascii="宋体" w:hAnsi="宋体" w:cs="宋体"/>
          <w:color w:val="auto"/>
        </w:rPr>
      </w:pPr>
    </w:p>
    <w:p>
      <w:pPr>
        <w:rPr>
          <w:rFonts w:ascii="宋体" w:hAnsi="宋体" w:cs="宋体"/>
        </w:rPr>
      </w:pPr>
    </w:p>
    <w:p>
      <w:pPr>
        <w:pStyle w:val="2"/>
        <w:rPr>
          <w:rFonts w:ascii="宋体" w:hAnsi="宋体" w:cs="宋体"/>
          <w:color w:val="auto"/>
        </w:rPr>
      </w:pPr>
    </w:p>
    <w:p>
      <w:pPr>
        <w:rPr>
          <w:rFonts w:ascii="宋体" w:hAnsi="宋体" w:cs="宋体"/>
        </w:rPr>
      </w:pPr>
    </w:p>
    <w:p>
      <w:pPr>
        <w:pStyle w:val="2"/>
        <w:rPr>
          <w:rFonts w:ascii="宋体" w:hAnsi="宋体" w:cs="宋体"/>
          <w:color w:val="auto"/>
        </w:rPr>
      </w:pPr>
    </w:p>
    <w:p>
      <w:pPr>
        <w:rPr>
          <w:rFonts w:ascii="宋体" w:hAnsi="宋体" w:cs="宋体"/>
        </w:rPr>
      </w:pPr>
    </w:p>
    <w:p>
      <w:pPr>
        <w:pStyle w:val="2"/>
        <w:rPr>
          <w:rFonts w:ascii="宋体" w:hAnsi="宋体" w:cs="宋体"/>
          <w:color w:val="auto"/>
        </w:rPr>
      </w:pPr>
    </w:p>
    <w:p>
      <w:pPr>
        <w:rPr>
          <w:rFonts w:ascii="宋体" w:hAnsi="宋体" w:cs="宋体"/>
        </w:rPr>
      </w:pPr>
    </w:p>
    <w:p>
      <w:pPr>
        <w:pStyle w:val="2"/>
        <w:rPr>
          <w:rFonts w:ascii="宋体" w:hAnsi="宋体" w:cs="宋体"/>
          <w:color w:val="auto"/>
        </w:rPr>
      </w:pPr>
    </w:p>
    <w:p>
      <w:pPr>
        <w:rPr>
          <w:rFonts w:ascii="宋体" w:hAnsi="宋体" w:cs="宋体"/>
        </w:rPr>
      </w:pPr>
    </w:p>
    <w:p>
      <w:pPr>
        <w:pStyle w:val="2"/>
        <w:rPr>
          <w:rFonts w:ascii="宋体" w:hAnsi="宋体" w:cs="宋体"/>
          <w:color w:val="auto"/>
        </w:rPr>
      </w:pPr>
    </w:p>
    <w:p>
      <w:pPr>
        <w:rPr>
          <w:rFonts w:ascii="宋体" w:hAnsi="宋体" w:cs="宋体"/>
        </w:rPr>
      </w:pPr>
    </w:p>
    <w:p>
      <w:pPr>
        <w:pStyle w:val="2"/>
        <w:rPr>
          <w:rFonts w:ascii="宋体" w:hAnsi="宋体" w:cs="宋体"/>
          <w:color w:val="auto"/>
        </w:rPr>
      </w:pPr>
    </w:p>
    <w:p>
      <w:pPr>
        <w:rPr>
          <w:rFonts w:ascii="宋体" w:hAnsi="宋体" w:cs="宋体"/>
        </w:rPr>
      </w:pPr>
    </w:p>
    <w:p>
      <w:pPr>
        <w:pStyle w:val="2"/>
        <w:rPr>
          <w:rFonts w:ascii="宋体" w:hAnsi="宋体" w:cs="宋体"/>
          <w:color w:val="auto"/>
        </w:rPr>
      </w:pPr>
    </w:p>
    <w:p/>
    <w:p>
      <w:pPr>
        <w:pStyle w:val="5"/>
        <w:jc w:val="center"/>
        <w:rPr>
          <w:rFonts w:ascii="宋体" w:hAnsi="宋体" w:cs="宋体"/>
          <w:kern w:val="0"/>
          <w:sz w:val="32"/>
        </w:rPr>
      </w:pPr>
      <w:bookmarkStart w:id="703" w:name="_Toc14253"/>
      <w:bookmarkStart w:id="704" w:name="_Toc5134"/>
      <w:bookmarkStart w:id="705" w:name="_Toc25951"/>
      <w:bookmarkStart w:id="706" w:name="_Toc16464"/>
      <w:bookmarkStart w:id="707" w:name="_Toc26699"/>
      <w:bookmarkStart w:id="708" w:name="_Toc356"/>
      <w:bookmarkStart w:id="709" w:name="_Toc27414"/>
      <w:bookmarkStart w:id="710" w:name="_Toc21010"/>
      <w:bookmarkStart w:id="711" w:name="_Toc9015"/>
      <w:bookmarkStart w:id="712" w:name="_Toc27548"/>
      <w:bookmarkStart w:id="713" w:name="_Toc18966"/>
      <w:r>
        <w:rPr>
          <w:rFonts w:hint="eastAsia" w:ascii="宋体" w:hAnsi="宋体" w:cs="宋体"/>
          <w:kern w:val="0"/>
          <w:sz w:val="32"/>
        </w:rPr>
        <w:t>六、</w:t>
      </w:r>
      <w:bookmarkEnd w:id="703"/>
      <w:bookmarkEnd w:id="704"/>
      <w:bookmarkEnd w:id="705"/>
      <w:bookmarkEnd w:id="706"/>
      <w:bookmarkEnd w:id="707"/>
      <w:bookmarkEnd w:id="708"/>
      <w:bookmarkEnd w:id="709"/>
      <w:bookmarkEnd w:id="710"/>
      <w:bookmarkEnd w:id="711"/>
      <w:bookmarkEnd w:id="712"/>
      <w:r>
        <w:rPr>
          <w:rFonts w:hint="eastAsia" w:ascii="宋体" w:hAnsi="宋体" w:cs="宋体"/>
          <w:kern w:val="0"/>
          <w:sz w:val="32"/>
        </w:rPr>
        <w:t>技术部分和综合部分</w:t>
      </w:r>
      <w:bookmarkEnd w:id="713"/>
    </w:p>
    <w:p>
      <w:pPr>
        <w:spacing w:line="360" w:lineRule="auto"/>
        <w:jc w:val="center"/>
        <w:rPr>
          <w:rFonts w:ascii="宋体" w:hAnsi="宋体" w:cs="宋体"/>
          <w:sz w:val="19"/>
          <w:szCs w:val="19"/>
        </w:rPr>
      </w:pPr>
    </w:p>
    <w:p>
      <w:pPr>
        <w:spacing w:line="360" w:lineRule="auto"/>
        <w:jc w:val="center"/>
        <w:rPr>
          <w:rFonts w:ascii="宋体" w:hAnsi="宋体" w:cs="宋体"/>
          <w:sz w:val="19"/>
          <w:szCs w:val="19"/>
        </w:rPr>
      </w:pPr>
    </w:p>
    <w:p>
      <w:pPr>
        <w:spacing w:line="360" w:lineRule="auto"/>
        <w:jc w:val="center"/>
        <w:rPr>
          <w:rFonts w:ascii="宋体" w:hAnsi="宋体" w:cs="宋体"/>
          <w:sz w:val="19"/>
          <w:szCs w:val="19"/>
        </w:rPr>
      </w:pPr>
    </w:p>
    <w:p>
      <w:pPr>
        <w:spacing w:line="360" w:lineRule="auto"/>
        <w:jc w:val="center"/>
        <w:rPr>
          <w:rFonts w:ascii="宋体" w:hAnsi="宋体" w:cs="宋体"/>
          <w:sz w:val="19"/>
          <w:szCs w:val="19"/>
        </w:rPr>
      </w:pPr>
    </w:p>
    <w:p>
      <w:pPr>
        <w:spacing w:line="360" w:lineRule="auto"/>
        <w:jc w:val="center"/>
        <w:rPr>
          <w:rFonts w:ascii="宋体" w:hAnsi="宋体" w:cs="宋体"/>
          <w:sz w:val="19"/>
          <w:szCs w:val="19"/>
        </w:rPr>
      </w:pPr>
      <w:r>
        <w:rPr>
          <w:rFonts w:hint="eastAsia" w:ascii="宋体" w:hAnsi="宋体" w:cs="宋体"/>
          <w:sz w:val="19"/>
          <w:szCs w:val="19"/>
        </w:rPr>
        <w:t>（</w:t>
      </w:r>
      <w:r>
        <w:rPr>
          <w:rFonts w:hint="eastAsia" w:ascii="宋体" w:hAnsi="宋体" w:cs="宋体"/>
          <w:sz w:val="24"/>
        </w:rPr>
        <w:t>投标人参照评标办法中技术部分和综合部分要求自行编制</w:t>
      </w:r>
      <w:r>
        <w:rPr>
          <w:rFonts w:hint="eastAsia" w:ascii="宋体" w:hAnsi="宋体" w:cs="宋体"/>
          <w:sz w:val="19"/>
          <w:szCs w:val="19"/>
        </w:rPr>
        <w:t>）</w:t>
      </w:r>
    </w:p>
    <w:p>
      <w:pPr>
        <w:spacing w:line="360" w:lineRule="auto"/>
        <w:jc w:val="center"/>
        <w:rPr>
          <w:rFonts w:ascii="宋体" w:hAnsi="宋体" w:cs="宋体"/>
          <w:szCs w:val="21"/>
        </w:rPr>
      </w:pPr>
    </w:p>
    <w:p>
      <w:pPr>
        <w:jc w:val="cente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pacing w:line="276" w:lineRule="auto"/>
        <w:rPr>
          <w:rFonts w:ascii="宋体" w:hAnsi="宋体" w:cs="宋体"/>
        </w:rPr>
      </w:pPr>
    </w:p>
    <w:p>
      <w:pPr>
        <w:spacing w:line="276" w:lineRule="auto"/>
        <w:rPr>
          <w:rFonts w:ascii="宋体" w:hAnsi="宋体" w:cs="宋体"/>
        </w:rPr>
      </w:pPr>
    </w:p>
    <w:p>
      <w:pPr>
        <w:pStyle w:val="5"/>
        <w:spacing w:line="276" w:lineRule="auto"/>
        <w:ind w:firstLine="1084" w:firstLineChars="450"/>
        <w:rPr>
          <w:rFonts w:ascii="宋体" w:hAnsi="宋体" w:cs="宋体"/>
          <w:szCs w:val="24"/>
        </w:rPr>
      </w:pPr>
      <w:bookmarkStart w:id="714" w:name="_Toc492883634"/>
    </w:p>
    <w:p>
      <w:pPr>
        <w:pStyle w:val="5"/>
        <w:spacing w:line="276" w:lineRule="auto"/>
        <w:ind w:firstLine="1084" w:firstLineChars="450"/>
        <w:rPr>
          <w:rFonts w:ascii="宋体" w:hAnsi="宋体" w:cs="宋体"/>
          <w:szCs w:val="24"/>
        </w:rPr>
      </w:pPr>
    </w:p>
    <w:p>
      <w:pPr>
        <w:pStyle w:val="5"/>
        <w:spacing w:line="276" w:lineRule="auto"/>
        <w:ind w:firstLine="1084" w:firstLineChars="450"/>
        <w:rPr>
          <w:rFonts w:ascii="宋体" w:hAnsi="宋体" w:cs="宋体"/>
          <w:szCs w:val="24"/>
        </w:rPr>
      </w:pPr>
    </w:p>
    <w:p>
      <w:pPr>
        <w:pStyle w:val="5"/>
        <w:spacing w:line="276" w:lineRule="auto"/>
        <w:ind w:firstLine="1084" w:firstLineChars="450"/>
        <w:rPr>
          <w:rFonts w:ascii="宋体" w:hAnsi="宋体" w:cs="宋体"/>
          <w:szCs w:val="24"/>
        </w:rPr>
      </w:pPr>
    </w:p>
    <w:p>
      <w:pPr>
        <w:pStyle w:val="5"/>
        <w:spacing w:line="276" w:lineRule="auto"/>
        <w:ind w:firstLine="1084" w:firstLineChars="450"/>
        <w:rPr>
          <w:rFonts w:ascii="宋体" w:hAnsi="宋体" w:cs="宋体"/>
          <w:szCs w:val="24"/>
        </w:rPr>
      </w:pPr>
    </w:p>
    <w:p>
      <w:pPr>
        <w:pStyle w:val="5"/>
        <w:spacing w:line="276" w:lineRule="auto"/>
        <w:ind w:firstLine="1084" w:firstLineChars="450"/>
        <w:rPr>
          <w:rFonts w:ascii="宋体" w:hAnsi="宋体" w:cs="宋体"/>
          <w:szCs w:val="24"/>
        </w:rPr>
      </w:pPr>
    </w:p>
    <w:p>
      <w:pPr>
        <w:pStyle w:val="5"/>
        <w:spacing w:line="276" w:lineRule="auto"/>
        <w:ind w:firstLine="1084" w:firstLineChars="450"/>
        <w:rPr>
          <w:rFonts w:ascii="宋体" w:hAnsi="宋体" w:cs="宋体"/>
          <w:szCs w:val="24"/>
        </w:rPr>
      </w:pPr>
    </w:p>
    <w:p>
      <w:pPr>
        <w:pStyle w:val="5"/>
        <w:spacing w:line="276" w:lineRule="auto"/>
        <w:ind w:firstLine="1084" w:firstLineChars="450"/>
        <w:rPr>
          <w:rFonts w:ascii="宋体" w:hAnsi="宋体" w:cs="宋体"/>
          <w:szCs w:val="24"/>
        </w:rPr>
      </w:pPr>
    </w:p>
    <w:p>
      <w:pPr>
        <w:pStyle w:val="5"/>
        <w:spacing w:line="276" w:lineRule="auto"/>
        <w:ind w:firstLine="1084" w:firstLineChars="450"/>
        <w:rPr>
          <w:rFonts w:ascii="宋体" w:hAnsi="宋体" w:cs="宋体"/>
          <w:szCs w:val="24"/>
        </w:rPr>
      </w:pPr>
    </w:p>
    <w:p>
      <w:pPr>
        <w:pStyle w:val="5"/>
        <w:spacing w:line="276" w:lineRule="auto"/>
        <w:ind w:firstLine="1084" w:firstLineChars="450"/>
        <w:rPr>
          <w:rFonts w:ascii="宋体" w:hAnsi="宋体" w:cs="宋体"/>
          <w:szCs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bookmarkEnd w:id="714"/>
    <w:p>
      <w:pPr>
        <w:pStyle w:val="5"/>
        <w:jc w:val="center"/>
        <w:rPr>
          <w:rFonts w:ascii="宋体" w:hAnsi="宋体" w:cs="宋体"/>
          <w:kern w:val="0"/>
          <w:sz w:val="32"/>
        </w:rPr>
      </w:pPr>
      <w:bookmarkStart w:id="715" w:name="_Toc29939"/>
      <w:bookmarkStart w:id="716" w:name="_Toc30141"/>
      <w:bookmarkStart w:id="717" w:name="_Toc22863"/>
      <w:bookmarkStart w:id="718" w:name="_Toc25664"/>
      <w:bookmarkStart w:id="719" w:name="_Toc18472"/>
      <w:bookmarkStart w:id="720" w:name="_Toc12907"/>
      <w:bookmarkStart w:id="721" w:name="_Toc27230"/>
      <w:bookmarkStart w:id="722" w:name="_Toc827"/>
      <w:bookmarkStart w:id="723" w:name="_Toc21074"/>
      <w:bookmarkStart w:id="724" w:name="_Toc7003"/>
      <w:bookmarkStart w:id="725" w:name="_Toc8148"/>
      <w:bookmarkStart w:id="726" w:name="_Toc16801"/>
      <w:bookmarkStart w:id="727" w:name="_Toc19983"/>
      <w:r>
        <w:rPr>
          <w:rFonts w:hint="eastAsia" w:ascii="宋体" w:hAnsi="宋体" w:cs="宋体"/>
          <w:kern w:val="0"/>
          <w:sz w:val="32"/>
        </w:rPr>
        <w:t>七、技术要求响应与偏差表</w:t>
      </w:r>
      <w:bookmarkEnd w:id="715"/>
      <w:bookmarkEnd w:id="716"/>
      <w:bookmarkEnd w:id="717"/>
      <w:bookmarkEnd w:id="718"/>
      <w:bookmarkEnd w:id="719"/>
      <w:bookmarkEnd w:id="720"/>
      <w:bookmarkEnd w:id="721"/>
      <w:bookmarkEnd w:id="722"/>
      <w:bookmarkEnd w:id="723"/>
      <w:bookmarkEnd w:id="724"/>
      <w:bookmarkEnd w:id="725"/>
      <w:bookmarkEnd w:id="726"/>
      <w:bookmarkEnd w:id="727"/>
    </w:p>
    <w:p>
      <w:pPr>
        <w:pStyle w:val="13"/>
        <w:rPr>
          <w:rFonts w:hAnsi="宋体" w:cs="宋体"/>
          <w:b/>
        </w:rPr>
      </w:pPr>
    </w:p>
    <w:p>
      <w:pP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名称：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197"/>
        <w:gridCol w:w="2133"/>
        <w:gridCol w:w="2947"/>
        <w:gridCol w:w="141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197"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2133"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要求的技术性能指标和参数</w:t>
            </w:r>
          </w:p>
        </w:tc>
        <w:tc>
          <w:tcPr>
            <w:tcW w:w="294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产品</w:t>
            </w:r>
          </w:p>
        </w:tc>
        <w:tc>
          <w:tcPr>
            <w:tcW w:w="1418"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偏差描述</w:t>
            </w:r>
          </w:p>
        </w:tc>
        <w:tc>
          <w:tcPr>
            <w:tcW w:w="850"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continue"/>
            <w:noWrap w:val="0"/>
            <w:vAlign w:val="center"/>
          </w:tcPr>
          <w:p>
            <w:pPr>
              <w:rPr>
                <w:rFonts w:hint="eastAsia" w:ascii="宋体" w:hAnsi="宋体" w:eastAsia="宋体" w:cs="宋体"/>
                <w:sz w:val="24"/>
                <w:szCs w:val="24"/>
                <w:highlight w:val="none"/>
              </w:rPr>
            </w:pPr>
          </w:p>
        </w:tc>
        <w:tc>
          <w:tcPr>
            <w:tcW w:w="1197" w:type="dxa"/>
            <w:vMerge w:val="continue"/>
            <w:noWrap w:val="0"/>
            <w:vAlign w:val="center"/>
          </w:tcPr>
          <w:p>
            <w:pPr>
              <w:rPr>
                <w:rFonts w:hint="eastAsia" w:ascii="宋体" w:hAnsi="宋体" w:eastAsia="宋体" w:cs="宋体"/>
                <w:sz w:val="24"/>
                <w:szCs w:val="24"/>
                <w:highlight w:val="none"/>
              </w:rPr>
            </w:pPr>
          </w:p>
        </w:tc>
        <w:tc>
          <w:tcPr>
            <w:tcW w:w="2133" w:type="dxa"/>
            <w:vMerge w:val="continue"/>
            <w:noWrap w:val="0"/>
            <w:vAlign w:val="center"/>
          </w:tcPr>
          <w:p>
            <w:pPr>
              <w:rPr>
                <w:rFonts w:hint="eastAsia" w:ascii="宋体" w:hAnsi="宋体" w:eastAsia="宋体" w:cs="宋体"/>
                <w:sz w:val="24"/>
                <w:szCs w:val="24"/>
                <w:highlight w:val="none"/>
              </w:rPr>
            </w:pPr>
          </w:p>
        </w:tc>
        <w:tc>
          <w:tcPr>
            <w:tcW w:w="294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实际技术性能指标和参数</w:t>
            </w:r>
          </w:p>
        </w:tc>
        <w:tc>
          <w:tcPr>
            <w:tcW w:w="1418" w:type="dxa"/>
            <w:vMerge w:val="continue"/>
            <w:noWrap w:val="0"/>
            <w:vAlign w:val="center"/>
          </w:tcPr>
          <w:p>
            <w:pPr>
              <w:rPr>
                <w:rFonts w:hint="eastAsia" w:ascii="宋体" w:hAnsi="宋体" w:eastAsia="宋体" w:cs="宋体"/>
                <w:sz w:val="24"/>
                <w:szCs w:val="24"/>
                <w:highlight w:val="none"/>
              </w:rPr>
            </w:pPr>
          </w:p>
        </w:tc>
        <w:tc>
          <w:tcPr>
            <w:tcW w:w="850" w:type="dxa"/>
            <w:vMerge w:val="continue"/>
            <w:noWrap w:val="0"/>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35" w:type="dxa"/>
            <w:noWrap w:val="0"/>
            <w:vAlign w:val="top"/>
          </w:tcPr>
          <w:p>
            <w:pPr>
              <w:rPr>
                <w:rFonts w:hint="eastAsia" w:ascii="宋体" w:hAnsi="宋体" w:eastAsia="宋体" w:cs="宋体"/>
                <w:sz w:val="24"/>
                <w:szCs w:val="24"/>
                <w:highlight w:val="none"/>
              </w:rPr>
            </w:pPr>
          </w:p>
        </w:tc>
        <w:tc>
          <w:tcPr>
            <w:tcW w:w="1197" w:type="dxa"/>
            <w:noWrap w:val="0"/>
            <w:vAlign w:val="top"/>
          </w:tcPr>
          <w:p>
            <w:pPr>
              <w:rPr>
                <w:rFonts w:hint="eastAsia" w:ascii="宋体" w:hAnsi="宋体" w:eastAsia="宋体" w:cs="宋体"/>
                <w:sz w:val="24"/>
                <w:szCs w:val="24"/>
                <w:highlight w:val="none"/>
              </w:rPr>
            </w:pPr>
          </w:p>
        </w:tc>
        <w:tc>
          <w:tcPr>
            <w:tcW w:w="2133" w:type="dxa"/>
            <w:noWrap w:val="0"/>
            <w:vAlign w:val="top"/>
          </w:tcPr>
          <w:p>
            <w:pPr>
              <w:rPr>
                <w:rFonts w:hint="eastAsia" w:ascii="宋体" w:hAnsi="宋体" w:eastAsia="宋体" w:cs="宋体"/>
                <w:sz w:val="24"/>
                <w:szCs w:val="24"/>
                <w:highlight w:val="none"/>
              </w:rPr>
            </w:pPr>
          </w:p>
        </w:tc>
        <w:tc>
          <w:tcPr>
            <w:tcW w:w="2947" w:type="dxa"/>
            <w:noWrap w:val="0"/>
            <w:vAlign w:val="top"/>
          </w:tcPr>
          <w:p>
            <w:pPr>
              <w:rPr>
                <w:rFonts w:hint="eastAsia" w:ascii="宋体" w:hAnsi="宋体" w:eastAsia="宋体" w:cs="宋体"/>
                <w:sz w:val="24"/>
                <w:szCs w:val="24"/>
                <w:highlight w:val="none"/>
              </w:rPr>
            </w:pPr>
          </w:p>
        </w:tc>
        <w:tc>
          <w:tcPr>
            <w:tcW w:w="1418" w:type="dxa"/>
            <w:noWrap w:val="0"/>
            <w:vAlign w:val="top"/>
          </w:tcPr>
          <w:p>
            <w:pPr>
              <w:rPr>
                <w:rFonts w:hint="eastAsia" w:ascii="宋体" w:hAnsi="宋体" w:eastAsia="宋体" w:cs="宋体"/>
                <w:sz w:val="24"/>
                <w:szCs w:val="24"/>
                <w:highlight w:val="none"/>
              </w:rPr>
            </w:pPr>
          </w:p>
        </w:tc>
        <w:tc>
          <w:tcPr>
            <w:tcW w:w="850" w:type="dxa"/>
            <w:noWrap w:val="0"/>
            <w:vAlign w:val="top"/>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35" w:type="dxa"/>
            <w:noWrap w:val="0"/>
            <w:vAlign w:val="top"/>
          </w:tcPr>
          <w:p>
            <w:pPr>
              <w:rPr>
                <w:rFonts w:hint="eastAsia" w:ascii="宋体" w:hAnsi="宋体" w:eastAsia="宋体" w:cs="宋体"/>
                <w:sz w:val="24"/>
                <w:szCs w:val="24"/>
                <w:highlight w:val="none"/>
              </w:rPr>
            </w:pPr>
          </w:p>
        </w:tc>
        <w:tc>
          <w:tcPr>
            <w:tcW w:w="1197" w:type="dxa"/>
            <w:noWrap w:val="0"/>
            <w:vAlign w:val="top"/>
          </w:tcPr>
          <w:p>
            <w:pPr>
              <w:rPr>
                <w:rFonts w:hint="eastAsia" w:ascii="宋体" w:hAnsi="宋体" w:eastAsia="宋体" w:cs="宋体"/>
                <w:sz w:val="24"/>
                <w:szCs w:val="24"/>
                <w:highlight w:val="none"/>
              </w:rPr>
            </w:pPr>
          </w:p>
        </w:tc>
        <w:tc>
          <w:tcPr>
            <w:tcW w:w="2133" w:type="dxa"/>
            <w:noWrap w:val="0"/>
            <w:vAlign w:val="top"/>
          </w:tcPr>
          <w:p>
            <w:pPr>
              <w:rPr>
                <w:rFonts w:hint="eastAsia" w:ascii="宋体" w:hAnsi="宋体" w:eastAsia="宋体" w:cs="宋体"/>
                <w:sz w:val="24"/>
                <w:szCs w:val="24"/>
                <w:highlight w:val="none"/>
              </w:rPr>
            </w:pPr>
          </w:p>
        </w:tc>
        <w:tc>
          <w:tcPr>
            <w:tcW w:w="2947" w:type="dxa"/>
            <w:noWrap w:val="0"/>
            <w:vAlign w:val="top"/>
          </w:tcPr>
          <w:p>
            <w:pPr>
              <w:rPr>
                <w:rFonts w:hint="eastAsia" w:ascii="宋体" w:hAnsi="宋体" w:eastAsia="宋体" w:cs="宋体"/>
                <w:sz w:val="24"/>
                <w:szCs w:val="24"/>
                <w:highlight w:val="none"/>
              </w:rPr>
            </w:pPr>
          </w:p>
        </w:tc>
        <w:tc>
          <w:tcPr>
            <w:tcW w:w="1418" w:type="dxa"/>
            <w:noWrap w:val="0"/>
            <w:vAlign w:val="top"/>
          </w:tcPr>
          <w:p>
            <w:pPr>
              <w:rPr>
                <w:rFonts w:hint="eastAsia" w:ascii="宋体" w:hAnsi="宋体" w:eastAsia="宋体" w:cs="宋体"/>
                <w:sz w:val="24"/>
                <w:szCs w:val="24"/>
                <w:highlight w:val="none"/>
              </w:rPr>
            </w:pPr>
          </w:p>
        </w:tc>
        <w:tc>
          <w:tcPr>
            <w:tcW w:w="850" w:type="dxa"/>
            <w:noWrap w:val="0"/>
            <w:vAlign w:val="top"/>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635" w:type="dxa"/>
            <w:noWrap w:val="0"/>
            <w:vAlign w:val="top"/>
          </w:tcPr>
          <w:p>
            <w:pPr>
              <w:rPr>
                <w:rFonts w:hint="eastAsia" w:ascii="宋体" w:hAnsi="宋体" w:eastAsia="宋体" w:cs="宋体"/>
                <w:sz w:val="24"/>
                <w:szCs w:val="24"/>
                <w:highlight w:val="none"/>
              </w:rPr>
            </w:pPr>
          </w:p>
        </w:tc>
        <w:tc>
          <w:tcPr>
            <w:tcW w:w="1197" w:type="dxa"/>
            <w:noWrap w:val="0"/>
            <w:vAlign w:val="top"/>
          </w:tcPr>
          <w:p>
            <w:pPr>
              <w:rPr>
                <w:rFonts w:hint="eastAsia" w:ascii="宋体" w:hAnsi="宋体" w:eastAsia="宋体" w:cs="宋体"/>
                <w:sz w:val="24"/>
                <w:szCs w:val="24"/>
                <w:highlight w:val="none"/>
              </w:rPr>
            </w:pPr>
          </w:p>
        </w:tc>
        <w:tc>
          <w:tcPr>
            <w:tcW w:w="2133" w:type="dxa"/>
            <w:noWrap w:val="0"/>
            <w:vAlign w:val="top"/>
          </w:tcPr>
          <w:p>
            <w:pPr>
              <w:rPr>
                <w:rFonts w:hint="eastAsia" w:ascii="宋体" w:hAnsi="宋体" w:eastAsia="宋体" w:cs="宋体"/>
                <w:sz w:val="24"/>
                <w:szCs w:val="24"/>
                <w:highlight w:val="none"/>
              </w:rPr>
            </w:pPr>
          </w:p>
        </w:tc>
        <w:tc>
          <w:tcPr>
            <w:tcW w:w="2947" w:type="dxa"/>
            <w:noWrap w:val="0"/>
            <w:vAlign w:val="top"/>
          </w:tcPr>
          <w:p>
            <w:pPr>
              <w:rPr>
                <w:rFonts w:hint="eastAsia" w:ascii="宋体" w:hAnsi="宋体" w:eastAsia="宋体" w:cs="宋体"/>
                <w:sz w:val="24"/>
                <w:szCs w:val="24"/>
                <w:highlight w:val="none"/>
              </w:rPr>
            </w:pPr>
          </w:p>
        </w:tc>
        <w:tc>
          <w:tcPr>
            <w:tcW w:w="1418" w:type="dxa"/>
            <w:noWrap w:val="0"/>
            <w:vAlign w:val="top"/>
          </w:tcPr>
          <w:p>
            <w:pPr>
              <w:rPr>
                <w:rFonts w:hint="eastAsia" w:ascii="宋体" w:hAnsi="宋体" w:eastAsia="宋体" w:cs="宋体"/>
                <w:sz w:val="24"/>
                <w:szCs w:val="24"/>
                <w:highlight w:val="none"/>
              </w:rPr>
            </w:pPr>
          </w:p>
        </w:tc>
        <w:tc>
          <w:tcPr>
            <w:tcW w:w="850" w:type="dxa"/>
            <w:noWrap w:val="0"/>
            <w:vAlign w:val="top"/>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35" w:type="dxa"/>
            <w:noWrap w:val="0"/>
            <w:vAlign w:val="top"/>
          </w:tcPr>
          <w:p>
            <w:pPr>
              <w:rPr>
                <w:rFonts w:hint="eastAsia" w:ascii="宋体" w:hAnsi="宋体" w:eastAsia="宋体" w:cs="宋体"/>
                <w:sz w:val="24"/>
                <w:szCs w:val="24"/>
                <w:highlight w:val="none"/>
              </w:rPr>
            </w:pPr>
          </w:p>
        </w:tc>
        <w:tc>
          <w:tcPr>
            <w:tcW w:w="1197" w:type="dxa"/>
            <w:noWrap w:val="0"/>
            <w:vAlign w:val="top"/>
          </w:tcPr>
          <w:p>
            <w:pPr>
              <w:rPr>
                <w:rFonts w:hint="eastAsia" w:ascii="宋体" w:hAnsi="宋体" w:eastAsia="宋体" w:cs="宋体"/>
                <w:sz w:val="24"/>
                <w:szCs w:val="24"/>
                <w:highlight w:val="none"/>
              </w:rPr>
            </w:pPr>
          </w:p>
        </w:tc>
        <w:tc>
          <w:tcPr>
            <w:tcW w:w="2133" w:type="dxa"/>
            <w:noWrap w:val="0"/>
            <w:vAlign w:val="top"/>
          </w:tcPr>
          <w:p>
            <w:pPr>
              <w:rPr>
                <w:rFonts w:hint="eastAsia" w:ascii="宋体" w:hAnsi="宋体" w:eastAsia="宋体" w:cs="宋体"/>
                <w:sz w:val="24"/>
                <w:szCs w:val="24"/>
                <w:highlight w:val="none"/>
              </w:rPr>
            </w:pPr>
          </w:p>
        </w:tc>
        <w:tc>
          <w:tcPr>
            <w:tcW w:w="2947" w:type="dxa"/>
            <w:noWrap w:val="0"/>
            <w:vAlign w:val="top"/>
          </w:tcPr>
          <w:p>
            <w:pPr>
              <w:rPr>
                <w:rFonts w:hint="eastAsia" w:ascii="宋体" w:hAnsi="宋体" w:eastAsia="宋体" w:cs="宋体"/>
                <w:sz w:val="24"/>
                <w:szCs w:val="24"/>
                <w:highlight w:val="none"/>
              </w:rPr>
            </w:pPr>
          </w:p>
        </w:tc>
        <w:tc>
          <w:tcPr>
            <w:tcW w:w="1418" w:type="dxa"/>
            <w:noWrap w:val="0"/>
            <w:vAlign w:val="top"/>
          </w:tcPr>
          <w:p>
            <w:pPr>
              <w:rPr>
                <w:rFonts w:hint="eastAsia" w:ascii="宋体" w:hAnsi="宋体" w:eastAsia="宋体" w:cs="宋体"/>
                <w:sz w:val="24"/>
                <w:szCs w:val="24"/>
                <w:highlight w:val="none"/>
              </w:rPr>
            </w:pPr>
          </w:p>
        </w:tc>
        <w:tc>
          <w:tcPr>
            <w:tcW w:w="850" w:type="dxa"/>
            <w:noWrap w:val="0"/>
            <w:vAlign w:val="top"/>
          </w:tcPr>
          <w:p>
            <w:pPr>
              <w:rPr>
                <w:rFonts w:hint="eastAsia" w:ascii="宋体" w:hAnsi="宋体" w:eastAsia="宋体" w:cs="宋体"/>
                <w:sz w:val="24"/>
                <w:szCs w:val="24"/>
                <w:highlight w:val="none"/>
              </w:rPr>
            </w:pPr>
          </w:p>
        </w:tc>
      </w:tr>
    </w:tbl>
    <w:p>
      <w:pP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代表(签字或盖章)：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(公章)：             日期：</w:t>
      </w:r>
    </w:p>
    <w:p>
      <w:pPr>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可根据需要自行</w:t>
      </w:r>
      <w:r>
        <w:rPr>
          <w:rFonts w:hint="eastAsia" w:ascii="宋体" w:hAnsi="宋体" w:eastAsia="宋体" w:cs="宋体"/>
          <w:sz w:val="24"/>
          <w:szCs w:val="24"/>
          <w:highlight w:val="none"/>
          <w:lang w:eastAsia="zh-CN"/>
        </w:rPr>
        <w:t>调整表格格式</w:t>
      </w:r>
      <w:r>
        <w:rPr>
          <w:rFonts w:hint="eastAsia" w:ascii="宋体" w:hAnsi="宋体" w:eastAsia="宋体" w:cs="宋体"/>
          <w:sz w:val="24"/>
          <w:szCs w:val="24"/>
          <w:highlight w:val="none"/>
        </w:rPr>
        <w:t>。</w:t>
      </w:r>
    </w:p>
    <w:p>
      <w:pPr>
        <w:rPr>
          <w:rFonts w:hint="eastAsia"/>
        </w:rPr>
      </w:pPr>
    </w:p>
    <w:p>
      <w:pPr>
        <w:pStyle w:val="8"/>
        <w:ind w:firstLine="2160" w:firstLineChars="900"/>
        <w:rPr>
          <w:rFonts w:cs="宋体" w:asciiTheme="minorEastAsia" w:hAnsiTheme="minorEastAsia" w:eastAsiaTheme="minorEastAsia"/>
          <w:color w:val="auto"/>
        </w:rPr>
      </w:pPr>
    </w:p>
    <w:p>
      <w:pPr>
        <w:pStyle w:val="7"/>
        <w:rPr>
          <w:rFonts w:ascii="宋体" w:hAnsi="宋体" w:cs="宋体"/>
          <w:color w:val="auto"/>
        </w:rPr>
      </w:pPr>
    </w:p>
    <w:p>
      <w:pPr>
        <w:pStyle w:val="5"/>
        <w:jc w:val="both"/>
        <w:rPr>
          <w:rFonts w:ascii="宋体" w:hAnsi="宋体" w:cs="宋体"/>
          <w:kern w:val="0"/>
          <w:sz w:val="32"/>
        </w:rPr>
      </w:pPr>
      <w:bookmarkStart w:id="728" w:name="page54"/>
      <w:bookmarkEnd w:id="728"/>
      <w:bookmarkStart w:id="729" w:name="_Toc17147"/>
      <w:bookmarkStart w:id="730" w:name="_Toc6922"/>
      <w:bookmarkStart w:id="731" w:name="_Toc2498"/>
      <w:bookmarkStart w:id="732" w:name="_Toc9584"/>
      <w:bookmarkStart w:id="733" w:name="_Toc6937"/>
      <w:bookmarkStart w:id="734" w:name="_Toc7692"/>
      <w:bookmarkStart w:id="735" w:name="_Toc29889"/>
      <w:bookmarkStart w:id="736" w:name="_Toc492883640"/>
      <w:bookmarkStart w:id="737" w:name="_Toc16996"/>
      <w:bookmarkStart w:id="738" w:name="_Toc19827"/>
      <w:bookmarkStart w:id="739" w:name="_Toc25746_WPSOffice_Level1"/>
      <w:bookmarkStart w:id="740" w:name="_Toc3906"/>
      <w:bookmarkStart w:id="741" w:name="_Toc24816"/>
      <w:bookmarkStart w:id="742" w:name="_Toc533590174"/>
      <w:bookmarkStart w:id="743" w:name="_Toc21153"/>
      <w:bookmarkStart w:id="744" w:name="_Toc31901"/>
      <w:bookmarkStart w:id="745" w:name="_Toc20563"/>
      <w:bookmarkStart w:id="746" w:name="_Toc19353"/>
      <w:bookmarkStart w:id="747" w:name="_Toc18500"/>
      <w:bookmarkStart w:id="748" w:name="_Toc6901"/>
      <w:bookmarkStart w:id="749" w:name="_Toc19348"/>
      <w:bookmarkStart w:id="750" w:name="_Toc10824"/>
    </w:p>
    <w:p>
      <w:pPr>
        <w:rPr>
          <w:rFonts w:ascii="宋体" w:hAnsi="宋体" w:cs="宋体"/>
          <w:kern w:val="0"/>
          <w:sz w:val="32"/>
        </w:rPr>
      </w:pPr>
    </w:p>
    <w:p>
      <w:pPr>
        <w:pStyle w:val="9"/>
        <w:rPr>
          <w:rFonts w:ascii="宋体" w:hAnsi="宋体" w:cs="宋体"/>
          <w:kern w:val="0"/>
          <w:sz w:val="32"/>
        </w:rPr>
      </w:pPr>
    </w:p>
    <w:p>
      <w:pPr>
        <w:rPr>
          <w:rFonts w:ascii="宋体" w:hAnsi="宋体" w:cs="宋体"/>
          <w:kern w:val="0"/>
          <w:sz w:val="32"/>
        </w:rPr>
      </w:pPr>
    </w:p>
    <w:p>
      <w:pPr>
        <w:pStyle w:val="9"/>
        <w:rPr>
          <w:rFonts w:ascii="宋体" w:hAnsi="宋体" w:cs="宋体"/>
          <w:kern w:val="0"/>
          <w:sz w:val="32"/>
        </w:rPr>
      </w:pPr>
    </w:p>
    <w:p>
      <w:pPr>
        <w:rPr>
          <w:rFonts w:ascii="宋体" w:hAnsi="宋体" w:cs="宋体"/>
          <w:kern w:val="0"/>
          <w:sz w:val="32"/>
        </w:rPr>
      </w:pPr>
    </w:p>
    <w:p>
      <w:pPr>
        <w:pStyle w:val="9"/>
      </w:pPr>
    </w:p>
    <w:bookmarkEnd w:id="729"/>
    <w:bookmarkEnd w:id="730"/>
    <w:bookmarkEnd w:id="731"/>
    <w:p>
      <w:pPr>
        <w:pStyle w:val="5"/>
        <w:keepNext w:val="0"/>
        <w:jc w:val="center"/>
        <w:rPr>
          <w:rFonts w:ascii="宋体" w:hAnsi="宋体" w:cs="宋体"/>
        </w:rPr>
      </w:pPr>
    </w:p>
    <w:p>
      <w:pPr>
        <w:rPr>
          <w:rFonts w:ascii="宋体" w:hAnsi="宋体" w:cs="宋体"/>
        </w:rPr>
      </w:pPr>
    </w:p>
    <w:p>
      <w:pPr>
        <w:pStyle w:val="9"/>
      </w:pPr>
    </w:p>
    <w:p>
      <w:pPr>
        <w:pStyle w:val="5"/>
        <w:jc w:val="center"/>
        <w:rPr>
          <w:rFonts w:ascii="宋体" w:hAnsi="宋体" w:cs="宋体"/>
          <w:kern w:val="0"/>
          <w:sz w:val="32"/>
        </w:rPr>
      </w:pPr>
      <w:bookmarkStart w:id="751" w:name="_Toc16670"/>
      <w:bookmarkStart w:id="752" w:name="_Toc18031"/>
      <w:bookmarkStart w:id="753" w:name="_Toc9447"/>
      <w:bookmarkStart w:id="754" w:name="_Toc14063"/>
      <w:bookmarkStart w:id="755" w:name="_Toc1642"/>
      <w:bookmarkStart w:id="756" w:name="_Toc21885"/>
      <w:bookmarkStart w:id="757" w:name="_Toc19625"/>
      <w:bookmarkStart w:id="758" w:name="_Toc30512"/>
      <w:bookmarkStart w:id="759" w:name="_Toc7313"/>
      <w:bookmarkStart w:id="760" w:name="_Toc16289"/>
      <w:bookmarkStart w:id="761" w:name="_Toc28653"/>
      <w:r>
        <w:rPr>
          <w:rFonts w:hint="eastAsia" w:ascii="宋体" w:hAnsi="宋体" w:cs="宋体"/>
          <w:kern w:val="0"/>
          <w:sz w:val="32"/>
          <w:lang w:eastAsia="zh-CN"/>
        </w:rPr>
        <w:t>八</w:t>
      </w:r>
      <w:r>
        <w:rPr>
          <w:rFonts w:hint="eastAsia" w:ascii="宋体" w:hAnsi="宋体" w:cs="宋体"/>
          <w:kern w:val="0"/>
          <w:sz w:val="32"/>
        </w:rPr>
        <w:t>、</w:t>
      </w:r>
      <w:bookmarkEnd w:id="751"/>
      <w:bookmarkEnd w:id="752"/>
      <w:bookmarkEnd w:id="753"/>
      <w:bookmarkEnd w:id="754"/>
      <w:bookmarkEnd w:id="755"/>
      <w:bookmarkEnd w:id="756"/>
      <w:bookmarkEnd w:id="757"/>
      <w:bookmarkEnd w:id="758"/>
      <w:bookmarkEnd w:id="759"/>
      <w:bookmarkEnd w:id="760"/>
      <w:r>
        <w:rPr>
          <w:rFonts w:hint="eastAsia" w:ascii="宋体" w:hAnsi="宋体" w:cs="宋体"/>
          <w:kern w:val="0"/>
          <w:sz w:val="32"/>
        </w:rPr>
        <w:t>反商业贿赂承诺书</w:t>
      </w:r>
      <w:bookmarkEnd w:id="761"/>
    </w:p>
    <w:p>
      <w:pPr>
        <w:spacing w:line="480" w:lineRule="auto"/>
        <w:rPr>
          <w:rFonts w:ascii="宋体" w:hAnsi="宋体" w:cs="宋体"/>
          <w:sz w:val="24"/>
        </w:rPr>
      </w:pPr>
      <w:r>
        <w:rPr>
          <w:rFonts w:hint="eastAsia" w:ascii="宋体" w:hAnsi="宋体" w:cs="宋体"/>
          <w:sz w:val="24"/>
        </w:rPr>
        <w:t>我公司承诺：</w:t>
      </w:r>
    </w:p>
    <w:p>
      <w:pPr>
        <w:spacing w:line="480" w:lineRule="auto"/>
        <w:ind w:firstLine="480" w:firstLineChars="200"/>
        <w:rPr>
          <w:rFonts w:ascii="宋体" w:hAnsi="宋体" w:cs="宋体"/>
          <w:sz w:val="24"/>
        </w:rPr>
      </w:pPr>
      <w:r>
        <w:rPr>
          <w:rFonts w:hint="eastAsia" w:ascii="宋体" w:hAnsi="宋体" w:cs="宋体"/>
          <w:sz w:val="24"/>
        </w:rPr>
        <w:t>在本次招标活动中，我公司保证做到：</w:t>
      </w:r>
    </w:p>
    <w:p>
      <w:pPr>
        <w:spacing w:line="480" w:lineRule="auto"/>
        <w:ind w:firstLine="480" w:firstLineChars="200"/>
        <w:rPr>
          <w:rFonts w:ascii="宋体" w:hAnsi="宋体" w:cs="宋体"/>
          <w:sz w:val="24"/>
        </w:rPr>
      </w:pPr>
      <w:r>
        <w:rPr>
          <w:rFonts w:hint="eastAsia" w:ascii="宋体" w:hAnsi="宋体" w:cs="宋体"/>
          <w:sz w:val="24"/>
        </w:rPr>
        <w:t>一、公平竞争参加本次招标活动。</w:t>
      </w:r>
    </w:p>
    <w:p>
      <w:pPr>
        <w:spacing w:line="480" w:lineRule="auto"/>
        <w:ind w:firstLine="480" w:firstLineChars="200"/>
        <w:rPr>
          <w:rFonts w:ascii="宋体" w:hAnsi="宋体" w:cs="宋体"/>
          <w:sz w:val="24"/>
        </w:rPr>
      </w:pPr>
      <w:r>
        <w:rPr>
          <w:rFonts w:hint="eastAsia" w:ascii="宋体" w:hAnsi="宋体" w:cs="宋体"/>
          <w:sz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480" w:lineRule="auto"/>
        <w:ind w:firstLine="480" w:firstLineChars="200"/>
        <w:rPr>
          <w:rFonts w:ascii="宋体" w:hAnsi="宋体" w:cs="宋体"/>
          <w:sz w:val="24"/>
        </w:rPr>
      </w:pPr>
      <w:r>
        <w:rPr>
          <w:rFonts w:hint="eastAsia" w:ascii="宋体" w:hAnsi="宋体" w:cs="宋体"/>
          <w:sz w:val="24"/>
        </w:rPr>
        <w:t>三、若出现上述行为，我公司及参与谈判的工作人员愿意接受按照国家法律法规等有关规定给予的处罚。</w:t>
      </w:r>
    </w:p>
    <w:p>
      <w:pPr>
        <w:pStyle w:val="4"/>
        <w:jc w:val="center"/>
        <w:rPr>
          <w:rFonts w:ascii="宋体" w:hAnsi="宋体" w:eastAsia="宋体" w:cs="宋体"/>
          <w:b w:val="0"/>
          <w:bCs w:val="0"/>
        </w:rPr>
      </w:pPr>
    </w:p>
    <w:p>
      <w:pPr>
        <w:pStyle w:val="4"/>
        <w:jc w:val="center"/>
        <w:rPr>
          <w:rFonts w:ascii="宋体" w:hAnsi="宋体" w:eastAsia="宋体" w:cs="宋体"/>
        </w:rPr>
      </w:pPr>
    </w:p>
    <w:p>
      <w:pPr>
        <w:pStyle w:val="7"/>
        <w:rPr>
          <w:rFonts w:ascii="宋体" w:hAnsi="宋体" w:cs="宋体"/>
        </w:rPr>
      </w:pPr>
    </w:p>
    <w:p>
      <w:pPr>
        <w:pStyle w:val="8"/>
        <w:rPr>
          <w:rFonts w:ascii="宋体" w:eastAsia="宋体" w:cs="宋体"/>
        </w:rPr>
      </w:pPr>
    </w:p>
    <w:p>
      <w:pPr>
        <w:pStyle w:val="8"/>
        <w:rPr>
          <w:rFonts w:ascii="宋体" w:eastAsia="宋体" w:cs="宋体"/>
        </w:rPr>
      </w:pPr>
    </w:p>
    <w:p>
      <w:pPr>
        <w:pStyle w:val="8"/>
        <w:ind w:firstLine="2160" w:firstLineChars="9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投标人：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（盖单位章）</w:t>
      </w:r>
    </w:p>
    <w:p>
      <w:pPr>
        <w:pStyle w:val="8"/>
        <w:ind w:firstLine="2160" w:firstLineChars="9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法定代表人或其委托代理人：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（签字或盖章）</w:t>
      </w:r>
    </w:p>
    <w:p>
      <w:pPr>
        <w:pStyle w:val="8"/>
        <w:ind w:firstLine="2160" w:firstLineChars="9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日期：</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年</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月</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日</w:t>
      </w:r>
    </w:p>
    <w:p>
      <w:pPr>
        <w:pStyle w:val="8"/>
        <w:rPr>
          <w:rFonts w:ascii="宋体" w:eastAsia="宋体" w:cs="宋体"/>
        </w:rPr>
      </w:pPr>
    </w:p>
    <w:p>
      <w:pPr>
        <w:pStyle w:val="8"/>
        <w:rPr>
          <w:rFonts w:ascii="宋体" w:eastAsia="宋体" w:cs="宋体"/>
        </w:rPr>
      </w:pPr>
    </w:p>
    <w:p>
      <w:pPr>
        <w:pStyle w:val="8"/>
        <w:rPr>
          <w:rFonts w:ascii="宋体" w:eastAsia="宋体" w:cs="宋体"/>
        </w:rPr>
      </w:pPr>
    </w:p>
    <w:p>
      <w:pPr>
        <w:pStyle w:val="8"/>
        <w:rPr>
          <w:rFonts w:ascii="宋体" w:eastAsia="宋体" w:cs="宋体"/>
        </w:rPr>
      </w:pPr>
    </w:p>
    <w:p>
      <w:pPr>
        <w:pStyle w:val="8"/>
        <w:rPr>
          <w:rFonts w:ascii="宋体" w:eastAsia="宋体" w:cs="宋体"/>
        </w:rPr>
      </w:pPr>
    </w:p>
    <w:p>
      <w:pPr>
        <w:pStyle w:val="8"/>
        <w:rPr>
          <w:rFonts w:ascii="宋体" w:eastAsia="宋体" w:cs="宋体"/>
        </w:rPr>
      </w:pPr>
    </w:p>
    <w:p>
      <w:pPr>
        <w:pStyle w:val="5"/>
        <w:jc w:val="center"/>
        <w:rPr>
          <w:rFonts w:ascii="宋体" w:hAnsi="宋体" w:cs="宋体"/>
          <w:kern w:val="0"/>
          <w:sz w:val="32"/>
        </w:rPr>
      </w:pPr>
      <w:bookmarkStart w:id="762" w:name="_Toc17291"/>
      <w:bookmarkStart w:id="763" w:name="_Toc22554"/>
      <w:bookmarkStart w:id="764" w:name="_Toc20238"/>
      <w:bookmarkStart w:id="765" w:name="_Toc26085"/>
      <w:bookmarkStart w:id="766" w:name="_Toc2587"/>
      <w:bookmarkStart w:id="767" w:name="_Toc14322"/>
      <w:bookmarkStart w:id="768" w:name="_Toc24674"/>
      <w:bookmarkStart w:id="769" w:name="_Toc8715"/>
      <w:bookmarkStart w:id="770" w:name="_Toc1"/>
      <w:bookmarkStart w:id="771" w:name="_Toc31081"/>
      <w:bookmarkStart w:id="772" w:name="_Toc15206"/>
      <w:r>
        <w:rPr>
          <w:rFonts w:hint="eastAsia" w:ascii="宋体" w:hAnsi="宋体" w:cs="宋体"/>
          <w:kern w:val="0"/>
          <w:sz w:val="32"/>
          <w:lang w:eastAsia="zh-CN"/>
        </w:rPr>
        <w:t>九</w:t>
      </w:r>
      <w:r>
        <w:rPr>
          <w:rFonts w:hint="eastAsia" w:ascii="宋体" w:hAnsi="宋体" w:cs="宋体"/>
          <w:kern w:val="0"/>
          <w:sz w:val="32"/>
        </w:rPr>
        <w:t>、</w:t>
      </w:r>
      <w:bookmarkEnd w:id="762"/>
      <w:bookmarkEnd w:id="763"/>
      <w:bookmarkEnd w:id="764"/>
      <w:bookmarkEnd w:id="765"/>
      <w:bookmarkEnd w:id="766"/>
      <w:bookmarkEnd w:id="767"/>
      <w:bookmarkEnd w:id="768"/>
      <w:bookmarkEnd w:id="769"/>
      <w:bookmarkEnd w:id="770"/>
      <w:bookmarkEnd w:id="771"/>
      <w:r>
        <w:rPr>
          <w:rFonts w:hint="eastAsia" w:ascii="宋体" w:hAnsi="宋体" w:cs="宋体"/>
          <w:kern w:val="0"/>
          <w:sz w:val="32"/>
          <w:highlight w:val="none"/>
        </w:rPr>
        <w:t>中小微企业声明函</w:t>
      </w:r>
      <w:bookmarkEnd w:id="772"/>
    </w:p>
    <w:p>
      <w:pPr>
        <w:spacing w:line="274" w:lineRule="exact"/>
        <w:ind w:right="-13"/>
        <w:jc w:val="center"/>
        <w:rPr>
          <w:rFonts w:hint="eastAsia" w:ascii="宋体" w:hAnsi="宋体" w:cs="宋体"/>
          <w:color w:val="auto"/>
          <w:sz w:val="24"/>
          <w:highlight w:val="none"/>
        </w:rPr>
      </w:pPr>
      <w:bookmarkStart w:id="773" w:name="_Toc22527_WPSOffice_Level2"/>
      <w:r>
        <w:rPr>
          <w:rFonts w:hint="eastAsia" w:ascii="宋体" w:hAnsi="宋体" w:cs="宋体"/>
          <w:color w:val="auto"/>
          <w:sz w:val="24"/>
          <w:highlight w:val="none"/>
        </w:rPr>
        <w:t>（属于中小微企业的填写，不属于的无需填写此项内容）</w:t>
      </w:r>
      <w:bookmarkEnd w:id="773"/>
    </w:p>
    <w:p>
      <w:pPr>
        <w:spacing w:line="332" w:lineRule="exact"/>
        <w:rPr>
          <w:rFonts w:hint="eastAsia" w:ascii="宋体" w:hAnsi="宋体" w:cs="宋体"/>
          <w:color w:val="auto"/>
          <w:highlight w:val="none"/>
        </w:rPr>
      </w:pPr>
    </w:p>
    <w:p>
      <w:pPr>
        <w:spacing w:line="459" w:lineRule="exact"/>
        <w:ind w:left="100" w:right="86" w:firstLine="480"/>
        <w:rPr>
          <w:rFonts w:hint="eastAsia" w:ascii="宋体" w:hAnsi="宋体" w:cs="宋体"/>
          <w:color w:val="auto"/>
          <w:sz w:val="24"/>
        </w:rPr>
      </w:pPr>
      <w:r>
        <w:rPr>
          <w:rFonts w:hint="eastAsia" w:ascii="宋体" w:hAnsi="宋体" w:cs="宋体"/>
          <w:color w:val="auto"/>
          <w:sz w:val="24"/>
        </w:rPr>
        <w:t>本公司郑重声明，根据《政府采购促进中小企业发展</w:t>
      </w:r>
      <w:r>
        <w:rPr>
          <w:rFonts w:hint="eastAsia" w:ascii="宋体" w:hAnsi="宋体" w:cs="宋体"/>
          <w:color w:val="auto"/>
          <w:sz w:val="24"/>
          <w:lang w:eastAsia="zh-CN"/>
        </w:rPr>
        <w:t>管理</w:t>
      </w:r>
      <w:r>
        <w:rPr>
          <w:rFonts w:hint="eastAsia" w:ascii="宋体" w:hAnsi="宋体" w:cs="宋体"/>
          <w:color w:val="auto"/>
          <w:sz w:val="24"/>
        </w:rPr>
        <w:t>办法》（财库[20</w:t>
      </w:r>
      <w:r>
        <w:rPr>
          <w:rFonts w:hint="eastAsia" w:ascii="宋体" w:hAnsi="宋体" w:cs="宋体"/>
          <w:color w:val="auto"/>
          <w:sz w:val="24"/>
          <w:lang w:val="en-US" w:eastAsia="zh-CN"/>
        </w:rPr>
        <w:t>20</w:t>
      </w:r>
      <w:r>
        <w:rPr>
          <w:rFonts w:hint="eastAsia" w:ascii="宋体" w:hAnsi="宋体" w:cs="宋体"/>
          <w:color w:val="auto"/>
          <w:sz w:val="24"/>
        </w:rPr>
        <w:t>]</w:t>
      </w:r>
      <w:r>
        <w:rPr>
          <w:rFonts w:hint="eastAsia" w:ascii="宋体" w:hAnsi="宋体" w:cs="宋体"/>
          <w:color w:val="auto"/>
          <w:sz w:val="24"/>
          <w:lang w:val="en-US" w:eastAsia="zh-CN"/>
        </w:rPr>
        <w:t>46</w:t>
      </w:r>
      <w:r>
        <w:rPr>
          <w:rFonts w:hint="eastAsia" w:ascii="宋体" w:hAnsi="宋体" w:cs="宋体"/>
          <w:color w:val="auto"/>
          <w:sz w:val="24"/>
        </w:rPr>
        <w:t>号）的规定，本公司</w:t>
      </w:r>
      <w:r>
        <w:rPr>
          <w:rFonts w:hint="eastAsia" w:ascii="宋体" w:hAnsi="宋体" w:cs="宋体"/>
          <w:color w:val="auto"/>
          <w:sz w:val="24"/>
          <w:lang w:eastAsia="zh-CN"/>
        </w:rPr>
        <w:t>参加</w:t>
      </w:r>
      <w:r>
        <w:rPr>
          <w:rFonts w:hint="eastAsia" w:ascii="宋体" w:hAnsi="宋体" w:cs="宋体"/>
          <w:color w:val="auto"/>
          <w:sz w:val="24"/>
        </w:rPr>
        <w:t>______</w:t>
      </w:r>
      <w:r>
        <w:rPr>
          <w:rFonts w:hint="eastAsia" w:ascii="宋体" w:hAnsi="宋体" w:cs="宋体"/>
          <w:color w:val="auto"/>
          <w:sz w:val="24"/>
          <w:lang w:val="en-US" w:eastAsia="zh-CN"/>
        </w:rPr>
        <w:t>（采购人名称）</w:t>
      </w:r>
      <w:r>
        <w:rPr>
          <w:rFonts w:hint="eastAsia" w:ascii="宋体" w:hAnsi="宋体" w:cs="宋体"/>
          <w:color w:val="auto"/>
          <w:sz w:val="24"/>
        </w:rPr>
        <w:t>______</w:t>
      </w:r>
      <w:r>
        <w:rPr>
          <w:rFonts w:hint="eastAsia" w:ascii="宋体" w:hAnsi="宋体" w:cs="宋体"/>
          <w:color w:val="auto"/>
          <w:sz w:val="24"/>
          <w:lang w:val="en-US" w:eastAsia="zh-CN"/>
        </w:rPr>
        <w:t>（项目名称）采购活动，提供的货物全部由符合政策要求的中小企业制造。相关企业的具体情况如下：</w:t>
      </w:r>
    </w:p>
    <w:p>
      <w:pPr>
        <w:spacing w:line="336" w:lineRule="exact"/>
        <w:rPr>
          <w:rFonts w:hint="eastAsia" w:ascii="宋体" w:hAnsi="宋体" w:cs="宋体"/>
          <w:color w:val="auto"/>
        </w:rPr>
      </w:pPr>
    </w:p>
    <w:p>
      <w:pPr>
        <w:numPr>
          <w:ilvl w:val="0"/>
          <w:numId w:val="9"/>
        </w:numPr>
        <w:spacing w:line="459" w:lineRule="exact"/>
        <w:ind w:left="100" w:right="86" w:firstLine="480"/>
        <w:rPr>
          <w:rFonts w:hint="eastAsia" w:ascii="宋体" w:hAnsi="宋体" w:cs="宋体"/>
          <w:color w:val="auto"/>
          <w:sz w:val="24"/>
        </w:rPr>
      </w:pPr>
      <w:r>
        <w:rPr>
          <w:rFonts w:hint="eastAsia" w:ascii="宋体" w:hAnsi="宋体" w:cs="宋体"/>
          <w:color w:val="auto"/>
          <w:sz w:val="24"/>
          <w:u w:val="single"/>
          <w:lang w:val="en-US" w:eastAsia="zh-CN"/>
        </w:rPr>
        <w:t xml:space="preserve">        </w:t>
      </w:r>
      <w:r>
        <w:rPr>
          <w:rFonts w:hint="eastAsia" w:ascii="宋体" w:hAnsi="宋体" w:cs="宋体"/>
          <w:color w:val="auto"/>
          <w:sz w:val="24"/>
          <w:lang w:eastAsia="zh-CN"/>
        </w:rPr>
        <w:t>（标的名称），属于</w:t>
      </w:r>
      <w:r>
        <w:rPr>
          <w:rFonts w:hint="eastAsia" w:ascii="宋体" w:hAnsi="宋体" w:cs="宋体"/>
          <w:color w:val="auto"/>
          <w:sz w:val="24"/>
          <w:u w:val="single"/>
          <w:lang w:val="en-US" w:eastAsia="zh-CN"/>
        </w:rPr>
        <w:t xml:space="preserve"> （采购文件中明确的所属行业） </w:t>
      </w:r>
      <w:r>
        <w:rPr>
          <w:rFonts w:hint="eastAsia" w:ascii="宋体" w:hAnsi="宋体" w:cs="宋体"/>
          <w:color w:val="auto"/>
          <w:sz w:val="24"/>
          <w:lang w:val="en-US" w:eastAsia="zh-CN"/>
        </w:rPr>
        <w:t>行业，制造商为</w:t>
      </w:r>
      <w:r>
        <w:rPr>
          <w:rFonts w:hint="eastAsia" w:ascii="宋体" w:hAnsi="宋体" w:cs="宋体"/>
          <w:color w:val="auto"/>
          <w:sz w:val="24"/>
          <w:u w:val="single"/>
          <w:lang w:val="en-US" w:eastAsia="zh-CN"/>
        </w:rPr>
        <w:t xml:space="preserve">          </w:t>
      </w:r>
      <w:r>
        <w:rPr>
          <w:rFonts w:hint="eastAsia" w:ascii="宋体" w:hAnsi="宋体" w:cs="宋体"/>
          <w:color w:val="auto"/>
          <w:sz w:val="24"/>
          <w:lang w:val="en-US" w:eastAsia="zh-CN"/>
        </w:rPr>
        <w:t>（企业名称），从业人员</w:t>
      </w:r>
      <w:r>
        <w:rPr>
          <w:rFonts w:hint="eastAsia" w:ascii="宋体" w:hAnsi="宋体" w:cs="宋体"/>
          <w:color w:val="auto"/>
          <w:sz w:val="24"/>
        </w:rPr>
        <w:t>______</w:t>
      </w:r>
      <w:r>
        <w:rPr>
          <w:rFonts w:hint="eastAsia" w:ascii="宋体" w:hAnsi="宋体" w:cs="宋体"/>
          <w:color w:val="auto"/>
          <w:sz w:val="24"/>
          <w:lang w:val="en-US" w:eastAsia="zh-CN"/>
        </w:rPr>
        <w:t>人，营业收入为</w:t>
      </w:r>
      <w:r>
        <w:rPr>
          <w:rFonts w:hint="eastAsia" w:ascii="宋体" w:hAnsi="宋体" w:cs="宋体"/>
          <w:color w:val="auto"/>
          <w:sz w:val="24"/>
        </w:rPr>
        <w:t>______</w:t>
      </w:r>
      <w:r>
        <w:rPr>
          <w:rFonts w:hint="eastAsia" w:ascii="宋体" w:hAnsi="宋体" w:cs="宋体"/>
          <w:color w:val="auto"/>
          <w:sz w:val="24"/>
          <w:lang w:val="en-US" w:eastAsia="zh-CN"/>
        </w:rPr>
        <w:t>万元，资产总额为</w:t>
      </w:r>
      <w:r>
        <w:rPr>
          <w:rFonts w:hint="eastAsia" w:ascii="宋体" w:hAnsi="宋体" w:cs="宋体"/>
          <w:color w:val="auto"/>
          <w:sz w:val="24"/>
        </w:rPr>
        <w:t>______</w:t>
      </w:r>
      <w:r>
        <w:rPr>
          <w:rFonts w:hint="eastAsia" w:ascii="宋体" w:hAnsi="宋体" w:cs="宋体"/>
          <w:color w:val="auto"/>
          <w:sz w:val="24"/>
          <w:lang w:val="en-US" w:eastAsia="zh-CN"/>
        </w:rPr>
        <w:t>万元，属于</w:t>
      </w:r>
      <w:r>
        <w:rPr>
          <w:rFonts w:hint="eastAsia" w:ascii="宋体" w:hAnsi="宋体" w:cs="宋体"/>
          <w:color w:val="auto"/>
          <w:sz w:val="24"/>
        </w:rPr>
        <w:t>______（请填写：中型、小型、微型）企业。</w:t>
      </w:r>
    </w:p>
    <w:p>
      <w:pPr>
        <w:numPr>
          <w:ilvl w:val="0"/>
          <w:numId w:val="10"/>
        </w:numPr>
        <w:spacing w:line="459" w:lineRule="exact"/>
        <w:ind w:left="100" w:right="86" w:firstLine="480"/>
        <w:rPr>
          <w:rFonts w:hint="eastAsia" w:ascii="宋体" w:hAnsi="宋体" w:cs="宋体"/>
          <w:color w:val="auto"/>
          <w:sz w:val="24"/>
        </w:rPr>
      </w:pPr>
      <w:r>
        <w:rPr>
          <w:rFonts w:hint="eastAsia" w:ascii="宋体" w:hAnsi="宋体" w:cs="宋体"/>
          <w:color w:val="auto"/>
          <w:sz w:val="24"/>
          <w:u w:val="single"/>
          <w:lang w:val="en-US" w:eastAsia="zh-CN"/>
        </w:rPr>
        <w:t xml:space="preserve">       </w:t>
      </w:r>
      <w:r>
        <w:rPr>
          <w:rFonts w:hint="eastAsia" w:ascii="宋体" w:hAnsi="宋体" w:cs="宋体"/>
          <w:color w:val="auto"/>
          <w:sz w:val="24"/>
          <w:lang w:eastAsia="zh-CN"/>
        </w:rPr>
        <w:t>（标的名称），属于</w:t>
      </w:r>
      <w:r>
        <w:rPr>
          <w:rFonts w:hint="eastAsia" w:ascii="宋体" w:hAnsi="宋体" w:cs="宋体"/>
          <w:color w:val="auto"/>
          <w:sz w:val="24"/>
          <w:u w:val="single"/>
          <w:lang w:val="en-US" w:eastAsia="zh-CN"/>
        </w:rPr>
        <w:t xml:space="preserve"> （采购文件中明确的所属行业）   </w:t>
      </w:r>
      <w:r>
        <w:rPr>
          <w:rFonts w:hint="eastAsia" w:ascii="宋体" w:hAnsi="宋体" w:cs="宋体"/>
          <w:color w:val="auto"/>
          <w:sz w:val="24"/>
          <w:lang w:val="en-US" w:eastAsia="zh-CN"/>
        </w:rPr>
        <w:t>行业，制造商为</w:t>
      </w:r>
      <w:r>
        <w:rPr>
          <w:rFonts w:hint="eastAsia" w:ascii="宋体" w:hAnsi="宋体" w:cs="宋体"/>
          <w:color w:val="auto"/>
          <w:sz w:val="24"/>
        </w:rPr>
        <w:t>______</w:t>
      </w:r>
      <w:r>
        <w:rPr>
          <w:rFonts w:hint="eastAsia" w:ascii="宋体" w:hAnsi="宋体" w:cs="宋体"/>
          <w:color w:val="auto"/>
          <w:sz w:val="24"/>
          <w:lang w:val="en-US" w:eastAsia="zh-CN"/>
        </w:rPr>
        <w:t>（企业名称），从业人员</w:t>
      </w:r>
      <w:r>
        <w:rPr>
          <w:rFonts w:hint="eastAsia" w:ascii="宋体" w:hAnsi="宋体" w:cs="宋体"/>
          <w:color w:val="auto"/>
          <w:sz w:val="24"/>
        </w:rPr>
        <w:t>______</w:t>
      </w:r>
      <w:r>
        <w:rPr>
          <w:rFonts w:hint="eastAsia" w:ascii="宋体" w:hAnsi="宋体" w:cs="宋体"/>
          <w:color w:val="auto"/>
          <w:sz w:val="24"/>
          <w:lang w:val="en-US" w:eastAsia="zh-CN"/>
        </w:rPr>
        <w:t>人，营业收入为</w:t>
      </w:r>
      <w:r>
        <w:rPr>
          <w:rFonts w:hint="eastAsia" w:ascii="宋体" w:hAnsi="宋体" w:cs="宋体"/>
          <w:color w:val="auto"/>
          <w:sz w:val="24"/>
        </w:rPr>
        <w:t>______</w:t>
      </w:r>
      <w:r>
        <w:rPr>
          <w:rFonts w:hint="eastAsia" w:ascii="宋体" w:hAnsi="宋体" w:cs="宋体"/>
          <w:color w:val="auto"/>
          <w:sz w:val="24"/>
          <w:lang w:val="en-US" w:eastAsia="zh-CN"/>
        </w:rPr>
        <w:t>万元，资产总额为</w:t>
      </w:r>
      <w:r>
        <w:rPr>
          <w:rFonts w:hint="eastAsia" w:ascii="宋体" w:hAnsi="宋体" w:cs="宋体"/>
          <w:color w:val="auto"/>
          <w:sz w:val="24"/>
        </w:rPr>
        <w:t>______</w:t>
      </w:r>
      <w:r>
        <w:rPr>
          <w:rFonts w:hint="eastAsia" w:ascii="宋体" w:hAnsi="宋体" w:cs="宋体"/>
          <w:color w:val="auto"/>
          <w:sz w:val="24"/>
          <w:lang w:val="en-US" w:eastAsia="zh-CN"/>
        </w:rPr>
        <w:t>万元，属于</w:t>
      </w:r>
      <w:r>
        <w:rPr>
          <w:rFonts w:hint="eastAsia" w:ascii="宋体" w:hAnsi="宋体" w:cs="宋体"/>
          <w:color w:val="auto"/>
          <w:sz w:val="24"/>
        </w:rPr>
        <w:t>______（请填写：中型、小型、微型）企业。</w:t>
      </w:r>
    </w:p>
    <w:p>
      <w:pPr>
        <w:pStyle w:val="20"/>
        <w:numPr>
          <w:ilvl w:val="0"/>
          <w:numId w:val="0"/>
        </w:numPr>
        <w:ind w:firstLine="480"/>
        <w:rPr>
          <w:rFonts w:hint="eastAsia" w:ascii="宋体" w:hAnsi="宋体" w:cs="宋体"/>
          <w:color w:val="auto"/>
          <w:sz w:val="24"/>
          <w:lang w:val="en-US" w:eastAsia="zh-CN"/>
        </w:rPr>
      </w:pPr>
      <w:r>
        <w:rPr>
          <w:rFonts w:hint="eastAsia" w:ascii="宋体" w:hAnsi="宋体" w:cs="宋体"/>
          <w:color w:val="auto"/>
          <w:sz w:val="24"/>
          <w:lang w:val="en-US" w:eastAsia="zh-CN"/>
        </w:rPr>
        <w:t>......</w:t>
      </w:r>
    </w:p>
    <w:p>
      <w:pPr>
        <w:pStyle w:val="20"/>
        <w:numPr>
          <w:ilvl w:val="0"/>
          <w:numId w:val="0"/>
        </w:numPr>
        <w:ind w:firstLine="480"/>
        <w:rPr>
          <w:rFonts w:hint="eastAsia" w:ascii="宋体" w:hAnsi="宋体" w:cs="宋体"/>
          <w:color w:val="auto"/>
          <w:sz w:val="24"/>
          <w:lang w:val="en-US" w:eastAsia="zh-CN"/>
        </w:rPr>
      </w:pPr>
    </w:p>
    <w:p>
      <w:pPr>
        <w:pStyle w:val="20"/>
        <w:numPr>
          <w:ilvl w:val="0"/>
          <w:numId w:val="0"/>
        </w:numPr>
        <w:ind w:firstLine="480"/>
        <w:rPr>
          <w:rFonts w:hint="eastAsia" w:ascii="宋体" w:hAnsi="宋体" w:cs="宋体"/>
          <w:color w:val="auto"/>
          <w:sz w:val="24"/>
          <w:lang w:val="en-US" w:eastAsia="zh-CN"/>
        </w:rPr>
      </w:pPr>
      <w:r>
        <w:rPr>
          <w:rFonts w:hint="eastAsia" w:ascii="宋体" w:hAnsi="宋体" w:cs="宋体"/>
          <w:color w:val="auto"/>
          <w:sz w:val="24"/>
          <w:lang w:val="en-US" w:eastAsia="zh-CN"/>
        </w:rPr>
        <w:t>以上企业，不属于大企业的分支机构，不存在控股股东为大企业的情形，也不存在与大企业的负责人为同一人的情形。</w:t>
      </w:r>
    </w:p>
    <w:p>
      <w:pPr>
        <w:pStyle w:val="20"/>
        <w:numPr>
          <w:ilvl w:val="0"/>
          <w:numId w:val="0"/>
        </w:numPr>
        <w:ind w:firstLine="480"/>
        <w:rPr>
          <w:rFonts w:hint="default" w:ascii="宋体" w:hAnsi="宋体" w:cs="宋体"/>
          <w:color w:val="auto"/>
          <w:sz w:val="24"/>
          <w:lang w:val="en-US" w:eastAsia="zh-CN"/>
        </w:rPr>
      </w:pPr>
      <w:r>
        <w:rPr>
          <w:rFonts w:hint="eastAsia" w:ascii="宋体" w:hAnsi="宋体" w:cs="宋体"/>
          <w:color w:val="auto"/>
          <w:sz w:val="24"/>
          <w:lang w:val="en-US" w:eastAsia="zh-CN"/>
        </w:rPr>
        <w:t>本企业对上述声明的真实性负责。如有虚假，将依法承担法律责任。</w:t>
      </w:r>
    </w:p>
    <w:p>
      <w:pPr>
        <w:spacing w:line="274" w:lineRule="exact"/>
        <w:ind w:left="580"/>
        <w:rPr>
          <w:rFonts w:hint="eastAsia" w:ascii="宋体" w:hAnsi="宋体" w:cs="宋体"/>
          <w:color w:val="auto"/>
          <w:sz w:val="24"/>
        </w:rPr>
      </w:pPr>
    </w:p>
    <w:p>
      <w:pPr>
        <w:spacing w:line="200" w:lineRule="exact"/>
        <w:rPr>
          <w:rFonts w:hint="eastAsia" w:ascii="宋体" w:hAnsi="宋体" w:cs="宋体"/>
          <w:color w:val="auto"/>
        </w:rPr>
      </w:pPr>
    </w:p>
    <w:p>
      <w:pPr>
        <w:spacing w:line="200" w:lineRule="exact"/>
        <w:rPr>
          <w:rFonts w:hint="eastAsia" w:ascii="宋体" w:hAnsi="宋体" w:cs="宋体"/>
          <w:color w:val="auto"/>
        </w:rPr>
      </w:pPr>
    </w:p>
    <w:p>
      <w:pPr>
        <w:spacing w:line="200" w:lineRule="exact"/>
        <w:rPr>
          <w:rFonts w:hint="eastAsia" w:ascii="宋体" w:hAnsi="宋体" w:cs="宋体"/>
          <w:color w:val="auto"/>
        </w:rPr>
      </w:pPr>
    </w:p>
    <w:p>
      <w:pPr>
        <w:spacing w:line="200" w:lineRule="exact"/>
        <w:rPr>
          <w:rFonts w:hint="eastAsia" w:ascii="宋体" w:hAnsi="宋体" w:cs="宋体"/>
          <w:color w:val="auto"/>
        </w:rPr>
      </w:pPr>
    </w:p>
    <w:p>
      <w:pPr>
        <w:spacing w:line="200" w:lineRule="exact"/>
        <w:rPr>
          <w:rFonts w:hint="eastAsia" w:ascii="宋体" w:hAnsi="宋体" w:cs="宋体"/>
          <w:color w:val="auto"/>
        </w:rPr>
      </w:pPr>
    </w:p>
    <w:p>
      <w:pPr>
        <w:spacing w:line="200" w:lineRule="exact"/>
        <w:rPr>
          <w:rFonts w:hint="eastAsia" w:ascii="宋体" w:hAnsi="宋体" w:cs="宋体"/>
          <w:color w:val="auto"/>
        </w:rPr>
      </w:pPr>
    </w:p>
    <w:p>
      <w:pPr>
        <w:spacing w:line="235" w:lineRule="exact"/>
        <w:rPr>
          <w:rFonts w:hint="eastAsia" w:ascii="宋体" w:hAnsi="宋体" w:cs="宋体"/>
          <w:color w:val="auto"/>
        </w:rPr>
      </w:pPr>
    </w:p>
    <w:p>
      <w:pPr>
        <w:spacing w:line="480" w:lineRule="auto"/>
        <w:jc w:val="center"/>
        <w:rPr>
          <w:rFonts w:hint="eastAsia" w:ascii="宋体" w:hAnsi="宋体" w:cs="宋体"/>
          <w:color w:val="auto"/>
          <w:sz w:val="24"/>
          <w:lang w:eastAsia="zh-CN"/>
        </w:rPr>
      </w:pPr>
      <w:r>
        <w:rPr>
          <w:rFonts w:hint="eastAsia" w:ascii="宋体" w:hAnsi="宋体" w:cs="宋体"/>
          <w:color w:val="auto"/>
          <w:sz w:val="24"/>
          <w:lang w:eastAsia="zh-CN"/>
        </w:rPr>
        <w:t>企业名称：（盖章）</w:t>
      </w:r>
    </w:p>
    <w:p>
      <w:pPr>
        <w:pStyle w:val="20"/>
        <w:ind w:firstLine="3840" w:firstLineChars="1600"/>
        <w:rPr>
          <w:rFonts w:hint="eastAsia"/>
          <w:lang w:eastAsia="zh-CN"/>
        </w:rPr>
      </w:pPr>
      <w:r>
        <w:rPr>
          <w:rFonts w:hint="eastAsia" w:ascii="宋体" w:hAnsi="宋体" w:cs="宋体"/>
          <w:color w:val="auto"/>
          <w:sz w:val="24"/>
          <w:lang w:eastAsia="zh-CN"/>
        </w:rPr>
        <w:t>日期：</w:t>
      </w:r>
    </w:p>
    <w:p>
      <w:pPr>
        <w:pStyle w:val="5"/>
        <w:rPr>
          <w:rFonts w:ascii="宋体" w:hAnsi="宋体" w:cs="宋体"/>
          <w:kern w:val="0"/>
          <w:sz w:val="32"/>
        </w:rPr>
      </w:pPr>
    </w:p>
    <w:p>
      <w:pPr>
        <w:spacing w:line="274" w:lineRule="exact"/>
        <w:ind w:left="580"/>
        <w:rPr>
          <w:rFonts w:hint="eastAsia" w:ascii="宋体" w:hAnsi="宋体" w:eastAsia="宋体" w:cs="宋体"/>
          <w:color w:val="auto"/>
          <w:sz w:val="24"/>
          <w:lang w:eastAsia="zh-CN"/>
        </w:rPr>
      </w:pPr>
      <w:r>
        <w:rPr>
          <w:rFonts w:hint="eastAsia" w:ascii="宋体" w:hAnsi="宋体" w:eastAsia="宋体" w:cs="宋体"/>
          <w:color w:val="000000"/>
          <w:spacing w:val="8"/>
          <w:kern w:val="0"/>
          <w:sz w:val="21"/>
          <w:szCs w:val="21"/>
          <w:lang w:eastAsia="zh-CN"/>
        </w:rPr>
        <w:t>注：</w:t>
      </w:r>
      <w:r>
        <w:rPr>
          <w:rFonts w:hint="eastAsia" w:ascii="宋体" w:hAnsi="宋体" w:eastAsia="宋体" w:cs="宋体"/>
          <w:color w:val="000000"/>
          <w:spacing w:val="8"/>
          <w:kern w:val="0"/>
          <w:sz w:val="21"/>
          <w:szCs w:val="21"/>
        </w:rPr>
        <w:t>各行业的范围以《国民经济行业分类》（GB/T4754-2017）为准</w:t>
      </w:r>
      <w:r>
        <w:rPr>
          <w:rFonts w:hint="eastAsia" w:ascii="宋体" w:hAnsi="宋体" w:eastAsia="宋体" w:cs="宋体"/>
          <w:color w:val="000000"/>
          <w:spacing w:val="8"/>
          <w:kern w:val="0"/>
          <w:sz w:val="21"/>
          <w:szCs w:val="21"/>
          <w:lang w:eastAsia="zh-CN"/>
        </w:rPr>
        <w:t>。</w:t>
      </w:r>
    </w:p>
    <w:p>
      <w:pPr>
        <w:rPr>
          <w:rFonts w:ascii="宋体" w:hAnsi="宋体" w:cs="宋体"/>
          <w:kern w:val="0"/>
          <w:sz w:val="32"/>
        </w:rPr>
      </w:pPr>
    </w:p>
    <w:p>
      <w:pPr>
        <w:pStyle w:val="9"/>
      </w:pPr>
    </w:p>
    <w:p/>
    <w:p>
      <w:pPr>
        <w:pStyle w:val="9"/>
      </w:pPr>
    </w:p>
    <w:p>
      <w:pPr>
        <w:pStyle w:val="5"/>
        <w:jc w:val="center"/>
        <w:rPr>
          <w:rFonts w:ascii="宋体" w:hAnsi="宋体" w:cs="宋体"/>
          <w:kern w:val="0"/>
          <w:sz w:val="32"/>
        </w:rPr>
      </w:pPr>
      <w:bookmarkStart w:id="774" w:name="_Toc22125"/>
      <w:r>
        <w:rPr>
          <w:rFonts w:hint="eastAsia" w:ascii="宋体" w:hAnsi="宋体" w:cs="宋体"/>
          <w:kern w:val="0"/>
          <w:sz w:val="32"/>
        </w:rPr>
        <w:t>十、</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r>
        <w:rPr>
          <w:rFonts w:hint="eastAsia" w:ascii="宋体" w:hAnsi="宋体" w:cs="宋体"/>
          <w:kern w:val="0"/>
          <w:sz w:val="32"/>
        </w:rPr>
        <w:t>残疾人福利性单位声明函</w:t>
      </w:r>
      <w:bookmarkEnd w:id="774"/>
    </w:p>
    <w:p>
      <w:pPr>
        <w:spacing w:line="274" w:lineRule="exact"/>
        <w:ind w:right="-13"/>
        <w:jc w:val="center"/>
        <w:rPr>
          <w:rFonts w:ascii="宋体" w:hAnsi="宋体" w:cs="宋体"/>
          <w:sz w:val="24"/>
        </w:rPr>
      </w:pPr>
      <w:r>
        <w:rPr>
          <w:rFonts w:hint="eastAsia" w:ascii="宋体" w:hAnsi="宋体" w:cs="宋体"/>
          <w:sz w:val="24"/>
        </w:rPr>
        <w:t>（属于残疾人福利性单位的填写，不属于的无需填写此项内容）</w:t>
      </w:r>
    </w:p>
    <w:p>
      <w:pPr>
        <w:spacing w:line="332" w:lineRule="exact"/>
        <w:rPr>
          <w:rFonts w:ascii="宋体" w:hAnsi="宋体" w:cs="宋体"/>
        </w:rPr>
      </w:pPr>
    </w:p>
    <w:p>
      <w:pPr>
        <w:spacing w:line="504" w:lineRule="exact"/>
        <w:ind w:left="100" w:right="86" w:firstLine="48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299" w:lineRule="exact"/>
        <w:rPr>
          <w:rFonts w:ascii="宋体" w:hAnsi="宋体" w:cs="宋体"/>
        </w:rPr>
      </w:pPr>
    </w:p>
    <w:p>
      <w:pPr>
        <w:spacing w:line="274" w:lineRule="exact"/>
        <w:ind w:left="580"/>
        <w:rPr>
          <w:rFonts w:ascii="宋体" w:hAnsi="宋体" w:cs="宋体"/>
          <w:sz w:val="24"/>
        </w:rPr>
      </w:pPr>
      <w:r>
        <w:rPr>
          <w:rFonts w:hint="eastAsia" w:ascii="宋体" w:hAnsi="宋体" w:cs="宋体"/>
          <w:sz w:val="24"/>
        </w:rPr>
        <w:t>本单位对上述声明的真实性负责。如有虚假，将依法承担相应责任。</w:t>
      </w:r>
    </w:p>
    <w:p>
      <w:pPr>
        <w:spacing w:line="200" w:lineRule="exact"/>
        <w:rPr>
          <w:rFonts w:ascii="宋体" w:hAnsi="宋体" w:cs="宋体"/>
        </w:rPr>
      </w:pPr>
    </w:p>
    <w:p>
      <w:pPr>
        <w:spacing w:line="200" w:lineRule="exact"/>
        <w:rPr>
          <w:rFonts w:ascii="宋体" w:hAnsi="宋体" w:cs="宋体"/>
        </w:rPr>
      </w:pPr>
    </w:p>
    <w:p>
      <w:pPr>
        <w:spacing w:line="200" w:lineRule="exact"/>
        <w:rPr>
          <w:rFonts w:ascii="宋体" w:hAnsi="宋体" w:cs="宋体"/>
        </w:rPr>
      </w:pPr>
    </w:p>
    <w:p>
      <w:pPr>
        <w:spacing w:line="200" w:lineRule="exact"/>
        <w:rPr>
          <w:rFonts w:ascii="宋体" w:hAnsi="宋体" w:cs="宋体"/>
        </w:rPr>
      </w:pPr>
    </w:p>
    <w:p>
      <w:pPr>
        <w:spacing w:line="200" w:lineRule="exact"/>
        <w:rPr>
          <w:rFonts w:ascii="宋体" w:hAnsi="宋体" w:cs="宋体"/>
        </w:rPr>
      </w:pPr>
    </w:p>
    <w:p>
      <w:pPr>
        <w:spacing w:line="200" w:lineRule="exact"/>
        <w:rPr>
          <w:rFonts w:ascii="宋体" w:hAnsi="宋体" w:cs="宋体"/>
        </w:rPr>
      </w:pPr>
    </w:p>
    <w:p>
      <w:pPr>
        <w:spacing w:line="235" w:lineRule="exact"/>
        <w:rPr>
          <w:rFonts w:ascii="宋体" w:hAnsi="宋体" w:cs="宋体"/>
        </w:rPr>
      </w:pPr>
    </w:p>
    <w:tbl>
      <w:tblPr>
        <w:tblStyle w:val="22"/>
        <w:tblW w:w="6720" w:type="dxa"/>
        <w:tblInd w:w="2140" w:type="dxa"/>
        <w:tblLayout w:type="fixed"/>
        <w:tblCellMar>
          <w:top w:w="0" w:type="dxa"/>
          <w:left w:w="0" w:type="dxa"/>
          <w:bottom w:w="0" w:type="dxa"/>
          <w:right w:w="0" w:type="dxa"/>
        </w:tblCellMar>
      </w:tblPr>
      <w:tblGrid>
        <w:gridCol w:w="2640"/>
        <w:gridCol w:w="300"/>
        <w:gridCol w:w="180"/>
        <w:gridCol w:w="960"/>
        <w:gridCol w:w="240"/>
        <w:gridCol w:w="360"/>
        <w:gridCol w:w="300"/>
        <w:gridCol w:w="300"/>
        <w:gridCol w:w="240"/>
        <w:gridCol w:w="960"/>
        <w:gridCol w:w="240"/>
      </w:tblGrid>
      <w:tr>
        <w:tblPrEx>
          <w:tblCellMar>
            <w:top w:w="0" w:type="dxa"/>
            <w:left w:w="0" w:type="dxa"/>
            <w:bottom w:w="0" w:type="dxa"/>
            <w:right w:w="0" w:type="dxa"/>
          </w:tblCellMar>
        </w:tblPrEx>
        <w:trPr>
          <w:trHeight w:val="275" w:hRule="atLeast"/>
        </w:trPr>
        <w:tc>
          <w:tcPr>
            <w:tcW w:w="4680" w:type="dxa"/>
            <w:gridSpan w:val="6"/>
            <w:vAlign w:val="bottom"/>
          </w:tcPr>
          <w:p>
            <w:pPr>
              <w:spacing w:line="274" w:lineRule="exact"/>
              <w:ind w:left="1980"/>
              <w:rPr>
                <w:rFonts w:ascii="宋体" w:hAnsi="宋体" w:cs="宋体"/>
                <w:sz w:val="24"/>
              </w:rPr>
            </w:pPr>
            <w:r>
              <w:rPr>
                <w:rFonts w:hint="eastAsia" w:ascii="宋体" w:hAnsi="宋体" w:cs="宋体"/>
                <w:sz w:val="24"/>
              </w:rPr>
              <w:t>投标人：</w:t>
            </w:r>
          </w:p>
        </w:tc>
        <w:tc>
          <w:tcPr>
            <w:tcW w:w="300" w:type="dxa"/>
            <w:vAlign w:val="bottom"/>
          </w:tcPr>
          <w:p>
            <w:pPr>
              <w:spacing w:line="0" w:lineRule="atLeast"/>
              <w:rPr>
                <w:rFonts w:ascii="宋体" w:hAnsi="宋体" w:cs="宋体"/>
                <w:sz w:val="23"/>
              </w:rPr>
            </w:pPr>
          </w:p>
        </w:tc>
        <w:tc>
          <w:tcPr>
            <w:tcW w:w="1500" w:type="dxa"/>
            <w:gridSpan w:val="3"/>
            <w:vAlign w:val="bottom"/>
          </w:tcPr>
          <w:p>
            <w:pPr>
              <w:spacing w:line="274" w:lineRule="exact"/>
              <w:ind w:right="540"/>
              <w:jc w:val="center"/>
              <w:rPr>
                <w:rFonts w:ascii="宋体" w:hAnsi="宋体" w:cs="宋体"/>
                <w:w w:val="99"/>
                <w:sz w:val="24"/>
              </w:rPr>
            </w:pPr>
            <w:r>
              <w:rPr>
                <w:rFonts w:hint="eastAsia" w:ascii="宋体" w:hAnsi="宋体" w:cs="宋体"/>
                <w:w w:val="99"/>
                <w:sz w:val="24"/>
              </w:rPr>
              <w:t>（盖章）</w:t>
            </w:r>
          </w:p>
        </w:tc>
        <w:tc>
          <w:tcPr>
            <w:tcW w:w="240" w:type="dxa"/>
            <w:vAlign w:val="bottom"/>
          </w:tcPr>
          <w:p>
            <w:pPr>
              <w:spacing w:line="0" w:lineRule="atLeast"/>
              <w:rPr>
                <w:rFonts w:ascii="宋体" w:hAnsi="宋体" w:cs="宋体"/>
                <w:sz w:val="23"/>
              </w:rPr>
            </w:pPr>
          </w:p>
        </w:tc>
      </w:tr>
      <w:tr>
        <w:tblPrEx>
          <w:tblCellMar>
            <w:top w:w="0" w:type="dxa"/>
            <w:left w:w="0" w:type="dxa"/>
            <w:bottom w:w="0" w:type="dxa"/>
            <w:right w:w="0" w:type="dxa"/>
          </w:tblCellMar>
        </w:tblPrEx>
        <w:trPr>
          <w:trHeight w:val="20" w:hRule="atLeast"/>
        </w:trPr>
        <w:tc>
          <w:tcPr>
            <w:tcW w:w="2640" w:type="dxa"/>
            <w:shd w:val="clear" w:color="auto" w:fill="auto"/>
            <w:vAlign w:val="bottom"/>
          </w:tcPr>
          <w:p>
            <w:pPr>
              <w:spacing w:line="20" w:lineRule="exact"/>
              <w:rPr>
                <w:rFonts w:ascii="宋体" w:hAnsi="宋体" w:cs="宋体"/>
                <w:sz w:val="1"/>
              </w:rPr>
            </w:pPr>
          </w:p>
        </w:tc>
        <w:tc>
          <w:tcPr>
            <w:tcW w:w="300" w:type="dxa"/>
            <w:shd w:val="clear" w:color="auto" w:fill="auto"/>
            <w:vAlign w:val="bottom"/>
          </w:tcPr>
          <w:p>
            <w:pPr>
              <w:spacing w:line="20" w:lineRule="exact"/>
              <w:rPr>
                <w:rFonts w:ascii="宋体" w:hAnsi="宋体" w:cs="宋体"/>
                <w:sz w:val="1"/>
              </w:rPr>
            </w:pPr>
          </w:p>
        </w:tc>
        <w:tc>
          <w:tcPr>
            <w:tcW w:w="180" w:type="dxa"/>
            <w:shd w:val="clear" w:color="auto" w:fill="000000"/>
            <w:vAlign w:val="bottom"/>
          </w:tcPr>
          <w:p>
            <w:pPr>
              <w:spacing w:line="20" w:lineRule="exact"/>
              <w:rPr>
                <w:rFonts w:ascii="宋体" w:hAnsi="宋体" w:cs="宋体"/>
                <w:sz w:val="1"/>
              </w:rPr>
            </w:pPr>
          </w:p>
        </w:tc>
        <w:tc>
          <w:tcPr>
            <w:tcW w:w="960" w:type="dxa"/>
            <w:shd w:val="clear" w:color="auto" w:fill="000000"/>
            <w:vAlign w:val="bottom"/>
          </w:tcPr>
          <w:p>
            <w:pPr>
              <w:spacing w:line="20" w:lineRule="exact"/>
              <w:rPr>
                <w:rFonts w:ascii="宋体" w:hAnsi="宋体" w:cs="宋体"/>
                <w:sz w:val="1"/>
              </w:rPr>
            </w:pPr>
          </w:p>
        </w:tc>
        <w:tc>
          <w:tcPr>
            <w:tcW w:w="240" w:type="dxa"/>
            <w:shd w:val="clear" w:color="auto" w:fill="000000"/>
            <w:vAlign w:val="bottom"/>
          </w:tcPr>
          <w:p>
            <w:pPr>
              <w:spacing w:line="20" w:lineRule="exact"/>
              <w:rPr>
                <w:rFonts w:ascii="宋体" w:hAnsi="宋体" w:cs="宋体"/>
                <w:sz w:val="1"/>
              </w:rPr>
            </w:pPr>
          </w:p>
        </w:tc>
        <w:tc>
          <w:tcPr>
            <w:tcW w:w="360" w:type="dxa"/>
            <w:shd w:val="clear" w:color="auto" w:fill="000000"/>
            <w:vAlign w:val="bottom"/>
          </w:tcPr>
          <w:p>
            <w:pPr>
              <w:spacing w:line="20" w:lineRule="exact"/>
              <w:rPr>
                <w:rFonts w:ascii="宋体" w:hAnsi="宋体" w:cs="宋体"/>
                <w:sz w:val="1"/>
              </w:rPr>
            </w:pPr>
          </w:p>
        </w:tc>
        <w:tc>
          <w:tcPr>
            <w:tcW w:w="300" w:type="dxa"/>
            <w:shd w:val="clear" w:color="auto" w:fill="000000"/>
            <w:vAlign w:val="bottom"/>
          </w:tcPr>
          <w:p>
            <w:pPr>
              <w:spacing w:line="20" w:lineRule="exact"/>
              <w:rPr>
                <w:rFonts w:ascii="宋体" w:hAnsi="宋体" w:cs="宋体"/>
                <w:sz w:val="1"/>
              </w:rPr>
            </w:pPr>
          </w:p>
        </w:tc>
        <w:tc>
          <w:tcPr>
            <w:tcW w:w="300" w:type="dxa"/>
            <w:vAlign w:val="bottom"/>
          </w:tcPr>
          <w:p>
            <w:pPr>
              <w:spacing w:line="20" w:lineRule="exact"/>
              <w:rPr>
                <w:rFonts w:ascii="宋体" w:hAnsi="宋体" w:cs="宋体"/>
                <w:sz w:val="1"/>
              </w:rPr>
            </w:pPr>
          </w:p>
        </w:tc>
        <w:tc>
          <w:tcPr>
            <w:tcW w:w="240" w:type="dxa"/>
            <w:vAlign w:val="bottom"/>
          </w:tcPr>
          <w:p>
            <w:pPr>
              <w:spacing w:line="20" w:lineRule="exact"/>
              <w:rPr>
                <w:rFonts w:ascii="宋体" w:hAnsi="宋体" w:cs="宋体"/>
                <w:sz w:val="1"/>
              </w:rPr>
            </w:pPr>
          </w:p>
        </w:tc>
        <w:tc>
          <w:tcPr>
            <w:tcW w:w="960" w:type="dxa"/>
            <w:vAlign w:val="bottom"/>
          </w:tcPr>
          <w:p>
            <w:pPr>
              <w:spacing w:line="20" w:lineRule="exact"/>
              <w:rPr>
                <w:rFonts w:ascii="宋体" w:hAnsi="宋体" w:cs="宋体"/>
                <w:sz w:val="1"/>
              </w:rPr>
            </w:pPr>
          </w:p>
        </w:tc>
        <w:tc>
          <w:tcPr>
            <w:tcW w:w="240" w:type="dxa"/>
            <w:vAlign w:val="bottom"/>
          </w:tcPr>
          <w:p>
            <w:pPr>
              <w:spacing w:line="20" w:lineRule="exact"/>
              <w:rPr>
                <w:rFonts w:ascii="宋体" w:hAnsi="宋体" w:cs="宋体"/>
                <w:sz w:val="1"/>
              </w:rPr>
            </w:pPr>
          </w:p>
        </w:tc>
      </w:tr>
      <w:tr>
        <w:tblPrEx>
          <w:tblCellMar>
            <w:top w:w="0" w:type="dxa"/>
            <w:left w:w="0" w:type="dxa"/>
            <w:bottom w:w="0" w:type="dxa"/>
            <w:right w:w="0" w:type="dxa"/>
          </w:tblCellMar>
        </w:tblPrEx>
        <w:trPr>
          <w:trHeight w:val="551" w:hRule="atLeast"/>
        </w:trPr>
        <w:tc>
          <w:tcPr>
            <w:tcW w:w="4680" w:type="dxa"/>
            <w:gridSpan w:val="6"/>
            <w:vAlign w:val="bottom"/>
          </w:tcPr>
          <w:p>
            <w:pPr>
              <w:spacing w:line="274" w:lineRule="exact"/>
              <w:rPr>
                <w:rFonts w:ascii="宋体" w:hAnsi="宋体" w:cs="宋体"/>
                <w:sz w:val="24"/>
              </w:rPr>
            </w:pPr>
            <w:r>
              <w:rPr>
                <w:rFonts w:hint="eastAsia" w:ascii="宋体" w:hAnsi="宋体" w:cs="宋体"/>
                <w:sz w:val="24"/>
              </w:rPr>
              <w:t>法定代表人或其委托代理人：</w:t>
            </w:r>
          </w:p>
        </w:tc>
        <w:tc>
          <w:tcPr>
            <w:tcW w:w="1800" w:type="dxa"/>
            <w:gridSpan w:val="4"/>
            <w:vAlign w:val="bottom"/>
          </w:tcPr>
          <w:p>
            <w:pPr>
              <w:spacing w:line="274" w:lineRule="exact"/>
              <w:ind w:right="120"/>
              <w:jc w:val="center"/>
              <w:rPr>
                <w:rFonts w:ascii="宋体" w:hAnsi="宋体" w:cs="宋体"/>
                <w:w w:val="99"/>
                <w:sz w:val="24"/>
              </w:rPr>
            </w:pPr>
            <w:r>
              <w:rPr>
                <w:rFonts w:hint="eastAsia" w:ascii="宋体" w:hAnsi="宋体" w:cs="宋体"/>
                <w:w w:val="99"/>
                <w:sz w:val="24"/>
              </w:rPr>
              <w:t>（签字或盖章）</w:t>
            </w:r>
          </w:p>
        </w:tc>
        <w:tc>
          <w:tcPr>
            <w:tcW w:w="240" w:type="dxa"/>
            <w:vAlign w:val="bottom"/>
          </w:tcPr>
          <w:p>
            <w:pPr>
              <w:spacing w:line="0" w:lineRule="atLeast"/>
              <w:rPr>
                <w:rFonts w:ascii="宋体" w:hAnsi="宋体" w:cs="宋体"/>
                <w:sz w:val="24"/>
              </w:rPr>
            </w:pPr>
          </w:p>
        </w:tc>
      </w:tr>
      <w:tr>
        <w:tblPrEx>
          <w:tblCellMar>
            <w:top w:w="0" w:type="dxa"/>
            <w:left w:w="0" w:type="dxa"/>
            <w:bottom w:w="0" w:type="dxa"/>
            <w:right w:w="0" w:type="dxa"/>
          </w:tblCellMar>
        </w:tblPrEx>
        <w:trPr>
          <w:trHeight w:val="549" w:hRule="atLeast"/>
        </w:trPr>
        <w:tc>
          <w:tcPr>
            <w:tcW w:w="2640" w:type="dxa"/>
            <w:vAlign w:val="bottom"/>
          </w:tcPr>
          <w:p>
            <w:pPr>
              <w:spacing w:line="0" w:lineRule="atLeast"/>
              <w:rPr>
                <w:rFonts w:ascii="宋体" w:hAnsi="宋体" w:cs="宋体"/>
                <w:sz w:val="24"/>
              </w:rPr>
            </w:pPr>
          </w:p>
        </w:tc>
        <w:tc>
          <w:tcPr>
            <w:tcW w:w="300" w:type="dxa"/>
            <w:tcBorders>
              <w:bottom w:val="single" w:color="auto" w:sz="8" w:space="0"/>
            </w:tcBorders>
            <w:vAlign w:val="bottom"/>
          </w:tcPr>
          <w:p>
            <w:pPr>
              <w:spacing w:line="0" w:lineRule="atLeast"/>
              <w:rPr>
                <w:rFonts w:ascii="宋体" w:hAnsi="宋体" w:cs="宋体"/>
                <w:sz w:val="24"/>
              </w:rPr>
            </w:pPr>
          </w:p>
        </w:tc>
        <w:tc>
          <w:tcPr>
            <w:tcW w:w="180" w:type="dxa"/>
            <w:tcBorders>
              <w:bottom w:val="single" w:color="auto" w:sz="8" w:space="0"/>
            </w:tcBorders>
            <w:vAlign w:val="bottom"/>
          </w:tcPr>
          <w:p>
            <w:pPr>
              <w:spacing w:line="0" w:lineRule="atLeast"/>
              <w:rPr>
                <w:rFonts w:ascii="宋体" w:hAnsi="宋体" w:cs="宋体"/>
                <w:sz w:val="24"/>
              </w:rPr>
            </w:pPr>
          </w:p>
        </w:tc>
        <w:tc>
          <w:tcPr>
            <w:tcW w:w="960" w:type="dxa"/>
            <w:tcBorders>
              <w:top w:val="single" w:color="auto" w:sz="8" w:space="0"/>
              <w:bottom w:val="single" w:color="auto" w:sz="8" w:space="0"/>
            </w:tcBorders>
            <w:vAlign w:val="bottom"/>
          </w:tcPr>
          <w:p>
            <w:pPr>
              <w:spacing w:line="0" w:lineRule="atLeast"/>
              <w:rPr>
                <w:rFonts w:ascii="宋体" w:hAnsi="宋体" w:cs="宋体"/>
                <w:sz w:val="24"/>
              </w:rPr>
            </w:pPr>
          </w:p>
        </w:tc>
        <w:tc>
          <w:tcPr>
            <w:tcW w:w="240" w:type="dxa"/>
            <w:tcBorders>
              <w:top w:val="single" w:color="auto" w:sz="8" w:space="0"/>
            </w:tcBorders>
            <w:vAlign w:val="bottom"/>
          </w:tcPr>
          <w:p>
            <w:pPr>
              <w:spacing w:line="274" w:lineRule="exact"/>
              <w:rPr>
                <w:rFonts w:ascii="宋体" w:hAnsi="宋体" w:cs="宋体"/>
                <w:w w:val="91"/>
                <w:sz w:val="24"/>
              </w:rPr>
            </w:pPr>
            <w:r>
              <w:rPr>
                <w:rFonts w:hint="eastAsia" w:ascii="宋体" w:hAnsi="宋体" w:cs="宋体"/>
                <w:w w:val="91"/>
                <w:sz w:val="24"/>
              </w:rPr>
              <w:t>年</w:t>
            </w:r>
          </w:p>
        </w:tc>
        <w:tc>
          <w:tcPr>
            <w:tcW w:w="360" w:type="dxa"/>
            <w:tcBorders>
              <w:top w:val="single" w:color="auto" w:sz="8" w:space="0"/>
              <w:bottom w:val="single" w:color="auto" w:sz="8" w:space="0"/>
            </w:tcBorders>
            <w:vAlign w:val="bottom"/>
          </w:tcPr>
          <w:p>
            <w:pPr>
              <w:spacing w:line="0" w:lineRule="atLeast"/>
              <w:rPr>
                <w:rFonts w:ascii="宋体" w:hAnsi="宋体" w:cs="宋体"/>
                <w:sz w:val="24"/>
              </w:rPr>
            </w:pPr>
          </w:p>
        </w:tc>
        <w:tc>
          <w:tcPr>
            <w:tcW w:w="300" w:type="dxa"/>
            <w:tcBorders>
              <w:bottom w:val="single" w:color="auto" w:sz="8" w:space="0"/>
            </w:tcBorders>
            <w:vAlign w:val="bottom"/>
          </w:tcPr>
          <w:p>
            <w:pPr>
              <w:spacing w:line="0" w:lineRule="atLeast"/>
              <w:rPr>
                <w:rFonts w:ascii="宋体" w:hAnsi="宋体" w:cs="宋体"/>
                <w:sz w:val="24"/>
              </w:rPr>
            </w:pPr>
          </w:p>
        </w:tc>
        <w:tc>
          <w:tcPr>
            <w:tcW w:w="300" w:type="dxa"/>
            <w:tcBorders>
              <w:bottom w:val="single" w:color="auto" w:sz="8" w:space="0"/>
            </w:tcBorders>
            <w:vAlign w:val="bottom"/>
          </w:tcPr>
          <w:p>
            <w:pPr>
              <w:spacing w:line="0" w:lineRule="atLeast"/>
              <w:rPr>
                <w:rFonts w:ascii="宋体" w:hAnsi="宋体" w:cs="宋体"/>
                <w:sz w:val="24"/>
              </w:rPr>
            </w:pPr>
          </w:p>
        </w:tc>
        <w:tc>
          <w:tcPr>
            <w:tcW w:w="240" w:type="dxa"/>
            <w:vAlign w:val="bottom"/>
          </w:tcPr>
          <w:p>
            <w:pPr>
              <w:spacing w:line="274" w:lineRule="exact"/>
              <w:rPr>
                <w:rFonts w:ascii="宋体" w:hAnsi="宋体" w:cs="宋体"/>
                <w:w w:val="91"/>
                <w:sz w:val="24"/>
              </w:rPr>
            </w:pPr>
            <w:r>
              <w:rPr>
                <w:rFonts w:hint="eastAsia" w:ascii="宋体" w:hAnsi="宋体" w:cs="宋体"/>
                <w:w w:val="91"/>
                <w:sz w:val="24"/>
              </w:rPr>
              <w:t>月</w:t>
            </w:r>
          </w:p>
        </w:tc>
        <w:tc>
          <w:tcPr>
            <w:tcW w:w="960" w:type="dxa"/>
            <w:tcBorders>
              <w:bottom w:val="single" w:color="auto" w:sz="8" w:space="0"/>
            </w:tcBorders>
            <w:vAlign w:val="bottom"/>
          </w:tcPr>
          <w:p>
            <w:pPr>
              <w:spacing w:line="0" w:lineRule="atLeast"/>
              <w:rPr>
                <w:rFonts w:ascii="宋体" w:hAnsi="宋体" w:cs="宋体"/>
                <w:sz w:val="24"/>
              </w:rPr>
            </w:pPr>
          </w:p>
        </w:tc>
        <w:tc>
          <w:tcPr>
            <w:tcW w:w="240" w:type="dxa"/>
            <w:vAlign w:val="bottom"/>
          </w:tcPr>
          <w:p>
            <w:pPr>
              <w:spacing w:line="274" w:lineRule="exact"/>
              <w:rPr>
                <w:rFonts w:ascii="宋体" w:hAnsi="宋体" w:cs="宋体"/>
                <w:w w:val="91"/>
                <w:sz w:val="24"/>
              </w:rPr>
            </w:pPr>
            <w:r>
              <w:rPr>
                <w:rFonts w:hint="eastAsia" w:ascii="宋体" w:hAnsi="宋体" w:cs="宋体"/>
                <w:w w:val="91"/>
                <w:sz w:val="24"/>
              </w:rPr>
              <w:t>日</w:t>
            </w:r>
          </w:p>
        </w:tc>
      </w:tr>
    </w:tbl>
    <w:p>
      <w:pPr>
        <w:spacing w:line="200" w:lineRule="exact"/>
        <w:rPr>
          <w:rFonts w:ascii="宋体" w:hAnsi="宋体" w:cs="宋体"/>
        </w:rPr>
      </w:pPr>
    </w:p>
    <w:p>
      <w:pPr>
        <w:pStyle w:val="5"/>
        <w:keepNext w:val="0"/>
        <w:jc w:val="center"/>
        <w:rPr>
          <w:rFonts w:ascii="宋体" w:hAnsi="宋体" w:cs="宋体"/>
        </w:rPr>
      </w:pPr>
    </w:p>
    <w:p>
      <w:pPr>
        <w:spacing w:line="480" w:lineRule="auto"/>
        <w:ind w:firstLine="480" w:firstLineChars="200"/>
        <w:jc w:val="left"/>
        <w:rPr>
          <w:rFonts w:ascii="宋体" w:hAnsi="宋体" w:cs="宋体"/>
          <w:sz w:val="24"/>
        </w:rPr>
      </w:pPr>
    </w:p>
    <w:p>
      <w:pPr>
        <w:rPr>
          <w:rFonts w:ascii="宋体" w:hAnsi="宋体" w:cs="宋体"/>
          <w:sz w:val="24"/>
        </w:rPr>
      </w:pPr>
    </w:p>
    <w:p>
      <w:pPr>
        <w:rPr>
          <w:rFonts w:ascii="宋体" w:hAnsi="宋体" w:cs="宋体"/>
          <w:sz w:val="24"/>
        </w:rPr>
      </w:pPr>
    </w:p>
    <w:p>
      <w:pPr>
        <w:spacing w:line="295" w:lineRule="exact"/>
        <w:rPr>
          <w:rFonts w:ascii="宋体" w:hAnsi="宋体" w:cs="宋体"/>
        </w:rPr>
      </w:pPr>
    </w:p>
    <w:p>
      <w:pPr>
        <w:pStyle w:val="4"/>
        <w:jc w:val="center"/>
        <w:rPr>
          <w:rFonts w:ascii="宋体" w:hAnsi="宋体" w:eastAsia="宋体" w:cs="宋体"/>
        </w:rPr>
      </w:pPr>
    </w:p>
    <w:p>
      <w:pPr>
        <w:pStyle w:val="5"/>
        <w:jc w:val="center"/>
        <w:rPr>
          <w:rFonts w:ascii="宋体" w:hAnsi="宋体" w:cs="宋体"/>
          <w:kern w:val="0"/>
          <w:sz w:val="32"/>
        </w:rPr>
      </w:pPr>
      <w:r>
        <w:rPr>
          <w:rFonts w:hint="eastAsia" w:ascii="宋体" w:hAnsi="宋体" w:cs="宋体"/>
        </w:rPr>
        <w:br w:type="page"/>
      </w:r>
      <w:bookmarkStart w:id="775" w:name="_Toc10371"/>
      <w:bookmarkStart w:id="776" w:name="_Toc19566"/>
      <w:bookmarkStart w:id="777" w:name="_Toc533590178"/>
      <w:bookmarkStart w:id="778" w:name="_Toc3681"/>
      <w:bookmarkStart w:id="779" w:name="_Toc20499"/>
      <w:bookmarkStart w:id="780" w:name="_Toc1025"/>
      <w:bookmarkStart w:id="781" w:name="_Toc7997"/>
      <w:bookmarkStart w:id="782" w:name="_Toc57"/>
      <w:bookmarkStart w:id="783" w:name="_Toc10523"/>
      <w:bookmarkStart w:id="784" w:name="_Toc25000"/>
      <w:bookmarkStart w:id="785" w:name="_Toc25770"/>
      <w:bookmarkStart w:id="786" w:name="_Toc20428_WPSOffice_Level1"/>
      <w:bookmarkStart w:id="787" w:name="_Toc21546"/>
      <w:bookmarkStart w:id="788" w:name="_Toc16485"/>
      <w:bookmarkStart w:id="789" w:name="_Toc14160"/>
      <w:bookmarkStart w:id="790" w:name="_Toc24271"/>
      <w:bookmarkStart w:id="791" w:name="_Toc26826"/>
      <w:bookmarkStart w:id="792" w:name="_Toc22672"/>
      <w:bookmarkStart w:id="793" w:name="_Toc27323"/>
      <w:bookmarkStart w:id="794" w:name="_Toc31859"/>
      <w:bookmarkStart w:id="795" w:name="_Toc8269"/>
      <w:bookmarkStart w:id="796" w:name="_Toc25975"/>
      <w:bookmarkStart w:id="797" w:name="_Toc16191"/>
      <w:bookmarkStart w:id="798" w:name="_Toc16170"/>
      <w:bookmarkStart w:id="799" w:name="_Toc2873"/>
      <w:bookmarkStart w:id="800" w:name="_Toc79"/>
      <w:bookmarkStart w:id="801" w:name="_Toc19117"/>
      <w:r>
        <w:rPr>
          <w:rFonts w:hint="eastAsia" w:ascii="宋体" w:hAnsi="宋体" w:cs="宋体"/>
          <w:kern w:val="0"/>
          <w:sz w:val="32"/>
        </w:rPr>
        <w:t>十</w:t>
      </w:r>
      <w:r>
        <w:rPr>
          <w:rFonts w:hint="eastAsia" w:ascii="宋体" w:hAnsi="宋体" w:cs="宋体"/>
          <w:kern w:val="0"/>
          <w:sz w:val="32"/>
          <w:lang w:eastAsia="zh-CN"/>
        </w:rPr>
        <w:t>一</w:t>
      </w:r>
      <w:r>
        <w:rPr>
          <w:rFonts w:hint="eastAsia" w:ascii="宋体" w:hAnsi="宋体" w:cs="宋体"/>
          <w:kern w:val="0"/>
          <w:sz w:val="32"/>
        </w:rPr>
        <w:t>、</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Pr>
          <w:rFonts w:hint="eastAsia" w:ascii="宋体" w:hAnsi="宋体" w:cs="宋体"/>
          <w:kern w:val="0"/>
          <w:sz w:val="32"/>
        </w:rPr>
        <w:t>其他材料</w:t>
      </w:r>
      <w:bookmarkEnd w:id="801"/>
    </w:p>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投标人认为有必要的其他资料</w:t>
      </w:r>
    </w:p>
    <w:p>
      <w:pPr>
        <w:pStyle w:val="4"/>
        <w:jc w:val="center"/>
        <w:rPr>
          <w:rFonts w:ascii="宋体" w:hAnsi="宋体" w:eastAsia="宋体" w:cs="宋体"/>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pPr>
    </w:p>
    <w:p/>
    <w:p/>
    <w:p/>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r>
                      <w:rPr>
                        <w:rFonts w:hint="eastAsia"/>
                      </w:rPr>
                      <w:t xml:space="preserve"> 页</w:t>
                    </w:r>
                  </w:p>
                </w:txbxContent>
              </v:textbox>
            </v:shape>
          </w:pict>
        </mc:Fallback>
      </mc:AlternateContent>
    </w:r>
    <w:r>
      <w:rPr>
        <w:rFonts w:hint="eastAsia"/>
      </w:rPr>
      <w:t xml:space="preserve">  </w:t>
    </w:r>
    <w:r>
      <w:rPr>
        <w:rFonts w:hint="eastAsia"/>
        <w:lang w:eastAsia="zh-CN"/>
      </w:rPr>
      <w:t>河南鹏轩工程管理有限公司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eastAsia="宋体"/>
        <w:lang w:eastAsia="zh-CN"/>
      </w:rPr>
    </w:pPr>
    <w:r>
      <w:rPr>
        <w:rFonts w:hint="eastAsia"/>
      </w:rPr>
      <w:t xml:space="preserve">  </w:t>
    </w: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CUlXLbOAQAApwMAAA4AAAAAAAAAAQAgAAAAHgEAAGRycy9l&#10;Mm9Eb2MueG1sUEsFBgAAAAAGAAYAWQEAAF4FAAAAAA==&#10;">
              <v:fill on="f" focussize="0,0"/>
              <v:stroke on="f"/>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r>
                      <w:rPr>
                        <w:rFonts w:hint="eastAsia"/>
                      </w:rPr>
                      <w:t xml:space="preserve"> 页</w:t>
                    </w:r>
                  </w:p>
                </w:txbxContent>
              </v:textbox>
            </v:shape>
          </w:pict>
        </mc:Fallback>
      </mc:AlternateContent>
    </w:r>
    <w:r>
      <w:rPr>
        <w:rFonts w:hint="eastAsia"/>
        <w:lang w:eastAsia="zh-CN"/>
      </w:rPr>
      <w:t>河南鹏轩工程管理有限公司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eastAsia="宋体"/>
        <w:lang w:eastAsia="zh-CN"/>
      </w:rPr>
    </w:pPr>
    <w:r>
      <w:rPr>
        <w:rFonts w:hint="eastAsia"/>
      </w:rPr>
      <w:t xml:space="preserve">  </w: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qbd+80BAACnAwAADgAAAGRycy9lMm9Eb2MueG1srVNLbtswEN0H6B0I&#10;7mspBlo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fMmZE5Ye/Pzzx/nX4/nhO3uT&#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qbd+80BAACnAwAADgAAAAAAAAABACAAAAAeAQAAZHJzL2Uy&#10;b0RvYy54bWxQSwUGAAAAAAYABgBZAQAAXQUAAAAA&#10;">
              <v:fill on="f" focussize="0,0"/>
              <v:stroke on="f"/>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r>
                      <w:rPr>
                        <w:rFonts w:hint="eastAsia"/>
                      </w:rPr>
                      <w:t xml:space="preserve"> 页</w:t>
                    </w:r>
                  </w:p>
                </w:txbxContent>
              </v:textbox>
            </v:shape>
          </w:pict>
        </mc:Fallback>
      </mc:AlternateContent>
    </w:r>
    <w:r>
      <w:rPr>
        <w:rFonts w:hint="eastAsia"/>
        <w:lang w:eastAsia="zh-CN"/>
      </w:rPr>
      <w:t>河南鹏轩工程管理有限公司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a:effectLst/>
                    </wps:spPr>
                    <wps:txbx>
                      <w:txbxContent>
                        <w:p>
                          <w:pPr>
                            <w:spacing w:before="12"/>
                            <w:ind w:left="40"/>
                            <w:rPr>
                              <w:sz w:val="18"/>
                            </w:rPr>
                          </w:pPr>
                          <w:r>
                            <w:fldChar w:fldCharType="begin"/>
                          </w:r>
                          <w:r>
                            <w:rPr>
                              <w:sz w:val="18"/>
                            </w:rPr>
                            <w:instrText xml:space="preserve"> PAGE </w:instrText>
                          </w:r>
                          <w:r>
                            <w:fldChar w:fldCharType="separate"/>
                          </w:r>
                          <w:r>
                            <w:rPr>
                              <w:sz w:val="18"/>
                            </w:rPr>
                            <w:t>120</w:t>
                          </w:r>
                          <w:r>
                            <w:fldChar w:fldCharType="end"/>
                          </w:r>
                        </w:p>
                      </w:txbxContent>
                    </wps:txbx>
                    <wps:bodyPr lIns="0" tIns="0" rIns="0" bIns="0" upright="1"/>
                  </wps:wsp>
                </a:graphicData>
              </a:graphic>
            </wp:anchor>
          </w:drawing>
        </mc:Choice>
        <mc:Fallback>
          <w:pict>
            <v:shape id="文本框 5" o:spid="_x0000_s1026" o:spt="202" type="#_x0000_t202" style="position:absolute;left:0pt;margin-left:291.15pt;margin-top:781.2pt;height:12pt;width:13.1pt;mso-position-horizontal-relative:page;mso-position-vertical-relative:page;z-index:-251654144;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p8n8Z2wAAAA0BAAAPAAAAAAAAAAEAIAAAACIAAABkcnMvZG93bnJldi54&#10;bWxQSwECFAAUAAAACACHTuJAh5haEL4BAAB/AwAADgAAAAAAAAABACAAAAAqAQAAZHJzL2Uyb0Rv&#10;Yy54bWxQSwUGAAAAAAYABgBZAQAAWgUAAAAA&#10;">
              <v:fill on="f" focussize="0,0"/>
              <v:stroke on="f"/>
              <v:imagedata o:title=""/>
              <o:lock v:ext="edit" aspectratio="f"/>
              <v:textbox inset="0mm,0mm,0mm,0mm">
                <w:txbxContent>
                  <w:p>
                    <w:pPr>
                      <w:spacing w:before="12"/>
                      <w:ind w:left="40"/>
                      <w:rPr>
                        <w:sz w:val="18"/>
                      </w:rPr>
                    </w:pPr>
                    <w:r>
                      <w:fldChar w:fldCharType="begin"/>
                    </w:r>
                    <w:r>
                      <w:rPr>
                        <w:sz w:val="18"/>
                      </w:rPr>
                      <w:instrText xml:space="preserve"> PAGE </w:instrText>
                    </w:r>
                    <w:r>
                      <w:fldChar w:fldCharType="separate"/>
                    </w:r>
                    <w:r>
                      <w:rPr>
                        <w:sz w:val="18"/>
                      </w:rPr>
                      <w:t>120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eastAsia="宋体"/>
        <w:lang w:eastAsia="zh-CN"/>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130</w:t>
                    </w:r>
                    <w:r>
                      <w:rPr>
                        <w:rFonts w:hint="eastAsia"/>
                      </w:rPr>
                      <w:fldChar w:fldCharType="end"/>
                    </w:r>
                    <w:r>
                      <w:rPr>
                        <w:rFonts w:hint="eastAsia"/>
                      </w:rPr>
                      <w:t xml:space="preserve"> 页</w:t>
                    </w:r>
                  </w:p>
                </w:txbxContent>
              </v:textbox>
            </v:shape>
          </w:pict>
        </mc:Fallback>
      </mc:AlternateContent>
    </w:r>
    <w:r>
      <w:rPr>
        <w:rFonts w:hint="eastAsia"/>
      </w:rPr>
      <w:t xml:space="preserve">  </w:t>
    </w:r>
    <w:r>
      <w:rPr>
        <w:rFonts w:hint="eastAsia"/>
        <w:lang w:eastAsia="zh-CN"/>
      </w:rPr>
      <w:t>河南鹏轩工程管理有限公司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sz w:val="20"/>
        <w:szCs w:val="20"/>
        <w:u w:val="single"/>
      </w:rPr>
    </w:pPr>
  </w:p>
  <w:p>
    <w:pPr>
      <w:pStyle w:val="15"/>
      <w:pBdr>
        <w:bottom w:val="none" w:color="auto" w:sz="0" w:space="0"/>
      </w:pBdr>
      <w:rPr>
        <w:sz w:val="20"/>
        <w:szCs w:val="20"/>
        <w:u w:val="single"/>
      </w:rPr>
    </w:pPr>
    <w:r>
      <w:rPr>
        <w:rFonts w:hint="eastAsia" w:ascii="宋体" w:hAnsi="宋体" w:cs="宋体"/>
        <w:b/>
        <w:bCs/>
        <w:u w:val="single"/>
        <w:lang w:eastAsia="zh-CN"/>
      </w:rPr>
      <w:t>荥阳市机关事务中心购置荥阳市人民武装部搬迁设施项目</w:t>
    </w:r>
    <w:r>
      <w:rPr>
        <w:rFonts w:hint="eastAsia" w:ascii="宋体" w:hAnsi="宋体" w:cs="宋体"/>
        <w:b/>
        <w:bCs/>
        <w:u w:val="single"/>
      </w:rPr>
      <w:t xml:space="preserve"> </w:t>
    </w:r>
    <w:r>
      <w:rPr>
        <w:rFonts w:hint="eastAsia" w:ascii="宋体" w:hAnsi="宋体" w:cs="宋体"/>
        <w:u w:val="single"/>
      </w:rPr>
      <w:t xml:space="preserve">                                </w:t>
    </w:r>
    <w:r>
      <w:rPr>
        <w:rFonts w:hint="eastAsia" w:ascii="宋体" w:hAnsi="宋体" w:cs="宋体"/>
        <w:b/>
        <w:bCs/>
        <w:u w:val="single"/>
      </w:rPr>
      <w:t>招标文件</w:t>
    </w:r>
    <w:r>
      <w:rPr>
        <w:rFonts w:hint="eastAsia"/>
        <w:b/>
        <w:bCs/>
        <w:sz w:val="21"/>
        <w:szCs w:val="21"/>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sz w:val="20"/>
        <w:szCs w:val="20"/>
        <w:u w:val="single"/>
      </w:rPr>
    </w:pPr>
    <w:r>
      <w:rPr>
        <w:rFonts w:hint="eastAsia"/>
        <w:sz w:val="20"/>
        <w:szCs w:val="20"/>
        <w:u w:val="single"/>
        <w:lang w:eastAsia="zh-CN"/>
      </w:rPr>
      <w:t>荥阳市机关事务中心购置荥阳市人民武装部搬迁设施项目</w:t>
    </w:r>
    <w:r>
      <w:rPr>
        <w:rFonts w:hint="eastAsia"/>
        <w:sz w:val="20"/>
        <w:szCs w:val="20"/>
        <w:u w:val="single"/>
      </w:rPr>
      <w:t xml:space="preserve">                             招标文件</w:t>
    </w:r>
  </w:p>
  <w:p>
    <w:pPr>
      <w:pStyle w:val="15"/>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sz w:val="20"/>
        <w:szCs w:val="20"/>
        <w:u w:val="single"/>
      </w:rPr>
    </w:pPr>
    <w:r>
      <w:rPr>
        <w:rFonts w:hint="eastAsia"/>
        <w:sz w:val="20"/>
        <w:szCs w:val="20"/>
        <w:u w:val="single"/>
        <w:lang w:eastAsia="zh-CN"/>
      </w:rPr>
      <w:t>荥阳市机关事务中心购置荥阳市人民武装部搬迁设施项目</w:t>
    </w:r>
    <w:r>
      <w:rPr>
        <w:rFonts w:hint="eastAsia"/>
        <w:sz w:val="20"/>
        <w:szCs w:val="20"/>
        <w:u w:val="single"/>
      </w:rPr>
      <w:t xml:space="preserve">                             招标文件</w:t>
    </w:r>
  </w:p>
  <w:p>
    <w:pPr>
      <w:pStyle w:val="15"/>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sz w:val="20"/>
        <w:szCs w:val="20"/>
        <w:u w:val="single"/>
      </w:rPr>
    </w:pPr>
  </w:p>
  <w:p>
    <w:pPr>
      <w:pStyle w:val="15"/>
      <w:pBdr>
        <w:bottom w:val="none" w:color="auto" w:sz="0" w:space="0"/>
      </w:pBdr>
      <w:rPr>
        <w:sz w:val="20"/>
        <w:szCs w:val="20"/>
        <w:u w:val="single"/>
      </w:rPr>
    </w:pPr>
    <w:r>
      <w:rPr>
        <w:rFonts w:hint="eastAsia" w:ascii="宋体" w:hAnsi="宋体" w:cs="宋体"/>
        <w:b/>
        <w:bCs/>
        <w:u w:val="single"/>
        <w:lang w:eastAsia="zh-CN"/>
      </w:rPr>
      <w:t>荥阳市机关事务中心购置荥阳市人民武装部搬迁设施项目</w:t>
    </w:r>
    <w:r>
      <w:rPr>
        <w:rFonts w:hint="eastAsia" w:ascii="宋体" w:hAnsi="宋体" w:cs="宋体"/>
        <w:b/>
        <w:bCs/>
        <w:u w:val="single"/>
      </w:rPr>
      <w:t xml:space="preserve"> </w:t>
    </w:r>
    <w:r>
      <w:rPr>
        <w:rFonts w:hint="eastAsia" w:ascii="宋体" w:hAnsi="宋体" w:cs="宋体"/>
        <w:u w:val="single"/>
      </w:rPr>
      <w:t xml:space="preserve">                             </w:t>
    </w:r>
    <w:r>
      <w:rPr>
        <w:rFonts w:hint="eastAsia" w:ascii="宋体" w:hAnsi="宋体" w:cs="宋体"/>
        <w:b/>
        <w:bCs/>
        <w:u w:val="single"/>
      </w:rPr>
      <w:t>招标文件</w:t>
    </w:r>
    <w:r>
      <w:rPr>
        <w:rFonts w:hint="eastAsia"/>
        <w:b/>
        <w:bCs/>
        <w:sz w:val="21"/>
        <w:szCs w:val="21"/>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E40B1"/>
    <w:multiLevelType w:val="singleLevel"/>
    <w:tmpl w:val="9D4E40B1"/>
    <w:lvl w:ilvl="0" w:tentative="0">
      <w:start w:val="1"/>
      <w:numFmt w:val="decimal"/>
      <w:suff w:val="space"/>
      <w:lvlText w:val="%1."/>
      <w:lvlJc w:val="left"/>
    </w:lvl>
  </w:abstractNum>
  <w:abstractNum w:abstractNumId="1">
    <w:nsid w:val="9DF434A0"/>
    <w:multiLevelType w:val="singleLevel"/>
    <w:tmpl w:val="9DF434A0"/>
    <w:lvl w:ilvl="0" w:tentative="0">
      <w:start w:val="2"/>
      <w:numFmt w:val="decimal"/>
      <w:lvlText w:val="%1."/>
      <w:lvlJc w:val="left"/>
      <w:pPr>
        <w:tabs>
          <w:tab w:val="left" w:pos="312"/>
        </w:tabs>
      </w:pPr>
    </w:lvl>
  </w:abstractNum>
  <w:abstractNum w:abstractNumId="2">
    <w:nsid w:val="06BC776C"/>
    <w:multiLevelType w:val="multilevel"/>
    <w:tmpl w:val="06BC776C"/>
    <w:lvl w:ilvl="0" w:tentative="0">
      <w:start w:val="1"/>
      <w:numFmt w:val="japaneseCounting"/>
      <w:lvlText w:val="第%1条"/>
      <w:lvlJc w:val="left"/>
      <w:pPr>
        <w:ind w:left="1245" w:hanging="765"/>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5B8E08A"/>
    <w:multiLevelType w:val="singleLevel"/>
    <w:tmpl w:val="45B8E08A"/>
    <w:lvl w:ilvl="0" w:tentative="0">
      <w:start w:val="6"/>
      <w:numFmt w:val="decimal"/>
      <w:suff w:val="nothing"/>
      <w:lvlText w:val="%1、"/>
      <w:lvlJc w:val="left"/>
    </w:lvl>
  </w:abstractNum>
  <w:abstractNum w:abstractNumId="4">
    <w:nsid w:val="5A4FA536"/>
    <w:multiLevelType w:val="singleLevel"/>
    <w:tmpl w:val="5A4FA536"/>
    <w:lvl w:ilvl="0" w:tentative="0">
      <w:start w:val="4"/>
      <w:numFmt w:val="chineseCounting"/>
      <w:suff w:val="space"/>
      <w:lvlText w:val="第%1章"/>
      <w:lvlJc w:val="left"/>
      <w:rPr>
        <w:rFonts w:hint="eastAsia"/>
      </w:rPr>
    </w:lvl>
  </w:abstractNum>
  <w:abstractNum w:abstractNumId="5">
    <w:nsid w:val="5BF2AEF3"/>
    <w:multiLevelType w:val="singleLevel"/>
    <w:tmpl w:val="5BF2AEF3"/>
    <w:lvl w:ilvl="0" w:tentative="0">
      <w:start w:val="1"/>
      <w:numFmt w:val="decimal"/>
      <w:suff w:val="nothing"/>
      <w:lvlText w:val="（%1）"/>
      <w:lvlJc w:val="left"/>
    </w:lvl>
  </w:abstractNum>
  <w:abstractNum w:abstractNumId="6">
    <w:nsid w:val="5EB83CD1"/>
    <w:multiLevelType w:val="singleLevel"/>
    <w:tmpl w:val="5EB83CD1"/>
    <w:lvl w:ilvl="0" w:tentative="0">
      <w:start w:val="4"/>
      <w:numFmt w:val="decimal"/>
      <w:lvlText w:val="%1."/>
      <w:lvlJc w:val="left"/>
      <w:pPr>
        <w:tabs>
          <w:tab w:val="left" w:pos="312"/>
        </w:tabs>
      </w:pPr>
    </w:lvl>
  </w:abstractNum>
  <w:abstractNum w:abstractNumId="7">
    <w:nsid w:val="6278619E"/>
    <w:multiLevelType w:val="multilevel"/>
    <w:tmpl w:val="6278619E"/>
    <w:lvl w:ilvl="0" w:tentative="0">
      <w:start w:val="3"/>
      <w:numFmt w:val="decimal"/>
      <w:lvlText w:val="%1"/>
      <w:lvlJc w:val="left"/>
      <w:pPr>
        <w:ind w:left="600" w:hanging="600"/>
      </w:pPr>
      <w:rPr>
        <w:rFonts w:hint="default"/>
      </w:rPr>
    </w:lvl>
    <w:lvl w:ilvl="1" w:tentative="0">
      <w:start w:val="1"/>
      <w:numFmt w:val="decimal"/>
      <w:lvlText w:val="%1.%2"/>
      <w:lvlJc w:val="left"/>
      <w:pPr>
        <w:ind w:left="840" w:hanging="600"/>
      </w:pPr>
      <w:rPr>
        <w:rFonts w:hint="default"/>
      </w:rPr>
    </w:lvl>
    <w:lvl w:ilvl="2" w:tentative="0">
      <w:start w:val="1"/>
      <w:numFmt w:val="decimal"/>
      <w:lvlText w:val="%1.%2.%3"/>
      <w:lvlJc w:val="left"/>
      <w:pPr>
        <w:ind w:left="1200" w:hanging="720"/>
      </w:pPr>
      <w:rPr>
        <w:rFonts w:hint="default"/>
      </w:rPr>
    </w:lvl>
    <w:lvl w:ilvl="3" w:tentative="0">
      <w:start w:val="1"/>
      <w:numFmt w:val="decimal"/>
      <w:lvlText w:val="%1.%2.%3.%4"/>
      <w:lvlJc w:val="left"/>
      <w:pPr>
        <w:ind w:left="1800" w:hanging="1080"/>
      </w:pPr>
      <w:rPr>
        <w:rFonts w:hint="default"/>
      </w:rPr>
    </w:lvl>
    <w:lvl w:ilvl="4" w:tentative="0">
      <w:start w:val="1"/>
      <w:numFmt w:val="decimal"/>
      <w:lvlText w:val="%1.%2.%3.%4.%5"/>
      <w:lvlJc w:val="left"/>
      <w:pPr>
        <w:ind w:left="2040" w:hanging="1080"/>
      </w:pPr>
      <w:rPr>
        <w:rFonts w:hint="default"/>
      </w:rPr>
    </w:lvl>
    <w:lvl w:ilvl="5" w:tentative="0">
      <w:start w:val="1"/>
      <w:numFmt w:val="decimal"/>
      <w:lvlText w:val="%1.%2.%3.%4.%5.%6"/>
      <w:lvlJc w:val="left"/>
      <w:pPr>
        <w:ind w:left="2640" w:hanging="1440"/>
      </w:pPr>
      <w:rPr>
        <w:rFonts w:hint="default"/>
      </w:rPr>
    </w:lvl>
    <w:lvl w:ilvl="6" w:tentative="0">
      <w:start w:val="1"/>
      <w:numFmt w:val="decimal"/>
      <w:lvlText w:val="%1.%2.%3.%4.%5.%6.%7"/>
      <w:lvlJc w:val="left"/>
      <w:pPr>
        <w:ind w:left="3240" w:hanging="1800"/>
      </w:pPr>
      <w:rPr>
        <w:rFonts w:hint="default"/>
      </w:rPr>
    </w:lvl>
    <w:lvl w:ilvl="7" w:tentative="0">
      <w:start w:val="1"/>
      <w:numFmt w:val="decimal"/>
      <w:lvlText w:val="%1.%2.%3.%4.%5.%6.%7.%8"/>
      <w:lvlJc w:val="left"/>
      <w:pPr>
        <w:ind w:left="3480" w:hanging="1800"/>
      </w:pPr>
      <w:rPr>
        <w:rFonts w:hint="default"/>
      </w:rPr>
    </w:lvl>
    <w:lvl w:ilvl="8" w:tentative="0">
      <w:start w:val="1"/>
      <w:numFmt w:val="decimal"/>
      <w:lvlText w:val="%1.%2.%3.%4.%5.%6.%7.%8.%9"/>
      <w:lvlJc w:val="left"/>
      <w:pPr>
        <w:ind w:left="4080" w:hanging="2160"/>
      </w:pPr>
      <w:rPr>
        <w:rFonts w:hint="default"/>
      </w:rPr>
    </w:lvl>
  </w:abstractNum>
  <w:abstractNum w:abstractNumId="8">
    <w:nsid w:val="645F516C"/>
    <w:multiLevelType w:val="singleLevel"/>
    <w:tmpl w:val="645F516C"/>
    <w:lvl w:ilvl="0" w:tentative="0">
      <w:start w:val="2"/>
      <w:numFmt w:val="decimal"/>
      <w:lvlText w:val="%1."/>
      <w:lvlJc w:val="left"/>
      <w:pPr>
        <w:tabs>
          <w:tab w:val="left" w:pos="312"/>
        </w:tabs>
      </w:pPr>
    </w:lvl>
  </w:abstractNum>
  <w:abstractNum w:abstractNumId="9">
    <w:nsid w:val="7CE02505"/>
    <w:multiLevelType w:val="singleLevel"/>
    <w:tmpl w:val="7CE02505"/>
    <w:lvl w:ilvl="0" w:tentative="0">
      <w:start w:val="1"/>
      <w:numFmt w:val="chineseCounting"/>
      <w:suff w:val="nothing"/>
      <w:lvlText w:val="%1、"/>
      <w:lvlJc w:val="left"/>
      <w:rPr>
        <w:rFonts w:hint="eastAsia"/>
      </w:rPr>
    </w:lvl>
  </w:abstractNum>
  <w:num w:numId="1">
    <w:abstractNumId w:val="3"/>
  </w:num>
  <w:num w:numId="2">
    <w:abstractNumId w:val="5"/>
  </w:num>
  <w:num w:numId="3">
    <w:abstractNumId w:val="7"/>
  </w:num>
  <w:num w:numId="4">
    <w:abstractNumId w:val="8"/>
  </w:num>
  <w:num w:numId="5">
    <w:abstractNumId w:val="6"/>
  </w:num>
  <w:num w:numId="6">
    <w:abstractNumId w:val="4"/>
  </w:num>
  <w:num w:numId="7">
    <w:abstractNumId w:val="2"/>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4NDI0ZDFjNzhmY2U2M2RhMjM4MDZjNDEzNzQ0YjIifQ=="/>
  </w:docVars>
  <w:rsids>
    <w:rsidRoot w:val="00DC57F1"/>
    <w:rsid w:val="00417021"/>
    <w:rsid w:val="00452862"/>
    <w:rsid w:val="009568A1"/>
    <w:rsid w:val="00DC57F1"/>
    <w:rsid w:val="01675739"/>
    <w:rsid w:val="019A2CDA"/>
    <w:rsid w:val="01AF5E39"/>
    <w:rsid w:val="030D4835"/>
    <w:rsid w:val="04A17223"/>
    <w:rsid w:val="05401C3B"/>
    <w:rsid w:val="05DD3BB4"/>
    <w:rsid w:val="06A61E38"/>
    <w:rsid w:val="07CA5783"/>
    <w:rsid w:val="07F53587"/>
    <w:rsid w:val="08741D3E"/>
    <w:rsid w:val="08DB6856"/>
    <w:rsid w:val="0B2F5894"/>
    <w:rsid w:val="0B651233"/>
    <w:rsid w:val="0F587009"/>
    <w:rsid w:val="1228777E"/>
    <w:rsid w:val="12B0724F"/>
    <w:rsid w:val="14D54734"/>
    <w:rsid w:val="14E13D7A"/>
    <w:rsid w:val="156B7A3D"/>
    <w:rsid w:val="178B1DE4"/>
    <w:rsid w:val="18CC7C0C"/>
    <w:rsid w:val="18FD2C86"/>
    <w:rsid w:val="1AB45186"/>
    <w:rsid w:val="1B4D3A7C"/>
    <w:rsid w:val="1C32198E"/>
    <w:rsid w:val="1C872FB9"/>
    <w:rsid w:val="1D8440DA"/>
    <w:rsid w:val="1E2702D2"/>
    <w:rsid w:val="1EA86F4C"/>
    <w:rsid w:val="1FCC1BF4"/>
    <w:rsid w:val="23A03B38"/>
    <w:rsid w:val="246E1F63"/>
    <w:rsid w:val="258E775F"/>
    <w:rsid w:val="259A3D07"/>
    <w:rsid w:val="265A25BB"/>
    <w:rsid w:val="26EA13FD"/>
    <w:rsid w:val="26EE2329"/>
    <w:rsid w:val="285E4107"/>
    <w:rsid w:val="29171E3A"/>
    <w:rsid w:val="2B890D54"/>
    <w:rsid w:val="2C433BC1"/>
    <w:rsid w:val="2CCC0F8E"/>
    <w:rsid w:val="2DA81576"/>
    <w:rsid w:val="2DDA4FC9"/>
    <w:rsid w:val="2DE10154"/>
    <w:rsid w:val="2E070273"/>
    <w:rsid w:val="2E4D24D8"/>
    <w:rsid w:val="2E6D5C7E"/>
    <w:rsid w:val="2FD942A1"/>
    <w:rsid w:val="31B904D5"/>
    <w:rsid w:val="31D76365"/>
    <w:rsid w:val="32550CE6"/>
    <w:rsid w:val="3265190B"/>
    <w:rsid w:val="350857CE"/>
    <w:rsid w:val="35347164"/>
    <w:rsid w:val="368E767E"/>
    <w:rsid w:val="376215C5"/>
    <w:rsid w:val="37BF6C0B"/>
    <w:rsid w:val="37D560B7"/>
    <w:rsid w:val="3C265423"/>
    <w:rsid w:val="3C732F31"/>
    <w:rsid w:val="44EB4374"/>
    <w:rsid w:val="4556592A"/>
    <w:rsid w:val="46680311"/>
    <w:rsid w:val="474C4A97"/>
    <w:rsid w:val="47632295"/>
    <w:rsid w:val="47A6451A"/>
    <w:rsid w:val="47BA099A"/>
    <w:rsid w:val="47D74D54"/>
    <w:rsid w:val="48846B08"/>
    <w:rsid w:val="49482F83"/>
    <w:rsid w:val="49D65E6A"/>
    <w:rsid w:val="509756E0"/>
    <w:rsid w:val="509C6E1D"/>
    <w:rsid w:val="50ED0975"/>
    <w:rsid w:val="521F74BC"/>
    <w:rsid w:val="53080EFD"/>
    <w:rsid w:val="536C2FA2"/>
    <w:rsid w:val="53D12359"/>
    <w:rsid w:val="53EF79E8"/>
    <w:rsid w:val="542B2B13"/>
    <w:rsid w:val="555A0C32"/>
    <w:rsid w:val="567535C9"/>
    <w:rsid w:val="56EA144B"/>
    <w:rsid w:val="579919CC"/>
    <w:rsid w:val="580B1162"/>
    <w:rsid w:val="592120C2"/>
    <w:rsid w:val="59290CF4"/>
    <w:rsid w:val="59776A82"/>
    <w:rsid w:val="5A177E6F"/>
    <w:rsid w:val="5A75706B"/>
    <w:rsid w:val="5CE90E1F"/>
    <w:rsid w:val="5DA2778F"/>
    <w:rsid w:val="5DD118A4"/>
    <w:rsid w:val="5DD2370C"/>
    <w:rsid w:val="5FF435C8"/>
    <w:rsid w:val="600D7A5D"/>
    <w:rsid w:val="6049154A"/>
    <w:rsid w:val="606B00C1"/>
    <w:rsid w:val="620F1566"/>
    <w:rsid w:val="635D3747"/>
    <w:rsid w:val="640E4F59"/>
    <w:rsid w:val="65E717C5"/>
    <w:rsid w:val="66D037CA"/>
    <w:rsid w:val="66DE492B"/>
    <w:rsid w:val="67BA5147"/>
    <w:rsid w:val="67FF2D7D"/>
    <w:rsid w:val="6BA403E2"/>
    <w:rsid w:val="6BD307DB"/>
    <w:rsid w:val="6C61371D"/>
    <w:rsid w:val="6C9D0D2C"/>
    <w:rsid w:val="6D3F20BE"/>
    <w:rsid w:val="6D68603F"/>
    <w:rsid w:val="6D7825A4"/>
    <w:rsid w:val="6D9B5240"/>
    <w:rsid w:val="6E0027B2"/>
    <w:rsid w:val="6E5E0D1D"/>
    <w:rsid w:val="6E9A12BD"/>
    <w:rsid w:val="6EC95021"/>
    <w:rsid w:val="6FA14D15"/>
    <w:rsid w:val="70CE19D8"/>
    <w:rsid w:val="727A684F"/>
    <w:rsid w:val="727F5809"/>
    <w:rsid w:val="74B10163"/>
    <w:rsid w:val="751E4BAB"/>
    <w:rsid w:val="75E20A20"/>
    <w:rsid w:val="76A87C74"/>
    <w:rsid w:val="77714453"/>
    <w:rsid w:val="784A6CC6"/>
    <w:rsid w:val="7AED53DA"/>
    <w:rsid w:val="7C0651F6"/>
    <w:rsid w:val="7C1677EC"/>
    <w:rsid w:val="7C172D2A"/>
    <w:rsid w:val="7C790470"/>
    <w:rsid w:val="7DC84479"/>
    <w:rsid w:val="7DD056B0"/>
    <w:rsid w:val="7F406D37"/>
    <w:rsid w:val="7F464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autoRedefine/>
    <w:qFormat/>
    <w:uiPriority w:val="0"/>
    <w:pPr>
      <w:keepNext/>
      <w:keepLines/>
      <w:spacing w:line="360" w:lineRule="auto"/>
      <w:outlineLvl w:val="0"/>
    </w:pPr>
    <w:rPr>
      <w:b/>
      <w:bCs/>
      <w:kern w:val="44"/>
      <w:sz w:val="32"/>
      <w:szCs w:val="44"/>
    </w:rPr>
  </w:style>
  <w:style w:type="paragraph" w:styleId="4">
    <w:name w:val="heading 2"/>
    <w:basedOn w:val="1"/>
    <w:next w:val="1"/>
    <w:link w:val="45"/>
    <w:autoRedefine/>
    <w:qFormat/>
    <w:uiPriority w:val="0"/>
    <w:pPr>
      <w:keepNext/>
      <w:keepLines/>
      <w:spacing w:line="415" w:lineRule="auto"/>
      <w:outlineLvl w:val="1"/>
    </w:pPr>
    <w:rPr>
      <w:rFonts w:ascii="Arial" w:hAnsi="Arial" w:eastAsia="黑体"/>
      <w:b/>
      <w:bCs/>
      <w:kern w:val="0"/>
      <w:sz w:val="32"/>
      <w:szCs w:val="32"/>
    </w:rPr>
  </w:style>
  <w:style w:type="paragraph" w:styleId="5">
    <w:name w:val="heading 3"/>
    <w:basedOn w:val="1"/>
    <w:next w:val="1"/>
    <w:autoRedefine/>
    <w:qFormat/>
    <w:uiPriority w:val="0"/>
    <w:pPr>
      <w:keepNext/>
      <w:keepLines/>
      <w:spacing w:line="360" w:lineRule="auto"/>
      <w:outlineLvl w:val="2"/>
    </w:pPr>
    <w:rPr>
      <w:b/>
      <w:bCs/>
      <w:sz w:val="24"/>
      <w:szCs w:val="32"/>
    </w:rPr>
  </w:style>
  <w:style w:type="paragraph" w:styleId="6">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index 8"/>
    <w:basedOn w:val="1"/>
    <w:next w:val="1"/>
    <w:autoRedefine/>
    <w:qFormat/>
    <w:uiPriority w:val="0"/>
    <w:pPr>
      <w:jc w:val="center"/>
    </w:pPr>
    <w:rPr>
      <w:color w:val="000000"/>
      <w:sz w:val="32"/>
    </w:rPr>
  </w:style>
  <w:style w:type="paragraph" w:styleId="7">
    <w:name w:val="Normal Indent"/>
    <w:basedOn w:val="1"/>
    <w:next w:val="8"/>
    <w:autoRedefine/>
    <w:qFormat/>
    <w:uiPriority w:val="0"/>
    <w:pPr>
      <w:ind w:firstLine="420" w:firstLineChars="200"/>
    </w:pPr>
  </w:style>
  <w:style w:type="paragraph" w:styleId="8">
    <w:name w:val="Body Text 2"/>
    <w:basedOn w:val="1"/>
    <w:next w:val="9"/>
    <w:autoRedefine/>
    <w:qFormat/>
    <w:uiPriority w:val="99"/>
    <w:pPr>
      <w:spacing w:line="360" w:lineRule="auto"/>
      <w:ind w:firstLine="480" w:firstLineChars="200"/>
    </w:pPr>
    <w:rPr>
      <w:rFonts w:ascii="仿宋_GB2312" w:hAnsi="宋体" w:eastAsia="仿宋_GB2312" w:cs="仿宋_GB2312"/>
      <w:kern w:val="0"/>
      <w:sz w:val="24"/>
    </w:rPr>
  </w:style>
  <w:style w:type="paragraph" w:styleId="9">
    <w:name w:val="Body Text"/>
    <w:basedOn w:val="1"/>
    <w:next w:val="1"/>
    <w:autoRedefine/>
    <w:qFormat/>
    <w:uiPriority w:val="0"/>
    <w:rPr>
      <w:rFonts w:eastAsia="楷体_GB2312"/>
      <w:bCs/>
      <w:sz w:val="32"/>
    </w:rPr>
  </w:style>
  <w:style w:type="paragraph" w:styleId="10">
    <w:name w:val="Body Text Indent"/>
    <w:basedOn w:val="1"/>
    <w:next w:val="11"/>
    <w:autoRedefine/>
    <w:qFormat/>
    <w:uiPriority w:val="0"/>
    <w:pPr>
      <w:spacing w:after="120"/>
      <w:ind w:left="420" w:leftChars="200"/>
    </w:pPr>
  </w:style>
  <w:style w:type="paragraph" w:styleId="11">
    <w:name w:val="envelope return"/>
    <w:basedOn w:val="1"/>
    <w:autoRedefine/>
    <w:qFormat/>
    <w:uiPriority w:val="0"/>
    <w:pPr>
      <w:snapToGrid w:val="0"/>
    </w:pPr>
    <w:rPr>
      <w:rFonts w:ascii="Arial" w:hAnsi="Arial" w:eastAsia="仿宋"/>
      <w:sz w:val="28"/>
      <w:szCs w:val="24"/>
    </w:rPr>
  </w:style>
  <w:style w:type="paragraph" w:styleId="12">
    <w:name w:val="toc 3"/>
    <w:basedOn w:val="1"/>
    <w:next w:val="1"/>
    <w:autoRedefine/>
    <w:qFormat/>
    <w:uiPriority w:val="39"/>
    <w:pPr>
      <w:ind w:left="840" w:leftChars="400"/>
    </w:pPr>
  </w:style>
  <w:style w:type="paragraph" w:styleId="13">
    <w:name w:val="Plain Text"/>
    <w:basedOn w:val="1"/>
    <w:autoRedefine/>
    <w:qFormat/>
    <w:uiPriority w:val="0"/>
    <w:rPr>
      <w:rFonts w:ascii="宋体" w:hAnsi="Courier New" w:cs="Courier New"/>
      <w:szCs w:val="21"/>
    </w:rPr>
  </w:style>
  <w:style w:type="paragraph" w:styleId="14">
    <w:name w:val="footer"/>
    <w:basedOn w:val="1"/>
    <w:autoRedefine/>
    <w:qFormat/>
    <w:uiPriority w:val="99"/>
    <w:pPr>
      <w:tabs>
        <w:tab w:val="center" w:pos="4153"/>
        <w:tab w:val="right" w:pos="8306"/>
      </w:tabs>
      <w:snapToGrid w:val="0"/>
      <w:jc w:val="left"/>
    </w:pPr>
    <w:rPr>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style>
  <w:style w:type="paragraph" w:styleId="17">
    <w:name w:val="table of figures"/>
    <w:basedOn w:val="1"/>
    <w:next w:val="1"/>
    <w:autoRedefine/>
    <w:qFormat/>
    <w:uiPriority w:val="0"/>
    <w:pPr>
      <w:ind w:left="200" w:leftChars="200" w:hanging="200" w:hangingChars="200"/>
    </w:pPr>
  </w:style>
  <w:style w:type="paragraph" w:styleId="18">
    <w:name w:val="toc 2"/>
    <w:basedOn w:val="1"/>
    <w:next w:val="1"/>
    <w:autoRedefine/>
    <w:qFormat/>
    <w:uiPriority w:val="39"/>
    <w:pPr>
      <w:ind w:left="420" w:leftChars="200"/>
    </w:pPr>
  </w:style>
  <w:style w:type="paragraph" w:styleId="19">
    <w:name w:val="Normal (Web)"/>
    <w:basedOn w:val="1"/>
    <w:autoRedefine/>
    <w:qFormat/>
    <w:uiPriority w:val="0"/>
    <w:pPr>
      <w:widowControl/>
      <w:spacing w:beforeAutospacing="1" w:afterAutospacing="1"/>
      <w:jc w:val="left"/>
    </w:pPr>
    <w:rPr>
      <w:rFonts w:ascii="宋体" w:hAnsi="宋体"/>
      <w:kern w:val="0"/>
      <w:sz w:val="24"/>
    </w:rPr>
  </w:style>
  <w:style w:type="paragraph" w:styleId="20">
    <w:name w:val="Body Text First Indent"/>
    <w:basedOn w:val="9"/>
    <w:autoRedefine/>
    <w:qFormat/>
    <w:uiPriority w:val="0"/>
    <w:pPr>
      <w:ind w:firstLine="420"/>
    </w:pPr>
    <w:rPr>
      <w:rFonts w:eastAsia="宋体"/>
    </w:rPr>
  </w:style>
  <w:style w:type="paragraph" w:styleId="21">
    <w:name w:val="Body Text First Indent 2"/>
    <w:basedOn w:val="10"/>
    <w:next w:val="1"/>
    <w:autoRedefine/>
    <w:qFormat/>
    <w:uiPriority w:val="0"/>
    <w:pPr>
      <w:ind w:left="200" w:firstLine="200" w:firstLine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0"/>
    <w:rPr>
      <w:b/>
      <w:bCs/>
    </w:rPr>
  </w:style>
  <w:style w:type="character" w:styleId="26">
    <w:name w:val="FollowedHyperlink"/>
    <w:basedOn w:val="24"/>
    <w:autoRedefine/>
    <w:qFormat/>
    <w:uiPriority w:val="0"/>
    <w:rPr>
      <w:color w:val="800080"/>
      <w:u w:val="none"/>
    </w:rPr>
  </w:style>
  <w:style w:type="character" w:styleId="27">
    <w:name w:val="Emphasis"/>
    <w:basedOn w:val="24"/>
    <w:autoRedefine/>
    <w:qFormat/>
    <w:uiPriority w:val="0"/>
    <w:rPr>
      <w:b/>
      <w:bCs/>
    </w:rPr>
  </w:style>
  <w:style w:type="character" w:styleId="28">
    <w:name w:val="HTML Definition"/>
    <w:basedOn w:val="24"/>
    <w:autoRedefine/>
    <w:qFormat/>
    <w:uiPriority w:val="0"/>
  </w:style>
  <w:style w:type="character" w:styleId="29">
    <w:name w:val="HTML Typewriter"/>
    <w:basedOn w:val="24"/>
    <w:autoRedefine/>
    <w:qFormat/>
    <w:uiPriority w:val="0"/>
    <w:rPr>
      <w:rFonts w:hint="default" w:ascii="monospace" w:hAnsi="monospace" w:eastAsia="monospace" w:cs="monospace"/>
      <w:sz w:val="20"/>
    </w:rPr>
  </w:style>
  <w:style w:type="character" w:styleId="30">
    <w:name w:val="HTML Acronym"/>
    <w:basedOn w:val="24"/>
    <w:autoRedefine/>
    <w:qFormat/>
    <w:uiPriority w:val="0"/>
  </w:style>
  <w:style w:type="character" w:styleId="31">
    <w:name w:val="HTML Variable"/>
    <w:basedOn w:val="24"/>
    <w:autoRedefine/>
    <w:qFormat/>
    <w:uiPriority w:val="0"/>
  </w:style>
  <w:style w:type="character" w:styleId="32">
    <w:name w:val="Hyperlink"/>
    <w:basedOn w:val="24"/>
    <w:autoRedefine/>
    <w:qFormat/>
    <w:uiPriority w:val="0"/>
    <w:rPr>
      <w:color w:val="0000FF"/>
      <w:u w:val="none"/>
    </w:rPr>
  </w:style>
  <w:style w:type="character" w:styleId="33">
    <w:name w:val="HTML Code"/>
    <w:basedOn w:val="24"/>
    <w:autoRedefine/>
    <w:qFormat/>
    <w:uiPriority w:val="0"/>
    <w:rPr>
      <w:rFonts w:hint="default" w:ascii="monospace" w:hAnsi="monospace" w:eastAsia="monospace" w:cs="monospace"/>
      <w:sz w:val="20"/>
    </w:rPr>
  </w:style>
  <w:style w:type="character" w:styleId="34">
    <w:name w:val="HTML Cite"/>
    <w:basedOn w:val="24"/>
    <w:autoRedefine/>
    <w:qFormat/>
    <w:uiPriority w:val="0"/>
  </w:style>
  <w:style w:type="character" w:styleId="35">
    <w:name w:val="HTML Keyboard"/>
    <w:basedOn w:val="24"/>
    <w:autoRedefine/>
    <w:qFormat/>
    <w:uiPriority w:val="0"/>
    <w:rPr>
      <w:rFonts w:ascii="monospace" w:hAnsi="monospace" w:eastAsia="monospace" w:cs="monospace"/>
      <w:color w:val="3D4B62"/>
      <w:sz w:val="24"/>
      <w:szCs w:val="24"/>
    </w:rPr>
  </w:style>
  <w:style w:type="character" w:styleId="36">
    <w:name w:val="HTML Sample"/>
    <w:basedOn w:val="24"/>
    <w:autoRedefine/>
    <w:qFormat/>
    <w:uiPriority w:val="0"/>
    <w:rPr>
      <w:rFonts w:hint="default" w:ascii="monospace" w:hAnsi="monospace" w:eastAsia="monospace" w:cs="monospace"/>
    </w:rPr>
  </w:style>
  <w:style w:type="paragraph" w:customStyle="1" w:styleId="37">
    <w:name w:val="无间隔1"/>
    <w:autoRedefine/>
    <w:qFormat/>
    <w:uiPriority w:val="0"/>
    <w:pPr>
      <w:widowControl w:val="0"/>
      <w:spacing w:line="400" w:lineRule="exact"/>
      <w:jc w:val="both"/>
    </w:pPr>
    <w:rPr>
      <w:rFonts w:ascii="Calibri" w:hAnsi="Calibri" w:eastAsia="宋体" w:cs="Times New Roman"/>
      <w:kern w:val="2"/>
      <w:sz w:val="24"/>
      <w:szCs w:val="24"/>
      <w:lang w:val="en-US" w:eastAsia="zh-CN" w:bidi="ar-SA"/>
    </w:rPr>
  </w:style>
  <w:style w:type="paragraph" w:customStyle="1" w:styleId="38">
    <w:name w:val="p0"/>
    <w:basedOn w:val="1"/>
    <w:autoRedefine/>
    <w:qFormat/>
    <w:uiPriority w:val="0"/>
    <w:pPr>
      <w:widowControl/>
    </w:pPr>
    <w:rPr>
      <w:rFonts w:ascii="Calibri" w:hAnsi="Calibri" w:cs="宋体"/>
      <w:kern w:val="0"/>
      <w:szCs w:val="21"/>
    </w:rPr>
  </w:style>
  <w:style w:type="paragraph" w:customStyle="1" w:styleId="39">
    <w:name w:val="p"/>
    <w:basedOn w:val="1"/>
    <w:autoRedefine/>
    <w:qFormat/>
    <w:uiPriority w:val="0"/>
    <w:pPr>
      <w:widowControl/>
      <w:spacing w:line="432" w:lineRule="auto"/>
      <w:jc w:val="left"/>
    </w:pPr>
    <w:rPr>
      <w:rFonts w:ascii="宋体" w:hAnsi="宋体" w:cs="宋体"/>
      <w:kern w:val="0"/>
      <w:sz w:val="24"/>
    </w:rPr>
  </w:style>
  <w:style w:type="paragraph" w:customStyle="1" w:styleId="40">
    <w:name w:val="样式1"/>
    <w:basedOn w:val="1"/>
    <w:next w:val="6"/>
    <w:autoRedefine/>
    <w:qFormat/>
    <w:uiPriority w:val="0"/>
    <w:pPr>
      <w:spacing w:line="360" w:lineRule="auto"/>
      <w:ind w:firstLine="420" w:firstLineChars="200"/>
    </w:pPr>
    <w:rPr>
      <w:rFonts w:ascii="宋体" w:hAnsi="宋体"/>
      <w:szCs w:val="21"/>
    </w:rPr>
  </w:style>
  <w:style w:type="paragraph" w:customStyle="1" w:styleId="41">
    <w:name w:val="Default"/>
    <w:next w:val="42"/>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2">
    <w:name w:val="大标题"/>
    <w:basedOn w:val="1"/>
    <w:next w:val="21"/>
    <w:autoRedefine/>
    <w:qFormat/>
    <w:uiPriority w:val="0"/>
    <w:pPr>
      <w:jc w:val="center"/>
    </w:pPr>
    <w:rPr>
      <w:rFonts w:ascii="Arial" w:hAnsi="Arial" w:eastAsia="仿宋"/>
      <w:b/>
      <w:sz w:val="28"/>
      <w:szCs w:val="24"/>
    </w:rPr>
  </w:style>
  <w:style w:type="paragraph" w:customStyle="1" w:styleId="43">
    <w:name w:val="文档正文"/>
    <w:basedOn w:val="1"/>
    <w:autoRedefine/>
    <w:qFormat/>
    <w:uiPriority w:val="0"/>
    <w:pPr>
      <w:adjustRightInd w:val="0"/>
      <w:spacing w:line="480" w:lineRule="atLeast"/>
      <w:ind w:firstLine="567"/>
      <w:textAlignment w:val="baseline"/>
    </w:pPr>
    <w:rPr>
      <w:rFonts w:ascii="仿宋_GB2312" w:eastAsia="仿宋_GB2312"/>
      <w:kern w:val="0"/>
      <w:sz w:val="28"/>
      <w:szCs w:val="20"/>
    </w:rPr>
  </w:style>
  <w:style w:type="character" w:customStyle="1" w:styleId="44">
    <w:name w:val="标题 1 Char"/>
    <w:basedOn w:val="24"/>
    <w:link w:val="3"/>
    <w:autoRedefine/>
    <w:qFormat/>
    <w:uiPriority w:val="0"/>
    <w:rPr>
      <w:rFonts w:eastAsia="宋体"/>
      <w:b/>
      <w:bCs/>
      <w:kern w:val="44"/>
      <w:sz w:val="32"/>
      <w:szCs w:val="44"/>
      <w:lang w:val="en-US" w:eastAsia="zh-CN" w:bidi="ar-SA"/>
    </w:rPr>
  </w:style>
  <w:style w:type="character" w:customStyle="1" w:styleId="45">
    <w:name w:val="标题 2 Char"/>
    <w:link w:val="4"/>
    <w:autoRedefine/>
    <w:qFormat/>
    <w:uiPriority w:val="0"/>
    <w:rPr>
      <w:rFonts w:ascii="Arial" w:hAnsi="Arial" w:eastAsia="黑体"/>
      <w:b/>
      <w:bCs/>
      <w:kern w:val="0"/>
      <w:sz w:val="32"/>
      <w:szCs w:val="32"/>
    </w:rPr>
  </w:style>
  <w:style w:type="character" w:customStyle="1" w:styleId="46">
    <w:name w:val="font101"/>
    <w:basedOn w:val="24"/>
    <w:autoRedefine/>
    <w:qFormat/>
    <w:uiPriority w:val="0"/>
    <w:rPr>
      <w:rFonts w:hint="eastAsia" w:ascii="宋体" w:hAnsi="宋体" w:eastAsia="宋体" w:cs="宋体"/>
      <w:color w:val="000000"/>
      <w:sz w:val="24"/>
      <w:szCs w:val="24"/>
      <w:u w:val="none"/>
    </w:rPr>
  </w:style>
  <w:style w:type="character" w:customStyle="1" w:styleId="47">
    <w:name w:val="font191"/>
    <w:basedOn w:val="24"/>
    <w:autoRedefine/>
    <w:qFormat/>
    <w:uiPriority w:val="0"/>
    <w:rPr>
      <w:rFonts w:ascii="Calibri" w:hAnsi="Calibri" w:cs="Calibri"/>
      <w:color w:val="000000"/>
      <w:sz w:val="24"/>
      <w:szCs w:val="24"/>
      <w:u w:val="none"/>
    </w:rPr>
  </w:style>
  <w:style w:type="character" w:customStyle="1" w:styleId="48">
    <w:name w:val="font81"/>
    <w:basedOn w:val="24"/>
    <w:autoRedefine/>
    <w:qFormat/>
    <w:uiPriority w:val="0"/>
    <w:rPr>
      <w:rFonts w:hint="eastAsia" w:ascii="宋体" w:hAnsi="宋体" w:eastAsia="宋体" w:cs="宋体"/>
      <w:color w:val="000000"/>
      <w:sz w:val="24"/>
      <w:szCs w:val="24"/>
      <w:u w:val="none"/>
    </w:rPr>
  </w:style>
  <w:style w:type="character" w:customStyle="1" w:styleId="49">
    <w:name w:val="font201"/>
    <w:basedOn w:val="24"/>
    <w:autoRedefine/>
    <w:qFormat/>
    <w:uiPriority w:val="0"/>
    <w:rPr>
      <w:rFonts w:hint="default" w:ascii="Calibri" w:hAnsi="Calibri" w:cs="Calibri"/>
      <w:color w:val="000000"/>
      <w:sz w:val="24"/>
      <w:szCs w:val="24"/>
      <w:u w:val="none"/>
    </w:rPr>
  </w:style>
  <w:style w:type="paragraph" w:styleId="50">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51">
    <w:name w:val="font112"/>
    <w:basedOn w:val="24"/>
    <w:autoRedefine/>
    <w:qFormat/>
    <w:uiPriority w:val="0"/>
    <w:rPr>
      <w:rFonts w:hint="eastAsia" w:ascii="宋体" w:hAnsi="宋体" w:eastAsia="宋体" w:cs="宋体"/>
      <w:color w:val="000000"/>
      <w:sz w:val="16"/>
      <w:szCs w:val="16"/>
      <w:u w:val="none"/>
    </w:rPr>
  </w:style>
  <w:style w:type="character" w:customStyle="1" w:styleId="52">
    <w:name w:val="font231"/>
    <w:basedOn w:val="24"/>
    <w:autoRedefine/>
    <w:qFormat/>
    <w:uiPriority w:val="0"/>
    <w:rPr>
      <w:rFonts w:ascii="Calibri" w:hAnsi="Calibri" w:cs="Calibri"/>
      <w:color w:val="000000"/>
      <w:sz w:val="16"/>
      <w:szCs w:val="16"/>
      <w:u w:val="none"/>
    </w:rPr>
  </w:style>
  <w:style w:type="character" w:customStyle="1" w:styleId="53">
    <w:name w:val="font241"/>
    <w:basedOn w:val="24"/>
    <w:autoRedefine/>
    <w:qFormat/>
    <w:uiPriority w:val="0"/>
    <w:rPr>
      <w:rFonts w:hint="eastAsia" w:ascii="宋体" w:hAnsi="宋体" w:eastAsia="宋体" w:cs="宋体"/>
      <w:b/>
      <w:bCs/>
      <w:color w:val="000000"/>
      <w:sz w:val="16"/>
      <w:szCs w:val="16"/>
      <w:u w:val="none"/>
    </w:rPr>
  </w:style>
  <w:style w:type="character" w:customStyle="1" w:styleId="54">
    <w:name w:val="font41"/>
    <w:basedOn w:val="24"/>
    <w:autoRedefine/>
    <w:qFormat/>
    <w:uiPriority w:val="0"/>
    <w:rPr>
      <w:rFonts w:hint="eastAsia" w:ascii="宋体" w:hAnsi="宋体" w:eastAsia="宋体" w:cs="宋体"/>
      <w:color w:val="000000"/>
      <w:sz w:val="24"/>
      <w:szCs w:val="24"/>
      <w:u w:val="none"/>
    </w:rPr>
  </w:style>
  <w:style w:type="character" w:customStyle="1" w:styleId="55">
    <w:name w:val="font21"/>
    <w:basedOn w:val="24"/>
    <w:autoRedefine/>
    <w:qFormat/>
    <w:uiPriority w:val="0"/>
    <w:rPr>
      <w:rFonts w:hint="eastAsia" w:ascii="宋体" w:hAnsi="宋体" w:eastAsia="宋体" w:cs="宋体"/>
      <w:color w:val="000000"/>
      <w:sz w:val="22"/>
      <w:szCs w:val="22"/>
      <w:u w:val="none"/>
    </w:rPr>
  </w:style>
  <w:style w:type="character" w:customStyle="1" w:styleId="56">
    <w:name w:val="font91"/>
    <w:basedOn w:val="24"/>
    <w:autoRedefine/>
    <w:qFormat/>
    <w:uiPriority w:val="0"/>
    <w:rPr>
      <w:rFonts w:hint="eastAsia" w:ascii="宋体" w:hAnsi="宋体" w:eastAsia="宋体" w:cs="宋体"/>
      <w:color w:val="000000"/>
      <w:sz w:val="16"/>
      <w:szCs w:val="16"/>
      <w:u w:val="none"/>
    </w:rPr>
  </w:style>
  <w:style w:type="character" w:customStyle="1" w:styleId="57">
    <w:name w:val="font131"/>
    <w:basedOn w:val="24"/>
    <w:autoRedefine/>
    <w:qFormat/>
    <w:uiPriority w:val="0"/>
    <w:rPr>
      <w:rFonts w:ascii="Calibri" w:hAnsi="Calibri" w:cs="Calibri"/>
      <w:color w:val="000000"/>
      <w:sz w:val="16"/>
      <w:szCs w:val="16"/>
      <w:u w:val="none"/>
    </w:rPr>
  </w:style>
  <w:style w:type="character" w:customStyle="1" w:styleId="58">
    <w:name w:val="font141"/>
    <w:basedOn w:val="24"/>
    <w:autoRedefine/>
    <w:qFormat/>
    <w:uiPriority w:val="0"/>
    <w:rPr>
      <w:rFonts w:hint="eastAsia" w:ascii="宋体" w:hAnsi="宋体" w:eastAsia="宋体" w:cs="宋体"/>
      <w:b/>
      <w:bCs/>
      <w:color w:val="000000"/>
      <w:sz w:val="16"/>
      <w:szCs w:val="16"/>
      <w:u w:val="none"/>
    </w:rPr>
  </w:style>
  <w:style w:type="character" w:customStyle="1" w:styleId="59">
    <w:name w:val="font221"/>
    <w:basedOn w:val="24"/>
    <w:autoRedefine/>
    <w:qFormat/>
    <w:uiPriority w:val="0"/>
    <w:rPr>
      <w:rFonts w:ascii="Calibri" w:hAnsi="Calibri" w:cs="Calibri"/>
      <w:color w:val="000000"/>
      <w:sz w:val="16"/>
      <w:szCs w:val="16"/>
      <w:u w:val="none"/>
    </w:rPr>
  </w:style>
  <w:style w:type="character" w:customStyle="1" w:styleId="60">
    <w:name w:val="font31"/>
    <w:basedOn w:val="24"/>
    <w:autoRedefine/>
    <w:qFormat/>
    <w:uiPriority w:val="0"/>
    <w:rPr>
      <w:rFonts w:hint="eastAsia" w:ascii="宋体" w:hAnsi="宋体" w:eastAsia="宋体" w:cs="宋体"/>
      <w:color w:val="000000"/>
      <w:sz w:val="24"/>
      <w:szCs w:val="24"/>
      <w:u w:val="none"/>
    </w:rPr>
  </w:style>
  <w:style w:type="character" w:customStyle="1" w:styleId="61">
    <w:name w:val="font11"/>
    <w:basedOn w:val="24"/>
    <w:autoRedefine/>
    <w:qFormat/>
    <w:uiPriority w:val="0"/>
    <w:rPr>
      <w:rFonts w:hint="eastAsia" w:ascii="宋体" w:hAnsi="宋体" w:eastAsia="宋体" w:cs="宋体"/>
      <w:color w:val="000000"/>
      <w:sz w:val="22"/>
      <w:szCs w:val="22"/>
      <w:u w:val="none"/>
    </w:rPr>
  </w:style>
  <w:style w:type="character" w:customStyle="1" w:styleId="62">
    <w:name w:val="font01"/>
    <w:basedOn w:val="24"/>
    <w:autoRedefine/>
    <w:qFormat/>
    <w:uiPriority w:val="0"/>
    <w:rPr>
      <w:rFonts w:hint="eastAsia" w:ascii="宋体" w:hAnsi="宋体" w:eastAsia="宋体" w:cs="宋体"/>
      <w:color w:val="000000"/>
      <w:sz w:val="22"/>
      <w:szCs w:val="22"/>
      <w:u w:val="none"/>
    </w:rPr>
  </w:style>
  <w:style w:type="character" w:customStyle="1" w:styleId="63">
    <w:name w:val="font61"/>
    <w:basedOn w:val="24"/>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92</Pages>
  <Words>53424</Words>
  <Characters>65072</Characters>
  <Lines>169</Lines>
  <Paragraphs>165</Paragraphs>
  <TotalTime>30</TotalTime>
  <ScaleCrop>false</ScaleCrop>
  <LinksUpToDate>false</LinksUpToDate>
  <CharactersWithSpaces>68545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2021-11-27T11:00:00Z</dcterms:created>
  <dc:creator>Administrator</dc:creator>
  <cp:lastModifiedBy>次第花开</cp:lastModifiedBy>
  <dcterms:modified xsi:type="dcterms:W3CDTF">2024-05-23T01:48:49Z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1977B1D05D84483ABE8DA06CCF2CAC57_13</vt:lpwstr>
  </property>
</Properties>
</file>