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734B">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highlight w:val="none"/>
          <w:lang w:val="en-US" w:eastAsia="zh-CN"/>
        </w:rPr>
      </w:pPr>
    </w:p>
    <w:p w14:paraId="6C33D5B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sz w:val="48"/>
          <w:szCs w:val="48"/>
          <w:highlight w:val="none"/>
        </w:rPr>
      </w:pPr>
      <w:r>
        <w:rPr>
          <w:rFonts w:hint="eastAsia" w:ascii="宋体" w:hAnsi="宋体" w:eastAsia="宋体" w:cs="宋体"/>
          <w:b/>
          <w:sz w:val="48"/>
          <w:szCs w:val="48"/>
          <w:highlight w:val="none"/>
          <w:lang w:val="en-US" w:eastAsia="zh-CN"/>
        </w:rPr>
        <w:t>荥阳市林业局2024年度省级森林抚育项目</w:t>
      </w:r>
    </w:p>
    <w:p w14:paraId="2104171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sz w:val="48"/>
          <w:szCs w:val="48"/>
          <w:highlight w:val="none"/>
        </w:rPr>
      </w:pPr>
    </w:p>
    <w:p w14:paraId="48C9734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sz w:val="44"/>
          <w:szCs w:val="44"/>
          <w:highlight w:val="none"/>
        </w:rPr>
      </w:pPr>
    </w:p>
    <w:p w14:paraId="5C8744A4">
      <w:pPr>
        <w:pStyle w:val="19"/>
        <w:rPr>
          <w:rFonts w:hint="eastAsia"/>
          <w:highlight w:val="none"/>
          <w:lang w:val="en-US" w:eastAsia="zh-CN"/>
        </w:rPr>
      </w:pPr>
    </w:p>
    <w:p w14:paraId="2A8137A1">
      <w:pPr>
        <w:pStyle w:val="19"/>
        <w:rPr>
          <w:rFonts w:hint="eastAsia"/>
          <w:highlight w:val="none"/>
          <w:lang w:val="en-US" w:eastAsia="zh-CN"/>
        </w:rPr>
      </w:pPr>
    </w:p>
    <w:p w14:paraId="170FEB1E">
      <w:pPr>
        <w:pStyle w:val="8"/>
        <w:rPr>
          <w:rFonts w:hint="eastAsia" w:ascii="宋体" w:hAnsi="宋体" w:eastAsia="宋体" w:cs="宋体"/>
          <w:highlight w:val="none"/>
          <w:lang w:val="en-US" w:eastAsia="zh-CN"/>
        </w:rPr>
      </w:pPr>
    </w:p>
    <w:p w14:paraId="7120ACD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sz w:val="56"/>
          <w:szCs w:val="56"/>
          <w:highlight w:val="none"/>
        </w:rPr>
      </w:pPr>
      <w:r>
        <w:rPr>
          <w:rFonts w:hint="eastAsia" w:ascii="宋体" w:hAnsi="宋体" w:eastAsia="宋体" w:cs="宋体"/>
          <w:b/>
          <w:sz w:val="56"/>
          <w:szCs w:val="56"/>
          <w:highlight w:val="none"/>
          <w:lang w:val="en-US" w:eastAsia="zh-CN"/>
        </w:rPr>
        <w:t>竞争性磋商</w:t>
      </w:r>
      <w:r>
        <w:rPr>
          <w:rFonts w:hint="eastAsia" w:ascii="宋体" w:hAnsi="宋体" w:eastAsia="宋体" w:cs="宋体"/>
          <w:b/>
          <w:sz w:val="56"/>
          <w:szCs w:val="56"/>
          <w:highlight w:val="none"/>
        </w:rPr>
        <w:t>文件</w:t>
      </w:r>
    </w:p>
    <w:p w14:paraId="28527CD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sz w:val="28"/>
          <w:szCs w:val="28"/>
          <w:highlight w:val="none"/>
          <w:lang w:val="en-US"/>
        </w:rPr>
      </w:pPr>
      <w:r>
        <w:rPr>
          <w:rFonts w:hint="eastAsia" w:ascii="宋体" w:hAnsi="宋体" w:eastAsia="宋体" w:cs="宋体"/>
          <w:b/>
          <w:sz w:val="28"/>
          <w:szCs w:val="28"/>
          <w:highlight w:val="none"/>
          <w:lang w:eastAsia="zh-CN"/>
        </w:rPr>
        <w:t xml:space="preserve">采购编号：荥财磋商-2025-8 </w:t>
      </w:r>
    </w:p>
    <w:p w14:paraId="2BAC72B0">
      <w:pPr>
        <w:pStyle w:val="1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highlight w:val="none"/>
        </w:rPr>
      </w:pPr>
    </w:p>
    <w:p w14:paraId="1098D856">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36"/>
          <w:szCs w:val="36"/>
          <w:highlight w:val="none"/>
        </w:rPr>
      </w:pPr>
    </w:p>
    <w:p w14:paraId="300A491D">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36"/>
          <w:szCs w:val="36"/>
          <w:highlight w:val="none"/>
        </w:rPr>
      </w:pPr>
    </w:p>
    <w:p w14:paraId="01B33C61">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36"/>
          <w:szCs w:val="36"/>
          <w:highlight w:val="none"/>
        </w:rPr>
      </w:pPr>
    </w:p>
    <w:p w14:paraId="7841C2E4">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36"/>
          <w:szCs w:val="36"/>
          <w:highlight w:val="none"/>
        </w:rPr>
      </w:pPr>
    </w:p>
    <w:p w14:paraId="3A2D6FBC">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36"/>
          <w:szCs w:val="36"/>
          <w:highlight w:val="none"/>
        </w:rPr>
      </w:pPr>
    </w:p>
    <w:p w14:paraId="59111A92">
      <w:pPr>
        <w:pStyle w:val="7"/>
        <w:keepNext w:val="0"/>
        <w:keepLines w:val="0"/>
        <w:pageBreakBefore w:val="0"/>
        <w:widowControl w:val="0"/>
        <w:kinsoku/>
        <w:wordWrap/>
        <w:overflowPunct/>
        <w:topLinePunct w:val="0"/>
        <w:autoSpaceDE w:val="0"/>
        <w:autoSpaceDN w:val="0"/>
        <w:bidi w:val="0"/>
        <w:adjustRightInd w:val="0"/>
        <w:snapToGrid/>
        <w:spacing w:line="360" w:lineRule="auto"/>
        <w:ind w:firstLine="2168" w:firstLineChars="600"/>
        <w:textAlignment w:val="auto"/>
        <w:rPr>
          <w:rFonts w:hint="eastAsia" w:ascii="宋体" w:hAnsi="宋体" w:eastAsia="宋体" w:cs="宋体"/>
          <w:b/>
          <w:sz w:val="36"/>
          <w:szCs w:val="36"/>
          <w:highlight w:val="none"/>
        </w:rPr>
      </w:pPr>
    </w:p>
    <w:p w14:paraId="535BBB31">
      <w:pPr>
        <w:pStyle w:val="7"/>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textAlignment w:val="auto"/>
        <w:rPr>
          <w:rFonts w:hint="eastAsia" w:ascii="宋体" w:hAnsi="宋体" w:eastAsia="宋体" w:cs="宋体"/>
          <w:b/>
          <w:sz w:val="36"/>
          <w:szCs w:val="36"/>
          <w:highlight w:val="none"/>
          <w:lang w:eastAsia="zh-CN"/>
        </w:rPr>
      </w:pPr>
      <w:r>
        <w:rPr>
          <w:rFonts w:hint="eastAsia" w:hAnsi="宋体" w:cs="宋体"/>
          <w:b/>
          <w:sz w:val="36"/>
          <w:szCs w:val="36"/>
          <w:highlight w:val="none"/>
          <w:lang w:val="en-US" w:eastAsia="zh-CN"/>
        </w:rPr>
        <w:t>采 购 人</w:t>
      </w:r>
      <w:r>
        <w:rPr>
          <w:rFonts w:hint="eastAsia" w:ascii="宋体" w:hAnsi="宋体" w:eastAsia="宋体" w:cs="宋体"/>
          <w:b/>
          <w:sz w:val="36"/>
          <w:szCs w:val="36"/>
          <w:highlight w:val="none"/>
        </w:rPr>
        <w:t>：荥阳市林业局</w:t>
      </w:r>
    </w:p>
    <w:p w14:paraId="1A5323C1">
      <w:pPr>
        <w:pStyle w:val="7"/>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textAlignment w:val="auto"/>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rPr>
        <w:t>招标代理：</w:t>
      </w:r>
      <w:r>
        <w:rPr>
          <w:rFonts w:hint="eastAsia" w:ascii="宋体" w:hAnsi="宋体" w:eastAsia="宋体" w:cs="宋体"/>
          <w:b/>
          <w:sz w:val="36"/>
          <w:szCs w:val="36"/>
          <w:highlight w:val="none"/>
          <w:lang w:eastAsia="zh-CN"/>
        </w:rPr>
        <w:t>河南达信工程管理有限公司</w:t>
      </w:r>
    </w:p>
    <w:p w14:paraId="41F06E22">
      <w:pPr>
        <w:pStyle w:val="7"/>
        <w:keepNext w:val="0"/>
        <w:keepLines w:val="0"/>
        <w:pageBreakBefore w:val="0"/>
        <w:widowControl w:val="0"/>
        <w:kinsoku/>
        <w:wordWrap/>
        <w:overflowPunct/>
        <w:topLinePunct w:val="0"/>
        <w:autoSpaceDE w:val="0"/>
        <w:autoSpaceDN w:val="0"/>
        <w:bidi w:val="0"/>
        <w:adjustRightInd w:val="0"/>
        <w:snapToGrid/>
        <w:spacing w:line="360" w:lineRule="auto"/>
        <w:ind w:left="840" w:leftChars="0" w:firstLine="420" w:firstLineChars="0"/>
        <w:textAlignment w:val="auto"/>
        <w:rPr>
          <w:rFonts w:hint="eastAsia" w:ascii="宋体" w:hAnsi="宋体" w:eastAsia="宋体" w:cs="宋体"/>
          <w:b/>
          <w:sz w:val="36"/>
          <w:szCs w:val="36"/>
          <w:highlight w:val="none"/>
        </w:rPr>
      </w:pPr>
      <w:r>
        <w:rPr>
          <w:rFonts w:hint="eastAsia" w:ascii="宋体" w:hAnsi="宋体" w:eastAsia="宋体" w:cs="宋体"/>
          <w:b/>
          <w:sz w:val="36"/>
          <w:szCs w:val="36"/>
          <w:highlight w:val="none"/>
        </w:rPr>
        <w:t>日    期：二零二</w:t>
      </w:r>
      <w:r>
        <w:rPr>
          <w:rFonts w:hint="eastAsia" w:hAnsi="宋体" w:cs="宋体"/>
          <w:b/>
          <w:sz w:val="36"/>
          <w:szCs w:val="36"/>
          <w:highlight w:val="none"/>
          <w:lang w:val="en-US" w:eastAsia="zh-CN"/>
        </w:rPr>
        <w:t>五</w:t>
      </w:r>
      <w:r>
        <w:rPr>
          <w:rFonts w:hint="eastAsia" w:ascii="宋体" w:hAnsi="宋体" w:eastAsia="宋体" w:cs="宋体"/>
          <w:b/>
          <w:sz w:val="36"/>
          <w:szCs w:val="36"/>
          <w:highlight w:val="none"/>
        </w:rPr>
        <w:t>年</w:t>
      </w:r>
      <w:r>
        <w:rPr>
          <w:rFonts w:hint="eastAsia" w:hAnsi="宋体" w:cs="宋体"/>
          <w:b/>
          <w:sz w:val="36"/>
          <w:szCs w:val="36"/>
          <w:highlight w:val="none"/>
          <w:lang w:val="en-US" w:eastAsia="zh-CN"/>
        </w:rPr>
        <w:t>四</w:t>
      </w:r>
      <w:r>
        <w:rPr>
          <w:rFonts w:hint="eastAsia" w:ascii="宋体" w:hAnsi="宋体" w:eastAsia="宋体" w:cs="宋体"/>
          <w:b/>
          <w:sz w:val="36"/>
          <w:szCs w:val="36"/>
          <w:highlight w:val="none"/>
        </w:rPr>
        <w:t>月</w:t>
      </w:r>
    </w:p>
    <w:p w14:paraId="17EE7377">
      <w:pPr>
        <w:spacing w:before="0" w:beforeLines="0" w:after="0" w:afterLines="0" w:line="240" w:lineRule="auto"/>
        <w:ind w:left="0" w:leftChars="0" w:right="0" w:rightChars="0" w:firstLine="0" w:firstLineChars="0"/>
        <w:jc w:val="center"/>
        <w:rPr>
          <w:rFonts w:hint="eastAsia" w:ascii="宋体" w:hAnsi="宋体" w:eastAsia="宋体" w:cs="宋体"/>
          <w:sz w:val="21"/>
          <w:szCs w:val="22"/>
          <w:highlight w:val="none"/>
          <w:lang w:val="en-US" w:eastAsia="zh-CN" w:bidi="ar-SA"/>
        </w:rPr>
        <w:sectPr>
          <w:headerReference r:id="rId3" w:type="default"/>
          <w:footerReference r:id="rId4" w:type="default"/>
          <w:pgSz w:w="12240" w:h="15840"/>
          <w:pgMar w:top="1440" w:right="1440" w:bottom="1440" w:left="1440" w:header="828" w:footer="1111" w:gutter="0"/>
          <w:lnNumType w:countBy="0" w:distance="360"/>
          <w:pgNumType w:fmt="decimal"/>
          <w:cols w:space="0" w:num="1"/>
          <w:rtlGutter w:val="0"/>
          <w:docGrid w:linePitch="0" w:charSpace="0"/>
        </w:sectPr>
      </w:pPr>
      <w:bookmarkStart w:id="779" w:name="_GoBack"/>
      <w:bookmarkEnd w:id="779"/>
    </w:p>
    <w:sdt>
      <w:sdtPr>
        <w:rPr>
          <w:rFonts w:hint="eastAsia" w:ascii="宋体" w:hAnsi="宋体" w:eastAsia="宋体" w:cs="宋体"/>
          <w:b/>
          <w:bCs/>
          <w:sz w:val="32"/>
          <w:szCs w:val="32"/>
          <w:highlight w:val="none"/>
          <w:lang w:val="en-US" w:eastAsia="zh-CN" w:bidi="ar-SA"/>
        </w:rPr>
        <w:id w:val="147470196"/>
        <w15:color w:val="DBDBDB"/>
        <w:docPartObj>
          <w:docPartGallery w:val="Table of Contents"/>
          <w:docPartUnique/>
        </w:docPartObj>
      </w:sdtPr>
      <w:sdtEndPr>
        <w:rPr>
          <w:rFonts w:hint="eastAsia" w:ascii="宋体" w:hAnsi="宋体" w:eastAsia="宋体" w:cs="宋体"/>
          <w:b/>
          <w:bCs/>
          <w:sz w:val="24"/>
          <w:szCs w:val="24"/>
          <w:highlight w:val="none"/>
          <w:lang w:val="en-US" w:eastAsia="zh-CN" w:bidi="ar-SA"/>
        </w:rPr>
      </w:sdtEndPr>
      <w:sdtContent>
        <w:p w14:paraId="3FBF1AF4">
          <w:pPr>
            <w:spacing w:before="0" w:beforeLines="0" w:after="0" w:afterLines="0" w:line="24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14:paraId="0A4F0953">
          <w:pPr>
            <w:pStyle w:val="16"/>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TOC \o "1-3" \h \u </w:instrText>
          </w:r>
          <w:r>
            <w:rPr>
              <w:sz w:val="24"/>
              <w:szCs w:val="24"/>
              <w:highlight w:val="none"/>
            </w:rPr>
            <w:fldChar w:fldCharType="separate"/>
          </w:r>
          <w:r>
            <w:rPr>
              <w:sz w:val="24"/>
              <w:szCs w:val="24"/>
              <w:highlight w:val="none"/>
            </w:rPr>
            <w:fldChar w:fldCharType="begin"/>
          </w:r>
          <w:r>
            <w:rPr>
              <w:sz w:val="24"/>
              <w:szCs w:val="24"/>
              <w:highlight w:val="none"/>
            </w:rPr>
            <w:instrText xml:space="preserve"> HYPERLINK \l _Toc8677 </w:instrText>
          </w:r>
          <w:r>
            <w:rPr>
              <w:sz w:val="24"/>
              <w:szCs w:val="24"/>
              <w:highlight w:val="none"/>
            </w:rPr>
            <w:fldChar w:fldCharType="separate"/>
          </w:r>
          <w:r>
            <w:rPr>
              <w:rFonts w:hint="eastAsia" w:ascii="宋体" w:hAnsi="宋体" w:eastAsia="宋体" w:cs="宋体"/>
              <w:sz w:val="24"/>
              <w:szCs w:val="24"/>
              <w:highlight w:val="none"/>
            </w:rPr>
            <w:t xml:space="preserve">第一章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公告</w:t>
          </w:r>
          <w:r>
            <w:rPr>
              <w:sz w:val="24"/>
              <w:szCs w:val="24"/>
              <w:highlight w:val="none"/>
            </w:rPr>
            <w:tab/>
          </w:r>
          <w:r>
            <w:rPr>
              <w:sz w:val="24"/>
              <w:szCs w:val="24"/>
              <w:highlight w:val="none"/>
            </w:rPr>
            <w:fldChar w:fldCharType="begin"/>
          </w:r>
          <w:r>
            <w:rPr>
              <w:sz w:val="24"/>
              <w:szCs w:val="24"/>
              <w:highlight w:val="none"/>
            </w:rPr>
            <w:instrText xml:space="preserve"> PAGEREF _Toc8677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14:paraId="741BCF28">
          <w:pPr>
            <w:pStyle w:val="16"/>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_Toc693 </w:instrText>
          </w:r>
          <w:r>
            <w:rPr>
              <w:sz w:val="24"/>
              <w:szCs w:val="24"/>
              <w:highlight w:val="none"/>
            </w:rPr>
            <w:fldChar w:fldCharType="separate"/>
          </w:r>
          <w:r>
            <w:rPr>
              <w:rFonts w:hint="eastAsia" w:ascii="宋体" w:hAnsi="宋体" w:eastAsia="宋体" w:cs="宋体"/>
              <w:sz w:val="24"/>
              <w:szCs w:val="24"/>
              <w:highlight w:val="none"/>
            </w:rPr>
            <w:t xml:space="preserve">第二章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w:t>
          </w:r>
          <w:r>
            <w:rPr>
              <w:sz w:val="24"/>
              <w:szCs w:val="24"/>
              <w:highlight w:val="none"/>
            </w:rPr>
            <w:tab/>
          </w:r>
          <w:r>
            <w:rPr>
              <w:sz w:val="24"/>
              <w:szCs w:val="24"/>
              <w:highlight w:val="none"/>
            </w:rPr>
            <w:fldChar w:fldCharType="begin"/>
          </w:r>
          <w:r>
            <w:rPr>
              <w:sz w:val="24"/>
              <w:szCs w:val="24"/>
              <w:highlight w:val="none"/>
            </w:rPr>
            <w:instrText xml:space="preserve"> PAGEREF _Toc693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14:paraId="0CA15593">
          <w:pPr>
            <w:pStyle w:val="16"/>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_Toc15962 </w:instrText>
          </w:r>
          <w:r>
            <w:rPr>
              <w:sz w:val="24"/>
              <w:szCs w:val="24"/>
              <w:highlight w:val="none"/>
            </w:rPr>
            <w:fldChar w:fldCharType="separate"/>
          </w:r>
          <w:r>
            <w:rPr>
              <w:rFonts w:hint="eastAsia" w:ascii="宋体" w:hAnsi="宋体" w:eastAsia="宋体" w:cs="宋体"/>
              <w:sz w:val="24"/>
              <w:szCs w:val="24"/>
              <w:highlight w:val="none"/>
            </w:rPr>
            <w:t xml:space="preserve">第三章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办法</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综合评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法</w:t>
          </w:r>
          <w:r>
            <w:rPr>
              <w:rFonts w:hint="eastAsia" w:ascii="宋体" w:hAnsi="宋体" w:eastAsia="宋体" w:cs="宋体"/>
              <w:sz w:val="24"/>
              <w:szCs w:val="24"/>
              <w:highlight w:val="none"/>
            </w:rPr>
            <w:t>）</w:t>
          </w:r>
          <w:r>
            <w:rPr>
              <w:sz w:val="24"/>
              <w:szCs w:val="24"/>
              <w:highlight w:val="none"/>
            </w:rPr>
            <w:tab/>
          </w:r>
          <w:r>
            <w:rPr>
              <w:sz w:val="24"/>
              <w:szCs w:val="24"/>
              <w:highlight w:val="none"/>
            </w:rPr>
            <w:fldChar w:fldCharType="begin"/>
          </w:r>
          <w:r>
            <w:rPr>
              <w:sz w:val="24"/>
              <w:szCs w:val="24"/>
              <w:highlight w:val="none"/>
            </w:rPr>
            <w:instrText xml:space="preserve"> PAGEREF _Toc15962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14:paraId="3A79191A">
          <w:pPr>
            <w:pStyle w:val="16"/>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_Toc29270 </w:instrText>
          </w:r>
          <w:r>
            <w:rPr>
              <w:sz w:val="24"/>
              <w:szCs w:val="24"/>
              <w:highlight w:val="none"/>
            </w:rPr>
            <w:fldChar w:fldCharType="separate"/>
          </w:r>
          <w:r>
            <w:rPr>
              <w:rFonts w:hint="eastAsia" w:ascii="宋体" w:hAnsi="宋体" w:eastAsia="宋体" w:cs="宋体"/>
              <w:sz w:val="24"/>
              <w:szCs w:val="24"/>
              <w:highlight w:val="none"/>
            </w:rPr>
            <w:t>第四章 合同条款及格式</w:t>
          </w:r>
          <w:r>
            <w:rPr>
              <w:sz w:val="24"/>
              <w:szCs w:val="24"/>
              <w:highlight w:val="none"/>
            </w:rPr>
            <w:tab/>
          </w:r>
          <w:r>
            <w:rPr>
              <w:sz w:val="24"/>
              <w:szCs w:val="24"/>
              <w:highlight w:val="none"/>
            </w:rPr>
            <w:fldChar w:fldCharType="begin"/>
          </w:r>
          <w:r>
            <w:rPr>
              <w:sz w:val="24"/>
              <w:szCs w:val="24"/>
              <w:highlight w:val="none"/>
            </w:rPr>
            <w:instrText xml:space="preserve"> PAGEREF _Toc29270 \h </w:instrText>
          </w:r>
          <w:r>
            <w:rPr>
              <w:sz w:val="24"/>
              <w:szCs w:val="24"/>
              <w:highlight w:val="none"/>
            </w:rPr>
            <w:fldChar w:fldCharType="separate"/>
          </w:r>
          <w:r>
            <w:rPr>
              <w:sz w:val="24"/>
              <w:szCs w:val="24"/>
              <w:highlight w:val="none"/>
            </w:rPr>
            <w:t>24</w:t>
          </w:r>
          <w:r>
            <w:rPr>
              <w:sz w:val="24"/>
              <w:szCs w:val="24"/>
              <w:highlight w:val="none"/>
            </w:rPr>
            <w:fldChar w:fldCharType="end"/>
          </w:r>
          <w:r>
            <w:rPr>
              <w:sz w:val="24"/>
              <w:szCs w:val="24"/>
              <w:highlight w:val="none"/>
            </w:rPr>
            <w:fldChar w:fldCharType="end"/>
          </w:r>
        </w:p>
        <w:p w14:paraId="20802799">
          <w:pPr>
            <w:pStyle w:val="16"/>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_Toc15666 </w:instrText>
          </w:r>
          <w:r>
            <w:rPr>
              <w:sz w:val="24"/>
              <w:szCs w:val="24"/>
              <w:highlight w:val="none"/>
            </w:rPr>
            <w:fldChar w:fldCharType="separate"/>
          </w:r>
          <w:r>
            <w:rPr>
              <w:rFonts w:hint="eastAsia" w:ascii="宋体" w:hAnsi="宋体" w:eastAsia="宋体" w:cs="宋体"/>
              <w:sz w:val="24"/>
              <w:szCs w:val="24"/>
              <w:highlight w:val="none"/>
            </w:rPr>
            <w:t xml:space="preserve">第五章 </w:t>
          </w:r>
          <w:r>
            <w:rPr>
              <w:rFonts w:hint="eastAsia" w:ascii="宋体" w:hAnsi="宋体" w:eastAsia="宋体" w:cs="宋体"/>
              <w:sz w:val="24"/>
              <w:szCs w:val="24"/>
              <w:highlight w:val="none"/>
              <w:lang w:val="en-US" w:eastAsia="zh-CN"/>
            </w:rPr>
            <w:t>采购需求</w:t>
          </w:r>
          <w:r>
            <w:rPr>
              <w:sz w:val="24"/>
              <w:szCs w:val="24"/>
              <w:highlight w:val="none"/>
            </w:rPr>
            <w:tab/>
          </w:r>
          <w:r>
            <w:rPr>
              <w:sz w:val="24"/>
              <w:szCs w:val="24"/>
              <w:highlight w:val="none"/>
            </w:rPr>
            <w:fldChar w:fldCharType="begin"/>
          </w:r>
          <w:r>
            <w:rPr>
              <w:sz w:val="24"/>
              <w:szCs w:val="24"/>
              <w:highlight w:val="none"/>
            </w:rPr>
            <w:instrText xml:space="preserve"> PAGEREF _Toc15666 \h </w:instrText>
          </w:r>
          <w:r>
            <w:rPr>
              <w:sz w:val="24"/>
              <w:szCs w:val="24"/>
              <w:highlight w:val="none"/>
            </w:rPr>
            <w:fldChar w:fldCharType="separate"/>
          </w:r>
          <w:r>
            <w:rPr>
              <w:sz w:val="24"/>
              <w:szCs w:val="24"/>
              <w:highlight w:val="none"/>
            </w:rPr>
            <w:t>32</w:t>
          </w:r>
          <w:r>
            <w:rPr>
              <w:sz w:val="24"/>
              <w:szCs w:val="24"/>
              <w:highlight w:val="none"/>
            </w:rPr>
            <w:fldChar w:fldCharType="end"/>
          </w:r>
          <w:r>
            <w:rPr>
              <w:sz w:val="24"/>
              <w:szCs w:val="24"/>
              <w:highlight w:val="none"/>
            </w:rPr>
            <w:fldChar w:fldCharType="end"/>
          </w:r>
        </w:p>
        <w:p w14:paraId="5D3516B5">
          <w:pPr>
            <w:pStyle w:val="16"/>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_Toc28370 </w:instrText>
          </w:r>
          <w:r>
            <w:rPr>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rPr>
            <w:t>六</w:t>
          </w:r>
          <w:r>
            <w:rPr>
              <w:rFonts w:hint="eastAsia" w:ascii="宋体" w:hAnsi="宋体" w:eastAsia="宋体" w:cs="宋体"/>
              <w:sz w:val="24"/>
              <w:szCs w:val="24"/>
              <w:highlight w:val="none"/>
            </w:rPr>
            <w:t>章 响应文件格式</w:t>
          </w:r>
          <w:r>
            <w:rPr>
              <w:sz w:val="24"/>
              <w:szCs w:val="24"/>
              <w:highlight w:val="none"/>
            </w:rPr>
            <w:tab/>
          </w:r>
          <w:r>
            <w:rPr>
              <w:sz w:val="24"/>
              <w:szCs w:val="24"/>
              <w:highlight w:val="none"/>
            </w:rPr>
            <w:fldChar w:fldCharType="begin"/>
          </w:r>
          <w:r>
            <w:rPr>
              <w:sz w:val="24"/>
              <w:szCs w:val="24"/>
              <w:highlight w:val="none"/>
            </w:rPr>
            <w:instrText xml:space="preserve"> PAGEREF _Toc28370 \h </w:instrText>
          </w:r>
          <w:r>
            <w:rPr>
              <w:sz w:val="24"/>
              <w:szCs w:val="24"/>
              <w:highlight w:val="none"/>
            </w:rPr>
            <w:fldChar w:fldCharType="separate"/>
          </w:r>
          <w:r>
            <w:rPr>
              <w:sz w:val="24"/>
              <w:szCs w:val="24"/>
              <w:highlight w:val="none"/>
            </w:rPr>
            <w:t>34</w:t>
          </w:r>
          <w:r>
            <w:rPr>
              <w:sz w:val="24"/>
              <w:szCs w:val="24"/>
              <w:highlight w:val="none"/>
            </w:rPr>
            <w:fldChar w:fldCharType="end"/>
          </w:r>
          <w:r>
            <w:rPr>
              <w:sz w:val="24"/>
              <w:szCs w:val="24"/>
              <w:highlight w:val="none"/>
            </w:rPr>
            <w:fldChar w:fldCharType="end"/>
          </w:r>
        </w:p>
        <w:p w14:paraId="6AB01A48">
          <w:pPr>
            <w:pStyle w:val="17"/>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_Toc17349 </w:instrText>
          </w:r>
          <w:r>
            <w:rPr>
              <w:sz w:val="24"/>
              <w:szCs w:val="24"/>
              <w:highlight w:val="none"/>
            </w:rPr>
            <w:fldChar w:fldCharType="separate"/>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磋商响应函</w:t>
          </w:r>
          <w:r>
            <w:rPr>
              <w:sz w:val="24"/>
              <w:szCs w:val="24"/>
              <w:highlight w:val="none"/>
            </w:rPr>
            <w:tab/>
          </w:r>
          <w:r>
            <w:rPr>
              <w:sz w:val="24"/>
              <w:szCs w:val="24"/>
              <w:highlight w:val="none"/>
            </w:rPr>
            <w:fldChar w:fldCharType="begin"/>
          </w:r>
          <w:r>
            <w:rPr>
              <w:sz w:val="24"/>
              <w:szCs w:val="24"/>
              <w:highlight w:val="none"/>
            </w:rPr>
            <w:instrText xml:space="preserve"> PAGEREF _Toc17349 \h </w:instrText>
          </w:r>
          <w:r>
            <w:rPr>
              <w:sz w:val="24"/>
              <w:szCs w:val="24"/>
              <w:highlight w:val="none"/>
            </w:rPr>
            <w:fldChar w:fldCharType="separate"/>
          </w:r>
          <w:r>
            <w:rPr>
              <w:sz w:val="24"/>
              <w:szCs w:val="24"/>
              <w:highlight w:val="none"/>
            </w:rPr>
            <w:t>35</w:t>
          </w:r>
          <w:r>
            <w:rPr>
              <w:sz w:val="24"/>
              <w:szCs w:val="24"/>
              <w:highlight w:val="none"/>
            </w:rPr>
            <w:fldChar w:fldCharType="end"/>
          </w:r>
          <w:r>
            <w:rPr>
              <w:sz w:val="24"/>
              <w:szCs w:val="24"/>
              <w:highlight w:val="none"/>
            </w:rPr>
            <w:fldChar w:fldCharType="end"/>
          </w:r>
        </w:p>
        <w:p w14:paraId="4F96E9DB">
          <w:pPr>
            <w:pStyle w:val="17"/>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_Toc6665 </w:instrText>
          </w:r>
          <w:r>
            <w:rPr>
              <w:sz w:val="24"/>
              <w:szCs w:val="24"/>
              <w:highlight w:val="none"/>
            </w:rPr>
            <w:fldChar w:fldCharType="separate"/>
          </w: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磋商响应函附表</w:t>
          </w:r>
          <w:r>
            <w:rPr>
              <w:sz w:val="24"/>
              <w:szCs w:val="24"/>
              <w:highlight w:val="none"/>
            </w:rPr>
            <w:tab/>
          </w:r>
          <w:r>
            <w:rPr>
              <w:sz w:val="24"/>
              <w:szCs w:val="24"/>
              <w:highlight w:val="none"/>
            </w:rPr>
            <w:fldChar w:fldCharType="begin"/>
          </w:r>
          <w:r>
            <w:rPr>
              <w:sz w:val="24"/>
              <w:szCs w:val="24"/>
              <w:highlight w:val="none"/>
            </w:rPr>
            <w:instrText xml:space="preserve"> PAGEREF _Toc6665 \h </w:instrText>
          </w:r>
          <w:r>
            <w:rPr>
              <w:sz w:val="24"/>
              <w:szCs w:val="24"/>
              <w:highlight w:val="none"/>
            </w:rPr>
            <w:fldChar w:fldCharType="separate"/>
          </w:r>
          <w:r>
            <w:rPr>
              <w:sz w:val="24"/>
              <w:szCs w:val="24"/>
              <w:highlight w:val="none"/>
            </w:rPr>
            <w:t>38</w:t>
          </w:r>
          <w:r>
            <w:rPr>
              <w:sz w:val="24"/>
              <w:szCs w:val="24"/>
              <w:highlight w:val="none"/>
            </w:rPr>
            <w:fldChar w:fldCharType="end"/>
          </w:r>
          <w:r>
            <w:rPr>
              <w:sz w:val="24"/>
              <w:szCs w:val="24"/>
              <w:highlight w:val="none"/>
            </w:rPr>
            <w:fldChar w:fldCharType="end"/>
          </w:r>
        </w:p>
        <w:p w14:paraId="4F5D3BC5">
          <w:pPr>
            <w:pStyle w:val="17"/>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_Toc23555 </w:instrText>
          </w:r>
          <w:r>
            <w:rPr>
              <w:sz w:val="24"/>
              <w:szCs w:val="24"/>
              <w:highlight w:val="none"/>
            </w:rPr>
            <w:fldChar w:fldCharType="separate"/>
          </w:r>
          <w:r>
            <w:rPr>
              <w:rFonts w:hint="eastAsia" w:ascii="宋体" w:hAnsi="宋体" w:eastAsia="宋体" w:cs="宋体"/>
              <w:sz w:val="24"/>
              <w:szCs w:val="24"/>
              <w:highlight w:val="none"/>
            </w:rPr>
            <w:t>三、法定代表人身份证明及授权委托书</w:t>
          </w:r>
          <w:r>
            <w:rPr>
              <w:sz w:val="24"/>
              <w:szCs w:val="24"/>
              <w:highlight w:val="none"/>
            </w:rPr>
            <w:tab/>
          </w:r>
          <w:r>
            <w:rPr>
              <w:sz w:val="24"/>
              <w:szCs w:val="24"/>
              <w:highlight w:val="none"/>
            </w:rPr>
            <w:fldChar w:fldCharType="begin"/>
          </w:r>
          <w:r>
            <w:rPr>
              <w:sz w:val="24"/>
              <w:szCs w:val="24"/>
              <w:highlight w:val="none"/>
            </w:rPr>
            <w:instrText xml:space="preserve"> PAGEREF _Toc23555 \h </w:instrText>
          </w:r>
          <w:r>
            <w:rPr>
              <w:sz w:val="24"/>
              <w:szCs w:val="24"/>
              <w:highlight w:val="none"/>
            </w:rPr>
            <w:fldChar w:fldCharType="separate"/>
          </w:r>
          <w:r>
            <w:rPr>
              <w:sz w:val="24"/>
              <w:szCs w:val="24"/>
              <w:highlight w:val="none"/>
            </w:rPr>
            <w:t>39</w:t>
          </w:r>
          <w:r>
            <w:rPr>
              <w:sz w:val="24"/>
              <w:szCs w:val="24"/>
              <w:highlight w:val="none"/>
            </w:rPr>
            <w:fldChar w:fldCharType="end"/>
          </w:r>
          <w:r>
            <w:rPr>
              <w:sz w:val="24"/>
              <w:szCs w:val="24"/>
              <w:highlight w:val="none"/>
            </w:rPr>
            <w:fldChar w:fldCharType="end"/>
          </w:r>
        </w:p>
        <w:p w14:paraId="6BF4D2DD">
          <w:pPr>
            <w:pStyle w:val="17"/>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_Toc17785 </w:instrText>
          </w:r>
          <w:r>
            <w:rPr>
              <w:sz w:val="24"/>
              <w:szCs w:val="24"/>
              <w:highlight w:val="none"/>
            </w:rPr>
            <w:fldChar w:fldCharType="separate"/>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资格证明资料</w:t>
          </w:r>
          <w:r>
            <w:rPr>
              <w:sz w:val="24"/>
              <w:szCs w:val="24"/>
              <w:highlight w:val="none"/>
            </w:rPr>
            <w:tab/>
          </w:r>
          <w:r>
            <w:rPr>
              <w:sz w:val="24"/>
              <w:szCs w:val="24"/>
              <w:highlight w:val="none"/>
            </w:rPr>
            <w:fldChar w:fldCharType="begin"/>
          </w:r>
          <w:r>
            <w:rPr>
              <w:sz w:val="24"/>
              <w:szCs w:val="24"/>
              <w:highlight w:val="none"/>
            </w:rPr>
            <w:instrText xml:space="preserve"> PAGEREF _Toc17785 \h </w:instrText>
          </w:r>
          <w:r>
            <w:rPr>
              <w:sz w:val="24"/>
              <w:szCs w:val="24"/>
              <w:highlight w:val="none"/>
            </w:rPr>
            <w:fldChar w:fldCharType="separate"/>
          </w:r>
          <w:r>
            <w:rPr>
              <w:sz w:val="24"/>
              <w:szCs w:val="24"/>
              <w:highlight w:val="none"/>
            </w:rPr>
            <w:t>41</w:t>
          </w:r>
          <w:r>
            <w:rPr>
              <w:sz w:val="24"/>
              <w:szCs w:val="24"/>
              <w:highlight w:val="none"/>
            </w:rPr>
            <w:fldChar w:fldCharType="end"/>
          </w:r>
          <w:r>
            <w:rPr>
              <w:sz w:val="24"/>
              <w:szCs w:val="24"/>
              <w:highlight w:val="none"/>
            </w:rPr>
            <w:fldChar w:fldCharType="end"/>
          </w:r>
        </w:p>
        <w:p w14:paraId="5E715624">
          <w:pPr>
            <w:pStyle w:val="17"/>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_Toc3497 </w:instrText>
          </w:r>
          <w:r>
            <w:rPr>
              <w:sz w:val="24"/>
              <w:szCs w:val="24"/>
              <w:highlight w:val="none"/>
            </w:rPr>
            <w:fldChar w:fldCharType="separate"/>
          </w:r>
          <w:r>
            <w:rPr>
              <w:rFonts w:hint="eastAsia" w:ascii="宋体" w:hAnsi="宋体" w:eastAsia="宋体" w:cs="宋体"/>
              <w:sz w:val="24"/>
              <w:szCs w:val="24"/>
              <w:highlight w:val="none"/>
              <w:lang w:val="en-US" w:eastAsia="zh-CN"/>
            </w:rPr>
            <w:t>五、技术部分</w:t>
          </w:r>
          <w:r>
            <w:rPr>
              <w:sz w:val="24"/>
              <w:szCs w:val="24"/>
              <w:highlight w:val="none"/>
            </w:rPr>
            <w:tab/>
          </w:r>
          <w:r>
            <w:rPr>
              <w:sz w:val="24"/>
              <w:szCs w:val="24"/>
              <w:highlight w:val="none"/>
            </w:rPr>
            <w:fldChar w:fldCharType="begin"/>
          </w:r>
          <w:r>
            <w:rPr>
              <w:sz w:val="24"/>
              <w:szCs w:val="24"/>
              <w:highlight w:val="none"/>
            </w:rPr>
            <w:instrText xml:space="preserve"> PAGEREF _Toc3497 \h </w:instrText>
          </w:r>
          <w:r>
            <w:rPr>
              <w:sz w:val="24"/>
              <w:szCs w:val="24"/>
              <w:highlight w:val="none"/>
            </w:rPr>
            <w:fldChar w:fldCharType="separate"/>
          </w:r>
          <w:r>
            <w:rPr>
              <w:sz w:val="24"/>
              <w:szCs w:val="24"/>
              <w:highlight w:val="none"/>
            </w:rPr>
            <w:t>42</w:t>
          </w:r>
          <w:r>
            <w:rPr>
              <w:sz w:val="24"/>
              <w:szCs w:val="24"/>
              <w:highlight w:val="none"/>
            </w:rPr>
            <w:fldChar w:fldCharType="end"/>
          </w:r>
          <w:r>
            <w:rPr>
              <w:sz w:val="24"/>
              <w:szCs w:val="24"/>
              <w:highlight w:val="none"/>
            </w:rPr>
            <w:fldChar w:fldCharType="end"/>
          </w:r>
        </w:p>
        <w:p w14:paraId="57BE74E8">
          <w:pPr>
            <w:pStyle w:val="17"/>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_Toc26076 </w:instrText>
          </w:r>
          <w:r>
            <w:rPr>
              <w:sz w:val="24"/>
              <w:szCs w:val="24"/>
              <w:highlight w:val="none"/>
            </w:rPr>
            <w:fldChar w:fldCharType="separate"/>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商务</w:t>
          </w:r>
          <w:r>
            <w:rPr>
              <w:rFonts w:hint="eastAsia" w:ascii="宋体" w:hAnsi="宋体" w:eastAsia="宋体" w:cs="宋体"/>
              <w:sz w:val="24"/>
              <w:szCs w:val="24"/>
              <w:highlight w:val="none"/>
              <w:lang w:val="en-US" w:eastAsia="zh-CN"/>
            </w:rPr>
            <w:t>部分</w:t>
          </w:r>
          <w:r>
            <w:rPr>
              <w:sz w:val="24"/>
              <w:szCs w:val="24"/>
              <w:highlight w:val="none"/>
            </w:rPr>
            <w:tab/>
          </w:r>
          <w:r>
            <w:rPr>
              <w:sz w:val="24"/>
              <w:szCs w:val="24"/>
              <w:highlight w:val="none"/>
            </w:rPr>
            <w:fldChar w:fldCharType="begin"/>
          </w:r>
          <w:r>
            <w:rPr>
              <w:sz w:val="24"/>
              <w:szCs w:val="24"/>
              <w:highlight w:val="none"/>
            </w:rPr>
            <w:instrText xml:space="preserve"> PAGEREF _Toc26076 \h </w:instrText>
          </w:r>
          <w:r>
            <w:rPr>
              <w:sz w:val="24"/>
              <w:szCs w:val="24"/>
              <w:highlight w:val="none"/>
            </w:rPr>
            <w:fldChar w:fldCharType="separate"/>
          </w:r>
          <w:r>
            <w:rPr>
              <w:sz w:val="24"/>
              <w:szCs w:val="24"/>
              <w:highlight w:val="none"/>
            </w:rPr>
            <w:t>43</w:t>
          </w:r>
          <w:r>
            <w:rPr>
              <w:sz w:val="24"/>
              <w:szCs w:val="24"/>
              <w:highlight w:val="none"/>
            </w:rPr>
            <w:fldChar w:fldCharType="end"/>
          </w:r>
          <w:r>
            <w:rPr>
              <w:sz w:val="24"/>
              <w:szCs w:val="24"/>
              <w:highlight w:val="none"/>
            </w:rPr>
            <w:fldChar w:fldCharType="end"/>
          </w:r>
        </w:p>
        <w:p w14:paraId="022A82B9">
          <w:pPr>
            <w:pStyle w:val="17"/>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_Toc28407 </w:instrText>
          </w:r>
          <w:r>
            <w:rPr>
              <w:sz w:val="24"/>
              <w:szCs w:val="24"/>
              <w:highlight w:val="none"/>
            </w:rPr>
            <w:fldChar w:fldCharType="separate"/>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供应商认为有必要的其他资料</w:t>
          </w:r>
          <w:r>
            <w:rPr>
              <w:sz w:val="24"/>
              <w:szCs w:val="24"/>
              <w:highlight w:val="none"/>
            </w:rPr>
            <w:tab/>
          </w:r>
          <w:r>
            <w:rPr>
              <w:sz w:val="24"/>
              <w:szCs w:val="24"/>
              <w:highlight w:val="none"/>
            </w:rPr>
            <w:fldChar w:fldCharType="begin"/>
          </w:r>
          <w:r>
            <w:rPr>
              <w:sz w:val="24"/>
              <w:szCs w:val="24"/>
              <w:highlight w:val="none"/>
            </w:rPr>
            <w:instrText xml:space="preserve"> PAGEREF _Toc28407 \h </w:instrText>
          </w:r>
          <w:r>
            <w:rPr>
              <w:sz w:val="24"/>
              <w:szCs w:val="24"/>
              <w:highlight w:val="none"/>
            </w:rPr>
            <w:fldChar w:fldCharType="separate"/>
          </w:r>
          <w:r>
            <w:rPr>
              <w:sz w:val="24"/>
              <w:szCs w:val="24"/>
              <w:highlight w:val="none"/>
            </w:rPr>
            <w:t>44</w:t>
          </w:r>
          <w:r>
            <w:rPr>
              <w:sz w:val="24"/>
              <w:szCs w:val="24"/>
              <w:highlight w:val="none"/>
            </w:rPr>
            <w:fldChar w:fldCharType="end"/>
          </w:r>
          <w:r>
            <w:rPr>
              <w:sz w:val="24"/>
              <w:szCs w:val="24"/>
              <w:highlight w:val="none"/>
            </w:rPr>
            <w:fldChar w:fldCharType="end"/>
          </w:r>
        </w:p>
        <w:p w14:paraId="7DB5F326">
          <w:pPr>
            <w:pStyle w:val="17"/>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_Toc30301 </w:instrText>
          </w:r>
          <w:r>
            <w:rPr>
              <w:sz w:val="24"/>
              <w:szCs w:val="24"/>
              <w:highlight w:val="none"/>
            </w:rPr>
            <w:fldChar w:fldCharType="separate"/>
          </w:r>
          <w:r>
            <w:rPr>
              <w:rFonts w:hint="eastAsia" w:hAnsi="宋体" w:cs="宋体"/>
              <w:sz w:val="24"/>
              <w:szCs w:val="24"/>
              <w:highlight w:val="none"/>
              <w:lang w:val="en-US" w:eastAsia="zh-CN"/>
            </w:rPr>
            <w:t>八</w:t>
          </w:r>
          <w:r>
            <w:rPr>
              <w:rFonts w:hint="eastAsia" w:ascii="宋体" w:hAnsi="宋体" w:eastAsia="宋体" w:cs="宋体"/>
              <w:sz w:val="24"/>
              <w:szCs w:val="24"/>
              <w:highlight w:val="none"/>
              <w:lang w:val="en-US" w:eastAsia="zh-CN"/>
            </w:rPr>
            <w:t>、享受政府采购政策扶持的证明材料</w:t>
          </w:r>
          <w:r>
            <w:rPr>
              <w:sz w:val="24"/>
              <w:szCs w:val="24"/>
              <w:highlight w:val="none"/>
            </w:rPr>
            <w:tab/>
          </w:r>
          <w:r>
            <w:rPr>
              <w:sz w:val="24"/>
              <w:szCs w:val="24"/>
              <w:highlight w:val="none"/>
            </w:rPr>
            <w:fldChar w:fldCharType="begin"/>
          </w:r>
          <w:r>
            <w:rPr>
              <w:sz w:val="24"/>
              <w:szCs w:val="24"/>
              <w:highlight w:val="none"/>
            </w:rPr>
            <w:instrText xml:space="preserve"> PAGEREF _Toc30301 \h </w:instrText>
          </w:r>
          <w:r>
            <w:rPr>
              <w:sz w:val="24"/>
              <w:szCs w:val="24"/>
              <w:highlight w:val="none"/>
            </w:rPr>
            <w:fldChar w:fldCharType="separate"/>
          </w:r>
          <w:r>
            <w:rPr>
              <w:sz w:val="24"/>
              <w:szCs w:val="24"/>
              <w:highlight w:val="none"/>
            </w:rPr>
            <w:t>46</w:t>
          </w:r>
          <w:r>
            <w:rPr>
              <w:sz w:val="24"/>
              <w:szCs w:val="24"/>
              <w:highlight w:val="none"/>
            </w:rPr>
            <w:fldChar w:fldCharType="end"/>
          </w:r>
          <w:r>
            <w:rPr>
              <w:sz w:val="24"/>
              <w:szCs w:val="24"/>
              <w:highlight w:val="none"/>
            </w:rPr>
            <w:fldChar w:fldCharType="end"/>
          </w:r>
        </w:p>
        <w:p w14:paraId="7B8C60E2">
          <w:pPr>
            <w:pStyle w:val="17"/>
            <w:keepNext w:val="0"/>
            <w:keepLines w:val="0"/>
            <w:pageBreakBefore w:val="0"/>
            <w:tabs>
              <w:tab w:val="right" w:leader="dot" w:pos="9360"/>
            </w:tabs>
            <w:kinsoku/>
            <w:wordWrap/>
            <w:overflowPunct/>
            <w:topLinePunct w:val="0"/>
            <w:bidi w:val="0"/>
            <w:snapToGri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_Toc4105 </w:instrText>
          </w:r>
          <w:r>
            <w:rPr>
              <w:sz w:val="24"/>
              <w:szCs w:val="24"/>
              <w:highlight w:val="none"/>
            </w:rPr>
            <w:fldChar w:fldCharType="separate"/>
          </w:r>
          <w:r>
            <w:rPr>
              <w:rFonts w:hint="eastAsia" w:hAnsi="宋体" w:cs="宋体"/>
              <w:sz w:val="24"/>
              <w:szCs w:val="24"/>
              <w:highlight w:val="none"/>
              <w:lang w:val="en-US" w:eastAsia="zh-CN"/>
            </w:rPr>
            <w:t>九</w:t>
          </w:r>
          <w:r>
            <w:rPr>
              <w:rFonts w:hint="eastAsia" w:ascii="宋体" w:hAnsi="宋体" w:eastAsia="宋体" w:cs="宋体"/>
              <w:sz w:val="24"/>
              <w:szCs w:val="24"/>
              <w:highlight w:val="none"/>
              <w:lang w:val="en-US" w:eastAsia="zh-CN"/>
            </w:rPr>
            <w:t>、二次（最终）报价</w:t>
          </w:r>
          <w:r>
            <w:rPr>
              <w:sz w:val="24"/>
              <w:szCs w:val="24"/>
              <w:highlight w:val="none"/>
            </w:rPr>
            <w:tab/>
          </w:r>
          <w:r>
            <w:rPr>
              <w:sz w:val="24"/>
              <w:szCs w:val="24"/>
              <w:highlight w:val="none"/>
            </w:rPr>
            <w:fldChar w:fldCharType="begin"/>
          </w:r>
          <w:r>
            <w:rPr>
              <w:sz w:val="24"/>
              <w:szCs w:val="24"/>
              <w:highlight w:val="none"/>
            </w:rPr>
            <w:instrText xml:space="preserve"> PAGEREF _Toc4105 \h </w:instrText>
          </w:r>
          <w:r>
            <w:rPr>
              <w:sz w:val="24"/>
              <w:szCs w:val="24"/>
              <w:highlight w:val="none"/>
            </w:rPr>
            <w:fldChar w:fldCharType="separate"/>
          </w:r>
          <w:r>
            <w:rPr>
              <w:sz w:val="24"/>
              <w:szCs w:val="24"/>
              <w:highlight w:val="none"/>
            </w:rPr>
            <w:t>52</w:t>
          </w:r>
          <w:r>
            <w:rPr>
              <w:sz w:val="24"/>
              <w:szCs w:val="24"/>
              <w:highlight w:val="none"/>
            </w:rPr>
            <w:fldChar w:fldCharType="end"/>
          </w:r>
          <w:r>
            <w:rPr>
              <w:sz w:val="24"/>
              <w:szCs w:val="24"/>
              <w:highlight w:val="none"/>
            </w:rPr>
            <w:fldChar w:fldCharType="end"/>
          </w:r>
        </w:p>
        <w:p w14:paraId="722DBC9B">
          <w:pPr>
            <w:keepNext w:val="0"/>
            <w:keepLines w:val="0"/>
            <w:pageBreakBefore w:val="0"/>
            <w:kinsoku/>
            <w:wordWrap/>
            <w:overflowPunct/>
            <w:topLinePunct w:val="0"/>
            <w:bidi w:val="0"/>
            <w:snapToGrid/>
            <w:spacing w:line="360" w:lineRule="auto"/>
            <w:textAlignment w:val="auto"/>
            <w:rPr>
              <w:sz w:val="24"/>
              <w:szCs w:val="24"/>
              <w:highlight w:val="none"/>
            </w:rPr>
          </w:pPr>
          <w:r>
            <w:rPr>
              <w:sz w:val="24"/>
              <w:szCs w:val="24"/>
              <w:highlight w:val="none"/>
            </w:rPr>
            <w:fldChar w:fldCharType="end"/>
          </w:r>
        </w:p>
      </w:sdtContent>
    </w:sdt>
    <w:p w14:paraId="133554C8">
      <w:pPr>
        <w:rPr>
          <w:highlight w:val="none"/>
        </w:rPr>
      </w:pPr>
    </w:p>
    <w:p w14:paraId="1EBDDE73">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6B07AD36">
      <w:pPr>
        <w:pStyle w:val="2"/>
        <w:pageBreakBefore w:val="0"/>
        <w:wordWrap/>
        <w:topLinePunct w:val="0"/>
        <w:bidi w:val="0"/>
        <w:spacing w:line="360" w:lineRule="auto"/>
        <w:jc w:val="center"/>
        <w:rPr>
          <w:rFonts w:hint="eastAsia" w:ascii="宋体" w:hAnsi="宋体" w:eastAsia="宋体" w:cs="宋体"/>
          <w:highlight w:val="none"/>
        </w:rPr>
      </w:pPr>
      <w:bookmarkStart w:id="0" w:name="_Toc9031"/>
      <w:bookmarkStart w:id="1" w:name="_Toc444"/>
      <w:bookmarkStart w:id="2" w:name="_Toc27855"/>
      <w:bookmarkStart w:id="3" w:name="_Toc14029"/>
      <w:bookmarkStart w:id="4" w:name="_Toc8336"/>
      <w:bookmarkStart w:id="5" w:name="_Toc24713"/>
      <w:bookmarkStart w:id="6" w:name="_Toc8677"/>
      <w:bookmarkStart w:id="7" w:name="_Toc13959"/>
      <w:r>
        <w:rPr>
          <w:rFonts w:hint="eastAsia" w:ascii="宋体" w:hAnsi="宋体" w:eastAsia="宋体" w:cs="宋体"/>
          <w:highlight w:val="none"/>
        </w:rPr>
        <w:t xml:space="preserve">第一章 </w:t>
      </w:r>
      <w:r>
        <w:rPr>
          <w:rFonts w:hint="eastAsia" w:ascii="宋体" w:hAnsi="宋体" w:eastAsia="宋体" w:cs="宋体"/>
          <w:highlight w:val="none"/>
          <w:lang w:eastAsia="zh-CN"/>
        </w:rPr>
        <w:t>磋商</w:t>
      </w:r>
      <w:r>
        <w:rPr>
          <w:rFonts w:hint="eastAsia" w:ascii="宋体" w:hAnsi="宋体" w:eastAsia="宋体" w:cs="宋体"/>
          <w:highlight w:val="none"/>
        </w:rPr>
        <w:t>公告</w:t>
      </w:r>
      <w:bookmarkEnd w:id="0"/>
      <w:bookmarkEnd w:id="1"/>
      <w:bookmarkEnd w:id="2"/>
      <w:bookmarkEnd w:id="3"/>
      <w:bookmarkEnd w:id="4"/>
      <w:bookmarkEnd w:id="5"/>
      <w:bookmarkEnd w:id="6"/>
      <w:bookmarkEnd w:id="7"/>
    </w:p>
    <w:p w14:paraId="78BBF1FA">
      <w:pPr>
        <w:pageBreakBefore w:val="0"/>
        <w:wordWrap/>
        <w:topLinePunct w:val="0"/>
        <w:bidi w:val="0"/>
        <w:spacing w:line="360" w:lineRule="auto"/>
        <w:jc w:val="center"/>
        <w:rPr>
          <w:rFonts w:hint="eastAsia" w:ascii="宋体" w:hAnsi="宋体" w:eastAsia="宋体" w:cs="宋体"/>
          <w:b w:val="0"/>
          <w:bCs/>
          <w:color w:val="auto"/>
          <w:sz w:val="28"/>
          <w:szCs w:val="28"/>
          <w:highlight w:val="none"/>
          <w:shd w:val="clear" w:color="auto" w:fill="auto"/>
        </w:rPr>
      </w:pPr>
      <w:r>
        <w:rPr>
          <w:rFonts w:hint="eastAsia" w:ascii="宋体" w:hAnsi="宋体" w:eastAsia="宋体" w:cs="宋体"/>
          <w:b/>
          <w:color w:val="auto"/>
          <w:sz w:val="30"/>
          <w:szCs w:val="30"/>
          <w:highlight w:val="none"/>
          <w:shd w:val="clear" w:color="auto" w:fill="FFFFFF"/>
          <w:lang w:val="en-US" w:eastAsia="zh-CN"/>
        </w:rPr>
        <w:t>荥阳市林业局2024年度省级森林抚育项目-</w:t>
      </w:r>
      <w:r>
        <w:rPr>
          <w:rFonts w:hint="eastAsia" w:ascii="宋体" w:hAnsi="宋体" w:eastAsia="宋体" w:cs="宋体"/>
          <w:b/>
          <w:color w:val="auto"/>
          <w:sz w:val="30"/>
          <w:szCs w:val="30"/>
          <w:highlight w:val="none"/>
          <w:shd w:val="clear" w:color="auto" w:fill="FFFFFF"/>
          <w:lang w:eastAsia="zh-CN"/>
        </w:rPr>
        <w:t>竞争性磋商</w:t>
      </w:r>
      <w:r>
        <w:rPr>
          <w:rFonts w:hint="eastAsia" w:ascii="宋体" w:hAnsi="宋体" w:eastAsia="宋体" w:cs="宋体"/>
          <w:b/>
          <w:color w:val="auto"/>
          <w:sz w:val="30"/>
          <w:szCs w:val="30"/>
          <w:highlight w:val="none"/>
          <w:shd w:val="clear" w:color="auto" w:fill="FFFFFF"/>
        </w:rPr>
        <w:t>公告</w:t>
      </w:r>
    </w:p>
    <w:p w14:paraId="0A389A68">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14:paraId="3B7A50B9">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val="0"/>
          <w:bCs/>
          <w:color w:val="auto"/>
          <w:kern w:val="2"/>
          <w:sz w:val="21"/>
          <w:szCs w:val="21"/>
          <w:highlight w:val="none"/>
          <w:u w:val="none"/>
        </w:rPr>
      </w:pPr>
      <w:r>
        <w:rPr>
          <w:rFonts w:hint="eastAsia" w:ascii="宋体" w:hAnsi="宋体" w:eastAsia="宋体" w:cs="宋体"/>
          <w:b/>
          <w:bCs w:val="0"/>
          <w:color w:val="auto"/>
          <w:sz w:val="21"/>
          <w:szCs w:val="21"/>
          <w:highlight w:val="none"/>
          <w:u w:val="single"/>
          <w:lang w:val="en-US" w:eastAsia="zh-CN"/>
        </w:rPr>
        <w:t>荥阳市林业局2024年度省级森林抚育项目</w:t>
      </w:r>
      <w:r>
        <w:rPr>
          <w:rFonts w:hint="eastAsia" w:ascii="宋体" w:hAnsi="宋体" w:eastAsia="宋体" w:cs="宋体"/>
          <w:b w:val="0"/>
          <w:bCs/>
          <w:color w:val="auto"/>
          <w:sz w:val="21"/>
          <w:szCs w:val="21"/>
          <w:highlight w:val="none"/>
          <w:u w:val="none"/>
        </w:rPr>
        <w:t>招标项目的潜在投标人应在</w:t>
      </w:r>
      <w:r>
        <w:rPr>
          <w:rFonts w:hint="eastAsia" w:ascii="宋体" w:hAnsi="宋体" w:eastAsia="宋体" w:cs="宋体"/>
          <w:b/>
          <w:bCs w:val="0"/>
          <w:color w:val="auto"/>
          <w:sz w:val="21"/>
          <w:szCs w:val="21"/>
          <w:highlight w:val="none"/>
          <w:u w:val="single"/>
        </w:rPr>
        <w:t>荥阳市公共资源交易平台</w:t>
      </w:r>
      <w:r>
        <w:rPr>
          <w:rFonts w:hint="eastAsia" w:ascii="宋体" w:hAnsi="宋体" w:eastAsia="宋体" w:cs="宋体"/>
          <w:b w:val="0"/>
          <w:bCs/>
          <w:color w:val="auto"/>
          <w:sz w:val="21"/>
          <w:szCs w:val="21"/>
          <w:highlight w:val="none"/>
          <w:u w:val="none"/>
        </w:rPr>
        <w:t>。获取招标文件，并于</w:t>
      </w:r>
      <w:r>
        <w:rPr>
          <w:rFonts w:hint="eastAsia" w:ascii="宋体" w:hAnsi="宋体" w:eastAsia="宋体" w:cs="宋体"/>
          <w:b/>
          <w:bCs w:val="0"/>
          <w:color w:val="auto"/>
          <w:sz w:val="21"/>
          <w:szCs w:val="21"/>
          <w:highlight w:val="none"/>
          <w:u w:val="single"/>
        </w:rPr>
        <w:t>202</w:t>
      </w:r>
      <w:r>
        <w:rPr>
          <w:rFonts w:hint="eastAsia" w:cs="宋体"/>
          <w:b/>
          <w:bCs w:val="0"/>
          <w:color w:val="auto"/>
          <w:sz w:val="21"/>
          <w:szCs w:val="21"/>
          <w:highlight w:val="none"/>
          <w:u w:val="single"/>
          <w:lang w:val="en-US" w:eastAsia="zh-CN"/>
        </w:rPr>
        <w:t>5</w:t>
      </w:r>
      <w:r>
        <w:rPr>
          <w:rFonts w:hint="eastAsia" w:ascii="宋体" w:hAnsi="宋体" w:eastAsia="宋体" w:cs="宋体"/>
          <w:b/>
          <w:bCs w:val="0"/>
          <w:color w:val="auto"/>
          <w:sz w:val="21"/>
          <w:szCs w:val="21"/>
          <w:highlight w:val="none"/>
          <w:u w:val="single"/>
        </w:rPr>
        <w:t>年</w:t>
      </w:r>
      <w:r>
        <w:rPr>
          <w:rFonts w:hint="eastAsia" w:cs="宋体"/>
          <w:b/>
          <w:bCs w:val="0"/>
          <w:color w:val="auto"/>
          <w:sz w:val="21"/>
          <w:szCs w:val="21"/>
          <w:highlight w:val="none"/>
          <w:u w:val="single"/>
          <w:lang w:val="en-US" w:eastAsia="zh-CN"/>
        </w:rPr>
        <w:t>04</w:t>
      </w:r>
      <w:r>
        <w:rPr>
          <w:rFonts w:hint="eastAsia" w:ascii="宋体" w:hAnsi="宋体" w:eastAsia="宋体" w:cs="宋体"/>
          <w:b/>
          <w:bCs w:val="0"/>
          <w:color w:val="auto"/>
          <w:sz w:val="21"/>
          <w:szCs w:val="21"/>
          <w:highlight w:val="none"/>
          <w:u w:val="single"/>
        </w:rPr>
        <w:t>月</w:t>
      </w:r>
      <w:r>
        <w:rPr>
          <w:rFonts w:hint="eastAsia" w:cs="宋体"/>
          <w:b/>
          <w:bCs w:val="0"/>
          <w:color w:val="auto"/>
          <w:sz w:val="21"/>
          <w:szCs w:val="21"/>
          <w:highlight w:val="none"/>
          <w:u w:val="single"/>
          <w:lang w:val="en-US" w:eastAsia="zh-CN"/>
        </w:rPr>
        <w:t>16</w:t>
      </w:r>
      <w:r>
        <w:rPr>
          <w:rFonts w:hint="eastAsia" w:ascii="宋体" w:hAnsi="宋体" w:eastAsia="宋体" w:cs="宋体"/>
          <w:b/>
          <w:bCs w:val="0"/>
          <w:color w:val="auto"/>
          <w:sz w:val="21"/>
          <w:szCs w:val="21"/>
          <w:highlight w:val="none"/>
          <w:u w:val="single"/>
        </w:rPr>
        <w:t>日09时00分</w:t>
      </w:r>
      <w:r>
        <w:rPr>
          <w:rFonts w:hint="eastAsia" w:ascii="宋体" w:hAnsi="宋体" w:eastAsia="宋体" w:cs="宋体"/>
          <w:b w:val="0"/>
          <w:bCs/>
          <w:color w:val="auto"/>
          <w:sz w:val="21"/>
          <w:szCs w:val="21"/>
          <w:highlight w:val="none"/>
          <w:u w:val="none"/>
        </w:rPr>
        <w:t>（北京时间）前递交响应文件。</w:t>
      </w:r>
    </w:p>
    <w:p w14:paraId="15CADD6D">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、项目</w:t>
      </w:r>
      <w:r>
        <w:rPr>
          <w:rFonts w:hint="eastAsia" w:ascii="宋体" w:hAnsi="宋体" w:eastAsia="宋体" w:cs="宋体"/>
          <w:b/>
          <w:color w:val="auto"/>
          <w:sz w:val="21"/>
          <w:szCs w:val="21"/>
          <w:highlight w:val="none"/>
          <w:lang w:eastAsia="zh-CN"/>
        </w:rPr>
        <w:t>基本情况</w:t>
      </w:r>
    </w:p>
    <w:p w14:paraId="1F2BC905">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项目编号：荥财磋商-2025-8       </w:t>
      </w:r>
      <w:r>
        <w:rPr>
          <w:rFonts w:hint="eastAsia" w:ascii="宋体" w:hAnsi="宋体" w:eastAsia="宋体" w:cs="宋体"/>
          <w:bCs/>
          <w:color w:val="auto"/>
          <w:sz w:val="21"/>
          <w:szCs w:val="21"/>
          <w:highlight w:val="none"/>
          <w:lang w:eastAsia="zh-CN"/>
        </w:rPr>
        <w:t xml:space="preserve"> </w:t>
      </w:r>
    </w:p>
    <w:p w14:paraId="5108B3D4">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rPr>
        <w:t>项目名称：</w:t>
      </w:r>
      <w:r>
        <w:rPr>
          <w:rFonts w:hint="eastAsia" w:ascii="宋体" w:hAnsi="宋体" w:eastAsia="宋体" w:cs="宋体"/>
          <w:bCs/>
          <w:color w:val="auto"/>
          <w:sz w:val="21"/>
          <w:szCs w:val="21"/>
          <w:highlight w:val="none"/>
          <w:lang w:val="en-US" w:eastAsia="zh-CN"/>
        </w:rPr>
        <w:t>荥阳市林业局2024年度省级森林抚育项目</w:t>
      </w:r>
    </w:p>
    <w:p w14:paraId="599A29D6">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采购方式：竞争性磋商</w:t>
      </w:r>
    </w:p>
    <w:p w14:paraId="66CA983B">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rPr>
        <w:t>预算</w:t>
      </w:r>
      <w:r>
        <w:rPr>
          <w:rFonts w:hint="eastAsia" w:ascii="宋体" w:hAnsi="宋体" w:eastAsia="宋体" w:cs="宋体"/>
          <w:bCs/>
          <w:color w:val="auto"/>
          <w:sz w:val="21"/>
          <w:szCs w:val="21"/>
          <w:highlight w:val="none"/>
          <w:lang w:val="en-US" w:eastAsia="zh-CN"/>
        </w:rPr>
        <w:t>金额</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600000.00</w:t>
      </w:r>
      <w:r>
        <w:rPr>
          <w:rFonts w:hint="eastAsia" w:ascii="宋体" w:hAnsi="宋体" w:eastAsia="宋体" w:cs="宋体"/>
          <w:bCs/>
          <w:color w:val="auto"/>
          <w:sz w:val="21"/>
          <w:szCs w:val="21"/>
          <w:highlight w:val="none"/>
        </w:rPr>
        <w:t>元</w:t>
      </w:r>
    </w:p>
    <w:p w14:paraId="41BC3D78">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最高限价：</w:t>
      </w:r>
      <w:r>
        <w:rPr>
          <w:rFonts w:hint="eastAsia" w:cs="宋体"/>
          <w:bCs/>
          <w:color w:val="auto"/>
          <w:sz w:val="21"/>
          <w:szCs w:val="21"/>
          <w:highlight w:val="none"/>
          <w:lang w:val="en-US" w:eastAsia="zh-CN"/>
        </w:rPr>
        <w:t>600000</w:t>
      </w:r>
      <w:r>
        <w:rPr>
          <w:rFonts w:hint="eastAsia" w:ascii="宋体" w:hAnsi="宋体" w:eastAsia="宋体" w:cs="宋体"/>
          <w:bCs/>
          <w:color w:val="auto"/>
          <w:sz w:val="21"/>
          <w:szCs w:val="21"/>
          <w:highlight w:val="none"/>
          <w:lang w:val="en-US" w:eastAsia="zh-CN"/>
        </w:rPr>
        <w:t>.00元</w:t>
      </w:r>
    </w:p>
    <w:tbl>
      <w:tblPr>
        <w:tblStyle w:val="22"/>
        <w:tblW w:w="939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117"/>
        <w:gridCol w:w="2776"/>
        <w:gridCol w:w="1341"/>
        <w:gridCol w:w="1400"/>
        <w:gridCol w:w="1113"/>
        <w:gridCol w:w="1203"/>
      </w:tblGrid>
      <w:tr w14:paraId="14D5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4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D7BEB">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C81F2F">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包号</w:t>
            </w:r>
          </w:p>
        </w:tc>
        <w:tc>
          <w:tcPr>
            <w:tcW w:w="2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487AD6">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包名称</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4BB581">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包预算</w:t>
            </w:r>
          </w:p>
          <w:p w14:paraId="3FF5674C">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（元）</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E35C0">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包最高限价（元）</w:t>
            </w: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5B8991">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是否专门面向中小企业</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C993E">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采购预留金额（元）</w:t>
            </w:r>
          </w:p>
        </w:tc>
      </w:tr>
      <w:tr w14:paraId="3E97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4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83C094">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40EB4">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lang w:val="en-US"/>
              </w:rPr>
            </w:pPr>
            <w:r>
              <w:rPr>
                <w:rFonts w:hint="eastAsia" w:hAnsi="宋体" w:cs="宋体"/>
                <w:color w:val="auto"/>
                <w:sz w:val="21"/>
                <w:szCs w:val="21"/>
                <w:highlight w:val="none"/>
                <w:lang w:val="en-US" w:eastAsia="zh-CN"/>
              </w:rPr>
              <w:t>荥财磋商-2025-8-</w:t>
            </w:r>
            <w:r>
              <w:rPr>
                <w:rFonts w:hint="eastAsia" w:ascii="宋体" w:hAnsi="宋体" w:eastAsia="宋体" w:cs="宋体"/>
                <w:color w:val="auto"/>
                <w:sz w:val="21"/>
                <w:szCs w:val="21"/>
                <w:highlight w:val="none"/>
                <w:lang w:val="en-US" w:eastAsia="zh-CN"/>
              </w:rPr>
              <w:t>1</w:t>
            </w:r>
          </w:p>
        </w:tc>
        <w:tc>
          <w:tcPr>
            <w:tcW w:w="2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489F92">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荥阳市林业局2024年度省级森林抚育项目</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B16CC">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0000</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A05BAB">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600000</w:t>
            </w: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CF5F6F">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是</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C16840">
            <w:pPr>
              <w:pStyle w:val="8"/>
              <w:keepNext w:val="0"/>
              <w:keepLines w:val="0"/>
              <w:pageBreakBefore w:val="0"/>
              <w:kinsoku w:val="0"/>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0000</w:t>
            </w:r>
          </w:p>
        </w:tc>
      </w:tr>
    </w:tbl>
    <w:p w14:paraId="0E920B98">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采购需求：（包括但不限于标的的名称、数量、简要技术需求或服务要求等）</w:t>
      </w:r>
    </w:p>
    <w:p w14:paraId="10D82FD8">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5.1</w:t>
      </w:r>
      <w:r>
        <w:rPr>
          <w:rFonts w:hint="eastAsia" w:cs="宋体"/>
          <w:bCs/>
          <w:color w:val="auto"/>
          <w:sz w:val="21"/>
          <w:szCs w:val="21"/>
          <w:highlight w:val="none"/>
          <w:lang w:val="en-US" w:eastAsia="zh-CN"/>
        </w:rPr>
        <w:t>、采购范围</w:t>
      </w:r>
      <w:r>
        <w:rPr>
          <w:rFonts w:hint="eastAsia" w:ascii="宋体" w:hAnsi="宋体" w:eastAsia="宋体" w:cs="宋体"/>
          <w:bCs/>
          <w:color w:val="auto"/>
          <w:sz w:val="21"/>
          <w:szCs w:val="21"/>
          <w:highlight w:val="none"/>
          <w:lang w:val="en-US" w:eastAsia="zh-CN"/>
        </w:rPr>
        <w:t>：本项目根据2024年度国土绿化建设工作安排，拟对荥阳市环翠峪森林公园范围内进行抚育，抚育面积约3000亩。</w:t>
      </w:r>
    </w:p>
    <w:p w14:paraId="2F2842DC">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5.2</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服务期限：</w:t>
      </w:r>
      <w:r>
        <w:rPr>
          <w:rFonts w:hint="eastAsia" w:cs="宋体"/>
          <w:bCs/>
          <w:color w:val="auto"/>
          <w:sz w:val="21"/>
          <w:szCs w:val="21"/>
          <w:highlight w:val="none"/>
          <w:lang w:val="en-US" w:eastAsia="zh-CN"/>
        </w:rPr>
        <w:t>60日历天</w:t>
      </w:r>
    </w:p>
    <w:p w14:paraId="561D7B1A">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5.3</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质量要求：合格，符合国家、行业及地区现行相关规范和</w:t>
      </w:r>
      <w:r>
        <w:rPr>
          <w:rFonts w:hint="eastAsia" w:cs="宋体"/>
          <w:bCs/>
          <w:color w:val="auto"/>
          <w:sz w:val="21"/>
          <w:szCs w:val="21"/>
          <w:highlight w:val="none"/>
          <w:lang w:val="en-US" w:eastAsia="zh-CN"/>
        </w:rPr>
        <w:t>标准</w:t>
      </w:r>
    </w:p>
    <w:p w14:paraId="7DB1EBCE">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5.4</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标段划分：本项目划分一个标段</w:t>
      </w:r>
    </w:p>
    <w:p w14:paraId="6B502CC9">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合同履行期限：同服务期限 </w:t>
      </w:r>
    </w:p>
    <w:p w14:paraId="55EC5DD3">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本项目是否接受联合体投标：否 </w:t>
      </w:r>
    </w:p>
    <w:p w14:paraId="0260414F">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是否接受进口产品：否 </w:t>
      </w:r>
    </w:p>
    <w:p w14:paraId="0D1D396D">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是否专门面向中小企业：</w:t>
      </w:r>
      <w:r>
        <w:rPr>
          <w:rFonts w:hint="eastAsia" w:cs="宋体"/>
          <w:bCs/>
          <w:color w:val="auto"/>
          <w:sz w:val="21"/>
          <w:szCs w:val="21"/>
          <w:highlight w:val="none"/>
          <w:lang w:val="en-US" w:eastAsia="zh-CN"/>
        </w:rPr>
        <w:t>是</w:t>
      </w:r>
    </w:p>
    <w:p w14:paraId="7D55C26C">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申请人的</w:t>
      </w:r>
      <w:r>
        <w:rPr>
          <w:rFonts w:hint="eastAsia" w:ascii="宋体" w:hAnsi="宋体" w:eastAsia="宋体" w:cs="宋体"/>
          <w:b/>
          <w:color w:val="auto"/>
          <w:sz w:val="21"/>
          <w:szCs w:val="21"/>
          <w:highlight w:val="none"/>
        </w:rPr>
        <w:t>资格要求</w:t>
      </w:r>
    </w:p>
    <w:p w14:paraId="6B578010">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满足《中华人民共和国政府采购法》第二十二条规定； </w:t>
      </w:r>
    </w:p>
    <w:p w14:paraId="21E37756">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落实政府采购政策满足的资格要求： </w:t>
      </w:r>
    </w:p>
    <w:p w14:paraId="4DE620D9">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本项目执行促进中小型企业发展政策（监狱企业、残疾人福利性企业视同小微企业）、强制采购节能产品、优先采购节能环保产品等政府采购政策。 </w:t>
      </w:r>
    </w:p>
    <w:p w14:paraId="74AC154F">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 xml:space="preserve">本项目的特定资格要求 </w:t>
      </w:r>
    </w:p>
    <w:p w14:paraId="319AF61B">
      <w:pPr>
        <w:pStyle w:val="18"/>
        <w:keepNext w:val="0"/>
        <w:keepLines w:val="0"/>
        <w:pageBreakBefore w:val="0"/>
        <w:widowControl/>
        <w:numPr>
          <w:ilvl w:val="0"/>
          <w:numId w:val="0"/>
        </w:numPr>
        <w:kinsoku/>
        <w:wordWrap/>
        <w:overflowPunct/>
        <w:topLinePunct w:val="0"/>
        <w:autoSpaceDE w:val="0"/>
        <w:autoSpaceDN w:val="0"/>
        <w:bidi w:val="0"/>
        <w:adjustRightInd w:val="0"/>
        <w:snapToGrid/>
        <w:spacing w:before="0" w:beforeAutospacing="0" w:after="0" w:afterAutospacing="0" w:line="360" w:lineRule="auto"/>
        <w:ind w:firstLine="735" w:firstLineChars="35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供应商须具有有效的营业执照；</w:t>
      </w:r>
    </w:p>
    <w:p w14:paraId="32112504">
      <w:pPr>
        <w:pStyle w:val="18"/>
        <w:keepNext w:val="0"/>
        <w:keepLines w:val="0"/>
        <w:pageBreakBefore w:val="0"/>
        <w:widowControl/>
        <w:numPr>
          <w:ilvl w:val="0"/>
          <w:numId w:val="0"/>
        </w:numPr>
        <w:kinsoku/>
        <w:wordWrap/>
        <w:overflowPunct/>
        <w:topLinePunct w:val="0"/>
        <w:autoSpaceDE w:val="0"/>
        <w:autoSpaceDN w:val="0"/>
        <w:bidi w:val="0"/>
        <w:adjustRightInd w:val="0"/>
        <w:snapToGrid/>
        <w:spacing w:before="0" w:beforeAutospacing="0" w:after="0" w:afterAutospacing="0" w:line="360" w:lineRule="auto"/>
        <w:ind w:firstLine="735" w:firstLineChars="35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注：采购代理机构可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p>
    <w:p w14:paraId="4218EE97">
      <w:pPr>
        <w:pStyle w:val="18"/>
        <w:keepNext w:val="0"/>
        <w:keepLines w:val="0"/>
        <w:pageBreakBefore w:val="0"/>
        <w:widowControl/>
        <w:numPr>
          <w:ilvl w:val="0"/>
          <w:numId w:val="0"/>
        </w:numPr>
        <w:kinsoku/>
        <w:wordWrap/>
        <w:overflowPunct/>
        <w:topLinePunct w:val="0"/>
        <w:autoSpaceDE w:val="0"/>
        <w:autoSpaceDN w:val="0"/>
        <w:bidi w:val="0"/>
        <w:adjustRightInd w:val="0"/>
        <w:snapToGrid/>
        <w:spacing w:before="0" w:beforeAutospacing="0" w:after="0" w:afterAutospacing="0" w:line="360" w:lineRule="auto"/>
        <w:ind w:firstLine="735" w:firstLineChars="35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单位负责人为同一人或存在直接控股、管理关系的不同供应商，不得参加同一合同项下的政府采购活动；需提供“国家企业信用信息公示系统”中公示的公司信息、股东（或投资人）信息的网页截图（或提供单位负责人与其他供应商不为同一人或者存在直接控股、管理关系的承诺书）；</w:t>
      </w:r>
    </w:p>
    <w:p w14:paraId="3557B592">
      <w:pPr>
        <w:pStyle w:val="18"/>
        <w:keepNext w:val="0"/>
        <w:keepLines w:val="0"/>
        <w:pageBreakBefore w:val="0"/>
        <w:widowControl/>
        <w:numPr>
          <w:ilvl w:val="0"/>
          <w:numId w:val="0"/>
        </w:numPr>
        <w:kinsoku/>
        <w:wordWrap/>
        <w:overflowPunct/>
        <w:topLinePunct w:val="0"/>
        <w:autoSpaceDE w:val="0"/>
        <w:autoSpaceDN w:val="0"/>
        <w:bidi w:val="0"/>
        <w:adjustRightInd w:val="0"/>
        <w:snapToGrid/>
        <w:spacing w:before="0" w:beforeAutospacing="0" w:after="0" w:afterAutospacing="0" w:line="360" w:lineRule="auto"/>
        <w:ind w:firstLine="735" w:firstLineChars="35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本次磋商为资格后审且不允许转包。</w:t>
      </w:r>
    </w:p>
    <w:p w14:paraId="3FF61E66">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p>
    <w:p w14:paraId="1966E103">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1.时间：202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w:t>
      </w:r>
      <w:r>
        <w:rPr>
          <w:rFonts w:hint="eastAsia" w:cs="宋体"/>
          <w:b w:val="0"/>
          <w:bCs/>
          <w:color w:val="auto"/>
          <w:sz w:val="21"/>
          <w:szCs w:val="21"/>
          <w:highlight w:val="none"/>
          <w:lang w:val="en-US" w:eastAsia="zh-CN"/>
        </w:rPr>
        <w:t>04</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02</w:t>
      </w:r>
      <w:r>
        <w:rPr>
          <w:rFonts w:hint="eastAsia" w:ascii="宋体" w:hAnsi="宋体" w:eastAsia="宋体" w:cs="宋体"/>
          <w:b w:val="0"/>
          <w:bCs/>
          <w:color w:val="auto"/>
          <w:sz w:val="21"/>
          <w:szCs w:val="21"/>
          <w:highlight w:val="none"/>
          <w:lang w:val="en-US" w:eastAsia="zh-CN"/>
        </w:rPr>
        <w:t>日至202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w:t>
      </w:r>
      <w:r>
        <w:rPr>
          <w:rFonts w:hint="eastAsia" w:cs="宋体"/>
          <w:b w:val="0"/>
          <w:bCs/>
          <w:color w:val="auto"/>
          <w:sz w:val="21"/>
          <w:szCs w:val="21"/>
          <w:highlight w:val="none"/>
          <w:lang w:val="en-US" w:eastAsia="zh-CN"/>
        </w:rPr>
        <w:t>04</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09</w:t>
      </w:r>
      <w:r>
        <w:rPr>
          <w:rFonts w:hint="eastAsia" w:ascii="宋体" w:hAnsi="宋体" w:eastAsia="宋体" w:cs="宋体"/>
          <w:b w:val="0"/>
          <w:bCs/>
          <w:color w:val="auto"/>
          <w:sz w:val="21"/>
          <w:szCs w:val="21"/>
          <w:highlight w:val="none"/>
          <w:lang w:val="en-US" w:eastAsia="zh-CN"/>
        </w:rPr>
        <w:t xml:space="preserve">日，每天上午00:00至12:00，下午12:00至23:59（北京时间，法定节假日除外。） </w:t>
      </w:r>
    </w:p>
    <w:p w14:paraId="1D37466E">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2.地点：荥阳市公共资源交易平台。 </w:t>
      </w:r>
    </w:p>
    <w:p w14:paraId="6512CCDC">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 </w:t>
      </w:r>
    </w:p>
    <w:p w14:paraId="48B44CFD">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4.售价：0元</w:t>
      </w:r>
    </w:p>
    <w:p w14:paraId="5DC86BB8">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文件提交</w:t>
      </w:r>
    </w:p>
    <w:p w14:paraId="1273C239">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1.截止时间：202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w:t>
      </w:r>
      <w:r>
        <w:rPr>
          <w:rFonts w:hint="eastAsia" w:cs="宋体"/>
          <w:b w:val="0"/>
          <w:bCs/>
          <w:color w:val="auto"/>
          <w:sz w:val="21"/>
          <w:szCs w:val="21"/>
          <w:highlight w:val="none"/>
          <w:lang w:val="en-US" w:eastAsia="zh-CN"/>
        </w:rPr>
        <w:t>04</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16</w:t>
      </w:r>
      <w:r>
        <w:rPr>
          <w:rFonts w:hint="eastAsia" w:ascii="宋体" w:hAnsi="宋体" w:eastAsia="宋体" w:cs="宋体"/>
          <w:b w:val="0"/>
          <w:bCs/>
          <w:color w:val="auto"/>
          <w:sz w:val="21"/>
          <w:szCs w:val="21"/>
          <w:highlight w:val="none"/>
          <w:lang w:val="en-US" w:eastAsia="zh-CN"/>
        </w:rPr>
        <w:t xml:space="preserve">日9时00分（北京时间） </w:t>
      </w:r>
    </w:p>
    <w:p w14:paraId="39147A57">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2.地点：荥阳市公共资源交易平台 </w:t>
      </w:r>
    </w:p>
    <w:p w14:paraId="3E631DF0">
      <w:pPr>
        <w:pStyle w:val="1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响应文件开启</w:t>
      </w:r>
    </w:p>
    <w:p w14:paraId="4AF8B62C">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时间：</w:t>
      </w:r>
      <w:r>
        <w:rPr>
          <w:rFonts w:hint="eastAsia" w:ascii="宋体" w:hAnsi="宋体" w:eastAsia="宋体" w:cs="宋体"/>
          <w:b w:val="0"/>
          <w:bCs/>
          <w:color w:val="auto"/>
          <w:sz w:val="21"/>
          <w:szCs w:val="21"/>
          <w:highlight w:val="none"/>
          <w:lang w:val="en-US" w:eastAsia="zh-CN"/>
        </w:rPr>
        <w:t>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w:t>
      </w:r>
      <w:r>
        <w:rPr>
          <w:rFonts w:hint="eastAsia" w:cs="宋体"/>
          <w:b w:val="0"/>
          <w:bCs/>
          <w:color w:val="auto"/>
          <w:sz w:val="21"/>
          <w:szCs w:val="21"/>
          <w:highlight w:val="none"/>
          <w:lang w:val="en-US" w:eastAsia="zh-CN"/>
        </w:rPr>
        <w:t>04</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16</w:t>
      </w:r>
      <w:r>
        <w:rPr>
          <w:rFonts w:hint="eastAsia" w:ascii="宋体" w:hAnsi="宋体" w:eastAsia="宋体" w:cs="宋体"/>
          <w:b w:val="0"/>
          <w:bCs/>
          <w:color w:val="auto"/>
          <w:sz w:val="21"/>
          <w:szCs w:val="21"/>
          <w:highlight w:val="none"/>
          <w:lang w:val="en-US" w:eastAsia="zh-CN"/>
        </w:rPr>
        <w:t>日9时00分</w:t>
      </w:r>
      <w:r>
        <w:rPr>
          <w:rFonts w:hint="eastAsia" w:ascii="宋体" w:hAnsi="宋体" w:eastAsia="宋体" w:cs="宋体"/>
          <w:color w:val="auto"/>
          <w:sz w:val="21"/>
          <w:szCs w:val="21"/>
          <w:highlight w:val="none"/>
          <w:lang w:eastAsia="zh-CN"/>
        </w:rPr>
        <w:t xml:space="preserve">（北京时间） </w:t>
      </w:r>
    </w:p>
    <w:p w14:paraId="187D0B6D">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2.地点：荥阳市公共资源交易中心（荥阳市中原路与飞龙路西北角政务服务中心七楼）第</w:t>
      </w:r>
      <w:r>
        <w:rPr>
          <w:rFonts w:hint="eastAsia"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开标室。</w:t>
      </w:r>
    </w:p>
    <w:p w14:paraId="11591B8D">
      <w:pPr>
        <w:pStyle w:val="1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发布公告的媒介及招标公告期限 </w:t>
      </w:r>
    </w:p>
    <w:p w14:paraId="43317D37">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本次公告在《河南省政府采购网》《中国招标投标公共服务平台》《荥阳市政府采购网》《荥阳市公共资源交易中心网站》上发布，公告期限为</w:t>
      </w:r>
      <w:r>
        <w:rPr>
          <w:rFonts w:hint="eastAsia"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val="en-US" w:eastAsia="zh-CN"/>
        </w:rPr>
        <w:t>个工作日。</w:t>
      </w:r>
    </w:p>
    <w:p w14:paraId="2206A744">
      <w:pPr>
        <w:pStyle w:val="1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其他补充事宜 </w:t>
      </w:r>
    </w:p>
    <w:p w14:paraId="11AD252A">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响应文件制作及上传：</w:t>
      </w:r>
    </w:p>
    <w:p w14:paraId="75B11E6D">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获取磋商文件后，投标人（供应商）请登陆荥阳市公共资源交易中心网站—下载中心—下载最新版本“响应文件制作软件”制作电子响应文件（具体制作手册请查询交易中心网站-办事指南-《响应文件制作操作手册》）。</w:t>
      </w:r>
    </w:p>
    <w:p w14:paraId="6F9C5750">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投标人（供应商）须在投标截止时间前登陆荥阳市公共资源交易平台上传加密的电子响应文件。</w:t>
      </w:r>
    </w:p>
    <w:p w14:paraId="48237FBB">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w:t>
      </w:r>
    </w:p>
    <w:p w14:paraId="7050231F">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注意事项：</w:t>
      </w:r>
    </w:p>
    <w:p w14:paraId="5BF5E744">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请供应商务必按照“荥阳市公共资源交易中心不见面开标大厅操作手册（投标人）”的要求设置参与不见面开标的电脑环境，否则由此可能引起的签到失败、解密失败或无法解密等问题由供应商自行承担。</w:t>
      </w:r>
    </w:p>
    <w:p w14:paraId="5516ED79">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3.2</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所有供应商应提前30分钟，登录开标大厅进行不见面开标准备工作。所有供应商登录开标大厅后，须在投标截止时间前完成签到，其后应一直保持在线状态，保证能准时参加开标大会、响应文件的解密、现场答疑澄清等活动。</w:t>
      </w:r>
    </w:p>
    <w:p w14:paraId="3EAC8173">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供应商应在解密时间内插入CA锁，输入密码进行解密。如在解密时间内解密失败，可再次解密，供应商应在规定时间内完成解密，否则采购人不予受理。</w:t>
      </w:r>
    </w:p>
    <w:p w14:paraId="7F22AA40">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逾期上传的或者未上传指定地点的响应文件，采购人不予受理。</w:t>
      </w:r>
    </w:p>
    <w:p w14:paraId="5F182039">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3.5</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如遇问题，请拨打技术服务单位（国泰新点）电话：4009980000。</w:t>
      </w:r>
    </w:p>
    <w:p w14:paraId="3E4C5522">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注：请各供应商密切关注《荥阳市公共资源交易中心网站》，以便及时了解项目最新进展情况。</w:t>
      </w:r>
    </w:p>
    <w:p w14:paraId="3192BE42">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本次采购招标代理服务费，参考河南省招标投标协会（豫招协[2023]002号）文规定的计费方式，向成交供应商收取代理服务费。</w:t>
      </w:r>
    </w:p>
    <w:p w14:paraId="3F2AA538">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 xml:space="preserve">本项目采购监督部门为：荥阳市财政局。 </w:t>
      </w:r>
    </w:p>
    <w:p w14:paraId="5C261887">
      <w:pPr>
        <w:pStyle w:val="1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凡对本次招标提出询问，请按照以下方式联系 </w:t>
      </w:r>
    </w:p>
    <w:p w14:paraId="7B8A48B0">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 采购人信息 </w:t>
      </w:r>
    </w:p>
    <w:p w14:paraId="492CAC6F">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名称：荥阳市林业局</w:t>
      </w:r>
    </w:p>
    <w:p w14:paraId="09A8E365">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地址：荥阳市惠民路</w:t>
      </w:r>
      <w:r>
        <w:rPr>
          <w:rFonts w:hint="eastAsia" w:cs="宋体"/>
          <w:b w:val="0"/>
          <w:bCs/>
          <w:color w:val="auto"/>
          <w:sz w:val="21"/>
          <w:szCs w:val="21"/>
          <w:highlight w:val="none"/>
          <w:lang w:val="en-US" w:eastAsia="zh-CN"/>
        </w:rPr>
        <w:t>28号</w:t>
      </w:r>
    </w:p>
    <w:p w14:paraId="16A6D836">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联系人：</w:t>
      </w:r>
      <w:r>
        <w:rPr>
          <w:rFonts w:hint="eastAsia" w:cs="宋体"/>
          <w:b w:val="0"/>
          <w:bCs/>
          <w:color w:val="auto"/>
          <w:sz w:val="21"/>
          <w:szCs w:val="21"/>
          <w:highlight w:val="none"/>
          <w:lang w:val="en-US" w:eastAsia="zh-CN"/>
        </w:rPr>
        <w:t>王旭照</w:t>
      </w:r>
    </w:p>
    <w:p w14:paraId="705E50B4">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电话：</w:t>
      </w:r>
      <w:r>
        <w:rPr>
          <w:rFonts w:hint="eastAsia" w:cs="宋体"/>
          <w:b w:val="0"/>
          <w:bCs/>
          <w:color w:val="auto"/>
          <w:sz w:val="21"/>
          <w:szCs w:val="21"/>
          <w:highlight w:val="none"/>
          <w:lang w:val="en-US" w:eastAsia="zh-CN"/>
        </w:rPr>
        <w:t>0371-85295888</w:t>
      </w:r>
    </w:p>
    <w:p w14:paraId="64002E72">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2.采购代理机构信息（如有） </w:t>
      </w:r>
    </w:p>
    <w:p w14:paraId="2B3B8EA0">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名称：河南达信工程管理有限公司</w:t>
      </w:r>
    </w:p>
    <w:p w14:paraId="0F34C194">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地址：郑州市郑东新区商务内环路2号中油新澳大厦13层1305室</w:t>
      </w:r>
    </w:p>
    <w:p w14:paraId="484F335E">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联系人：</w:t>
      </w:r>
      <w:r>
        <w:rPr>
          <w:rFonts w:hint="eastAsia" w:cs="宋体"/>
          <w:b w:val="0"/>
          <w:bCs/>
          <w:color w:val="auto"/>
          <w:sz w:val="21"/>
          <w:szCs w:val="21"/>
          <w:highlight w:val="none"/>
          <w:lang w:val="en-US" w:eastAsia="zh-CN"/>
        </w:rPr>
        <w:t>宋双双</w:t>
      </w:r>
    </w:p>
    <w:p w14:paraId="029501B6">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联系方式：0371-61651888</w:t>
      </w:r>
    </w:p>
    <w:p w14:paraId="2D59C84A">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3.项目联系方式 </w:t>
      </w:r>
    </w:p>
    <w:p w14:paraId="5A19B93B">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项目联系人：</w:t>
      </w:r>
      <w:r>
        <w:rPr>
          <w:rFonts w:hint="eastAsia" w:cs="宋体"/>
          <w:b w:val="0"/>
          <w:bCs/>
          <w:color w:val="auto"/>
          <w:sz w:val="21"/>
          <w:szCs w:val="21"/>
          <w:highlight w:val="none"/>
          <w:lang w:val="en-US" w:eastAsia="zh-CN"/>
        </w:rPr>
        <w:t>宋双双</w:t>
      </w:r>
    </w:p>
    <w:p w14:paraId="017C6B88">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联系方式：0371-61651888</w:t>
      </w:r>
    </w:p>
    <w:p w14:paraId="4B604D04">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br w:type="page"/>
      </w:r>
    </w:p>
    <w:p w14:paraId="3D29CB77">
      <w:pPr>
        <w:pStyle w:val="2"/>
        <w:pageBreakBefore w:val="0"/>
        <w:wordWrap/>
        <w:topLinePunct w:val="0"/>
        <w:bidi w:val="0"/>
        <w:spacing w:line="360" w:lineRule="auto"/>
        <w:jc w:val="center"/>
        <w:rPr>
          <w:rFonts w:hint="eastAsia" w:ascii="宋体" w:hAnsi="宋体" w:eastAsia="宋体" w:cs="宋体"/>
          <w:color w:val="auto"/>
          <w:highlight w:val="none"/>
        </w:rPr>
      </w:pPr>
      <w:bookmarkStart w:id="8" w:name="_Toc31520"/>
      <w:bookmarkStart w:id="9" w:name="_Toc1722"/>
      <w:bookmarkStart w:id="10" w:name="_Toc635"/>
      <w:bookmarkStart w:id="11" w:name="_Toc28950"/>
      <w:bookmarkStart w:id="12" w:name="_Toc20382"/>
      <w:bookmarkStart w:id="13" w:name="_Toc693"/>
      <w:bookmarkStart w:id="14" w:name="_Toc5494"/>
      <w:bookmarkStart w:id="15" w:name="_Toc8158"/>
      <w:bookmarkStart w:id="16" w:name="_Toc24744"/>
      <w:bookmarkStart w:id="17" w:name="_Toc8948"/>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8"/>
      <w:bookmarkEnd w:id="9"/>
      <w:bookmarkEnd w:id="10"/>
      <w:bookmarkEnd w:id="11"/>
      <w:bookmarkEnd w:id="12"/>
      <w:bookmarkEnd w:id="13"/>
      <w:bookmarkEnd w:id="14"/>
      <w:bookmarkEnd w:id="15"/>
      <w:bookmarkEnd w:id="16"/>
      <w:bookmarkEnd w:id="17"/>
    </w:p>
    <w:p w14:paraId="4953396A">
      <w:pPr>
        <w:pStyle w:val="4"/>
        <w:pageBreakBefore w:val="0"/>
        <w:wordWrap/>
        <w:topLinePunct w:val="0"/>
        <w:bidi w:val="0"/>
        <w:spacing w:line="360" w:lineRule="auto"/>
        <w:jc w:val="center"/>
        <w:rPr>
          <w:rFonts w:hint="eastAsia" w:ascii="宋体" w:hAnsi="宋体" w:eastAsia="宋体" w:cs="宋体"/>
          <w:color w:val="auto"/>
          <w:szCs w:val="24"/>
          <w:highlight w:val="none"/>
        </w:rPr>
      </w:pPr>
      <w:bookmarkStart w:id="18" w:name="_Toc28695"/>
      <w:bookmarkStart w:id="19" w:name="_Toc472942892"/>
      <w:bookmarkStart w:id="20" w:name="_Toc19130"/>
      <w:bookmarkStart w:id="21" w:name="_Toc13724"/>
      <w:bookmarkStart w:id="22" w:name="_Toc31456"/>
      <w:bookmarkStart w:id="23" w:name="_Toc4118"/>
      <w:bookmarkStart w:id="24" w:name="_Toc18019"/>
      <w:bookmarkStart w:id="25" w:name="_Toc1160"/>
      <w:bookmarkStart w:id="26" w:name="_Toc23145"/>
      <w:bookmarkStart w:id="27" w:name="_Toc9710"/>
      <w:bookmarkStart w:id="28" w:name="_Toc18472"/>
      <w:bookmarkStart w:id="29" w:name="_Toc19644"/>
      <w:bookmarkStart w:id="30" w:name="_Toc1975_WPSOffice_Level2"/>
      <w:bookmarkStart w:id="31" w:name="_Toc23911"/>
      <w:bookmarkStart w:id="32" w:name="_Toc11941"/>
      <w:bookmarkStart w:id="33" w:name="_Toc10653"/>
      <w:bookmarkStart w:id="34" w:name="_Toc1132"/>
      <w:bookmarkStart w:id="35" w:name="_Toc1277"/>
      <w:bookmarkStart w:id="36" w:name="_Toc25170"/>
      <w:bookmarkStart w:id="37" w:name="_Toc32726"/>
      <w:bookmarkStart w:id="38" w:name="_Toc16107"/>
      <w:bookmarkStart w:id="39" w:name="_Toc22480"/>
      <w:bookmarkStart w:id="40" w:name="_Toc20761"/>
      <w:bookmarkStart w:id="41" w:name="_Toc5709"/>
      <w:bookmarkStart w:id="42" w:name="_Toc24008"/>
      <w:bookmarkStart w:id="43" w:name="_Toc31245"/>
      <w:bookmarkStart w:id="44" w:name="_Toc537"/>
      <w:bookmarkStart w:id="45" w:name="_Toc15101"/>
      <w:bookmarkStart w:id="46" w:name="_Toc11582"/>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须知前附表</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bl>
      <w:tblPr>
        <w:tblStyle w:val="22"/>
        <w:tblW w:w="87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874"/>
        <w:gridCol w:w="5878"/>
      </w:tblGrid>
      <w:tr w14:paraId="569D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78A0E36B">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74" w:type="dxa"/>
            <w:noWrap w:val="0"/>
            <w:vAlign w:val="center"/>
          </w:tcPr>
          <w:p w14:paraId="76308493">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5878" w:type="dxa"/>
            <w:noWrap w:val="0"/>
            <w:vAlign w:val="center"/>
          </w:tcPr>
          <w:p w14:paraId="42F2C369">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2001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987" w:type="dxa"/>
            <w:noWrap w:val="0"/>
            <w:vAlign w:val="center"/>
          </w:tcPr>
          <w:p w14:paraId="3D8A8C8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4" w:type="dxa"/>
            <w:noWrap w:val="0"/>
            <w:vAlign w:val="center"/>
          </w:tcPr>
          <w:p w14:paraId="2F9CAAB7">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w:t>
            </w:r>
          </w:p>
        </w:tc>
        <w:tc>
          <w:tcPr>
            <w:tcW w:w="5878" w:type="dxa"/>
            <w:noWrap w:val="0"/>
            <w:vAlign w:val="center"/>
          </w:tcPr>
          <w:p w14:paraId="32E86C5D">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名称：荥阳市林业局</w:t>
            </w:r>
          </w:p>
          <w:p w14:paraId="48CA3171">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地址：荥阳市惠民路</w:t>
            </w:r>
            <w:r>
              <w:rPr>
                <w:rFonts w:hint="eastAsia" w:cs="宋体"/>
                <w:color w:val="auto"/>
                <w:kern w:val="0"/>
                <w:sz w:val="21"/>
                <w:szCs w:val="21"/>
                <w:highlight w:val="none"/>
                <w:lang w:val="en-US" w:eastAsia="zh-CN" w:bidi="ar"/>
              </w:rPr>
              <w:t>28号</w:t>
            </w:r>
          </w:p>
          <w:p w14:paraId="6408C2D3">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联系人：王旭照</w:t>
            </w:r>
          </w:p>
          <w:p w14:paraId="49481AB4">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电话：0371-85295888</w:t>
            </w:r>
          </w:p>
        </w:tc>
      </w:tr>
      <w:tr w14:paraId="23DC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987" w:type="dxa"/>
            <w:noWrap w:val="0"/>
            <w:vAlign w:val="center"/>
          </w:tcPr>
          <w:p w14:paraId="34FB133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74" w:type="dxa"/>
            <w:noWrap w:val="0"/>
            <w:vAlign w:val="center"/>
          </w:tcPr>
          <w:p w14:paraId="0FC94AF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w:t>
            </w:r>
          </w:p>
        </w:tc>
        <w:tc>
          <w:tcPr>
            <w:tcW w:w="5878" w:type="dxa"/>
            <w:noWrap w:val="0"/>
            <w:vAlign w:val="center"/>
          </w:tcPr>
          <w:p w14:paraId="57F1892C">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名称：河南达信工程管理有限公司</w:t>
            </w:r>
          </w:p>
          <w:p w14:paraId="07858B9B">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地址：郑州市郑东新区商务内环路2号中油新澳大厦13层1305室</w:t>
            </w:r>
          </w:p>
          <w:p w14:paraId="355E22D5">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联系人：</w:t>
            </w:r>
            <w:r>
              <w:rPr>
                <w:rFonts w:hint="eastAsia" w:hAnsi="宋体" w:cs="宋体"/>
                <w:color w:val="auto"/>
                <w:kern w:val="0"/>
                <w:sz w:val="21"/>
                <w:szCs w:val="21"/>
                <w:highlight w:val="none"/>
                <w:lang w:val="en-US" w:eastAsia="zh-CN" w:bidi="ar"/>
              </w:rPr>
              <w:t>宋双双</w:t>
            </w:r>
          </w:p>
          <w:p w14:paraId="228E7A33">
            <w:pPr>
              <w:pageBreakBefore w:val="0"/>
              <w:widowControl/>
              <w:wordWrap/>
              <w:topLinePunct w:val="0"/>
              <w:bidi w:val="0"/>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联系方式：0371-61651888</w:t>
            </w:r>
          </w:p>
        </w:tc>
      </w:tr>
      <w:tr w14:paraId="3AB9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24E8647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74" w:type="dxa"/>
            <w:noWrap w:val="0"/>
            <w:vAlign w:val="center"/>
          </w:tcPr>
          <w:p w14:paraId="2CA3BB4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878" w:type="dxa"/>
            <w:noWrap w:val="0"/>
            <w:vAlign w:val="center"/>
          </w:tcPr>
          <w:p w14:paraId="41C59309">
            <w:pPr>
              <w:pageBreakBefore w:val="0"/>
              <w:wordWrap/>
              <w:topLinePunct w:val="0"/>
              <w:bidi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荥阳市林业局2024年度省级森林抚育项目</w:t>
            </w:r>
          </w:p>
        </w:tc>
      </w:tr>
      <w:tr w14:paraId="5678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7" w:type="dxa"/>
            <w:noWrap w:val="0"/>
            <w:vAlign w:val="center"/>
          </w:tcPr>
          <w:p w14:paraId="31DAFEA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874" w:type="dxa"/>
            <w:noWrap w:val="0"/>
            <w:vAlign w:val="center"/>
          </w:tcPr>
          <w:p w14:paraId="396C6C31">
            <w:pPr>
              <w:pageBreakBefore w:val="0"/>
              <w:wordWrap/>
              <w:topLinePunct w:val="0"/>
              <w:bidi w:val="0"/>
              <w:spacing w:line="360" w:lineRule="auto"/>
              <w:jc w:val="center"/>
              <w:rPr>
                <w:rFonts w:hint="default" w:ascii="宋体" w:hAnsi="宋体" w:eastAsia="宋体" w:cs="宋体"/>
                <w:color w:val="auto"/>
                <w:sz w:val="21"/>
                <w:szCs w:val="21"/>
                <w:highlight w:val="none"/>
                <w:lang w:val="en-US"/>
              </w:rPr>
            </w:pPr>
            <w:r>
              <w:rPr>
                <w:rFonts w:hint="eastAsia" w:hAnsi="宋体" w:cs="宋体"/>
                <w:color w:val="auto"/>
                <w:sz w:val="21"/>
                <w:szCs w:val="21"/>
                <w:highlight w:val="none"/>
                <w:lang w:val="en-US" w:eastAsia="zh-CN"/>
              </w:rPr>
              <w:t>服务地点</w:t>
            </w:r>
          </w:p>
        </w:tc>
        <w:tc>
          <w:tcPr>
            <w:tcW w:w="5878" w:type="dxa"/>
            <w:noWrap w:val="0"/>
            <w:vAlign w:val="center"/>
          </w:tcPr>
          <w:p w14:paraId="635B77EC">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荥阳市内</w:t>
            </w:r>
          </w:p>
        </w:tc>
      </w:tr>
      <w:tr w14:paraId="76B8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531D425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874" w:type="dxa"/>
            <w:noWrap w:val="0"/>
            <w:vAlign w:val="center"/>
          </w:tcPr>
          <w:p w14:paraId="4E23312D">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5878" w:type="dxa"/>
            <w:noWrap w:val="0"/>
            <w:vAlign w:val="center"/>
          </w:tcPr>
          <w:p w14:paraId="54CF2222">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财政</w:t>
            </w:r>
            <w:r>
              <w:rPr>
                <w:rFonts w:hint="eastAsia" w:ascii="宋体" w:hAnsi="宋体" w:eastAsia="宋体" w:cs="宋体"/>
                <w:color w:val="auto"/>
                <w:sz w:val="21"/>
                <w:szCs w:val="21"/>
                <w:highlight w:val="none"/>
              </w:rPr>
              <w:t>资金</w:t>
            </w:r>
          </w:p>
        </w:tc>
      </w:tr>
      <w:tr w14:paraId="7C04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20E7629A">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w:t>
            </w:r>
          </w:p>
        </w:tc>
        <w:tc>
          <w:tcPr>
            <w:tcW w:w="1874" w:type="dxa"/>
            <w:noWrap w:val="0"/>
            <w:vAlign w:val="center"/>
          </w:tcPr>
          <w:p w14:paraId="5E024B26">
            <w:pPr>
              <w:pageBreakBefore w:val="0"/>
              <w:wordWrap/>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出资比例</w:t>
            </w:r>
            <w:r>
              <w:rPr>
                <w:rFonts w:hint="eastAsia" w:hAnsi="宋体" w:cs="宋体"/>
                <w:color w:val="auto"/>
                <w:sz w:val="21"/>
                <w:szCs w:val="21"/>
                <w:highlight w:val="none"/>
                <w:lang w:val="en-US" w:eastAsia="zh-CN"/>
              </w:rPr>
              <w:t>及资金落实情况</w:t>
            </w:r>
          </w:p>
        </w:tc>
        <w:tc>
          <w:tcPr>
            <w:tcW w:w="5878" w:type="dxa"/>
            <w:noWrap w:val="0"/>
            <w:vAlign w:val="center"/>
          </w:tcPr>
          <w:p w14:paraId="69EB6BB3">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已落实</w:t>
            </w:r>
          </w:p>
        </w:tc>
      </w:tr>
      <w:tr w14:paraId="2864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7" w:type="dxa"/>
            <w:noWrap w:val="0"/>
            <w:vAlign w:val="center"/>
          </w:tcPr>
          <w:p w14:paraId="108C1EB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874" w:type="dxa"/>
            <w:noWrap w:val="0"/>
            <w:vAlign w:val="center"/>
          </w:tcPr>
          <w:p w14:paraId="5D722DBF">
            <w:pPr>
              <w:pageBreakBefore w:val="0"/>
              <w:wordWrap/>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采购类别</w:t>
            </w:r>
          </w:p>
        </w:tc>
        <w:tc>
          <w:tcPr>
            <w:tcW w:w="5878" w:type="dxa"/>
            <w:noWrap w:val="0"/>
            <w:vAlign w:val="center"/>
          </w:tcPr>
          <w:p w14:paraId="165EDD24">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服务</w:t>
            </w:r>
          </w:p>
        </w:tc>
      </w:tr>
      <w:tr w14:paraId="590E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87" w:type="dxa"/>
            <w:noWrap w:val="0"/>
            <w:vAlign w:val="center"/>
          </w:tcPr>
          <w:p w14:paraId="15CE10B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74" w:type="dxa"/>
            <w:noWrap w:val="0"/>
            <w:vAlign w:val="center"/>
          </w:tcPr>
          <w:p w14:paraId="12FB9588">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采购范围</w:t>
            </w:r>
          </w:p>
        </w:tc>
        <w:tc>
          <w:tcPr>
            <w:tcW w:w="5878" w:type="dxa"/>
            <w:noWrap w:val="0"/>
            <w:vAlign w:val="center"/>
          </w:tcPr>
          <w:p w14:paraId="4072C9D4">
            <w:pPr>
              <w:pageBreakBefore w:val="0"/>
              <w:wordWrap/>
              <w:topLinePunct w:val="0"/>
              <w:bidi w:val="0"/>
              <w:spacing w:line="360" w:lineRule="auto"/>
              <w:ind w:firstLine="0" w:firstLineChars="0"/>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本项目根据2024年度国土绿化建设工作安排，拟对荥阳市环翠峪森林公园范围内进行抚育，抚育面积约3000亩。</w:t>
            </w:r>
          </w:p>
        </w:tc>
      </w:tr>
      <w:tr w14:paraId="318C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6D143E92">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874" w:type="dxa"/>
            <w:noWrap w:val="0"/>
            <w:vAlign w:val="center"/>
          </w:tcPr>
          <w:p w14:paraId="31D264AE">
            <w:pPr>
              <w:pageBreakBefore w:val="0"/>
              <w:wordWrap/>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服务期限</w:t>
            </w:r>
          </w:p>
        </w:tc>
        <w:tc>
          <w:tcPr>
            <w:tcW w:w="5878" w:type="dxa"/>
            <w:noWrap w:val="0"/>
            <w:vAlign w:val="center"/>
          </w:tcPr>
          <w:p w14:paraId="1B189168">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日历天</w:t>
            </w:r>
          </w:p>
        </w:tc>
      </w:tr>
      <w:tr w14:paraId="15E4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1E53CD7D">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3</w:t>
            </w:r>
          </w:p>
        </w:tc>
        <w:tc>
          <w:tcPr>
            <w:tcW w:w="1874" w:type="dxa"/>
            <w:noWrap w:val="0"/>
            <w:vAlign w:val="center"/>
          </w:tcPr>
          <w:p w14:paraId="1CB1023F">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878" w:type="dxa"/>
            <w:noWrap w:val="0"/>
            <w:vAlign w:val="center"/>
          </w:tcPr>
          <w:p w14:paraId="1F0A7B88">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合格，符合国家、行业及地区现行相关规范和标准</w:t>
            </w:r>
            <w:r>
              <w:rPr>
                <w:rFonts w:hint="eastAsia" w:hAnsi="宋体" w:cs="宋体"/>
                <w:color w:val="auto"/>
                <w:sz w:val="21"/>
                <w:szCs w:val="21"/>
                <w:highlight w:val="none"/>
                <w:lang w:val="en-US" w:eastAsia="zh-CN"/>
              </w:rPr>
              <w:t>。</w:t>
            </w:r>
          </w:p>
        </w:tc>
      </w:tr>
      <w:tr w14:paraId="64EA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7" w:type="dxa"/>
            <w:noWrap w:val="0"/>
            <w:vAlign w:val="center"/>
          </w:tcPr>
          <w:p w14:paraId="65981572">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874" w:type="dxa"/>
            <w:noWrap w:val="0"/>
            <w:vAlign w:val="center"/>
          </w:tcPr>
          <w:p w14:paraId="5BB02A3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w:t>
            </w:r>
          </w:p>
        </w:tc>
        <w:tc>
          <w:tcPr>
            <w:tcW w:w="5878" w:type="dxa"/>
            <w:noWrap w:val="0"/>
            <w:vAlign w:val="center"/>
          </w:tcPr>
          <w:p w14:paraId="579A5746">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1.满足《中华人民共和国政府采购法》第二十二条规定； </w:t>
            </w:r>
          </w:p>
          <w:p w14:paraId="48D54973">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2.落实政府采购政策满足的资格要求： </w:t>
            </w:r>
          </w:p>
          <w:p w14:paraId="13A4DD07">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本项目执行促进中小型企业发展政策（监狱企业、残疾人福利性企业视同小微企业）、强制采购节能产品、优先采购节能环保产品等政府采购政策。 </w:t>
            </w:r>
          </w:p>
          <w:p w14:paraId="11D2EDFE">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3.本项目的特定资格要求 </w:t>
            </w:r>
          </w:p>
          <w:p w14:paraId="60A8F2E2">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3.1.供应商须具有有效的营业执照；</w:t>
            </w:r>
          </w:p>
          <w:p w14:paraId="12968036">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注：采购代理机构可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p>
          <w:p w14:paraId="4B751FD1">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3.3.单位负责人为同一人或存在直接控股、管理关系的不同供应商，不得参加同一合同项下的政府采购活动；需提供“国家企业信用信息公示系统”中公示的公司信息、股东（或投资人）信息的网页截图（或提供单位负责人与其他供应商不为同一人或者存在直接控股、管理关系的承诺书）；</w:t>
            </w:r>
          </w:p>
          <w:p w14:paraId="633774FC">
            <w:pPr>
              <w:pStyle w:val="18"/>
              <w:keepNext w:val="0"/>
              <w:keepLines w:val="0"/>
              <w:pageBreakBefore w:val="0"/>
              <w:numPr>
                <w:ilvl w:val="0"/>
                <w:numId w:val="0"/>
              </w:numPr>
              <w:wordWrap/>
              <w:topLinePunct w:val="0"/>
              <w:bidi w:val="0"/>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3.4.本次磋商为资格后审且不允许转包。</w:t>
            </w:r>
          </w:p>
        </w:tc>
      </w:tr>
      <w:tr w14:paraId="5D57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5485332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874" w:type="dxa"/>
            <w:noWrap w:val="0"/>
            <w:vAlign w:val="center"/>
          </w:tcPr>
          <w:p w14:paraId="3895A71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w:t>
            </w:r>
          </w:p>
        </w:tc>
        <w:tc>
          <w:tcPr>
            <w:tcW w:w="5878" w:type="dxa"/>
            <w:noWrap w:val="0"/>
            <w:vAlign w:val="center"/>
          </w:tcPr>
          <w:p w14:paraId="07DC700A">
            <w:pPr>
              <w:pageBreakBefore w:val="0"/>
              <w:wordWrap/>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5097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46138A2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874" w:type="dxa"/>
            <w:noWrap w:val="0"/>
            <w:vAlign w:val="center"/>
          </w:tcPr>
          <w:p w14:paraId="1AB5B9A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5878" w:type="dxa"/>
            <w:noWrap w:val="0"/>
            <w:vAlign w:val="center"/>
          </w:tcPr>
          <w:p w14:paraId="72C75603">
            <w:pPr>
              <w:pageBreakBefore w:val="0"/>
              <w:wordWrap/>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不组织，自行踏勘</w:t>
            </w:r>
          </w:p>
        </w:tc>
      </w:tr>
      <w:tr w14:paraId="6B7F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87" w:type="dxa"/>
            <w:noWrap w:val="0"/>
            <w:vAlign w:val="center"/>
          </w:tcPr>
          <w:p w14:paraId="37D9866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874" w:type="dxa"/>
            <w:noWrap w:val="0"/>
            <w:vAlign w:val="center"/>
          </w:tcPr>
          <w:p w14:paraId="0C914519">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预备会</w:t>
            </w:r>
          </w:p>
        </w:tc>
        <w:tc>
          <w:tcPr>
            <w:tcW w:w="5878" w:type="dxa"/>
            <w:noWrap w:val="0"/>
            <w:vAlign w:val="center"/>
          </w:tcPr>
          <w:p w14:paraId="5B936A60">
            <w:pPr>
              <w:pageBreakBefore w:val="0"/>
              <w:wordWrap/>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如有需要，另行通知</w:t>
            </w:r>
          </w:p>
        </w:tc>
      </w:tr>
      <w:tr w14:paraId="55E8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3C288ED3">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1.10.2</w:t>
            </w:r>
          </w:p>
        </w:tc>
        <w:tc>
          <w:tcPr>
            <w:tcW w:w="1874" w:type="dxa"/>
            <w:noWrap w:val="0"/>
            <w:vAlign w:val="center"/>
          </w:tcPr>
          <w:p w14:paraId="3D26EDE6">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提出问题的截止时间</w:t>
            </w:r>
          </w:p>
        </w:tc>
        <w:tc>
          <w:tcPr>
            <w:tcW w:w="5878" w:type="dxa"/>
            <w:noWrap w:val="0"/>
            <w:vAlign w:val="center"/>
          </w:tcPr>
          <w:p w14:paraId="33C8BFC8">
            <w:pPr>
              <w:pageBreakBefore w:val="0"/>
              <w:wordWrap/>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文件递交截止日期</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日前</w:t>
            </w:r>
          </w:p>
        </w:tc>
      </w:tr>
      <w:tr w14:paraId="2D99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87" w:type="dxa"/>
            <w:noWrap w:val="0"/>
            <w:vAlign w:val="center"/>
          </w:tcPr>
          <w:p w14:paraId="171A0CF0">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1.10.3</w:t>
            </w:r>
          </w:p>
        </w:tc>
        <w:tc>
          <w:tcPr>
            <w:tcW w:w="1874" w:type="dxa"/>
            <w:noWrap w:val="0"/>
            <w:vAlign w:val="center"/>
          </w:tcPr>
          <w:p w14:paraId="4BEA0FC2">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书面澄清的时间</w:t>
            </w:r>
          </w:p>
        </w:tc>
        <w:tc>
          <w:tcPr>
            <w:tcW w:w="5878" w:type="dxa"/>
            <w:noWrap w:val="0"/>
            <w:vAlign w:val="center"/>
          </w:tcPr>
          <w:p w14:paraId="27F1FA4A">
            <w:pPr>
              <w:pageBreakBefore w:val="0"/>
              <w:wordWrap/>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文件递交截止日期</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日前</w:t>
            </w:r>
          </w:p>
        </w:tc>
      </w:tr>
      <w:tr w14:paraId="21EF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87" w:type="dxa"/>
            <w:noWrap w:val="0"/>
            <w:vAlign w:val="center"/>
          </w:tcPr>
          <w:p w14:paraId="55529AF5">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874" w:type="dxa"/>
            <w:noWrap w:val="0"/>
            <w:vAlign w:val="center"/>
          </w:tcPr>
          <w:p w14:paraId="65DFD16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5878" w:type="dxa"/>
            <w:noWrap w:val="0"/>
            <w:vAlign w:val="center"/>
          </w:tcPr>
          <w:p w14:paraId="6D4761AD">
            <w:pPr>
              <w:pageBreakBefore w:val="0"/>
              <w:wordWrap/>
              <w:topLinePunct w:val="0"/>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0D3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87" w:type="dxa"/>
            <w:noWrap w:val="0"/>
            <w:vAlign w:val="center"/>
          </w:tcPr>
          <w:p w14:paraId="68DD88BE">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4" w:type="dxa"/>
            <w:noWrap w:val="0"/>
            <w:vAlign w:val="center"/>
          </w:tcPr>
          <w:p w14:paraId="3429C00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5878" w:type="dxa"/>
            <w:noWrap w:val="0"/>
            <w:vAlign w:val="center"/>
          </w:tcPr>
          <w:p w14:paraId="00E86E4E">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w:t>
            </w:r>
          </w:p>
        </w:tc>
      </w:tr>
      <w:tr w14:paraId="5639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87" w:type="dxa"/>
            <w:noWrap w:val="0"/>
            <w:vAlign w:val="center"/>
          </w:tcPr>
          <w:p w14:paraId="59100B3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74" w:type="dxa"/>
            <w:noWrap w:val="0"/>
            <w:vAlign w:val="center"/>
          </w:tcPr>
          <w:p w14:paraId="004896F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文件的其他材料</w:t>
            </w:r>
          </w:p>
        </w:tc>
        <w:tc>
          <w:tcPr>
            <w:tcW w:w="5878" w:type="dxa"/>
            <w:noWrap w:val="0"/>
            <w:vAlign w:val="center"/>
          </w:tcPr>
          <w:p w14:paraId="7498563E">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7B01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0708A36D">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874" w:type="dxa"/>
            <w:noWrap w:val="0"/>
            <w:vAlign w:val="center"/>
          </w:tcPr>
          <w:p w14:paraId="45F414F3">
            <w:pPr>
              <w:pageBreakBefore w:val="0"/>
              <w:wordWrap/>
              <w:topLinePunct w:val="0"/>
              <w:bidi w:val="0"/>
              <w:spacing w:line="360" w:lineRule="auto"/>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lang w:eastAsia="zh-CN"/>
              </w:rPr>
              <w:t>响应</w:t>
            </w:r>
            <w:r>
              <w:rPr>
                <w:rFonts w:hint="eastAsia" w:ascii="宋体" w:hAnsi="宋体" w:eastAsia="宋体" w:cs="宋体"/>
                <w:b/>
                <w:color w:val="auto"/>
                <w:sz w:val="21"/>
                <w:szCs w:val="21"/>
                <w:highlight w:val="none"/>
                <w:u w:val="none"/>
              </w:rPr>
              <w:t>截止时间</w:t>
            </w:r>
          </w:p>
        </w:tc>
        <w:tc>
          <w:tcPr>
            <w:tcW w:w="5878" w:type="dxa"/>
            <w:noWrap w:val="0"/>
            <w:vAlign w:val="center"/>
          </w:tcPr>
          <w:p w14:paraId="13355F27">
            <w:pPr>
              <w:pageBreakBefore w:val="0"/>
              <w:wordWrap/>
              <w:topLinePunct w:val="0"/>
              <w:bidi w:val="0"/>
              <w:spacing w:line="360" w:lineRule="auto"/>
              <w:jc w:val="left"/>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20</w:t>
            </w:r>
            <w:r>
              <w:rPr>
                <w:rFonts w:hint="eastAsia" w:ascii="宋体" w:hAnsi="宋体" w:eastAsia="宋体" w:cs="宋体"/>
                <w:b/>
                <w:color w:val="auto"/>
                <w:sz w:val="21"/>
                <w:szCs w:val="21"/>
                <w:highlight w:val="none"/>
                <w:u w:val="none"/>
                <w:lang w:val="en-US" w:eastAsia="zh-CN"/>
              </w:rPr>
              <w:t>2</w:t>
            </w:r>
            <w:r>
              <w:rPr>
                <w:rFonts w:hint="eastAsia" w:hAnsi="宋体" w:cs="宋体"/>
                <w:b/>
                <w:color w:val="auto"/>
                <w:sz w:val="21"/>
                <w:szCs w:val="21"/>
                <w:highlight w:val="none"/>
                <w:u w:val="none"/>
                <w:lang w:val="en-US" w:eastAsia="zh-CN"/>
              </w:rPr>
              <w:t>5</w:t>
            </w:r>
            <w:r>
              <w:rPr>
                <w:rFonts w:hint="eastAsia" w:ascii="宋体" w:hAnsi="宋体" w:eastAsia="宋体" w:cs="宋体"/>
                <w:b/>
                <w:color w:val="auto"/>
                <w:sz w:val="21"/>
                <w:szCs w:val="21"/>
                <w:highlight w:val="none"/>
                <w:u w:val="none"/>
              </w:rPr>
              <w:t>年</w:t>
            </w:r>
            <w:r>
              <w:rPr>
                <w:rFonts w:hint="eastAsia" w:hAnsi="宋体" w:cs="宋体"/>
                <w:b/>
                <w:color w:val="auto"/>
                <w:sz w:val="21"/>
                <w:szCs w:val="21"/>
                <w:highlight w:val="none"/>
                <w:u w:val="none"/>
                <w:lang w:val="en-US" w:eastAsia="zh-CN"/>
              </w:rPr>
              <w:t>04</w:t>
            </w:r>
            <w:r>
              <w:rPr>
                <w:rFonts w:hint="eastAsia" w:ascii="宋体" w:hAnsi="宋体" w:eastAsia="宋体" w:cs="宋体"/>
                <w:b/>
                <w:color w:val="auto"/>
                <w:sz w:val="21"/>
                <w:szCs w:val="21"/>
                <w:highlight w:val="none"/>
                <w:u w:val="none"/>
              </w:rPr>
              <w:t>月</w:t>
            </w:r>
            <w:r>
              <w:rPr>
                <w:rFonts w:hint="eastAsia" w:hAnsi="宋体" w:cs="宋体"/>
                <w:b/>
                <w:color w:val="auto"/>
                <w:sz w:val="21"/>
                <w:szCs w:val="21"/>
                <w:highlight w:val="none"/>
                <w:u w:val="none"/>
                <w:lang w:val="en-US" w:eastAsia="zh-CN"/>
              </w:rPr>
              <w:t>16</w:t>
            </w:r>
            <w:r>
              <w:rPr>
                <w:rFonts w:hint="eastAsia" w:ascii="宋体" w:hAnsi="宋体" w:eastAsia="宋体" w:cs="宋体"/>
                <w:b/>
                <w:color w:val="auto"/>
                <w:sz w:val="21"/>
                <w:szCs w:val="21"/>
                <w:highlight w:val="none"/>
                <w:u w:val="none"/>
              </w:rPr>
              <w:t>日上午</w:t>
            </w:r>
            <w:r>
              <w:rPr>
                <w:rFonts w:hint="eastAsia" w:ascii="宋体" w:hAnsi="宋体" w:eastAsia="宋体" w:cs="宋体"/>
                <w:b/>
                <w:color w:val="auto"/>
                <w:sz w:val="21"/>
                <w:szCs w:val="21"/>
                <w:highlight w:val="none"/>
                <w:u w:val="none"/>
                <w:lang w:val="en-US" w:eastAsia="zh-CN"/>
              </w:rPr>
              <w:t>09</w:t>
            </w:r>
            <w:r>
              <w:rPr>
                <w:rFonts w:hint="eastAsia" w:ascii="宋体" w:hAnsi="宋体" w:eastAsia="宋体" w:cs="宋体"/>
                <w:b/>
                <w:color w:val="auto"/>
                <w:sz w:val="21"/>
                <w:szCs w:val="21"/>
                <w:highlight w:val="none"/>
                <w:u w:val="none"/>
              </w:rPr>
              <w:t>时00分</w:t>
            </w:r>
          </w:p>
        </w:tc>
      </w:tr>
      <w:tr w14:paraId="3A51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17BDBD6C">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2.2.3</w:t>
            </w:r>
          </w:p>
        </w:tc>
        <w:tc>
          <w:tcPr>
            <w:tcW w:w="1874" w:type="dxa"/>
            <w:noWrap w:val="0"/>
            <w:vAlign w:val="center"/>
          </w:tcPr>
          <w:p w14:paraId="19D0F562">
            <w:pPr>
              <w:spacing w:line="280" w:lineRule="exact"/>
              <w:jc w:val="center"/>
              <w:rPr>
                <w:rFonts w:hint="eastAsia" w:ascii="宋体" w:hAnsi="宋体" w:eastAsia="宋体" w:cs="宋体"/>
                <w:b/>
                <w:color w:val="auto"/>
                <w:sz w:val="21"/>
                <w:szCs w:val="21"/>
                <w:highlight w:val="none"/>
                <w:u w:val="none"/>
                <w:lang w:eastAsia="zh-CN"/>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确认收到</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文件澄清的时间</w:t>
            </w:r>
          </w:p>
        </w:tc>
        <w:tc>
          <w:tcPr>
            <w:tcW w:w="5878" w:type="dxa"/>
            <w:noWrap w:val="0"/>
            <w:vAlign w:val="center"/>
          </w:tcPr>
          <w:p w14:paraId="7843BFCC">
            <w:pPr>
              <w:widowControl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在收到相应澄清文件后</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小时内</w:t>
            </w:r>
          </w:p>
          <w:p w14:paraId="213E93E7">
            <w:pPr>
              <w:widowControl w:val="0"/>
              <w:spacing w:line="360" w:lineRule="auto"/>
              <w:jc w:val="both"/>
              <w:rPr>
                <w:rFonts w:hint="eastAsia" w:ascii="宋体" w:hAnsi="宋体" w:eastAsia="宋体" w:cs="宋体"/>
                <w:b/>
                <w:color w:val="auto"/>
                <w:sz w:val="21"/>
                <w:szCs w:val="21"/>
                <w:highlight w:val="none"/>
                <w:u w:val="non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文件澄清在交易中心网站一经发出即视为</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已确认收到，请保持关注</w:t>
            </w:r>
          </w:p>
        </w:tc>
      </w:tr>
      <w:tr w14:paraId="532B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69658A8A">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2.3.2</w:t>
            </w:r>
          </w:p>
        </w:tc>
        <w:tc>
          <w:tcPr>
            <w:tcW w:w="1874" w:type="dxa"/>
            <w:noWrap w:val="0"/>
            <w:vAlign w:val="center"/>
          </w:tcPr>
          <w:p w14:paraId="5AB2FEA3">
            <w:pPr>
              <w:spacing w:line="280" w:lineRule="exact"/>
              <w:jc w:val="center"/>
              <w:rPr>
                <w:rFonts w:hint="eastAsia" w:ascii="宋体" w:hAnsi="宋体" w:eastAsia="宋体" w:cs="宋体"/>
                <w:b/>
                <w:color w:val="auto"/>
                <w:sz w:val="21"/>
                <w:szCs w:val="21"/>
                <w:highlight w:val="none"/>
                <w:u w:val="none"/>
                <w:lang w:eastAsia="zh-CN"/>
              </w:rPr>
            </w:pP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确认收到</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文件修改的时间</w:t>
            </w:r>
          </w:p>
        </w:tc>
        <w:tc>
          <w:tcPr>
            <w:tcW w:w="5878" w:type="dxa"/>
            <w:noWrap w:val="0"/>
            <w:vAlign w:val="center"/>
          </w:tcPr>
          <w:p w14:paraId="50CDBE0E">
            <w:pPr>
              <w:widowControl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在收到相应修改文件后</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小时内</w:t>
            </w:r>
          </w:p>
          <w:p w14:paraId="40DE6F54">
            <w:pPr>
              <w:widowControl w:val="0"/>
              <w:spacing w:line="360" w:lineRule="auto"/>
              <w:jc w:val="both"/>
              <w:rPr>
                <w:rFonts w:hint="eastAsia" w:ascii="宋体" w:hAnsi="宋体" w:eastAsia="宋体" w:cs="宋体"/>
                <w:b/>
                <w:color w:val="auto"/>
                <w:sz w:val="21"/>
                <w:szCs w:val="21"/>
                <w:highlight w:val="none"/>
                <w:u w:val="non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文件澄清在交易中心网站一经发出即视为</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已确认收到，请保持关注</w:t>
            </w:r>
          </w:p>
        </w:tc>
      </w:tr>
      <w:tr w14:paraId="459A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2D26C727">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p>
        </w:tc>
        <w:tc>
          <w:tcPr>
            <w:tcW w:w="1874" w:type="dxa"/>
            <w:noWrap w:val="0"/>
            <w:vAlign w:val="center"/>
          </w:tcPr>
          <w:p w14:paraId="3C8B752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文件的其他材料</w:t>
            </w:r>
          </w:p>
        </w:tc>
        <w:tc>
          <w:tcPr>
            <w:tcW w:w="5878" w:type="dxa"/>
            <w:noWrap w:val="0"/>
            <w:vAlign w:val="center"/>
          </w:tcPr>
          <w:p w14:paraId="23A6A041">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r>
      <w:tr w14:paraId="3940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87" w:type="dxa"/>
            <w:noWrap w:val="0"/>
            <w:vAlign w:val="center"/>
          </w:tcPr>
          <w:p w14:paraId="04A51647">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4.1</w:t>
            </w:r>
          </w:p>
        </w:tc>
        <w:tc>
          <w:tcPr>
            <w:tcW w:w="1874" w:type="dxa"/>
            <w:noWrap w:val="0"/>
            <w:vAlign w:val="center"/>
          </w:tcPr>
          <w:p w14:paraId="0805A29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w:t>
            </w:r>
          </w:p>
        </w:tc>
        <w:tc>
          <w:tcPr>
            <w:tcW w:w="5878" w:type="dxa"/>
            <w:noWrap w:val="0"/>
            <w:vAlign w:val="center"/>
          </w:tcPr>
          <w:p w14:paraId="0177DE39">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val="en-US" w:eastAsia="zh-CN"/>
              </w:rPr>
              <w:t>60日历天</w:t>
            </w: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截止之日算起）</w:t>
            </w:r>
          </w:p>
        </w:tc>
      </w:tr>
      <w:tr w14:paraId="1D85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5B666A61">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874" w:type="dxa"/>
            <w:noWrap w:val="0"/>
            <w:vAlign w:val="center"/>
          </w:tcPr>
          <w:p w14:paraId="534D3C5D">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方案</w:t>
            </w:r>
          </w:p>
        </w:tc>
        <w:tc>
          <w:tcPr>
            <w:tcW w:w="5878" w:type="dxa"/>
            <w:noWrap w:val="0"/>
            <w:vAlign w:val="center"/>
          </w:tcPr>
          <w:p w14:paraId="3F3DE9DC">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B8C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6A0ACC04">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w:t>
            </w:r>
          </w:p>
        </w:tc>
        <w:tc>
          <w:tcPr>
            <w:tcW w:w="1874" w:type="dxa"/>
            <w:noWrap w:val="0"/>
            <w:vAlign w:val="center"/>
          </w:tcPr>
          <w:p w14:paraId="071BB957">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5878" w:type="dxa"/>
            <w:noWrap w:val="0"/>
            <w:vAlign w:val="center"/>
          </w:tcPr>
          <w:p w14:paraId="2F74337C">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电子响应文件签章要求</w:t>
            </w:r>
          </w:p>
          <w:p w14:paraId="7D6684F4">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（1）所有要求供应商加盖公章的地方都应用供应商单位的CA印章。</w:t>
            </w:r>
          </w:p>
          <w:p w14:paraId="04B00184">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（2）所有要求法定代表人签字的地方都应用法定代表人的CA印章。</w:t>
            </w:r>
          </w:p>
          <w:p w14:paraId="03F1A1CD">
            <w:pPr>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若有委托代理人的，且委托代理人没有CA锁，则响应文件需上传有手写签名的扫描件。</w:t>
            </w:r>
          </w:p>
        </w:tc>
      </w:tr>
      <w:tr w14:paraId="6B27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87" w:type="dxa"/>
            <w:noWrap w:val="0"/>
            <w:vAlign w:val="center"/>
          </w:tcPr>
          <w:p w14:paraId="09D0DB5E">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874" w:type="dxa"/>
            <w:noWrap w:val="0"/>
            <w:vAlign w:val="center"/>
          </w:tcPr>
          <w:p w14:paraId="5F49DA53">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文件地点</w:t>
            </w:r>
          </w:p>
        </w:tc>
        <w:tc>
          <w:tcPr>
            <w:tcW w:w="5878" w:type="dxa"/>
            <w:noWrap w:val="0"/>
            <w:vAlign w:val="center"/>
          </w:tcPr>
          <w:p w14:paraId="01698A5C">
            <w:pPr>
              <w:pageBreakBefore w:val="0"/>
              <w:widowControl/>
              <w:wordWrap/>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荥阳市公共资源交易平台</w:t>
            </w:r>
          </w:p>
        </w:tc>
      </w:tr>
      <w:tr w14:paraId="7D6F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87" w:type="dxa"/>
            <w:noWrap w:val="0"/>
            <w:vAlign w:val="center"/>
          </w:tcPr>
          <w:p w14:paraId="7319A0B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74" w:type="dxa"/>
            <w:noWrap w:val="0"/>
            <w:vAlign w:val="center"/>
          </w:tcPr>
          <w:p w14:paraId="4C84292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时间和地点</w:t>
            </w:r>
          </w:p>
        </w:tc>
        <w:tc>
          <w:tcPr>
            <w:tcW w:w="5878" w:type="dxa"/>
            <w:noWrap w:val="0"/>
            <w:vAlign w:val="center"/>
          </w:tcPr>
          <w:p w14:paraId="4AA4E0B4">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w:t>
            </w:r>
          </w:p>
          <w:p w14:paraId="058665A7">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地点: 荥阳市公共资源交易中心（荥阳市中原路与飞龙路西北角政务服务中心七楼）第</w:t>
            </w:r>
            <w:r>
              <w:rPr>
                <w:rFonts w:hint="eastAsia" w:hAnsi="宋体" w:cs="宋体"/>
                <w:color w:val="auto"/>
                <w:sz w:val="21"/>
                <w:szCs w:val="21"/>
                <w:highlight w:val="none"/>
                <w:lang w:val="en-US" w:eastAsia="zh-CN"/>
              </w:rPr>
              <w:t>二</w:t>
            </w:r>
            <w:r>
              <w:rPr>
                <w:rFonts w:hint="eastAsia" w:ascii="宋体" w:hAnsi="宋体" w:eastAsia="宋体" w:cs="宋体"/>
                <w:color w:val="auto"/>
                <w:sz w:val="21"/>
                <w:szCs w:val="21"/>
                <w:highlight w:val="none"/>
              </w:rPr>
              <w:t>开标室</w:t>
            </w:r>
          </w:p>
        </w:tc>
      </w:tr>
      <w:tr w14:paraId="7DBC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87" w:type="dxa"/>
            <w:noWrap w:val="0"/>
            <w:vAlign w:val="center"/>
          </w:tcPr>
          <w:p w14:paraId="014108B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w:t>
            </w:r>
          </w:p>
        </w:tc>
        <w:tc>
          <w:tcPr>
            <w:tcW w:w="1874" w:type="dxa"/>
            <w:noWrap w:val="0"/>
            <w:vAlign w:val="center"/>
          </w:tcPr>
          <w:p w14:paraId="6793122C">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w:t>
            </w:r>
          </w:p>
          <w:p w14:paraId="7364E144">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的组建</w:t>
            </w:r>
          </w:p>
        </w:tc>
        <w:tc>
          <w:tcPr>
            <w:tcW w:w="5878" w:type="dxa"/>
            <w:noWrap w:val="0"/>
            <w:vAlign w:val="center"/>
          </w:tcPr>
          <w:p w14:paraId="6BC8ACBA">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委员会构成</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人和专家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人组成；</w:t>
            </w:r>
          </w:p>
          <w:p w14:paraId="268C0331">
            <w:pPr>
              <w:pageBreakBefore w:val="0"/>
              <w:wordWrap/>
              <w:topLinePunct w:val="0"/>
              <w:bidi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专家确定方式：从相关专家库中随机抽取。</w:t>
            </w:r>
          </w:p>
        </w:tc>
      </w:tr>
      <w:tr w14:paraId="58B2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noWrap w:val="0"/>
            <w:vAlign w:val="center"/>
          </w:tcPr>
          <w:p w14:paraId="722940F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1874" w:type="dxa"/>
            <w:noWrap w:val="0"/>
            <w:vAlign w:val="center"/>
          </w:tcPr>
          <w:p w14:paraId="5D31B89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委员会确定中标人</w:t>
            </w:r>
          </w:p>
        </w:tc>
        <w:tc>
          <w:tcPr>
            <w:tcW w:w="5878" w:type="dxa"/>
            <w:noWrap w:val="0"/>
            <w:vAlign w:val="center"/>
          </w:tcPr>
          <w:p w14:paraId="38818502">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否，推荐的</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候选人数：3名</w:t>
            </w:r>
          </w:p>
        </w:tc>
      </w:tr>
      <w:tr w14:paraId="56A9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987" w:type="dxa"/>
            <w:vMerge w:val="restart"/>
            <w:noWrap w:val="0"/>
            <w:vAlign w:val="center"/>
          </w:tcPr>
          <w:p w14:paraId="1C6316F0">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1C12ECFF">
            <w:pPr>
              <w:pageBreakBefore w:val="0"/>
              <w:wordWrap/>
              <w:topLinePunct w:val="0"/>
              <w:bidi w:val="0"/>
              <w:spacing w:line="360" w:lineRule="auto"/>
              <w:jc w:val="center"/>
              <w:rPr>
                <w:rFonts w:hint="eastAsia" w:ascii="宋体" w:hAnsi="宋体" w:eastAsia="宋体" w:cs="宋体"/>
                <w:color w:val="auto"/>
                <w:sz w:val="21"/>
                <w:szCs w:val="21"/>
                <w:highlight w:val="none"/>
              </w:rPr>
            </w:pPr>
          </w:p>
          <w:p w14:paraId="31765F75">
            <w:pPr>
              <w:pageBreakBefore w:val="0"/>
              <w:wordWrap/>
              <w:topLinePunct w:val="0"/>
              <w:bidi w:val="0"/>
              <w:spacing w:line="360" w:lineRule="auto"/>
              <w:jc w:val="center"/>
              <w:rPr>
                <w:rFonts w:hint="eastAsia" w:ascii="宋体" w:hAnsi="宋体" w:eastAsia="宋体" w:cs="宋体"/>
                <w:color w:val="auto"/>
                <w:sz w:val="21"/>
                <w:szCs w:val="21"/>
                <w:highlight w:val="none"/>
              </w:rPr>
            </w:pPr>
          </w:p>
          <w:p w14:paraId="373A06E4">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344132E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人公告媒介</w:t>
            </w:r>
          </w:p>
        </w:tc>
        <w:tc>
          <w:tcPr>
            <w:tcW w:w="5878" w:type="dxa"/>
            <w:noWrap w:val="0"/>
            <w:vAlign w:val="center"/>
          </w:tcPr>
          <w:p w14:paraId="3C0BD15B">
            <w:pPr>
              <w:pageBreakBefore w:val="0"/>
              <w:wordWrap/>
              <w:topLinePunct w:val="0"/>
              <w:bidi w:val="0"/>
              <w:spacing w:line="36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《河南省政府采购网》《中国招标投标公共服务平台》《荥阳市政府采购网》《荥阳市公共资源交易中心网站》</w:t>
            </w:r>
          </w:p>
          <w:p w14:paraId="5669D8C2">
            <w:pPr>
              <w:pageBreakBefore w:val="0"/>
              <w:wordWrap/>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注：请</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关注网站发布的相关公告，如有变更或其他补充内容将在网站上予以公告。</w:t>
            </w:r>
          </w:p>
        </w:tc>
      </w:tr>
      <w:tr w14:paraId="1583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7" w:type="dxa"/>
            <w:vMerge w:val="continue"/>
            <w:noWrap w:val="0"/>
            <w:vAlign w:val="center"/>
          </w:tcPr>
          <w:p w14:paraId="31270791">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0966BE98">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w:t>
            </w:r>
          </w:p>
        </w:tc>
        <w:tc>
          <w:tcPr>
            <w:tcW w:w="5878" w:type="dxa"/>
            <w:noWrap w:val="0"/>
            <w:vAlign w:val="center"/>
          </w:tcPr>
          <w:p w14:paraId="31D96E13">
            <w:pPr>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本次招标代理服务费参考《河南省招标代理服务收费指导意见》【豫招协（2023）002号】</w:t>
            </w:r>
            <w:r>
              <w:rPr>
                <w:rFonts w:hint="eastAsia" w:hAnsi="宋体" w:cs="宋体"/>
                <w:color w:val="auto"/>
                <w:sz w:val="21"/>
                <w:szCs w:val="21"/>
                <w:highlight w:val="none"/>
                <w:lang w:val="en-US" w:eastAsia="zh-CN"/>
              </w:rPr>
              <w:t>的服务类型</w:t>
            </w:r>
            <w:r>
              <w:rPr>
                <w:rFonts w:hint="eastAsia" w:ascii="宋体" w:hAnsi="宋体" w:eastAsia="宋体" w:cs="宋体"/>
                <w:color w:val="auto"/>
                <w:sz w:val="21"/>
                <w:szCs w:val="21"/>
                <w:highlight w:val="none"/>
                <w:lang w:val="en-US" w:eastAsia="zh-CN"/>
              </w:rPr>
              <w:t>由</w:t>
            </w:r>
            <w:r>
              <w:rPr>
                <w:rFonts w:hint="eastAsia"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单位支付向代理机构缴纳</w:t>
            </w:r>
            <w:r>
              <w:rPr>
                <w:rFonts w:hint="eastAsia" w:ascii="宋体" w:hAnsi="宋体" w:eastAsia="宋体" w:cs="宋体"/>
                <w:color w:val="auto"/>
                <w:sz w:val="21"/>
                <w:szCs w:val="21"/>
                <w:highlight w:val="none"/>
              </w:rPr>
              <w:t>。</w:t>
            </w:r>
          </w:p>
        </w:tc>
      </w:tr>
      <w:tr w14:paraId="2606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vMerge w:val="continue"/>
            <w:noWrap w:val="0"/>
            <w:vAlign w:val="center"/>
          </w:tcPr>
          <w:p w14:paraId="4EBDA942">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6C83B6F0">
            <w:pPr>
              <w:pageBreakBefore w:val="0"/>
              <w:wordWrap/>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控制价</w:t>
            </w:r>
          </w:p>
        </w:tc>
        <w:tc>
          <w:tcPr>
            <w:tcW w:w="5878" w:type="dxa"/>
            <w:noWrap w:val="0"/>
            <w:vAlign w:val="center"/>
          </w:tcPr>
          <w:p w14:paraId="06E3C66D">
            <w:pPr>
              <w:pStyle w:val="18"/>
              <w:pageBreakBefore w:val="0"/>
              <w:wordWrap/>
              <w:topLinePunct w:val="0"/>
              <w:bidi w:val="0"/>
              <w:spacing w:before="0" w:beforeAutospacing="0" w:after="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本项目设控制价，控制价为</w:t>
            </w:r>
            <w:r>
              <w:rPr>
                <w:rFonts w:hint="eastAsia" w:cs="宋体"/>
                <w:color w:val="auto"/>
                <w:sz w:val="21"/>
                <w:szCs w:val="21"/>
                <w:highlight w:val="none"/>
                <w:lang w:val="en-US" w:eastAsia="zh-CN"/>
              </w:rPr>
              <w:t>：</w:t>
            </w:r>
          </w:p>
          <w:p w14:paraId="286B8B19">
            <w:pPr>
              <w:pStyle w:val="18"/>
              <w:pageBreakBefore w:val="0"/>
              <w:wordWrap/>
              <w:topLinePunct w:val="0"/>
              <w:bidi w:val="0"/>
              <w:spacing w:before="0" w:beforeAutospacing="0" w:after="0" w:afterAutospacing="0"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大写：人民币</w:t>
            </w:r>
            <w:r>
              <w:rPr>
                <w:rFonts w:hint="eastAsia" w:cs="宋体"/>
                <w:b/>
                <w:bCs/>
                <w:color w:val="auto"/>
                <w:sz w:val="21"/>
                <w:szCs w:val="21"/>
                <w:highlight w:val="none"/>
                <w:lang w:val="en-US" w:eastAsia="zh-CN"/>
              </w:rPr>
              <w:t>陆拾万元整</w:t>
            </w:r>
          </w:p>
          <w:p w14:paraId="5178440F">
            <w:pPr>
              <w:pStyle w:val="18"/>
              <w:pageBreakBefore w:val="0"/>
              <w:wordWrap/>
              <w:topLinePunct w:val="0"/>
              <w:bidi w:val="0"/>
              <w:spacing w:before="0" w:beforeAutospacing="0" w:after="0" w:afterAutospacing="0"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小写：¥</w:t>
            </w:r>
            <w:r>
              <w:rPr>
                <w:rFonts w:hint="eastAsia" w:cs="宋体"/>
                <w:b/>
                <w:bCs/>
                <w:color w:val="auto"/>
                <w:sz w:val="21"/>
                <w:szCs w:val="21"/>
                <w:highlight w:val="none"/>
                <w:lang w:val="en-US" w:eastAsia="zh-CN"/>
              </w:rPr>
              <w:t>600000</w:t>
            </w:r>
            <w:r>
              <w:rPr>
                <w:rFonts w:hint="eastAsia" w:ascii="宋体" w:hAnsi="宋体" w:eastAsia="宋体" w:cs="宋体"/>
                <w:b/>
                <w:bCs/>
                <w:color w:val="auto"/>
                <w:sz w:val="21"/>
                <w:szCs w:val="21"/>
                <w:highlight w:val="none"/>
                <w:lang w:val="en-US" w:eastAsia="zh-CN"/>
              </w:rPr>
              <w:t>.00元</w:t>
            </w:r>
          </w:p>
          <w:p w14:paraId="035A28E4">
            <w:pPr>
              <w:pStyle w:val="18"/>
              <w:pageBreakBefore w:val="0"/>
              <w:wordWrap/>
              <w:topLinePunct w:val="0"/>
              <w:bidi w:val="0"/>
              <w:spacing w:before="0" w:beforeAutospacing="0" w:after="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凡供应商的投标价格超出“控制价”（不含等于“控制价”）的，该供应商的响应文件将不予进行后续评审，否决其投标。</w:t>
            </w:r>
          </w:p>
        </w:tc>
      </w:tr>
      <w:tr w14:paraId="7253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87" w:type="dxa"/>
            <w:vMerge w:val="continue"/>
            <w:noWrap w:val="0"/>
            <w:vAlign w:val="center"/>
          </w:tcPr>
          <w:p w14:paraId="489BAE4D">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1874" w:type="dxa"/>
            <w:noWrap w:val="0"/>
            <w:vAlign w:val="center"/>
          </w:tcPr>
          <w:p w14:paraId="5CADE58E">
            <w:pPr>
              <w:pageBreakBefore w:val="0"/>
              <w:wordWrap/>
              <w:topLinePunct w:val="0"/>
              <w:bidi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付款方式</w:t>
            </w:r>
          </w:p>
        </w:tc>
        <w:tc>
          <w:tcPr>
            <w:tcW w:w="5878" w:type="dxa"/>
            <w:noWrap w:val="0"/>
            <w:vAlign w:val="center"/>
          </w:tcPr>
          <w:p w14:paraId="5BBCD107">
            <w:pPr>
              <w:pStyle w:val="18"/>
              <w:pageBreakBefore w:val="0"/>
              <w:wordWrap/>
              <w:topLinePunct w:val="0"/>
              <w:bidi w:val="0"/>
              <w:spacing w:before="0" w:beforeAutospacing="0" w:after="0" w:afterAutospacing="0" w:line="360" w:lineRule="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详见“第四章 合同条款及格式”。</w:t>
            </w:r>
          </w:p>
        </w:tc>
      </w:tr>
      <w:tr w14:paraId="4DE7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87" w:type="dxa"/>
            <w:vMerge w:val="continue"/>
            <w:noWrap w:val="0"/>
            <w:vAlign w:val="center"/>
          </w:tcPr>
          <w:p w14:paraId="32EF3E90">
            <w:pPr>
              <w:pageBreakBefore w:val="0"/>
              <w:wordWrap/>
              <w:topLinePunct w:val="0"/>
              <w:bidi w:val="0"/>
              <w:spacing w:line="360" w:lineRule="auto"/>
              <w:jc w:val="center"/>
              <w:rPr>
                <w:rFonts w:hint="eastAsia" w:ascii="宋体" w:hAnsi="宋体" w:eastAsia="宋体" w:cs="宋体"/>
                <w:color w:val="auto"/>
                <w:sz w:val="21"/>
                <w:szCs w:val="21"/>
                <w:highlight w:val="none"/>
              </w:rPr>
            </w:pPr>
          </w:p>
        </w:tc>
        <w:tc>
          <w:tcPr>
            <w:tcW w:w="7752" w:type="dxa"/>
            <w:gridSpan w:val="2"/>
            <w:noWrap w:val="0"/>
            <w:vAlign w:val="top"/>
          </w:tcPr>
          <w:p w14:paraId="31070C46">
            <w:pPr>
              <w:pageBreakBefore w:val="0"/>
              <w:wordWrap/>
              <w:topLinePunct w:val="0"/>
              <w:autoSpaceDE w:val="0"/>
              <w:autoSpaceDN w:val="0"/>
              <w:bidi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文件根椐国家有关规定，解释权属</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w:t>
            </w:r>
          </w:p>
          <w:p w14:paraId="621EA005">
            <w:pPr>
              <w:pageBreakBefore w:val="0"/>
              <w:wordWrap/>
              <w:topLinePunct w:val="0"/>
              <w:autoSpaceDE w:val="0"/>
              <w:autoSpaceDN w:val="0"/>
              <w:bidi w:val="0"/>
              <w:adjustRightIn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r>
              <w:rPr>
                <w:rFonts w:hint="eastAsia" w:ascii="宋体" w:hAnsi="宋体" w:eastAsia="宋体" w:cs="宋体"/>
                <w:b/>
                <w:bCs/>
                <w:color w:val="auto"/>
                <w:sz w:val="21"/>
                <w:szCs w:val="21"/>
                <w:highlight w:val="none"/>
                <w:lang w:eastAsia="zh-CN"/>
              </w:rPr>
              <w:t>开标会议结束之后，请各供应商保持在线状态，及时提交线上二次报价。</w:t>
            </w:r>
          </w:p>
        </w:tc>
      </w:tr>
      <w:tr w14:paraId="566D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87" w:type="dxa"/>
            <w:noWrap w:val="0"/>
            <w:vAlign w:val="center"/>
          </w:tcPr>
          <w:p w14:paraId="422AA989">
            <w:pPr>
              <w:pageBreakBefore w:val="0"/>
              <w:wordWrap/>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9.1</w:t>
            </w:r>
          </w:p>
        </w:tc>
        <w:tc>
          <w:tcPr>
            <w:tcW w:w="7752" w:type="dxa"/>
            <w:gridSpan w:val="2"/>
            <w:noWrap w:val="0"/>
            <w:vAlign w:val="center"/>
          </w:tcPr>
          <w:p w14:paraId="6E1A174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本项目采用“远程不见面”开标方式,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无需到开标现场，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不再提供资质原件及纸质</w:t>
            </w:r>
            <w:r>
              <w:rPr>
                <w:rFonts w:hint="eastAsia" w:ascii="宋体" w:hAnsi="宋体" w:eastAsia="宋体" w:cs="宋体"/>
                <w:color w:val="auto"/>
                <w:sz w:val="21"/>
                <w:szCs w:val="21"/>
                <w:highlight w:val="none"/>
                <w:lang w:eastAsia="zh-CN"/>
              </w:rPr>
              <w:t>供应商响应</w:t>
            </w:r>
            <w:r>
              <w:rPr>
                <w:rFonts w:hint="eastAsia" w:ascii="宋体" w:hAnsi="宋体" w:eastAsia="宋体" w:cs="宋体"/>
                <w:color w:val="auto"/>
                <w:sz w:val="21"/>
                <w:szCs w:val="21"/>
                <w:highlight w:val="none"/>
              </w:rPr>
              <w:t>文件，以电子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活动全部采用电子评审系统评审电子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登录“荥阳市公共资源交易中心不见面开标大厅”，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应当在</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确定的投标截止时间前,登录开标大厅,在线准时参加开标活动并进行文件解密、答疑澄清等。具体操作手册详见“荥阳市公共资源交易中心网站-办事指南-荥阳市公共资源交易中心不见面开标大厅操作手册（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7E3F2B6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不再提供</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电子版（不加密）。</w:t>
            </w:r>
          </w:p>
          <w:p w14:paraId="7B2BBCFA">
            <w:pPr>
              <w:pageBreakBefore w:val="0"/>
              <w:wordWrap/>
              <w:topLinePunct w:val="0"/>
              <w:bidi w:val="0"/>
              <w:spacing w:line="360" w:lineRule="auto"/>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p w14:paraId="093DF17A">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应认真学习“荥阳市公共资源交易中心网站-办事指南-荥阳市公共资源交易中心不见面开标大厅操作手册（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）”，根据手册要求做好不见面开标的准备工作。</w:t>
            </w:r>
          </w:p>
          <w:p w14:paraId="38E900B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务必按照“荥阳市公共资源交易中心不见面开标大厅操作手册（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）”的要求设置参与不见面开标的电脑环境，否则由此可能引起的签到失败、解密失败或无法解密等问题由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14:paraId="1F37F7E9">
            <w:pPr>
              <w:pageBreakBefore w:val="0"/>
              <w:widowControl/>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应提前30分钟，登录“荥阳市公共资源交易中心不见面开标大厅”进行不见面开标准备工作。</w:t>
            </w:r>
          </w:p>
          <w:p w14:paraId="50B38E7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登录“荥阳市公共资源交易中心不见面开标大厅”后，须先进行签到，其后应一直保持在线状态，保证能准时参加开标大会、</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的解密、现场答疑澄清等活动。</w:t>
            </w:r>
          </w:p>
          <w:p w14:paraId="59FFCBF2">
            <w:pPr>
              <w:pageBreakBefore w:val="0"/>
              <w:wordWrap/>
              <w:topLinePunct w:val="0"/>
              <w:bidi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应在解密时间内插入CA锁，输入密码，进行解密，如在解密时间内解密失败，可再次解密，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应在规定时间内完成解密，否则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不予受理。</w:t>
            </w:r>
          </w:p>
        </w:tc>
      </w:tr>
      <w:tr w14:paraId="11FA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87" w:type="dxa"/>
            <w:noWrap w:val="0"/>
            <w:vAlign w:val="center"/>
          </w:tcPr>
          <w:p w14:paraId="17FADB68">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w:t>
            </w:r>
          </w:p>
          <w:p w14:paraId="776927DB">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p>
        </w:tc>
        <w:tc>
          <w:tcPr>
            <w:tcW w:w="7752" w:type="dxa"/>
            <w:gridSpan w:val="2"/>
            <w:noWrap w:val="0"/>
            <w:vAlign w:val="top"/>
          </w:tcPr>
          <w:p w14:paraId="14F1BD6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中小企业有关政策</w:t>
            </w:r>
            <w:r>
              <w:rPr>
                <w:rFonts w:hint="eastAsia" w:ascii="宋体" w:hAnsi="宋体" w:eastAsia="宋体" w:cs="宋体"/>
                <w:color w:val="auto"/>
                <w:sz w:val="21"/>
                <w:szCs w:val="21"/>
                <w:highlight w:val="none"/>
                <w:lang w:eastAsia="zh-CN"/>
              </w:rPr>
              <w:t>：</w:t>
            </w:r>
          </w:p>
          <w:p w14:paraId="014591B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根据财政部工业和信息化部《政府采购促进中小企业发展管理办法》（财库〔2020〕46 号）的规定，供应商须提供《中小企业声明函》，否则投标将不被接受。</w:t>
            </w:r>
          </w:p>
          <w:p w14:paraId="516FCB7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中小企业划型标准详见</w:t>
            </w:r>
            <w:r>
              <w:rPr>
                <w:rFonts w:hint="eastAsia" w:ascii="宋体" w:hAnsi="宋体" w:eastAsia="宋体" w:cs="宋体"/>
                <w:color w:val="auto"/>
                <w:sz w:val="21"/>
                <w:szCs w:val="21"/>
                <w:highlight w:val="none"/>
                <w:lang w:val="zh-CN"/>
              </w:rPr>
              <w:t>中小企业划型标准规定（工信部联企业[2011]300号）和国家统计局关于印发《统计上大中小微型企业划分办法（2017）》的通知。</w:t>
            </w:r>
          </w:p>
          <w:p w14:paraId="2F5EF22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2、根据财政部司法部《关于政府采购支持监狱企业发展有关问题的通知》（财库〔2014〕68号）规定，监狱企业视同小型、微型企业，享受政府采购促进中小企业发展的政府采购政策。 </w:t>
            </w:r>
          </w:p>
          <w:p w14:paraId="2B1D33A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3、根据财政部民政部中国残疾人联合会《关于促进残疾人就业政府采购政策的通知》（财库〔2017〕141 号）规定，残疾人福利性单位视同小型、微型企业，享受政府采购促进中小企业发展的政府采购政策。 </w:t>
            </w:r>
          </w:p>
          <w:p w14:paraId="6A2F92A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4、本项目所属行业：</w:t>
            </w:r>
            <w:r>
              <w:rPr>
                <w:rFonts w:hint="eastAsia" w:ascii="宋体" w:hAnsi="宋体" w:eastAsia="宋体" w:cs="宋体"/>
                <w:b/>
                <w:bCs/>
                <w:color w:val="auto"/>
                <w:sz w:val="21"/>
                <w:szCs w:val="21"/>
                <w:highlight w:val="none"/>
              </w:rPr>
              <w:t>农、林、牧、渔业。</w:t>
            </w:r>
          </w:p>
        </w:tc>
      </w:tr>
      <w:tr w14:paraId="7DD9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87" w:type="dxa"/>
            <w:noWrap w:val="0"/>
            <w:vAlign w:val="center"/>
          </w:tcPr>
          <w:p w14:paraId="57748EB0">
            <w:pPr>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9.3</w:t>
            </w:r>
          </w:p>
        </w:tc>
        <w:tc>
          <w:tcPr>
            <w:tcW w:w="7752" w:type="dxa"/>
            <w:gridSpan w:val="2"/>
            <w:noWrap w:val="0"/>
            <w:vAlign w:val="center"/>
          </w:tcPr>
          <w:p w14:paraId="137D71B9">
            <w:pPr>
              <w:pageBreakBefore w:val="0"/>
              <w:wordWrap/>
              <w:topLinePunct w:val="0"/>
              <w:bidi w:val="0"/>
              <w:spacing w:line="360" w:lineRule="auto"/>
              <w:ind w:firstLine="0" w:firstLineChars="0"/>
              <w:jc w:val="center"/>
              <w:rPr>
                <w:rFonts w:hint="eastAsia" w:ascii="宋体" w:hAnsi="宋体" w:eastAsia="宋体" w:cs="宋体"/>
                <w:b w:val="0"/>
                <w:bCs w:val="0"/>
                <w:color w:val="auto"/>
                <w:kern w:val="0"/>
                <w:sz w:val="21"/>
                <w:szCs w:val="21"/>
                <w:highlight w:val="none"/>
                <w:lang w:val="en-US" w:eastAsia="zh-CN" w:bidi="ar"/>
              </w:rPr>
            </w:pPr>
            <w:bookmarkStart w:id="47" w:name="_Toc27878"/>
            <w:bookmarkStart w:id="48" w:name="_Toc5219"/>
            <w:bookmarkStart w:id="49" w:name="_Toc21936"/>
            <w:bookmarkStart w:id="50" w:name="_Toc7779"/>
            <w:bookmarkStart w:id="51" w:name="_Toc12258"/>
            <w:r>
              <w:rPr>
                <w:rFonts w:hint="eastAsia" w:ascii="宋体" w:hAnsi="宋体" w:eastAsia="宋体" w:cs="宋体"/>
                <w:b w:val="0"/>
                <w:bCs w:val="0"/>
                <w:color w:val="auto"/>
                <w:kern w:val="0"/>
                <w:sz w:val="21"/>
                <w:szCs w:val="21"/>
                <w:highlight w:val="none"/>
                <w:lang w:val="en-US" w:eastAsia="zh-CN" w:bidi="ar"/>
              </w:rPr>
              <w:t>荥阳市政府采购合同融资政策告知函</w:t>
            </w:r>
            <w:bookmarkEnd w:id="47"/>
            <w:bookmarkEnd w:id="48"/>
            <w:bookmarkEnd w:id="49"/>
            <w:bookmarkEnd w:id="50"/>
            <w:bookmarkEnd w:id="51"/>
          </w:p>
          <w:p w14:paraId="62E4779B">
            <w:pPr>
              <w:pageBreakBefore w:val="0"/>
              <w:wordWrap/>
              <w:topLinePunct w:val="0"/>
              <w:bidi w:val="0"/>
              <w:spacing w:line="360" w:lineRule="auto"/>
              <w:ind w:firstLine="420" w:firstLineChars="200"/>
              <w:rPr>
                <w:rFonts w:hint="eastAsia" w:ascii="宋体" w:hAnsi="宋体" w:eastAsia="宋体" w:cs="宋体"/>
                <w:b w:val="0"/>
                <w:bCs w:val="0"/>
                <w:color w:val="auto"/>
                <w:sz w:val="21"/>
                <w:szCs w:val="21"/>
                <w:highlight w:val="none"/>
              </w:rPr>
            </w:pPr>
            <w:bookmarkStart w:id="52" w:name="_Toc8399"/>
            <w:bookmarkStart w:id="53" w:name="_Toc19919"/>
            <w:bookmarkStart w:id="54" w:name="_Toc13396"/>
            <w:bookmarkStart w:id="55" w:name="_Toc11484"/>
            <w:bookmarkStart w:id="56" w:name="_Toc15873"/>
            <w:r>
              <w:rPr>
                <w:rFonts w:hint="eastAsia" w:ascii="宋体" w:hAnsi="宋体" w:eastAsia="宋体" w:cs="宋体"/>
                <w:b w:val="0"/>
                <w:bCs w:val="0"/>
                <w:color w:val="auto"/>
                <w:kern w:val="0"/>
                <w:sz w:val="21"/>
                <w:szCs w:val="21"/>
                <w:highlight w:val="none"/>
                <w:lang w:val="en-US" w:eastAsia="zh-CN" w:bidi="ar"/>
              </w:rPr>
              <w:t>各供应商：</w:t>
            </w:r>
            <w:bookmarkEnd w:id="52"/>
            <w:bookmarkEnd w:id="53"/>
            <w:bookmarkEnd w:id="54"/>
            <w:bookmarkEnd w:id="55"/>
            <w:bookmarkEnd w:id="56"/>
          </w:p>
          <w:p w14:paraId="7E5D1749">
            <w:pPr>
              <w:keepNext w:val="0"/>
              <w:keepLines w:val="0"/>
              <w:pageBreakBefore w:val="0"/>
              <w:widowControl/>
              <w:suppressLineNumbers w:val="0"/>
              <w:wordWrap/>
              <w:topLinePunct w:val="0"/>
              <w:bidi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欢迎贵公司参与荥阳市政府采购活动！</w:t>
            </w:r>
          </w:p>
          <w:p w14:paraId="6258675F">
            <w:pPr>
              <w:keepNext w:val="0"/>
              <w:keepLines w:val="0"/>
              <w:pageBreakBefore w:val="0"/>
              <w:widowControl/>
              <w:suppressLineNumbers w:val="0"/>
              <w:wordWrap/>
              <w:topLinePunct w:val="0"/>
              <w:bidi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14:paraId="3BB107C7">
            <w:pPr>
              <w:pageBreakBefore w:val="0"/>
              <w:widowControl/>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贷款渠道和提供贷款的金融机构，可在荥阳市政府采购网“荥阳市政府采购合同融资入口”或工作动态栏查询联系。</w:t>
            </w:r>
          </w:p>
        </w:tc>
      </w:tr>
    </w:tbl>
    <w:p w14:paraId="4D4671AC">
      <w:pPr>
        <w:rPr>
          <w:rFonts w:hint="eastAsia" w:ascii="宋体" w:hAnsi="宋体" w:eastAsia="宋体" w:cs="宋体"/>
          <w:color w:val="auto"/>
          <w:sz w:val="21"/>
          <w:szCs w:val="21"/>
          <w:highlight w:val="none"/>
        </w:rPr>
      </w:pPr>
      <w:bookmarkStart w:id="57" w:name="_Toc10935"/>
      <w:bookmarkStart w:id="58" w:name="_Toc25593"/>
      <w:bookmarkStart w:id="59" w:name="_Toc533590158"/>
      <w:bookmarkStart w:id="60" w:name="_Toc20456"/>
      <w:bookmarkStart w:id="61" w:name="_Toc23899"/>
      <w:bookmarkStart w:id="62" w:name="_Toc20331"/>
      <w:bookmarkStart w:id="63" w:name="_Toc989"/>
      <w:bookmarkStart w:id="64" w:name="_Toc32468"/>
      <w:bookmarkStart w:id="65" w:name="_Toc30433"/>
      <w:bookmarkStart w:id="66" w:name="_Toc20055"/>
      <w:bookmarkStart w:id="67" w:name="_Toc13362"/>
      <w:bookmarkStart w:id="68" w:name="_Toc26456"/>
      <w:bookmarkStart w:id="69" w:name="_Toc1578"/>
      <w:bookmarkStart w:id="70" w:name="_Toc15257"/>
      <w:bookmarkStart w:id="71" w:name="_Toc9725"/>
      <w:bookmarkStart w:id="72" w:name="_Toc31961"/>
      <w:bookmarkStart w:id="73" w:name="_Toc8895"/>
      <w:bookmarkStart w:id="74" w:name="_Toc21607"/>
      <w:bookmarkStart w:id="75" w:name="_Toc29509"/>
      <w:r>
        <w:rPr>
          <w:rFonts w:hint="eastAsia" w:ascii="宋体" w:hAnsi="宋体" w:eastAsia="宋体" w:cs="宋体"/>
          <w:color w:val="auto"/>
          <w:sz w:val="21"/>
          <w:szCs w:val="21"/>
          <w:highlight w:val="none"/>
        </w:rPr>
        <w:br w:type="page"/>
      </w:r>
    </w:p>
    <w:p w14:paraId="1D252E00">
      <w:pPr>
        <w:pStyle w:val="3"/>
        <w:pageBreakBefore w:val="0"/>
        <w:wordWrap/>
        <w:topLinePunct w:val="0"/>
        <w:bidi w:val="0"/>
        <w:spacing w:line="360" w:lineRule="auto"/>
        <w:jc w:val="center"/>
        <w:rPr>
          <w:rFonts w:hint="eastAsia" w:ascii="宋体" w:hAnsi="宋体" w:eastAsia="宋体" w:cs="宋体"/>
          <w:color w:val="auto"/>
          <w:sz w:val="21"/>
          <w:szCs w:val="21"/>
          <w:highlight w:val="none"/>
        </w:rPr>
      </w:pPr>
      <w:bookmarkStart w:id="76" w:name="_Toc1155"/>
      <w:bookmarkStart w:id="77" w:name="_Toc19245"/>
      <w:bookmarkStart w:id="78" w:name="_Toc29147"/>
      <w:bookmarkStart w:id="79" w:name="_Toc991"/>
      <w:bookmarkStart w:id="80" w:name="_Toc23708"/>
      <w:bookmarkStart w:id="81" w:name="_Toc25381"/>
      <w:bookmarkStart w:id="82" w:name="_Toc26916"/>
      <w:bookmarkStart w:id="83" w:name="_Toc12008"/>
      <w:bookmarkStart w:id="84" w:name="_Toc32250"/>
      <w:bookmarkStart w:id="85" w:name="_Toc11508"/>
      <w:bookmarkStart w:id="86" w:name="_Toc25407"/>
      <w:r>
        <w:rPr>
          <w:rFonts w:hint="eastAsia" w:ascii="宋体" w:hAnsi="宋体" w:eastAsia="宋体" w:cs="宋体"/>
          <w:color w:val="auto"/>
          <w:sz w:val="21"/>
          <w:szCs w:val="21"/>
          <w:highlight w:val="none"/>
        </w:rPr>
        <w:t>总   则</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3CDD8D0">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87" w:name="_Toc20513"/>
      <w:bookmarkStart w:id="88" w:name="_Toc5634_WPSOffice_Level2"/>
      <w:r>
        <w:rPr>
          <w:rFonts w:hint="eastAsia" w:ascii="宋体" w:hAnsi="宋体" w:eastAsia="宋体" w:cs="宋体"/>
          <w:color w:val="auto"/>
          <w:sz w:val="21"/>
          <w:szCs w:val="21"/>
          <w:highlight w:val="none"/>
        </w:rPr>
        <w:t>1.1 项目概况</w:t>
      </w:r>
      <w:bookmarkEnd w:id="87"/>
      <w:bookmarkEnd w:id="88"/>
    </w:p>
    <w:p w14:paraId="7059085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根据有关法律、法规和规章的规定，本项目己具备招标条件，现对本项目进行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w:t>
      </w:r>
    </w:p>
    <w:p w14:paraId="761BD4D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596E5B6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代理机构：见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5CA1203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本项目名称：见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4D19BF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本项目</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F96D526">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89" w:name="_Toc6497"/>
      <w:bookmarkStart w:id="90" w:name="_Toc6587_WPSOffice_Level2"/>
      <w:r>
        <w:rPr>
          <w:rFonts w:hint="eastAsia" w:ascii="宋体" w:hAnsi="宋体" w:eastAsia="宋体" w:cs="宋体"/>
          <w:color w:val="auto"/>
          <w:sz w:val="21"/>
          <w:szCs w:val="21"/>
          <w:highlight w:val="none"/>
        </w:rPr>
        <w:t>1.2 资金来源和落实情况</w:t>
      </w:r>
      <w:bookmarkEnd w:id="89"/>
      <w:bookmarkEnd w:id="90"/>
    </w:p>
    <w:p w14:paraId="085A3BB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本项目的资金来源：见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5C971EE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本项目的出资比例</w:t>
      </w:r>
      <w:r>
        <w:rPr>
          <w:rFonts w:hint="eastAsia" w:hAnsi="宋体" w:cs="宋体"/>
          <w:color w:val="auto"/>
          <w:sz w:val="21"/>
          <w:szCs w:val="21"/>
          <w:highlight w:val="none"/>
          <w:lang w:val="en-US" w:eastAsia="zh-CN"/>
        </w:rPr>
        <w:t>及资金落实情况</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3DCDF61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本项目的</w:t>
      </w:r>
      <w:r>
        <w:rPr>
          <w:rFonts w:hint="eastAsia" w:hAnsi="宋体" w:cs="宋体"/>
          <w:color w:val="auto"/>
          <w:sz w:val="21"/>
          <w:szCs w:val="21"/>
          <w:highlight w:val="none"/>
          <w:lang w:val="en-US" w:eastAsia="zh-CN"/>
        </w:rPr>
        <w:t>采购类别</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3A2DF668">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91" w:name="_Toc7225_WPSOffice_Level2"/>
      <w:bookmarkStart w:id="92" w:name="_Toc17733"/>
      <w:r>
        <w:rPr>
          <w:rFonts w:hint="eastAsia" w:ascii="宋体" w:hAnsi="宋体" w:eastAsia="宋体" w:cs="宋体"/>
          <w:color w:val="auto"/>
          <w:sz w:val="21"/>
          <w:szCs w:val="21"/>
          <w:highlight w:val="none"/>
        </w:rPr>
        <w:t xml:space="preserve">1.3 </w:t>
      </w:r>
      <w:r>
        <w:rPr>
          <w:rFonts w:hint="eastAsia" w:ascii="宋体" w:hAnsi="宋体" w:cs="宋体"/>
          <w:color w:val="auto"/>
          <w:sz w:val="21"/>
          <w:szCs w:val="21"/>
          <w:highlight w:val="none"/>
          <w:lang w:eastAsia="zh-CN"/>
        </w:rPr>
        <w:t>采购范围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供货及安装期</w:t>
      </w:r>
      <w:r>
        <w:rPr>
          <w:rFonts w:hint="eastAsia" w:ascii="宋体" w:hAnsi="宋体" w:eastAsia="宋体" w:cs="宋体"/>
          <w:color w:val="auto"/>
          <w:sz w:val="21"/>
          <w:szCs w:val="21"/>
          <w:highlight w:val="none"/>
        </w:rPr>
        <w:t>和质量要求</w:t>
      </w:r>
      <w:bookmarkEnd w:id="91"/>
      <w:bookmarkEnd w:id="92"/>
    </w:p>
    <w:p w14:paraId="0E988EC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本次</w:t>
      </w:r>
      <w:r>
        <w:rPr>
          <w:rFonts w:hint="eastAsia" w:hAnsi="宋体" w:cs="宋体"/>
          <w:color w:val="auto"/>
          <w:sz w:val="21"/>
          <w:szCs w:val="21"/>
          <w:highlight w:val="none"/>
          <w:lang w:eastAsia="zh-CN"/>
        </w:rPr>
        <w:t>采购范围</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BE33C4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本项目的</w:t>
      </w:r>
      <w:r>
        <w:rPr>
          <w:rFonts w:hint="eastAsia" w:hAnsi="宋体" w:cs="宋体"/>
          <w:color w:val="auto"/>
          <w:sz w:val="21"/>
          <w:szCs w:val="21"/>
          <w:highlight w:val="none"/>
          <w:lang w:val="en-US" w:eastAsia="zh-CN"/>
        </w:rPr>
        <w:t>服务期限</w:t>
      </w: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46CACC8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本项目的质量要求：见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74FF53EE">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93" w:name="_Toc5661"/>
      <w:bookmarkStart w:id="94" w:name="_Toc24436_WPSOffice_Level2"/>
      <w:r>
        <w:rPr>
          <w:rFonts w:hint="eastAsia" w:ascii="宋体" w:hAnsi="宋体" w:eastAsia="宋体" w:cs="宋体"/>
          <w:color w:val="auto"/>
          <w:sz w:val="21"/>
          <w:szCs w:val="21"/>
          <w:highlight w:val="none"/>
        </w:rPr>
        <w:t>1.4 资格要求</w:t>
      </w:r>
    </w:p>
    <w:p w14:paraId="0220FCA2">
      <w:pPr>
        <w:pStyle w:val="5"/>
        <w:pageBreakBefore w:val="0"/>
        <w:wordWrap/>
        <w:topLinePunct w:val="0"/>
        <w:bidi w:val="0"/>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1.4.1</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资格要求</w:t>
      </w:r>
      <w:bookmarkEnd w:id="93"/>
      <w:bookmarkEnd w:id="94"/>
      <w:r>
        <w:rPr>
          <w:rFonts w:hint="eastAsia" w:ascii="宋体" w:hAnsi="宋体" w:eastAsia="宋体" w:cs="宋体"/>
          <w:b w:val="0"/>
          <w:color w:val="auto"/>
          <w:sz w:val="21"/>
          <w:szCs w:val="21"/>
          <w:highlight w:val="none"/>
        </w:rPr>
        <w:t>：见</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p>
    <w:p w14:paraId="71DC8E4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1.4.2是否接受联合体投标：见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2BC0F0E5">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95" w:name="_Toc9147"/>
      <w:bookmarkStart w:id="96" w:name="_Toc6805_WPSOffice_Level2"/>
      <w:r>
        <w:rPr>
          <w:rFonts w:hint="eastAsia" w:ascii="宋体" w:hAnsi="宋体" w:eastAsia="宋体" w:cs="宋体"/>
          <w:color w:val="auto"/>
          <w:sz w:val="21"/>
          <w:szCs w:val="21"/>
          <w:highlight w:val="none"/>
        </w:rPr>
        <w:t>1.5 费用承担</w:t>
      </w:r>
      <w:bookmarkEnd w:id="95"/>
      <w:bookmarkEnd w:id="96"/>
    </w:p>
    <w:p w14:paraId="6AE9812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准备和参加投标活动发生的费用自理。</w:t>
      </w:r>
    </w:p>
    <w:p w14:paraId="2168A269">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97" w:name="_Toc27626_WPSOffice_Level2"/>
      <w:bookmarkStart w:id="98" w:name="_Toc16736"/>
      <w:r>
        <w:rPr>
          <w:rFonts w:hint="eastAsia" w:ascii="宋体" w:hAnsi="宋体" w:eastAsia="宋体" w:cs="宋体"/>
          <w:color w:val="auto"/>
          <w:sz w:val="21"/>
          <w:szCs w:val="21"/>
          <w:highlight w:val="none"/>
        </w:rPr>
        <w:t>1.6 保密</w:t>
      </w:r>
      <w:bookmarkEnd w:id="97"/>
      <w:bookmarkEnd w:id="98"/>
    </w:p>
    <w:p w14:paraId="2643D4D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活动的各方应对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中的商业和技术等秘密保密，违者应对由此造成的后果承担法律责任。</w:t>
      </w:r>
    </w:p>
    <w:p w14:paraId="6034DDB0">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99" w:name="_Toc31794_WPSOffice_Level2"/>
      <w:bookmarkStart w:id="100" w:name="_Toc30"/>
      <w:r>
        <w:rPr>
          <w:rFonts w:hint="eastAsia" w:ascii="宋体" w:hAnsi="宋体" w:eastAsia="宋体" w:cs="宋体"/>
          <w:color w:val="auto"/>
          <w:sz w:val="21"/>
          <w:szCs w:val="21"/>
          <w:highlight w:val="none"/>
        </w:rPr>
        <w:t>1.7 语言文字</w:t>
      </w:r>
      <w:bookmarkEnd w:id="99"/>
      <w:bookmarkEnd w:id="100"/>
    </w:p>
    <w:p w14:paraId="0287036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除专用术语外，与招标投标有关的语言均使用中文。必要时专用术语应附有中文注释。</w:t>
      </w:r>
    </w:p>
    <w:p w14:paraId="7C11D96C">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101" w:name="_Toc22835_WPSOffice_Level2"/>
      <w:bookmarkStart w:id="102" w:name="_Toc31566"/>
      <w:r>
        <w:rPr>
          <w:rFonts w:hint="eastAsia" w:ascii="宋体" w:hAnsi="宋体" w:eastAsia="宋体" w:cs="宋体"/>
          <w:color w:val="auto"/>
          <w:sz w:val="21"/>
          <w:szCs w:val="21"/>
          <w:highlight w:val="none"/>
        </w:rPr>
        <w:t>1.8 计量单位</w:t>
      </w:r>
      <w:bookmarkEnd w:id="101"/>
      <w:bookmarkEnd w:id="102"/>
    </w:p>
    <w:p w14:paraId="7614C8C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6CDF73C9">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103" w:name="_Toc10292"/>
      <w:bookmarkStart w:id="104" w:name="_Toc2192_WPSOffice_Level2"/>
      <w:r>
        <w:rPr>
          <w:rFonts w:hint="eastAsia" w:ascii="宋体" w:hAnsi="宋体" w:eastAsia="宋体" w:cs="宋体"/>
          <w:color w:val="auto"/>
          <w:sz w:val="21"/>
          <w:szCs w:val="21"/>
          <w:highlight w:val="none"/>
        </w:rPr>
        <w:t>1.9 踏勘现场</w:t>
      </w:r>
      <w:bookmarkEnd w:id="103"/>
      <w:bookmarkEnd w:id="104"/>
    </w:p>
    <w:p w14:paraId="375EDAB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须知前附表规定组织踏勘现场的，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须知前附表规定的时间、地点组织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踏勘项目现场。</w:t>
      </w:r>
    </w:p>
    <w:p w14:paraId="784B829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踏勘现场发生的费用自理。</w:t>
      </w:r>
    </w:p>
    <w:p w14:paraId="3990888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的原因外，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自行负责在踏勘现场中所发生的人员伤亡和财产损失。</w:t>
      </w:r>
    </w:p>
    <w:p w14:paraId="7ED4289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在踏勘现场中介绍的项目场地和相关的周边环境情况，供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时参考，</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14:paraId="4C7F23CA">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105" w:name="_Toc6031_WPSOffice_Level2"/>
      <w:bookmarkStart w:id="106" w:name="_Toc14358"/>
      <w:r>
        <w:rPr>
          <w:rFonts w:hint="eastAsia" w:ascii="宋体" w:hAnsi="宋体" w:eastAsia="宋体" w:cs="宋体"/>
          <w:color w:val="auto"/>
          <w:sz w:val="21"/>
          <w:szCs w:val="21"/>
          <w:highlight w:val="none"/>
        </w:rPr>
        <w:t>1.10 投标预备会</w:t>
      </w:r>
      <w:bookmarkEnd w:id="105"/>
      <w:bookmarkEnd w:id="106"/>
    </w:p>
    <w:p w14:paraId="00F229B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须知前附表规定召开投标预备会的，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须知前附表规定的时间和地点召开投标预备会，澄清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提出的问题。</w:t>
      </w:r>
    </w:p>
    <w:p w14:paraId="4B57456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1.10.2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须知前附表规定的时间前，以书面形式将提出的问题送达</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人，以便</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人在会议期间澄清。</w:t>
      </w:r>
    </w:p>
    <w:p w14:paraId="0A733EC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 预备会后，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所提问题的澄清，以书面方式通知所有购买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。该澄清内容为</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的组成部分。</w:t>
      </w:r>
    </w:p>
    <w:p w14:paraId="4E4F0903">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107" w:name="_Toc12001"/>
      <w:bookmarkStart w:id="108" w:name="_Toc706_WPSOffice_Level2"/>
      <w:r>
        <w:rPr>
          <w:rFonts w:hint="eastAsia" w:ascii="宋体" w:hAnsi="宋体" w:eastAsia="宋体" w:cs="宋体"/>
          <w:color w:val="auto"/>
          <w:sz w:val="21"/>
          <w:szCs w:val="21"/>
          <w:highlight w:val="none"/>
        </w:rPr>
        <w:t>1.11 分包</w:t>
      </w:r>
      <w:bookmarkEnd w:id="107"/>
      <w:bookmarkEnd w:id="108"/>
    </w:p>
    <w:p w14:paraId="41935A5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3A2D33AE">
      <w:pPr>
        <w:pStyle w:val="5"/>
        <w:pageBreakBefore w:val="0"/>
        <w:wordWrap/>
        <w:topLinePunct w:val="0"/>
        <w:bidi w:val="0"/>
        <w:spacing w:line="360" w:lineRule="auto"/>
        <w:rPr>
          <w:rFonts w:hint="eastAsia" w:ascii="宋体" w:hAnsi="宋体" w:eastAsia="宋体" w:cs="宋体"/>
          <w:color w:val="auto"/>
          <w:sz w:val="21"/>
          <w:szCs w:val="21"/>
          <w:highlight w:val="none"/>
        </w:rPr>
      </w:pPr>
      <w:bookmarkStart w:id="109" w:name="_Toc22684"/>
      <w:bookmarkStart w:id="110" w:name="_Toc27206_WPSOffice_Level2"/>
      <w:r>
        <w:rPr>
          <w:rFonts w:hint="eastAsia" w:ascii="宋体" w:hAnsi="宋体" w:eastAsia="宋体" w:cs="宋体"/>
          <w:color w:val="auto"/>
          <w:sz w:val="21"/>
          <w:szCs w:val="21"/>
          <w:highlight w:val="none"/>
        </w:rPr>
        <w:t>1.12 偏离</w:t>
      </w:r>
      <w:bookmarkEnd w:id="109"/>
      <w:bookmarkEnd w:id="110"/>
    </w:p>
    <w:p w14:paraId="5FAE338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须知前附表允许</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偏离</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某些要求的，偏离应当符合</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规定的偏离范围和幅度。</w:t>
      </w:r>
    </w:p>
    <w:p w14:paraId="25BCA883">
      <w:pPr>
        <w:pStyle w:val="4"/>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111" w:name="_Toc18390"/>
      <w:bookmarkStart w:id="112" w:name="_Toc15819"/>
      <w:bookmarkStart w:id="113" w:name="_Toc8278"/>
      <w:bookmarkStart w:id="114" w:name="_Toc498527865"/>
      <w:bookmarkStart w:id="115" w:name="_Toc285638244"/>
      <w:bookmarkStart w:id="116" w:name="_Toc11587"/>
      <w:bookmarkStart w:id="117" w:name="_Toc285097633"/>
      <w:bookmarkStart w:id="118" w:name="_Toc7647"/>
      <w:bookmarkStart w:id="119" w:name="_Toc14397"/>
      <w:bookmarkStart w:id="120" w:name="_Toc10871"/>
      <w:bookmarkStart w:id="121" w:name="_Toc184635072"/>
      <w:bookmarkStart w:id="122" w:name="_Toc3898"/>
      <w:bookmarkStart w:id="123" w:name="_Toc8257"/>
      <w:bookmarkStart w:id="124" w:name="_Toc6663"/>
      <w:bookmarkStart w:id="125" w:name="_Toc17463"/>
      <w:bookmarkStart w:id="126" w:name="_Toc35"/>
      <w:bookmarkStart w:id="127" w:name="_Toc22465"/>
      <w:bookmarkStart w:id="128" w:name="_Toc17462"/>
      <w:bookmarkStart w:id="129" w:name="_Toc11700"/>
      <w:bookmarkStart w:id="130" w:name="_Toc16966"/>
      <w:bookmarkStart w:id="131" w:name="_Toc30914"/>
      <w:bookmarkStart w:id="132" w:name="_Toc13625"/>
      <w:bookmarkStart w:id="133" w:name="_Toc3466"/>
      <w:bookmarkStart w:id="134" w:name="_Toc8349"/>
      <w:bookmarkStart w:id="135" w:name="_Toc32101"/>
      <w:bookmarkStart w:id="136" w:name="_Toc19283"/>
      <w:bookmarkStart w:id="137" w:name="_Toc22835"/>
      <w:bookmarkStart w:id="138" w:name="_Toc22762"/>
      <w:bookmarkStart w:id="139" w:name="_Toc3805"/>
      <w:bookmarkStart w:id="140" w:name="_Toc11899"/>
      <w:bookmarkStart w:id="141" w:name="_Toc13711"/>
      <w:r>
        <w:rPr>
          <w:rFonts w:hint="eastAsia" w:ascii="宋体" w:hAnsi="宋体" w:eastAsia="宋体" w:cs="宋体"/>
          <w:color w:val="auto"/>
          <w:sz w:val="21"/>
          <w:szCs w:val="21"/>
          <w:highlight w:val="none"/>
        </w:rPr>
        <w:t>2．</w:t>
      </w:r>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宋体" w:hAnsi="宋体" w:eastAsia="宋体" w:cs="宋体"/>
          <w:color w:val="auto"/>
          <w:sz w:val="21"/>
          <w:szCs w:val="21"/>
          <w:highlight w:val="none"/>
          <w:lang w:eastAsia="zh-CN"/>
        </w:rPr>
        <w:t>采购文件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C8FA22C">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 </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w:t>
      </w:r>
    </w:p>
    <w:p w14:paraId="66C3C4C7">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包括但不限于以下内容：</w:t>
      </w:r>
    </w:p>
    <w:p w14:paraId="77DB9EE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第一章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公告</w:t>
      </w:r>
      <w:r>
        <w:rPr>
          <w:rFonts w:hint="eastAsia" w:ascii="宋体" w:hAnsi="宋体" w:eastAsia="宋体" w:cs="宋体"/>
          <w:color w:val="auto"/>
          <w:sz w:val="21"/>
          <w:szCs w:val="21"/>
          <w:highlight w:val="none"/>
        </w:rPr>
        <w:tab/>
      </w:r>
    </w:p>
    <w:p w14:paraId="7930294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rPr>
        <w:tab/>
      </w:r>
    </w:p>
    <w:p w14:paraId="487C4B8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第三章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综合评</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法</w:t>
      </w:r>
      <w:r>
        <w:rPr>
          <w:rFonts w:hint="eastAsia" w:ascii="宋体" w:hAnsi="宋体" w:eastAsia="宋体" w:cs="宋体"/>
          <w:color w:val="auto"/>
          <w:sz w:val="21"/>
          <w:szCs w:val="21"/>
          <w:highlight w:val="none"/>
        </w:rPr>
        <w:t>）</w:t>
      </w:r>
    </w:p>
    <w:p w14:paraId="4BAAB13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合同条款及格式</w:t>
      </w:r>
      <w:r>
        <w:rPr>
          <w:rFonts w:hint="eastAsia" w:ascii="宋体" w:hAnsi="宋体" w:eastAsia="宋体" w:cs="宋体"/>
          <w:color w:val="auto"/>
          <w:sz w:val="21"/>
          <w:szCs w:val="21"/>
          <w:highlight w:val="none"/>
        </w:rPr>
        <w:tab/>
      </w:r>
    </w:p>
    <w:p w14:paraId="238BBD83">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第五章 </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ab/>
      </w:r>
    </w:p>
    <w:p w14:paraId="4B3A072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第六章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rPr>
        <w:tab/>
      </w:r>
    </w:p>
    <w:p w14:paraId="30D21C0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所作的澄清、修改，构成</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的组成部分。</w:t>
      </w:r>
    </w:p>
    <w:p w14:paraId="29EAD7C7">
      <w:pPr>
        <w:pStyle w:val="4"/>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142" w:name="_Toc21225"/>
      <w:r>
        <w:rPr>
          <w:rFonts w:hint="eastAsia" w:ascii="宋体" w:hAnsi="宋体" w:eastAsia="宋体" w:cs="宋体"/>
          <w:color w:val="auto"/>
          <w:sz w:val="21"/>
          <w:szCs w:val="21"/>
          <w:highlight w:val="none"/>
          <w:lang w:eastAsia="zh-CN"/>
        </w:rPr>
        <w:t xml:space="preserve">2.2 </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文件的澄清</w:t>
      </w:r>
      <w:bookmarkEnd w:id="142"/>
    </w:p>
    <w:p w14:paraId="7F70F5A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2.2.1 </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应仔细阅读和检查</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文件的全部内容。如发现缺页或附件不全，应及时向招标人提出，以便补齐。如有疑问，应在供应商须知前附表规定的时间及形式，要求</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人对</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文件予以澄清；</w:t>
      </w:r>
    </w:p>
    <w:p w14:paraId="22413F6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2.2.2响应截止时间：见供应商须知前附表；</w:t>
      </w:r>
    </w:p>
    <w:p w14:paraId="757748A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2.2.3 </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文件的澄清将在供应商须知前附表规定的时间及形式发布，但不指明澄清问题的来源。如果澄清发出的时间距</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截止时间不足</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天，并且澄清内容可能影响</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文件编制的，将相应延长</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截止时间；</w:t>
      </w:r>
    </w:p>
    <w:p w14:paraId="7AD83AD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2.2.4 </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在收到澄清后，应在供应商须知前附表规定的时间及形式通知</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人，确认已收到该澄清。</w:t>
      </w:r>
    </w:p>
    <w:p w14:paraId="458BCADC">
      <w:pPr>
        <w:pStyle w:val="4"/>
        <w:pageBreakBefore w:val="0"/>
        <w:wordWrap/>
        <w:topLinePunct w:val="0"/>
        <w:bidi w:val="0"/>
        <w:spacing w:line="360" w:lineRule="auto"/>
        <w:rPr>
          <w:rFonts w:hint="eastAsia" w:ascii="宋体" w:hAnsi="宋体" w:eastAsia="宋体" w:cs="宋体"/>
          <w:color w:val="auto"/>
          <w:sz w:val="21"/>
          <w:szCs w:val="21"/>
          <w:highlight w:val="none"/>
          <w:lang w:val="en-US" w:eastAsia="zh-CN"/>
        </w:rPr>
      </w:pPr>
      <w:bookmarkStart w:id="143" w:name="_Toc23237"/>
      <w:bookmarkStart w:id="144" w:name="_Toc16629"/>
      <w:bookmarkStart w:id="145" w:name="_Toc306975663"/>
      <w:bookmarkStart w:id="146" w:name="_Toc152045545"/>
      <w:bookmarkStart w:id="147" w:name="_Toc144974513"/>
      <w:bookmarkStart w:id="148" w:name="_Toc152042321"/>
      <w:r>
        <w:rPr>
          <w:rFonts w:hint="eastAsia" w:ascii="宋体" w:hAnsi="宋体" w:eastAsia="宋体" w:cs="宋体"/>
          <w:color w:val="auto"/>
          <w:sz w:val="21"/>
          <w:szCs w:val="21"/>
          <w:highlight w:val="none"/>
          <w:lang w:val="en-US" w:eastAsia="zh-CN"/>
        </w:rPr>
        <w:t>2.3 采购文件的修改</w:t>
      </w:r>
      <w:bookmarkEnd w:id="143"/>
      <w:bookmarkEnd w:id="144"/>
      <w:bookmarkEnd w:id="145"/>
      <w:bookmarkEnd w:id="146"/>
      <w:bookmarkEnd w:id="147"/>
      <w:bookmarkEnd w:id="148"/>
    </w:p>
    <w:p w14:paraId="238E5FA0">
      <w:pPr>
        <w:pageBreakBefore w:val="0"/>
        <w:wordWrap/>
        <w:topLinePunct w:val="0"/>
        <w:bidi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 xml:space="preserve">2.3.1 在响应截止时间5天前，采购人有权对发出的采购文件进行必要的澄清或修改。并将澄清或修改的内容上传至交易平台，供应商进行网上下载，该澄清或修改的内容为采购文件的组成部分。如果修改采购文件的时间距响应截止时间不足5天，相应延长响应截止时间。 </w:t>
      </w:r>
    </w:p>
    <w:p w14:paraId="0DFDAC7B">
      <w:pPr>
        <w:pStyle w:val="4"/>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149" w:name="_Toc285638245"/>
      <w:bookmarkStart w:id="150" w:name="_Toc4504"/>
      <w:bookmarkStart w:id="151" w:name="_Toc184635073"/>
      <w:bookmarkStart w:id="152" w:name="_Toc25556"/>
      <w:bookmarkStart w:id="153" w:name="_Toc285097634"/>
      <w:bookmarkStart w:id="154" w:name="_Toc24126"/>
      <w:bookmarkStart w:id="155" w:name="_Toc2224"/>
      <w:bookmarkStart w:id="156" w:name="_Toc28317"/>
      <w:bookmarkStart w:id="157" w:name="_Toc498527866"/>
      <w:bookmarkStart w:id="158" w:name="_Toc17748"/>
      <w:bookmarkStart w:id="159" w:name="_Toc28288"/>
      <w:bookmarkStart w:id="160" w:name="_Toc18225"/>
      <w:bookmarkStart w:id="161" w:name="_Toc9257"/>
      <w:bookmarkStart w:id="162" w:name="_Toc14099"/>
      <w:bookmarkStart w:id="163" w:name="_Toc28130"/>
      <w:bookmarkStart w:id="164" w:name="_Toc7082"/>
      <w:bookmarkStart w:id="165" w:name="_Toc21746"/>
      <w:bookmarkStart w:id="166" w:name="_Toc29671"/>
      <w:bookmarkStart w:id="167" w:name="_Toc10375"/>
      <w:bookmarkStart w:id="168" w:name="_Toc25958"/>
      <w:bookmarkStart w:id="169" w:name="_Toc30609"/>
      <w:bookmarkStart w:id="170" w:name="_Toc9350"/>
      <w:bookmarkStart w:id="171" w:name="_Toc2034"/>
      <w:bookmarkStart w:id="172" w:name="_Toc18638"/>
      <w:bookmarkStart w:id="173" w:name="_Toc32040"/>
      <w:bookmarkStart w:id="174" w:name="_Toc28365"/>
      <w:bookmarkStart w:id="175" w:name="_Toc18938"/>
      <w:bookmarkStart w:id="176" w:name="_Toc11611"/>
      <w:bookmarkStart w:id="177" w:name="_Toc27712"/>
      <w:bookmarkStart w:id="178" w:name="_Toc23467"/>
      <w:bookmarkStart w:id="179" w:name="_Toc24733"/>
      <w:r>
        <w:rPr>
          <w:rFonts w:hint="eastAsia" w:ascii="宋体" w:hAnsi="宋体" w:eastAsia="宋体" w:cs="宋体"/>
          <w:color w:val="auto"/>
          <w:sz w:val="21"/>
          <w:szCs w:val="21"/>
          <w:highlight w:val="none"/>
        </w:rPr>
        <w:t>3．</w:t>
      </w:r>
      <w:bookmarkEnd w:id="149"/>
      <w:bookmarkEnd w:id="150"/>
      <w:bookmarkEnd w:id="151"/>
      <w:bookmarkEnd w:id="152"/>
      <w:bookmarkEnd w:id="153"/>
      <w:bookmarkEnd w:id="154"/>
      <w:bookmarkEnd w:id="155"/>
      <w:bookmarkEnd w:id="156"/>
      <w:bookmarkEnd w:id="157"/>
      <w:bookmarkEnd w:id="158"/>
      <w:bookmarkEnd w:id="159"/>
      <w:bookmarkEnd w:id="160"/>
      <w:bookmarkEnd w:id="161"/>
      <w:r>
        <w:rPr>
          <w:rFonts w:hint="eastAsia" w:ascii="宋体" w:hAnsi="宋体" w:eastAsia="宋体" w:cs="宋体"/>
          <w:color w:val="auto"/>
          <w:sz w:val="21"/>
          <w:szCs w:val="21"/>
          <w:highlight w:val="none"/>
          <w:lang w:eastAsia="zh-CN"/>
        </w:rPr>
        <w:t>响应文件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7376A9E">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的组成</w:t>
      </w:r>
    </w:p>
    <w:p w14:paraId="09C0249C">
      <w:pPr>
        <w:pageBreakBefore w:val="0"/>
        <w:numPr>
          <w:ilvl w:val="2"/>
          <w:numId w:val="2"/>
        </w:numPr>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应包括但不限于下列内容：</w:t>
      </w:r>
    </w:p>
    <w:p w14:paraId="750F737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bookmarkStart w:id="180" w:name="_Toc9040_WPSOffice_Level2"/>
      <w:r>
        <w:rPr>
          <w:rFonts w:hint="eastAsia" w:ascii="宋体" w:hAnsi="宋体" w:eastAsia="宋体" w:cs="宋体"/>
          <w:color w:val="auto"/>
          <w:sz w:val="21"/>
          <w:szCs w:val="21"/>
          <w:highlight w:val="none"/>
        </w:rPr>
        <w:t>一、</w:t>
      </w:r>
      <w:bookmarkEnd w:id="180"/>
      <w:r>
        <w:rPr>
          <w:rFonts w:hint="eastAsia" w:ascii="宋体" w:hAnsi="宋体" w:eastAsia="宋体" w:cs="宋体"/>
          <w:color w:val="auto"/>
          <w:sz w:val="21"/>
          <w:szCs w:val="21"/>
          <w:highlight w:val="none"/>
        </w:rPr>
        <w:t>磋商响应函</w:t>
      </w:r>
    </w:p>
    <w:p w14:paraId="76219AF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bookmarkStart w:id="181" w:name="_Toc10400_WPSOffice_Level2"/>
      <w:r>
        <w:rPr>
          <w:rFonts w:hint="eastAsia" w:ascii="宋体" w:hAnsi="宋体" w:eastAsia="宋体" w:cs="宋体"/>
          <w:color w:val="auto"/>
          <w:sz w:val="21"/>
          <w:szCs w:val="21"/>
          <w:highlight w:val="none"/>
        </w:rPr>
        <w:t>二、</w:t>
      </w:r>
      <w:bookmarkEnd w:id="181"/>
      <w:r>
        <w:rPr>
          <w:rFonts w:hint="eastAsia" w:ascii="宋体" w:hAnsi="宋体" w:eastAsia="宋体" w:cs="宋体"/>
          <w:color w:val="auto"/>
          <w:sz w:val="21"/>
          <w:szCs w:val="21"/>
          <w:highlight w:val="none"/>
          <w:lang w:val="en-US" w:eastAsia="zh-CN"/>
        </w:rPr>
        <w:t>磋商响应函附表</w:t>
      </w:r>
    </w:p>
    <w:p w14:paraId="0B49A2D7">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bookmarkStart w:id="182" w:name="_Toc18904_WPSOffice_Level2"/>
      <w:r>
        <w:rPr>
          <w:rFonts w:hint="eastAsia" w:ascii="宋体" w:hAnsi="宋体" w:eastAsia="宋体" w:cs="宋体"/>
          <w:color w:val="auto"/>
          <w:sz w:val="21"/>
          <w:szCs w:val="21"/>
          <w:highlight w:val="none"/>
        </w:rPr>
        <w:t>三、法定代表人身份证明及授权委托书</w:t>
      </w:r>
      <w:bookmarkEnd w:id="182"/>
      <w:r>
        <w:rPr>
          <w:rFonts w:hint="eastAsia" w:ascii="宋体" w:hAnsi="宋体" w:eastAsia="宋体" w:cs="宋体"/>
          <w:color w:val="auto"/>
          <w:sz w:val="21"/>
          <w:szCs w:val="21"/>
          <w:highlight w:val="none"/>
        </w:rPr>
        <w:tab/>
      </w:r>
    </w:p>
    <w:p w14:paraId="660B95C7">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bookmarkStart w:id="183" w:name="_Toc19308_WPSOffice_Level2"/>
      <w:r>
        <w:rPr>
          <w:rFonts w:hint="eastAsia" w:ascii="宋体" w:hAnsi="宋体" w:eastAsia="宋体" w:cs="宋体"/>
          <w:color w:val="auto"/>
          <w:sz w:val="21"/>
          <w:szCs w:val="21"/>
          <w:highlight w:val="none"/>
          <w:lang w:val="en-US" w:eastAsia="zh-CN"/>
        </w:rPr>
        <w:t>四、</w:t>
      </w:r>
      <w:bookmarkEnd w:id="183"/>
      <w:bookmarkStart w:id="184" w:name="_Toc21489_WPSOffice_Level2"/>
      <w:r>
        <w:rPr>
          <w:rFonts w:hint="eastAsia" w:ascii="宋体" w:hAnsi="宋体" w:eastAsia="宋体" w:cs="宋体"/>
          <w:color w:val="auto"/>
          <w:sz w:val="21"/>
          <w:szCs w:val="21"/>
          <w:highlight w:val="none"/>
          <w:lang w:val="en-US" w:eastAsia="zh-CN"/>
        </w:rPr>
        <w:t>资格证明资料</w:t>
      </w:r>
      <w:bookmarkEnd w:id="184"/>
    </w:p>
    <w:p w14:paraId="7E4E308D">
      <w:pPr>
        <w:pageBreakBefore w:val="0"/>
        <w:wordWrap/>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技术部分</w:t>
      </w:r>
    </w:p>
    <w:p w14:paraId="1B4A6FD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商务部分</w:t>
      </w:r>
    </w:p>
    <w:p w14:paraId="239463F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认为有必要的其他资料</w:t>
      </w:r>
    </w:p>
    <w:p w14:paraId="451E7BA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八</w:t>
      </w:r>
      <w:r>
        <w:rPr>
          <w:rFonts w:hint="eastAsia" w:ascii="宋体" w:hAnsi="宋体" w:eastAsia="宋体" w:cs="宋体"/>
          <w:color w:val="auto"/>
          <w:sz w:val="21"/>
          <w:szCs w:val="21"/>
          <w:highlight w:val="none"/>
          <w:lang w:val="en-US" w:eastAsia="zh-CN"/>
        </w:rPr>
        <w:t>、享受政府采购政策扶持的证明材料</w:t>
      </w:r>
    </w:p>
    <w:p w14:paraId="5B1D7C2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九</w:t>
      </w:r>
      <w:r>
        <w:rPr>
          <w:rFonts w:hint="eastAsia" w:ascii="宋体" w:hAnsi="宋体" w:eastAsia="宋体" w:cs="宋体"/>
          <w:color w:val="auto"/>
          <w:sz w:val="21"/>
          <w:szCs w:val="21"/>
          <w:highlight w:val="none"/>
          <w:lang w:val="en-US" w:eastAsia="zh-CN"/>
        </w:rPr>
        <w:t>、二次（最终）报价</w:t>
      </w:r>
    </w:p>
    <w:p w14:paraId="35429DC9">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投标截止时间和地点</w:t>
      </w:r>
    </w:p>
    <w:p w14:paraId="65E97462">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投标截止时间和地点：见供应商须知前附表</w:t>
      </w:r>
    </w:p>
    <w:p w14:paraId="55C010C9">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z w:val="21"/>
          <w:szCs w:val="21"/>
          <w:highlight w:val="none"/>
        </w:rPr>
        <w:t>投标报价</w:t>
      </w:r>
    </w:p>
    <w:p w14:paraId="3A073054">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3.3.1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的投标报价应包括</w:t>
      </w:r>
      <w:r>
        <w:rPr>
          <w:rFonts w:hint="eastAsia" w:ascii="宋体" w:hAnsi="宋体" w:eastAsia="宋体" w:cs="宋体"/>
          <w:color w:val="auto"/>
          <w:sz w:val="21"/>
          <w:szCs w:val="21"/>
          <w:highlight w:val="none"/>
          <w:lang w:val="en-US" w:eastAsia="zh-CN"/>
        </w:rPr>
        <w:t>包含卖方履行合同约定全部义务所需的全部费用，具体包括但不限于包括交货前发生的各种税费、运费及运杂费、售后服务等以及伴随的其它服务费总报价。具体包含设备和附属装置、备品备件和专用工具、卖方技术服务（安装、调试、运行）报 价、采购人派员参加技术联络和工厂监造、检验、技术培训费用、运保费、各类税费， 质保服务期间工作人员交通费用、差旅补助、住宿费用，招标代理服务费等。供应商根据上述规定所作分项报价的目的只是为了评标时对</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文件进行比较的方便，但并不限制采购人订立合同的权力。</w:t>
      </w:r>
    </w:p>
    <w:p w14:paraId="458268F4">
      <w:pPr>
        <w:pStyle w:val="19"/>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3.3.2 供应商在报价时应考虑服务期间的物价上涨、政策性调整等诸多因素以及由此引起的费用变动并计入报价。</w:t>
      </w:r>
    </w:p>
    <w:p w14:paraId="49F035AC">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3.3.3 供应商根据上述规定所作分项报价的目的只是为了评标时对</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 xml:space="preserve">文件进行比较的方便，但并不限制采购人订立合同的权力。 </w:t>
      </w:r>
    </w:p>
    <w:p w14:paraId="6A6B6DF6">
      <w:pPr>
        <w:pageBreakBefore w:val="0"/>
        <w:tabs>
          <w:tab w:val="left" w:pos="340"/>
          <w:tab w:val="left" w:pos="709"/>
        </w:tabs>
        <w:wordWrap/>
        <w:topLinePunct w:val="0"/>
        <w:bidi w:val="0"/>
        <w:spacing w:line="360" w:lineRule="auto"/>
        <w:ind w:firstLine="407" w:firstLineChars="194"/>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3.3.4 </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报价应完全包括</w:t>
      </w:r>
      <w:r>
        <w:rPr>
          <w:rFonts w:hint="eastAsia"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 xml:space="preserve">文件规定的货物和服务范围，不得任意分割或合并所规定的分项。 </w:t>
      </w:r>
    </w:p>
    <w:p w14:paraId="30C62C54">
      <w:pPr>
        <w:pageBreakBefore w:val="0"/>
        <w:tabs>
          <w:tab w:val="left" w:pos="340"/>
          <w:tab w:val="left" w:pos="709"/>
        </w:tabs>
        <w:wordWrap/>
        <w:topLinePunct w:val="0"/>
        <w:bidi w:val="0"/>
        <w:spacing w:line="360" w:lineRule="auto"/>
        <w:ind w:firstLine="407" w:firstLineChars="194"/>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供应商只允许有一个报价，采购人和磋商小组不接受有任何选择报价的投标。</w:t>
      </w:r>
    </w:p>
    <w:p w14:paraId="0A3E75D8">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  </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w:t>
      </w:r>
    </w:p>
    <w:p w14:paraId="77EB198F">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3.4.1 磋商有效期见</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须知前附表。</w:t>
      </w:r>
    </w:p>
    <w:p w14:paraId="5BCF586B">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3.4.2 在磋商有效期内，供应商不得要求撤销或修改其响应文件。</w:t>
      </w:r>
    </w:p>
    <w:p w14:paraId="2B9621CB">
      <w:pPr>
        <w:pageBreakBefore w:val="0"/>
        <w:tabs>
          <w:tab w:val="left" w:pos="340"/>
          <w:tab w:val="left" w:pos="709"/>
        </w:tabs>
        <w:wordWrap/>
        <w:topLinePunct w:val="0"/>
        <w:bidi w:val="0"/>
        <w:spacing w:line="360" w:lineRule="auto"/>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3.4.3 出现特殊情况需要延长磋商有效期的，采购人以书面形式通知所有供应商延长磋商有效期。供应商同意延长的，应相应延长磋商有效期，但不得要求或允许修改其响应文件；供应商拒绝延长的，其投标失效。</w:t>
      </w:r>
    </w:p>
    <w:p w14:paraId="5D1C2103">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资格审查资料</w:t>
      </w:r>
    </w:p>
    <w:p w14:paraId="00315C3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“资格审查资料”应附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营业执照副本、相关资质要求等资格证明材料的复印件。</w:t>
      </w:r>
    </w:p>
    <w:p w14:paraId="726444EE">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备选投标方案</w:t>
      </w:r>
    </w:p>
    <w:p w14:paraId="0CC4D7F8">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须知前附表另有规定外，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不得递交备选投标方案。</w:t>
      </w:r>
    </w:p>
    <w:p w14:paraId="5BBBA900">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的编制</w:t>
      </w:r>
    </w:p>
    <w:p w14:paraId="6772A04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3.7.1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应按第六章“</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格式”进行编写，如有必要，可以增加附页，作为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的组成部分。其中，投标函附录在满足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实质性要求的基础上，可以提出比</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要求更有利于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的承诺。</w:t>
      </w:r>
    </w:p>
    <w:p w14:paraId="0B5DC51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3.7.2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应当对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有关</w:t>
      </w:r>
      <w:r>
        <w:rPr>
          <w:rFonts w:hint="eastAsia" w:hAnsi="宋体" w:cs="宋体"/>
          <w:color w:val="auto"/>
          <w:sz w:val="21"/>
          <w:szCs w:val="21"/>
          <w:highlight w:val="none"/>
          <w:lang w:val="en-US" w:eastAsia="zh-CN"/>
        </w:rPr>
        <w:t>供货及安装期</w:t>
      </w:r>
      <w:r>
        <w:rPr>
          <w:rFonts w:hint="eastAsia" w:ascii="宋体" w:hAnsi="宋体" w:eastAsia="宋体" w:cs="宋体"/>
          <w:color w:val="auto"/>
          <w:sz w:val="21"/>
          <w:szCs w:val="21"/>
          <w:highlight w:val="none"/>
        </w:rPr>
        <w:t>、投标有效期、质量要求等实质性内容作出响应。</w:t>
      </w:r>
    </w:p>
    <w:p w14:paraId="3B1B54C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3.7.3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签字或盖章的具体要求见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169D62B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3.7.4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请到荥阳市公共资源交易中心网站—下载中心—下载最新版本的“</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制作软件”，并使用安装后的最新版本</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制作工具制作电子</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（具体制作手册请查询交易中心网站-办事指南-</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制作操作手册）。</w:t>
      </w:r>
    </w:p>
    <w:p w14:paraId="4A2E0696">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185" w:name="_Toc285097635"/>
      <w:bookmarkStart w:id="186" w:name="_Toc17693"/>
      <w:bookmarkStart w:id="187" w:name="_Toc22168"/>
      <w:bookmarkStart w:id="188" w:name="_Toc702"/>
      <w:bookmarkStart w:id="189" w:name="_Toc4440"/>
      <w:bookmarkStart w:id="190" w:name="_Toc22995"/>
      <w:bookmarkStart w:id="191" w:name="_Toc26725"/>
      <w:bookmarkStart w:id="192" w:name="_Toc26792"/>
      <w:bookmarkStart w:id="193" w:name="_Toc285638246"/>
      <w:bookmarkStart w:id="194" w:name="_Toc2026"/>
      <w:bookmarkStart w:id="195" w:name="_Toc498527867"/>
      <w:bookmarkStart w:id="196" w:name="_Toc30534"/>
      <w:bookmarkStart w:id="197" w:name="_Toc13753"/>
      <w:bookmarkStart w:id="198" w:name="_Toc17096"/>
      <w:bookmarkStart w:id="199" w:name="_Toc10984"/>
      <w:bookmarkStart w:id="200" w:name="_Toc18826"/>
      <w:bookmarkStart w:id="201" w:name="_Toc9245"/>
      <w:bookmarkStart w:id="202" w:name="_Toc31122"/>
      <w:bookmarkStart w:id="203" w:name="_Toc29006"/>
      <w:bookmarkStart w:id="204" w:name="_Toc3755"/>
      <w:bookmarkStart w:id="205" w:name="_Toc184635074"/>
      <w:bookmarkStart w:id="206" w:name="_Toc29547"/>
      <w:bookmarkStart w:id="207" w:name="_Toc28271"/>
      <w:bookmarkStart w:id="208" w:name="_Toc7532"/>
      <w:bookmarkStart w:id="209" w:name="_Toc6192"/>
      <w:bookmarkStart w:id="210" w:name="_Toc17241"/>
      <w:bookmarkStart w:id="211" w:name="_Toc16450"/>
      <w:bookmarkStart w:id="212" w:name="_Toc7064"/>
      <w:bookmarkStart w:id="213" w:name="_Toc2344"/>
      <w:bookmarkStart w:id="214" w:name="_Toc12146"/>
      <w:bookmarkStart w:id="215" w:name="_Toc14126"/>
      <w:r>
        <w:rPr>
          <w:rFonts w:hint="eastAsia" w:ascii="宋体" w:hAnsi="宋体" w:eastAsia="宋体" w:cs="宋体"/>
          <w:color w:val="auto"/>
          <w:sz w:val="21"/>
          <w:szCs w:val="21"/>
          <w:highlight w:val="none"/>
        </w:rPr>
        <w:t>4．投标</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7C86173">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的递交</w:t>
      </w:r>
    </w:p>
    <w:p w14:paraId="5569B03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应在本章第</w:t>
      </w:r>
      <w:r>
        <w:rPr>
          <w:rFonts w:hint="eastAsia" w:ascii="宋体" w:hAnsi="宋体" w:eastAsia="宋体" w:cs="宋体"/>
          <w:color w:val="auto"/>
          <w:sz w:val="21"/>
          <w:szCs w:val="21"/>
          <w:highlight w:val="none"/>
          <w:lang w:val="en-US" w:eastAsia="zh-CN"/>
        </w:rPr>
        <w:t>2.2.2</w:t>
      </w:r>
      <w:r>
        <w:rPr>
          <w:rFonts w:hint="eastAsia" w:ascii="宋体" w:hAnsi="宋体" w:eastAsia="宋体" w:cs="宋体"/>
          <w:color w:val="auto"/>
          <w:sz w:val="21"/>
          <w:szCs w:val="21"/>
          <w:highlight w:val="none"/>
        </w:rPr>
        <w:t>项规定的投标截止时间前递交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7A6F490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的地点：见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7057C49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须知前附表另有规定外，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不予退还。</w:t>
      </w:r>
    </w:p>
    <w:p w14:paraId="7B7BDF9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不予受理。</w:t>
      </w:r>
    </w:p>
    <w:p w14:paraId="1CCD1373">
      <w:pPr>
        <w:pageBreakBefore w:val="0"/>
        <w:wordWrap/>
        <w:topLinePunct w:val="0"/>
        <w:bidi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上传：供应商需在投标截止时间前在荥阳市公共资源交易中心网站中上传加密的电子</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p>
    <w:p w14:paraId="7E0EF495">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的修改与撤回</w:t>
      </w:r>
    </w:p>
    <w:p w14:paraId="09797DC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在本章第2.2.2 项规定的投标截止时间前，</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可以修改或撤回已递交的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962987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修改或撤回已递交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的书面通知应按照本章第3.7.3 项的要求签字或盖章。</w:t>
      </w:r>
    </w:p>
    <w:p w14:paraId="1947FEE4">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216" w:name="_Toc27747"/>
      <w:bookmarkStart w:id="217" w:name="_Toc28652"/>
      <w:bookmarkStart w:id="218" w:name="_Toc431"/>
      <w:bookmarkStart w:id="219" w:name="_Toc22875"/>
      <w:bookmarkStart w:id="220" w:name="_Toc20644"/>
      <w:bookmarkStart w:id="221" w:name="_Toc20424"/>
      <w:bookmarkStart w:id="222" w:name="_Toc17694"/>
      <w:bookmarkStart w:id="223" w:name="_Toc184635075"/>
      <w:bookmarkStart w:id="224" w:name="_Toc15092"/>
      <w:bookmarkStart w:id="225" w:name="_Toc285097636"/>
      <w:bookmarkStart w:id="226" w:name="_Toc8286"/>
      <w:bookmarkStart w:id="227" w:name="_Toc30294"/>
      <w:bookmarkStart w:id="228" w:name="_Toc8101"/>
      <w:bookmarkStart w:id="229" w:name="_Toc24210"/>
      <w:bookmarkStart w:id="230" w:name="_Toc7773"/>
      <w:bookmarkStart w:id="231" w:name="_Toc29515"/>
      <w:bookmarkStart w:id="232" w:name="_Toc30104"/>
      <w:bookmarkStart w:id="233" w:name="_Toc6013"/>
      <w:bookmarkStart w:id="234" w:name="_Toc25367"/>
      <w:bookmarkStart w:id="235" w:name="_Toc27865"/>
      <w:bookmarkStart w:id="236" w:name="_Toc285638247"/>
      <w:bookmarkStart w:id="237" w:name="_Toc18274"/>
      <w:bookmarkStart w:id="238" w:name="_Toc24121"/>
      <w:bookmarkStart w:id="239" w:name="_Toc10217"/>
      <w:bookmarkStart w:id="240" w:name="_Toc28854"/>
      <w:bookmarkStart w:id="241" w:name="_Toc23585"/>
      <w:bookmarkStart w:id="242" w:name="_Toc27532"/>
      <w:bookmarkStart w:id="243" w:name="_Toc498527868"/>
      <w:bookmarkStart w:id="244" w:name="_Toc32494"/>
      <w:bookmarkStart w:id="245" w:name="_Toc16793"/>
      <w:bookmarkStart w:id="246" w:name="_Toc20676"/>
      <w:r>
        <w:rPr>
          <w:rFonts w:hint="eastAsia" w:ascii="宋体" w:hAnsi="宋体" w:eastAsia="宋体" w:cs="宋体"/>
          <w:color w:val="auto"/>
          <w:sz w:val="21"/>
          <w:szCs w:val="21"/>
          <w:highlight w:val="none"/>
        </w:rPr>
        <w:t>5．开标</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79C1A7E8">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开标时间和地点</w:t>
      </w:r>
    </w:p>
    <w:p w14:paraId="4716C27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在本章第2.2.2 项规定的投标截止时间（开标时间）和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须知前附表规定的地点公开开标。</w:t>
      </w:r>
    </w:p>
    <w:p w14:paraId="412954F3">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开标程序</w:t>
      </w:r>
    </w:p>
    <w:p w14:paraId="510775B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w:t>
      </w:r>
      <w:r>
        <w:rPr>
          <w:rFonts w:hint="eastAsia" w:ascii="宋体" w:hAnsi="宋体" w:eastAsia="宋体" w:cs="宋体"/>
          <w:color w:val="auto"/>
          <w:sz w:val="21"/>
          <w:szCs w:val="21"/>
          <w:highlight w:val="none"/>
          <w:lang w:eastAsia="zh-CN"/>
        </w:rPr>
        <w:t>“不见面开标”有关</w:t>
      </w:r>
      <w:r>
        <w:rPr>
          <w:rFonts w:hint="eastAsia" w:ascii="宋体" w:hAnsi="宋体" w:eastAsia="宋体" w:cs="宋体"/>
          <w:color w:val="auto"/>
          <w:sz w:val="21"/>
          <w:szCs w:val="21"/>
          <w:highlight w:val="none"/>
        </w:rPr>
        <w:t>程序进行开标</w:t>
      </w:r>
      <w:r>
        <w:rPr>
          <w:rFonts w:hint="eastAsia" w:ascii="宋体" w:hAnsi="宋体" w:eastAsia="宋体" w:cs="宋体"/>
          <w:color w:val="auto"/>
          <w:sz w:val="21"/>
          <w:szCs w:val="21"/>
          <w:highlight w:val="none"/>
          <w:lang w:eastAsia="zh-CN"/>
        </w:rPr>
        <w:t>。</w:t>
      </w:r>
    </w:p>
    <w:p w14:paraId="09D2FCD5">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247" w:name="_Toc29968"/>
      <w:bookmarkStart w:id="248" w:name="_Toc2140"/>
      <w:bookmarkStart w:id="249" w:name="_Toc12794"/>
      <w:bookmarkStart w:id="250" w:name="_Toc4257"/>
      <w:bookmarkStart w:id="251" w:name="_Toc9219"/>
      <w:bookmarkStart w:id="252" w:name="_Toc6983"/>
      <w:bookmarkStart w:id="253" w:name="_Toc858"/>
      <w:bookmarkStart w:id="254" w:name="_Toc24370"/>
      <w:bookmarkStart w:id="255" w:name="_Toc11898"/>
      <w:bookmarkStart w:id="256" w:name="_Toc16537"/>
      <w:bookmarkStart w:id="257" w:name="_Toc23184"/>
      <w:bookmarkStart w:id="258" w:name="_Toc15744"/>
      <w:bookmarkStart w:id="259" w:name="_Toc498527869"/>
      <w:bookmarkStart w:id="260" w:name="_Toc4220"/>
      <w:bookmarkStart w:id="261" w:name="_Toc15554"/>
      <w:bookmarkStart w:id="262" w:name="_Toc27334"/>
      <w:bookmarkStart w:id="263" w:name="_Toc3426"/>
      <w:bookmarkStart w:id="264" w:name="_Toc24514"/>
      <w:bookmarkStart w:id="265" w:name="_Toc16340"/>
      <w:bookmarkStart w:id="266" w:name="_Toc29242"/>
      <w:bookmarkStart w:id="267" w:name="_Toc24939"/>
      <w:bookmarkStart w:id="268" w:name="_Toc30924"/>
      <w:bookmarkStart w:id="269" w:name="_Toc4759"/>
      <w:bookmarkStart w:id="270" w:name="_Toc8248"/>
      <w:bookmarkStart w:id="271" w:name="_Toc28729"/>
      <w:bookmarkStart w:id="272" w:name="_Toc15704"/>
      <w:bookmarkStart w:id="273" w:name="_Toc28125"/>
      <w:bookmarkStart w:id="274" w:name="_Toc20452"/>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审查</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C35E9CC">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磋商委员会</w:t>
      </w:r>
      <w:r>
        <w:rPr>
          <w:rFonts w:hint="eastAsia" w:ascii="宋体" w:hAnsi="宋体" w:eastAsia="宋体" w:cs="宋体"/>
          <w:color w:val="auto"/>
          <w:sz w:val="21"/>
          <w:szCs w:val="21"/>
          <w:highlight w:val="none"/>
        </w:rPr>
        <w:t>小组负责对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初步评审</w:t>
      </w:r>
      <w:r>
        <w:rPr>
          <w:rFonts w:hint="eastAsia" w:ascii="宋体" w:hAnsi="宋体" w:eastAsia="宋体" w:cs="宋体"/>
          <w:color w:val="auto"/>
          <w:sz w:val="21"/>
          <w:szCs w:val="21"/>
          <w:highlight w:val="none"/>
        </w:rPr>
        <w:t>。</w:t>
      </w:r>
    </w:p>
    <w:p w14:paraId="1D4007AF">
      <w:pPr>
        <w:pStyle w:val="4"/>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275" w:name="_Toc31687"/>
      <w:bookmarkStart w:id="276" w:name="_Toc184635076"/>
      <w:bookmarkStart w:id="277" w:name="_Toc27151"/>
      <w:bookmarkStart w:id="278" w:name="_Toc1370"/>
      <w:bookmarkStart w:id="279" w:name="_Toc19560"/>
      <w:bookmarkStart w:id="280" w:name="_Toc1418"/>
      <w:bookmarkStart w:id="281" w:name="_Toc24679"/>
      <w:bookmarkStart w:id="282" w:name="_Toc285097637"/>
      <w:bookmarkStart w:id="283" w:name="_Toc16031"/>
      <w:bookmarkStart w:id="284" w:name="_Toc285638248"/>
      <w:bookmarkStart w:id="285" w:name="_Toc498527870"/>
      <w:bookmarkStart w:id="286" w:name="_Toc13720"/>
      <w:bookmarkStart w:id="287" w:name="_Toc3174"/>
      <w:bookmarkStart w:id="288" w:name="_Toc32055"/>
      <w:bookmarkStart w:id="289" w:name="_Toc4078"/>
      <w:bookmarkStart w:id="290" w:name="_Toc18036"/>
      <w:bookmarkStart w:id="291" w:name="_Toc21033"/>
      <w:bookmarkStart w:id="292" w:name="_Toc6824"/>
      <w:bookmarkStart w:id="293" w:name="_Toc29921"/>
      <w:bookmarkStart w:id="294" w:name="_Toc29018"/>
      <w:bookmarkStart w:id="295" w:name="_Toc526"/>
      <w:bookmarkStart w:id="296" w:name="_Toc5287"/>
      <w:bookmarkStart w:id="297" w:name="_Toc6762"/>
      <w:bookmarkStart w:id="298" w:name="_Toc19549"/>
      <w:bookmarkStart w:id="299" w:name="_Toc19070"/>
      <w:bookmarkStart w:id="300" w:name="_Toc8367"/>
      <w:bookmarkStart w:id="301" w:name="_Toc18558"/>
      <w:bookmarkStart w:id="302" w:name="_Toc31663"/>
      <w:bookmarkStart w:id="303" w:name="_Toc12915"/>
      <w:bookmarkStart w:id="304" w:name="_Toc26815"/>
      <w:bookmarkStart w:id="305" w:name="_Toc17128"/>
      <w:r>
        <w:rPr>
          <w:rFonts w:hint="eastAsia" w:ascii="宋体" w:hAnsi="宋体" w:eastAsia="宋体" w:cs="宋体"/>
          <w:color w:val="auto"/>
          <w:sz w:val="21"/>
          <w:szCs w:val="21"/>
          <w:highlight w:val="none"/>
        </w:rPr>
        <w:t>7．</w:t>
      </w:r>
      <w:bookmarkEnd w:id="275"/>
      <w:bookmarkEnd w:id="276"/>
      <w:bookmarkEnd w:id="277"/>
      <w:bookmarkEnd w:id="278"/>
      <w:bookmarkEnd w:id="279"/>
      <w:bookmarkEnd w:id="280"/>
      <w:bookmarkEnd w:id="281"/>
      <w:bookmarkEnd w:id="282"/>
      <w:bookmarkEnd w:id="283"/>
      <w:bookmarkEnd w:id="284"/>
      <w:bookmarkEnd w:id="285"/>
      <w:bookmarkEnd w:id="286"/>
      <w:bookmarkEnd w:id="287"/>
      <w:r>
        <w:rPr>
          <w:rFonts w:hint="eastAsia" w:ascii="宋体" w:hAnsi="宋体" w:eastAsia="宋体" w:cs="宋体"/>
          <w:color w:val="auto"/>
          <w:sz w:val="21"/>
          <w:szCs w:val="21"/>
          <w:highlight w:val="none"/>
          <w:lang w:eastAsia="zh-CN"/>
        </w:rPr>
        <w:t>磋商</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193D893">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w:t>
      </w:r>
    </w:p>
    <w:p w14:paraId="078202C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人和专家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人组成。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委员会成员人数以及技术、经济等方面专家的确定方式见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7D41F309">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委员会成员有下列情形之一的，应当回避：</w:t>
      </w:r>
    </w:p>
    <w:p w14:paraId="594D88A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的主要负责人的近亲属；</w:t>
      </w:r>
    </w:p>
    <w:p w14:paraId="1949EAB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14:paraId="236A33D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有经济利益关系，可能影响对投标公正评审的；</w:t>
      </w:r>
    </w:p>
    <w:p w14:paraId="422A419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(4）曾因在招标、评标以及其他与招标投标有关活动中从事违法行为而受过行政处罚或刑事处罚的。</w:t>
      </w:r>
    </w:p>
    <w:p w14:paraId="28B2420E">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原则</w:t>
      </w:r>
    </w:p>
    <w:p w14:paraId="3F46A4B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活动遵循公平、公正、科学和择优的原则。</w:t>
      </w:r>
    </w:p>
    <w:p w14:paraId="471EF110">
      <w:pPr>
        <w:pStyle w:val="5"/>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7.3 </w:t>
      </w:r>
      <w:r>
        <w:rPr>
          <w:rFonts w:hint="eastAsia" w:ascii="宋体" w:hAnsi="宋体" w:eastAsia="宋体" w:cs="宋体"/>
          <w:color w:val="auto"/>
          <w:sz w:val="21"/>
          <w:szCs w:val="21"/>
          <w:highlight w:val="none"/>
          <w:lang w:eastAsia="zh-CN"/>
        </w:rPr>
        <w:t>磋商</w:t>
      </w:r>
    </w:p>
    <w:p w14:paraId="07DCF6EB">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委员会按照“评标办法”规定的方法、评审因素、标准和程序对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进行评审。“</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办法”没有规定的方法、评审因素和标准，不作为</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依据。</w:t>
      </w:r>
    </w:p>
    <w:p w14:paraId="15C002B9">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结果的公告</w:t>
      </w:r>
    </w:p>
    <w:p w14:paraId="3A020C1E">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7.4.1采购代理机构应当在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结束后2个工作日内将评标报告送采购人。采购人应当在收到评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报告后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个工作日内，按照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报告中推荐的</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候选人顺序确定</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w:t>
      </w:r>
    </w:p>
    <w:p w14:paraId="58756BE7">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7.4.2采购代理机构应当自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人确定之日起2个工作日内，在省级以上财政部门指定的媒体上公告</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应当随中标结果同时公告，公告期1个工作日。</w:t>
      </w:r>
    </w:p>
    <w:p w14:paraId="6060BAD5">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7.4.3在公告</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结果的同时，采购人或者采购代理机构应当向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人发出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70CDA3EA">
      <w:pPr>
        <w:pageBreakBefore w:val="0"/>
        <w:tabs>
          <w:tab w:val="left" w:pos="360"/>
        </w:tabs>
        <w:wordWrap/>
        <w:topLinePunct w:val="0"/>
        <w:bidi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7.4.4</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通知书发出后，采购人不得违法改变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人无正当理由不得放弃</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w:t>
      </w:r>
    </w:p>
    <w:p w14:paraId="66A59211">
      <w:pPr>
        <w:pageBreakBefore w:val="0"/>
        <w:tabs>
          <w:tab w:val="left" w:pos="360"/>
        </w:tabs>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7.4.5各有关当事人对中标结果有异议的，可以在成交结果公告期限届满之日起七个工作日内，以书面形式同时向采购人和采购代理机构提出质疑(加盖单位公章且法人签字)，由法定代表人或其授权代表携带企业营业执照复印件（加盖公章）及本人身份证件（原件）一并提交（邮寄、传真件不予受理），并以质疑函接收日期作为受理时间。逾期提交或未按照要求提交的质疑函将不予受理。</w:t>
      </w:r>
    </w:p>
    <w:p w14:paraId="6D09CA2C">
      <w:pPr>
        <w:pStyle w:val="4"/>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306" w:name="_Toc13640"/>
      <w:bookmarkStart w:id="307" w:name="_Toc14683"/>
      <w:bookmarkStart w:id="308" w:name="_Toc27642"/>
      <w:bookmarkStart w:id="309" w:name="_Toc18756"/>
      <w:bookmarkStart w:id="310" w:name="_Toc285097638"/>
      <w:bookmarkStart w:id="311" w:name="_Toc12100"/>
      <w:bookmarkStart w:id="312" w:name="_Toc6087"/>
      <w:bookmarkStart w:id="313" w:name="_Toc7178"/>
      <w:bookmarkStart w:id="314" w:name="_Toc6813"/>
      <w:bookmarkStart w:id="315" w:name="_Toc7813"/>
      <w:bookmarkStart w:id="316" w:name="_Toc1759"/>
      <w:bookmarkStart w:id="317" w:name="_Toc19291"/>
      <w:bookmarkStart w:id="318" w:name="_Toc30424"/>
      <w:bookmarkStart w:id="319" w:name="_Toc2871"/>
      <w:bookmarkStart w:id="320" w:name="_Toc30010"/>
      <w:bookmarkStart w:id="321" w:name="_Toc7611"/>
      <w:bookmarkStart w:id="322" w:name="_Toc7898"/>
      <w:bookmarkStart w:id="323" w:name="_Toc12418"/>
      <w:bookmarkStart w:id="324" w:name="_Toc25328"/>
      <w:bookmarkStart w:id="325" w:name="_Toc285638249"/>
      <w:bookmarkStart w:id="326" w:name="_Toc12738"/>
      <w:bookmarkStart w:id="327" w:name="_Toc498527871"/>
      <w:bookmarkStart w:id="328" w:name="_Toc19046"/>
      <w:bookmarkStart w:id="329" w:name="_Toc16937"/>
      <w:bookmarkStart w:id="330" w:name="_Toc11854"/>
      <w:bookmarkStart w:id="331" w:name="_Toc30985"/>
      <w:bookmarkStart w:id="332" w:name="_Toc24745"/>
      <w:bookmarkStart w:id="333" w:name="_Toc26241"/>
      <w:bookmarkStart w:id="334" w:name="_Toc16942"/>
      <w:bookmarkStart w:id="335" w:name="_Toc9657"/>
      <w:bookmarkStart w:id="336" w:name="_Toc184635077"/>
      <w:r>
        <w:rPr>
          <w:rFonts w:hint="eastAsia" w:ascii="宋体" w:hAnsi="宋体" w:eastAsia="宋体" w:cs="宋体"/>
          <w:color w:val="auto"/>
          <w:sz w:val="21"/>
          <w:szCs w:val="21"/>
          <w:highlight w:val="none"/>
          <w:lang w:eastAsia="zh-CN"/>
        </w:rPr>
        <w:t>8．合同授予</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8677AA8">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定标方式</w:t>
      </w:r>
    </w:p>
    <w:p w14:paraId="79FD2C24">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须知前附表规定</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委员会直接确定</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依据评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员会推荐的</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候选人确定</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委员会推荐</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标候选人的人数见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14:paraId="6ADDF56B">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8.2 </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w:t>
      </w:r>
    </w:p>
    <w:p w14:paraId="79935475">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在本章第3.</w:t>
      </w: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款规定的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有效期内，</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以书面形式向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人发出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通知书，同时将</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结果通知未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56756D2C">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签订合同</w:t>
      </w:r>
    </w:p>
    <w:p w14:paraId="5C2F022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9.4.1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人应当自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天内，根据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订立书面合同。</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人无正当理由拒签合同的，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造成的损失，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人还应当予以赔偿。</w:t>
      </w:r>
    </w:p>
    <w:p w14:paraId="4EEF64F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 发出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无正当理由拒签合同的，给</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人造成损失的，还应当赔偿损失。</w:t>
      </w:r>
    </w:p>
    <w:p w14:paraId="1E315F38">
      <w:pPr>
        <w:pStyle w:val="4"/>
        <w:pageBreakBefore w:val="0"/>
        <w:wordWrap/>
        <w:topLinePunct w:val="0"/>
        <w:bidi w:val="0"/>
        <w:spacing w:line="360" w:lineRule="auto"/>
        <w:rPr>
          <w:rFonts w:hint="eastAsia" w:ascii="宋体" w:hAnsi="宋体" w:eastAsia="宋体" w:cs="宋体"/>
          <w:color w:val="auto"/>
          <w:sz w:val="21"/>
          <w:szCs w:val="21"/>
          <w:highlight w:val="none"/>
          <w:lang w:eastAsia="zh-CN"/>
        </w:rPr>
      </w:pPr>
      <w:bookmarkStart w:id="337" w:name="_Toc285097639"/>
      <w:bookmarkStart w:id="338" w:name="_Toc15158"/>
      <w:bookmarkStart w:id="339" w:name="_Toc2370"/>
      <w:bookmarkStart w:id="340" w:name="_Toc184635078"/>
      <w:bookmarkStart w:id="341" w:name="_Toc26201"/>
      <w:bookmarkStart w:id="342" w:name="_Toc10710"/>
      <w:bookmarkStart w:id="343" w:name="_Toc13977"/>
      <w:bookmarkStart w:id="344" w:name="_Toc11272"/>
      <w:bookmarkStart w:id="345" w:name="_Toc31769"/>
      <w:bookmarkStart w:id="346" w:name="_Toc28075"/>
      <w:bookmarkStart w:id="347" w:name="_Toc498527872"/>
      <w:bookmarkStart w:id="348" w:name="_Toc285638250"/>
      <w:bookmarkStart w:id="349" w:name="_Toc27486"/>
      <w:bookmarkStart w:id="350" w:name="_Toc623"/>
      <w:bookmarkStart w:id="351" w:name="_Toc8952"/>
      <w:bookmarkStart w:id="352" w:name="_Toc11219"/>
      <w:bookmarkStart w:id="353" w:name="_Toc28053"/>
      <w:bookmarkStart w:id="354" w:name="_Toc29257"/>
      <w:bookmarkStart w:id="355" w:name="_Toc15679"/>
      <w:bookmarkStart w:id="356" w:name="_Toc26418"/>
      <w:bookmarkStart w:id="357" w:name="_Toc9092"/>
      <w:bookmarkStart w:id="358" w:name="_Toc4172"/>
      <w:bookmarkStart w:id="359" w:name="_Toc10552"/>
      <w:bookmarkStart w:id="360" w:name="_Toc19390"/>
      <w:bookmarkStart w:id="361" w:name="_Toc20054"/>
      <w:bookmarkStart w:id="362" w:name="_Toc26119"/>
      <w:bookmarkStart w:id="363" w:name="_Toc9463"/>
      <w:bookmarkStart w:id="364" w:name="_Toc27237"/>
      <w:bookmarkStart w:id="365" w:name="_Toc20663"/>
      <w:bookmarkStart w:id="366" w:name="_Toc19281"/>
      <w:bookmarkStart w:id="367" w:name="_Toc24191"/>
      <w:r>
        <w:rPr>
          <w:rFonts w:hint="eastAsia" w:ascii="宋体" w:hAnsi="宋体" w:eastAsia="宋体" w:cs="宋体"/>
          <w:color w:val="auto"/>
          <w:sz w:val="21"/>
          <w:szCs w:val="21"/>
          <w:highlight w:val="none"/>
        </w:rPr>
        <w:t>10．重新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和不再</w:t>
      </w:r>
      <w:bookmarkEnd w:id="337"/>
      <w:bookmarkEnd w:id="338"/>
      <w:bookmarkEnd w:id="339"/>
      <w:bookmarkEnd w:id="340"/>
      <w:bookmarkEnd w:id="341"/>
      <w:bookmarkEnd w:id="342"/>
      <w:bookmarkEnd w:id="343"/>
      <w:bookmarkEnd w:id="344"/>
      <w:bookmarkEnd w:id="345"/>
      <w:bookmarkEnd w:id="346"/>
      <w:bookmarkEnd w:id="347"/>
      <w:bookmarkEnd w:id="348"/>
      <w:bookmarkEnd w:id="349"/>
      <w:r>
        <w:rPr>
          <w:rFonts w:hint="eastAsia" w:ascii="宋体" w:hAnsi="宋体" w:eastAsia="宋体" w:cs="宋体"/>
          <w:color w:val="auto"/>
          <w:sz w:val="21"/>
          <w:szCs w:val="21"/>
          <w:highlight w:val="none"/>
          <w:lang w:eastAsia="zh-CN"/>
        </w:rPr>
        <w:t>磋商</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53904F7">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重新招标</w:t>
      </w:r>
    </w:p>
    <w:p w14:paraId="60D49662">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将重新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089A18F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(l）投标截止时间止，</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少于3 个的；</w:t>
      </w:r>
    </w:p>
    <w:p w14:paraId="5BC6E54F">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(2）合格</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不足三家的。</w:t>
      </w:r>
    </w:p>
    <w:p w14:paraId="2CF804E6">
      <w:pPr>
        <w:pStyle w:val="5"/>
        <w:pageBreakBefore w:val="0"/>
        <w:wordWrap/>
        <w:topLinePunct w:val="0"/>
        <w:bidi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10.2 不再</w:t>
      </w:r>
      <w:r>
        <w:rPr>
          <w:rFonts w:hint="eastAsia" w:ascii="宋体" w:hAnsi="宋体" w:eastAsia="宋体" w:cs="宋体"/>
          <w:color w:val="auto"/>
          <w:sz w:val="21"/>
          <w:szCs w:val="21"/>
          <w:highlight w:val="none"/>
          <w:lang w:eastAsia="zh-CN"/>
        </w:rPr>
        <w:t>磋商</w:t>
      </w:r>
    </w:p>
    <w:p w14:paraId="238257D0">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执行有关法律、法规和规章的规定。</w:t>
      </w:r>
    </w:p>
    <w:p w14:paraId="2CB19555">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368" w:name="_Toc285638251"/>
      <w:bookmarkStart w:id="369" w:name="_Toc20228"/>
      <w:bookmarkStart w:id="370" w:name="_Toc21791"/>
      <w:bookmarkStart w:id="371" w:name="_Toc21494"/>
      <w:bookmarkStart w:id="372" w:name="_Toc32035"/>
      <w:bookmarkStart w:id="373" w:name="_Toc11579"/>
      <w:bookmarkStart w:id="374" w:name="_Toc32435"/>
      <w:bookmarkStart w:id="375" w:name="_Toc8408"/>
      <w:bookmarkStart w:id="376" w:name="_Toc16117"/>
      <w:bookmarkStart w:id="377" w:name="_Toc31596"/>
      <w:bookmarkStart w:id="378" w:name="_Toc7884"/>
      <w:bookmarkStart w:id="379" w:name="_Toc10955"/>
      <w:bookmarkStart w:id="380" w:name="_Toc27956"/>
      <w:bookmarkStart w:id="381" w:name="_Toc10480"/>
      <w:bookmarkStart w:id="382" w:name="_Toc27973"/>
      <w:bookmarkStart w:id="383" w:name="_Toc498527873"/>
      <w:bookmarkStart w:id="384" w:name="_Toc184635079"/>
      <w:bookmarkStart w:id="385" w:name="_Toc4972"/>
      <w:bookmarkStart w:id="386" w:name="_Toc14459"/>
      <w:bookmarkStart w:id="387" w:name="_Toc17250"/>
      <w:bookmarkStart w:id="388" w:name="_Toc28632"/>
      <w:bookmarkStart w:id="389" w:name="_Toc15225"/>
      <w:bookmarkStart w:id="390" w:name="_Toc22133"/>
      <w:bookmarkStart w:id="391" w:name="_Toc20038"/>
      <w:bookmarkStart w:id="392" w:name="_Toc285097640"/>
      <w:bookmarkStart w:id="393" w:name="_Toc17891"/>
      <w:bookmarkStart w:id="394" w:name="_Toc25024"/>
      <w:bookmarkStart w:id="395" w:name="_Toc4424"/>
      <w:bookmarkStart w:id="396" w:name="_Toc26460"/>
      <w:bookmarkStart w:id="397" w:name="_Toc15673"/>
      <w:bookmarkStart w:id="398" w:name="_Toc19614"/>
      <w:r>
        <w:rPr>
          <w:rFonts w:hint="eastAsia" w:ascii="宋体" w:hAnsi="宋体" w:eastAsia="宋体" w:cs="宋体"/>
          <w:color w:val="auto"/>
          <w:sz w:val="21"/>
          <w:szCs w:val="21"/>
          <w:highlight w:val="none"/>
        </w:rPr>
        <w:t>11．纪律和监督</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1CA358FE">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的纪律要求</w:t>
      </w:r>
    </w:p>
    <w:p w14:paraId="23432BDE">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不得泄漏招标投标活动中应当保密的情况和资料，不得与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串通损害国家利益、社会公共利益或者他人合法权益。</w:t>
      </w:r>
    </w:p>
    <w:p w14:paraId="3E8F53A7">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的纪律要求</w:t>
      </w:r>
    </w:p>
    <w:p w14:paraId="3F11AEA6">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不得相互串通投标或者与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串通投标，不得向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委员会成员行贿谋取中标，不得以他人名义投标或者以其他方式弄虚作假骗取中标；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不得以任何方式干扰、影响</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工作。</w:t>
      </w:r>
    </w:p>
    <w:p w14:paraId="0016B26A">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对</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委员会成员的纪律要求</w:t>
      </w:r>
    </w:p>
    <w:p w14:paraId="0B069CA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委员会成员不得收受他人的财物或者其他好处，不得向他人透漏对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的评审和比较、</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候选人的推荐情况以及</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有关的其他情况。在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活动中，</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委员会成员不得擅离职守，影响</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程序正常进行，不得使用“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办法”没有规定的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因素和标准进行评标。</w:t>
      </w:r>
    </w:p>
    <w:p w14:paraId="08CC6345">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对与评标活动有关的工作人员的纪律要求</w:t>
      </w:r>
    </w:p>
    <w:p w14:paraId="61AD8ECD">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与评标活动有关的工作人员不得收受他人的财物或者其他好处，不得向他人透漏对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的评审和比较、中标候选人的推荐情况以及评标有关的其他情况。在评标活动中，与评标活动有关的工作人员不得擅离职守，影响评标程序正常进行。</w:t>
      </w:r>
    </w:p>
    <w:p w14:paraId="3AB3F603">
      <w:pPr>
        <w:pStyle w:val="5"/>
        <w:pageBreakBefore w:val="0"/>
        <w:wordWrap/>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投诉</w:t>
      </w:r>
    </w:p>
    <w:p w14:paraId="27C6F4B1">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和其他利害关系人认为本次招标活动违反法律、法规和规章规定的，有权向有关行政监督部门投诉。</w:t>
      </w:r>
    </w:p>
    <w:p w14:paraId="0352D55A">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399" w:name="_Toc18224"/>
      <w:bookmarkStart w:id="400" w:name="_Toc12943"/>
      <w:bookmarkStart w:id="401" w:name="_Toc1628"/>
      <w:bookmarkStart w:id="402" w:name="_Toc16176"/>
      <w:bookmarkStart w:id="403" w:name="_Toc15131"/>
      <w:bookmarkStart w:id="404" w:name="_Toc16129"/>
      <w:bookmarkStart w:id="405" w:name="_Toc6698"/>
      <w:bookmarkStart w:id="406" w:name="_Toc3166"/>
      <w:bookmarkStart w:id="407" w:name="_Toc6629"/>
      <w:bookmarkStart w:id="408" w:name="_Toc804"/>
      <w:bookmarkStart w:id="409" w:name="_Toc12633"/>
      <w:bookmarkStart w:id="410" w:name="_Toc406396999"/>
      <w:bookmarkStart w:id="411" w:name="_Toc26471"/>
      <w:bookmarkStart w:id="412" w:name="_Toc17761"/>
      <w:bookmarkStart w:id="413" w:name="_Toc20225"/>
      <w:bookmarkStart w:id="414" w:name="_Toc542"/>
      <w:bookmarkStart w:id="415" w:name="_Toc30311"/>
      <w:bookmarkStart w:id="416" w:name="_Toc23921"/>
      <w:bookmarkStart w:id="417" w:name="_Toc498527874"/>
      <w:bookmarkStart w:id="418" w:name="_Toc27755"/>
      <w:bookmarkStart w:id="419" w:name="_Toc16328"/>
      <w:bookmarkStart w:id="420" w:name="_Toc22814"/>
      <w:bookmarkStart w:id="421" w:name="_Toc10103"/>
      <w:bookmarkStart w:id="422" w:name="_Toc26405"/>
      <w:bookmarkStart w:id="423" w:name="_Toc5936"/>
      <w:bookmarkStart w:id="424" w:name="_Toc17042"/>
      <w:bookmarkStart w:id="425" w:name="_Toc31012"/>
      <w:bookmarkStart w:id="426" w:name="_Toc28542"/>
      <w:bookmarkStart w:id="427" w:name="_Toc26057"/>
      <w:bookmarkStart w:id="428" w:name="_Toc31223"/>
      <w:bookmarkStart w:id="429" w:name="_Toc285097641"/>
      <w:bookmarkStart w:id="430" w:name="_Toc184635080"/>
      <w:bookmarkStart w:id="431" w:name="_Toc285638252"/>
      <w:r>
        <w:rPr>
          <w:rFonts w:hint="eastAsia" w:ascii="宋体" w:hAnsi="宋体" w:eastAsia="宋体" w:cs="宋体"/>
          <w:color w:val="auto"/>
          <w:sz w:val="21"/>
          <w:szCs w:val="21"/>
          <w:highlight w:val="none"/>
        </w:rPr>
        <w:t>12、政府采购政策</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08D120DF">
      <w:pPr>
        <w:pStyle w:val="25"/>
        <w:pageBreakBefore w:val="0"/>
        <w:wordWrap/>
        <w:topLinePunct w:val="0"/>
        <w:bidi w:val="0"/>
        <w:spacing w:line="360" w:lineRule="auto"/>
        <w:ind w:firstLine="420" w:firstLineChars="200"/>
        <w:jc w:val="both"/>
        <w:rPr>
          <w:rFonts w:hint="eastAsia" w:ascii="宋体" w:hAnsi="宋体" w:eastAsia="宋体" w:cs="宋体"/>
          <w:color w:val="auto"/>
          <w:sz w:val="21"/>
          <w:szCs w:val="21"/>
          <w:highlight w:val="none"/>
        </w:rPr>
      </w:pPr>
      <w:bookmarkStart w:id="432" w:name="_Toc498527875"/>
      <w:r>
        <w:rPr>
          <w:rFonts w:hint="eastAsia" w:ascii="宋体" w:hAnsi="宋体" w:eastAsia="宋体" w:cs="宋体"/>
          <w:bCs/>
          <w:color w:val="auto"/>
          <w:sz w:val="21"/>
          <w:szCs w:val="21"/>
          <w:highlight w:val="none"/>
        </w:rPr>
        <w:t>本项目执行节约能源、保护环境、扶持不发达地区和少数民族地区、促进中小企业发展等政府采购政策（监狱企业、残疾人福利性企业视同小微企业）。</w:t>
      </w:r>
    </w:p>
    <w:p w14:paraId="29831014">
      <w:pPr>
        <w:pStyle w:val="4"/>
        <w:pageBreakBefore w:val="0"/>
        <w:wordWrap/>
        <w:topLinePunct w:val="0"/>
        <w:bidi w:val="0"/>
        <w:spacing w:line="360" w:lineRule="auto"/>
        <w:rPr>
          <w:rFonts w:hint="eastAsia" w:ascii="宋体" w:hAnsi="宋体" w:eastAsia="宋体" w:cs="宋体"/>
          <w:color w:val="auto"/>
          <w:sz w:val="21"/>
          <w:szCs w:val="21"/>
          <w:highlight w:val="none"/>
        </w:rPr>
      </w:pPr>
      <w:bookmarkStart w:id="433" w:name="_Toc24709"/>
      <w:bookmarkStart w:id="434" w:name="_Toc14794"/>
      <w:bookmarkStart w:id="435" w:name="_Toc32291"/>
      <w:bookmarkStart w:id="436" w:name="_Toc3292"/>
      <w:bookmarkStart w:id="437" w:name="_Toc4548"/>
      <w:bookmarkStart w:id="438" w:name="_Toc23218"/>
      <w:bookmarkStart w:id="439" w:name="_Toc25059"/>
      <w:bookmarkStart w:id="440" w:name="_Toc13782"/>
      <w:bookmarkStart w:id="441" w:name="_Toc27214"/>
      <w:bookmarkStart w:id="442" w:name="_Toc5688"/>
      <w:bookmarkStart w:id="443" w:name="_Toc14776"/>
      <w:bookmarkStart w:id="444" w:name="_Toc28692"/>
      <w:bookmarkStart w:id="445" w:name="_Toc17853"/>
      <w:bookmarkStart w:id="446" w:name="_Toc30882"/>
      <w:bookmarkStart w:id="447" w:name="_Toc6554"/>
      <w:bookmarkStart w:id="448" w:name="_Toc3952"/>
      <w:bookmarkStart w:id="449" w:name="_Toc9220"/>
      <w:bookmarkStart w:id="450" w:name="_Toc1331"/>
      <w:bookmarkStart w:id="451" w:name="_Toc8159"/>
      <w:bookmarkStart w:id="452" w:name="_Toc24731"/>
      <w:bookmarkStart w:id="453" w:name="_Toc329"/>
      <w:bookmarkStart w:id="454" w:name="_Toc11780"/>
      <w:bookmarkStart w:id="455" w:name="_Toc26237"/>
      <w:bookmarkStart w:id="456" w:name="_Toc3526"/>
      <w:bookmarkStart w:id="457" w:name="_Toc25585"/>
      <w:bookmarkStart w:id="458" w:name="_Toc15904"/>
      <w:bookmarkStart w:id="459" w:name="_Toc30481"/>
      <w:r>
        <w:rPr>
          <w:rFonts w:hint="eastAsia" w:ascii="宋体" w:hAnsi="宋体" w:eastAsia="宋体" w:cs="宋体"/>
          <w:color w:val="auto"/>
          <w:sz w:val="21"/>
          <w:szCs w:val="21"/>
          <w:highlight w:val="none"/>
        </w:rPr>
        <w:t>13、需要补充的其他内容</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324E47E3">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需要补充的其他内容：见</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w:t>
      </w:r>
    </w:p>
    <w:p w14:paraId="700BEB5C">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br w:type="page"/>
      </w:r>
    </w:p>
    <w:p w14:paraId="42EEE14F">
      <w:pPr>
        <w:pStyle w:val="2"/>
        <w:pageBreakBefore w:val="0"/>
        <w:wordWrap/>
        <w:topLinePunct w:val="0"/>
        <w:bidi w:val="0"/>
        <w:spacing w:line="360" w:lineRule="auto"/>
        <w:jc w:val="center"/>
        <w:rPr>
          <w:rFonts w:hint="eastAsia" w:ascii="宋体" w:hAnsi="宋体" w:eastAsia="宋体" w:cs="宋体"/>
          <w:color w:val="auto"/>
          <w:highlight w:val="none"/>
        </w:rPr>
      </w:pPr>
      <w:bookmarkStart w:id="460" w:name="_Toc31524"/>
      <w:bookmarkStart w:id="461" w:name="_Toc12900"/>
      <w:bookmarkStart w:id="462" w:name="_Toc461"/>
      <w:bookmarkStart w:id="463" w:name="_Toc25569"/>
      <w:bookmarkStart w:id="464" w:name="_Toc24855"/>
      <w:bookmarkStart w:id="465" w:name="_Toc1001"/>
      <w:bookmarkStart w:id="466" w:name="_Toc30182"/>
      <w:bookmarkStart w:id="467" w:name="_Toc25687"/>
      <w:bookmarkStart w:id="468" w:name="_Toc25332"/>
      <w:bookmarkStart w:id="469" w:name="_Toc18995"/>
      <w:bookmarkStart w:id="470" w:name="_Toc16973"/>
      <w:bookmarkStart w:id="471" w:name="_Toc7433_WPSOffice_Level1"/>
      <w:bookmarkStart w:id="472" w:name="_Toc16138"/>
      <w:bookmarkStart w:id="473" w:name="_Toc31771"/>
      <w:bookmarkStart w:id="474" w:name="_Toc24062"/>
      <w:bookmarkStart w:id="475" w:name="_Toc472942903"/>
      <w:bookmarkStart w:id="476" w:name="_Toc18006"/>
      <w:bookmarkStart w:id="477" w:name="_Toc23548"/>
      <w:bookmarkStart w:id="478" w:name="_Toc24051"/>
      <w:bookmarkStart w:id="479" w:name="_Toc15283"/>
      <w:bookmarkStart w:id="480" w:name="_Toc9852"/>
      <w:bookmarkStart w:id="481" w:name="_Toc23594"/>
      <w:bookmarkStart w:id="482" w:name="_Toc4064"/>
      <w:bookmarkStart w:id="483" w:name="_Toc15962"/>
      <w:r>
        <w:rPr>
          <w:rFonts w:hint="eastAsia" w:ascii="宋体" w:hAnsi="宋体" w:eastAsia="宋体" w:cs="宋体"/>
          <w:color w:val="auto"/>
          <w:highlight w:val="none"/>
        </w:rPr>
        <w:t xml:space="preserve">第三章 </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办法</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综合评</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lang w:eastAsia="zh-CN"/>
        </w:rPr>
        <w:t>法</w:t>
      </w:r>
      <w:r>
        <w:rPr>
          <w:rFonts w:hint="eastAsia" w:ascii="宋体" w:hAnsi="宋体" w:eastAsia="宋体" w:cs="宋体"/>
          <w:color w:val="auto"/>
          <w:highlight w:val="none"/>
        </w:rPr>
        <w:t>）</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42D03FC0">
      <w:pPr>
        <w:pageBreakBefore w:val="0"/>
        <w:wordWrap/>
        <w:topLinePunct w:val="0"/>
        <w:bidi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磋商办法前附表</w:t>
      </w:r>
    </w:p>
    <w:tbl>
      <w:tblPr>
        <w:tblStyle w:val="22"/>
        <w:tblW w:w="9461" w:type="dxa"/>
        <w:jc w:val="center"/>
        <w:tblLayout w:type="fixed"/>
        <w:tblCellMar>
          <w:top w:w="0" w:type="dxa"/>
          <w:left w:w="0" w:type="dxa"/>
          <w:bottom w:w="0" w:type="dxa"/>
          <w:right w:w="0" w:type="dxa"/>
        </w:tblCellMar>
      </w:tblPr>
      <w:tblGrid>
        <w:gridCol w:w="1046"/>
        <w:gridCol w:w="752"/>
        <w:gridCol w:w="737"/>
        <w:gridCol w:w="1433"/>
        <w:gridCol w:w="497"/>
        <w:gridCol w:w="4996"/>
      </w:tblGrid>
      <w:tr w14:paraId="638E80D2">
        <w:tblPrEx>
          <w:tblCellMar>
            <w:top w:w="0" w:type="dxa"/>
            <w:left w:w="0" w:type="dxa"/>
            <w:bottom w:w="0" w:type="dxa"/>
            <w:right w:w="0" w:type="dxa"/>
          </w:tblCellMar>
        </w:tblPrEx>
        <w:trPr>
          <w:trHeight w:val="405" w:hRule="atLeast"/>
          <w:jc w:val="center"/>
        </w:trPr>
        <w:tc>
          <w:tcPr>
            <w:tcW w:w="1798" w:type="dxa"/>
            <w:gridSpan w:val="2"/>
            <w:tcBorders>
              <w:top w:val="single" w:color="auto" w:sz="4" w:space="0"/>
              <w:left w:val="single" w:color="auto" w:sz="4" w:space="0"/>
              <w:bottom w:val="single" w:color="000000" w:sz="4" w:space="0"/>
              <w:right w:val="single" w:color="000000" w:sz="4" w:space="0"/>
            </w:tcBorders>
            <w:noWrap w:val="0"/>
            <w:vAlign w:val="center"/>
          </w:tcPr>
          <w:p w14:paraId="7E5D0F61">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评审品目</w:t>
            </w:r>
          </w:p>
        </w:tc>
        <w:tc>
          <w:tcPr>
            <w:tcW w:w="2667" w:type="dxa"/>
            <w:gridSpan w:val="3"/>
            <w:tcBorders>
              <w:top w:val="single" w:color="auto" w:sz="4" w:space="0"/>
              <w:left w:val="single" w:color="000000" w:sz="4" w:space="0"/>
              <w:bottom w:val="single" w:color="000000" w:sz="4" w:space="0"/>
              <w:right w:val="single" w:color="000000" w:sz="4" w:space="0"/>
            </w:tcBorders>
            <w:noWrap w:val="0"/>
            <w:vAlign w:val="center"/>
          </w:tcPr>
          <w:p w14:paraId="7B08D408">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4996" w:type="dxa"/>
            <w:tcBorders>
              <w:top w:val="single" w:color="auto" w:sz="4" w:space="0"/>
              <w:left w:val="single" w:color="000000" w:sz="4" w:space="0"/>
              <w:bottom w:val="single" w:color="000000" w:sz="4" w:space="0"/>
              <w:right w:val="single" w:color="auto" w:sz="4" w:space="0"/>
            </w:tcBorders>
            <w:noWrap w:val="0"/>
            <w:vAlign w:val="center"/>
          </w:tcPr>
          <w:p w14:paraId="3525C49A">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4E4C666E">
        <w:tblPrEx>
          <w:tblCellMar>
            <w:top w:w="0" w:type="dxa"/>
            <w:left w:w="0" w:type="dxa"/>
            <w:bottom w:w="0" w:type="dxa"/>
            <w:right w:w="0" w:type="dxa"/>
          </w:tblCellMar>
        </w:tblPrEx>
        <w:trPr>
          <w:trHeight w:val="423" w:hRule="atLeast"/>
          <w:jc w:val="center"/>
        </w:trPr>
        <w:tc>
          <w:tcPr>
            <w:tcW w:w="9461" w:type="dxa"/>
            <w:gridSpan w:val="6"/>
            <w:tcBorders>
              <w:top w:val="single" w:color="auto" w:sz="4" w:space="0"/>
              <w:left w:val="single" w:color="auto" w:sz="4" w:space="0"/>
              <w:bottom w:val="single" w:color="000000" w:sz="4" w:space="0"/>
              <w:right w:val="single" w:color="auto" w:sz="4" w:space="0"/>
            </w:tcBorders>
            <w:noWrap w:val="0"/>
            <w:vAlign w:val="center"/>
          </w:tcPr>
          <w:p w14:paraId="7C969590">
            <w:pPr>
              <w:pageBreakBefore w:val="0"/>
              <w:wordWrap/>
              <w:topLinePunct w:val="0"/>
              <w:bidi w:val="0"/>
              <w:spacing w:before="50"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初步评审</w:t>
            </w:r>
          </w:p>
        </w:tc>
      </w:tr>
      <w:tr w14:paraId="4A048153">
        <w:tblPrEx>
          <w:tblCellMar>
            <w:top w:w="0" w:type="dxa"/>
            <w:left w:w="0" w:type="dxa"/>
            <w:bottom w:w="0" w:type="dxa"/>
            <w:right w:w="0" w:type="dxa"/>
          </w:tblCellMar>
        </w:tblPrEx>
        <w:trPr>
          <w:trHeight w:val="567" w:hRule="atLeast"/>
          <w:jc w:val="center"/>
        </w:trPr>
        <w:tc>
          <w:tcPr>
            <w:tcW w:w="1798" w:type="dxa"/>
            <w:gridSpan w:val="2"/>
            <w:vMerge w:val="restart"/>
            <w:tcBorders>
              <w:top w:val="single" w:color="000000" w:sz="4" w:space="0"/>
              <w:left w:val="single" w:color="auto" w:sz="4" w:space="0"/>
              <w:right w:val="single" w:color="000000" w:sz="4" w:space="0"/>
            </w:tcBorders>
            <w:noWrap w:val="0"/>
            <w:vAlign w:val="center"/>
          </w:tcPr>
          <w:p w14:paraId="457E1F88">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w:t>
            </w:r>
          </w:p>
        </w:tc>
        <w:tc>
          <w:tcPr>
            <w:tcW w:w="2667" w:type="dxa"/>
            <w:gridSpan w:val="3"/>
            <w:tcBorders>
              <w:top w:val="single" w:color="000000" w:sz="4" w:space="0"/>
              <w:left w:val="single" w:color="000000" w:sz="4" w:space="0"/>
              <w:bottom w:val="single" w:color="000000" w:sz="4" w:space="0"/>
              <w:right w:val="single" w:color="000000" w:sz="4" w:space="0"/>
            </w:tcBorders>
            <w:noWrap w:val="0"/>
            <w:vAlign w:val="center"/>
          </w:tcPr>
          <w:p w14:paraId="3A8D6CD0">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4996" w:type="dxa"/>
            <w:tcBorders>
              <w:top w:val="single" w:color="000000" w:sz="4" w:space="0"/>
              <w:left w:val="single" w:color="000000" w:sz="4" w:space="0"/>
              <w:bottom w:val="single" w:color="000000" w:sz="4" w:space="0"/>
              <w:right w:val="single" w:color="auto" w:sz="4" w:space="0"/>
            </w:tcBorders>
            <w:noWrap w:val="0"/>
            <w:vAlign w:val="center"/>
          </w:tcPr>
          <w:p w14:paraId="10F4499E">
            <w:pPr>
              <w:pageBreakBefore w:val="0"/>
              <w:wordWrap/>
              <w:topLinePunct w:val="0"/>
              <w:bidi w:val="0"/>
              <w:spacing w:before="50" w:line="360" w:lineRule="auto"/>
              <w:ind w:right="97" w:rightChars="0" w:firstLine="58" w:firstLineChars="2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37EF020F">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000000" w:sz="4" w:space="0"/>
            </w:tcBorders>
            <w:noWrap w:val="0"/>
            <w:vAlign w:val="center"/>
          </w:tcPr>
          <w:p w14:paraId="73813371">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000000" w:sz="4" w:space="0"/>
              <w:left w:val="single" w:color="000000" w:sz="4" w:space="0"/>
              <w:bottom w:val="single" w:color="000000" w:sz="4" w:space="0"/>
              <w:right w:val="single" w:color="000000" w:sz="4" w:space="0"/>
            </w:tcBorders>
            <w:noWrap w:val="0"/>
            <w:vAlign w:val="center"/>
          </w:tcPr>
          <w:p w14:paraId="1C05A45A">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磋商响应函签章</w:t>
            </w:r>
          </w:p>
        </w:tc>
        <w:tc>
          <w:tcPr>
            <w:tcW w:w="4996" w:type="dxa"/>
            <w:tcBorders>
              <w:top w:val="single" w:color="000000" w:sz="4" w:space="0"/>
              <w:left w:val="single" w:color="000000" w:sz="4" w:space="0"/>
              <w:bottom w:val="single" w:color="000000" w:sz="4" w:space="0"/>
              <w:right w:val="single" w:color="auto" w:sz="4" w:space="0"/>
            </w:tcBorders>
            <w:noWrap w:val="0"/>
            <w:vAlign w:val="center"/>
          </w:tcPr>
          <w:p w14:paraId="59E4A50B">
            <w:pPr>
              <w:pageBreakBefore w:val="0"/>
              <w:wordWrap/>
              <w:topLinePunct w:val="0"/>
              <w:bidi w:val="0"/>
              <w:spacing w:before="50" w:line="360" w:lineRule="auto"/>
              <w:ind w:right="97" w:rightChars="0" w:firstLine="58" w:firstLineChars="2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符合磋商文件规定</w:t>
            </w:r>
          </w:p>
        </w:tc>
      </w:tr>
      <w:tr w14:paraId="1A1180F5">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000000" w:sz="4" w:space="0"/>
            </w:tcBorders>
            <w:noWrap w:val="0"/>
            <w:vAlign w:val="center"/>
          </w:tcPr>
          <w:p w14:paraId="085AB7A2">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000000" w:sz="4" w:space="0"/>
              <w:left w:val="single" w:color="000000" w:sz="4" w:space="0"/>
              <w:bottom w:val="single" w:color="000000" w:sz="4" w:space="0"/>
              <w:right w:val="single" w:color="000000" w:sz="4" w:space="0"/>
            </w:tcBorders>
            <w:noWrap w:val="0"/>
            <w:vAlign w:val="center"/>
          </w:tcPr>
          <w:p w14:paraId="0AC2F896">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4996" w:type="dxa"/>
            <w:tcBorders>
              <w:top w:val="single" w:color="000000" w:sz="4" w:space="0"/>
              <w:left w:val="single" w:color="000000" w:sz="4" w:space="0"/>
              <w:bottom w:val="single" w:color="000000" w:sz="4" w:space="0"/>
              <w:right w:val="single" w:color="auto" w:sz="4" w:space="0"/>
            </w:tcBorders>
            <w:noWrap w:val="0"/>
            <w:vAlign w:val="center"/>
          </w:tcPr>
          <w:p w14:paraId="01100CE4">
            <w:pPr>
              <w:pageBreakBefore w:val="0"/>
              <w:wordWrap/>
              <w:topLinePunct w:val="0"/>
              <w:bidi w:val="0"/>
              <w:spacing w:before="50" w:line="360" w:lineRule="auto"/>
              <w:ind w:right="97" w:rightChars="0" w:firstLine="58" w:firstLineChars="28"/>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只能有一个有效报价，且未超出该项目</w:t>
            </w:r>
            <w:r>
              <w:rPr>
                <w:rFonts w:hint="eastAsia" w:ascii="宋体" w:hAnsi="宋体" w:eastAsia="宋体" w:cs="宋体"/>
                <w:color w:val="auto"/>
                <w:sz w:val="21"/>
                <w:szCs w:val="21"/>
                <w:highlight w:val="none"/>
                <w:lang w:val="en-US" w:eastAsia="zh-CN"/>
              </w:rPr>
              <w:t>控制价</w:t>
            </w:r>
          </w:p>
        </w:tc>
      </w:tr>
      <w:tr w14:paraId="278E26B8">
        <w:tblPrEx>
          <w:tblCellMar>
            <w:top w:w="0" w:type="dxa"/>
            <w:left w:w="0" w:type="dxa"/>
            <w:bottom w:w="0" w:type="dxa"/>
            <w:right w:w="0" w:type="dxa"/>
          </w:tblCellMar>
        </w:tblPrEx>
        <w:trPr>
          <w:trHeight w:val="567" w:hRule="atLeast"/>
          <w:jc w:val="center"/>
        </w:trPr>
        <w:tc>
          <w:tcPr>
            <w:tcW w:w="1798" w:type="dxa"/>
            <w:gridSpan w:val="2"/>
            <w:vMerge w:val="restart"/>
            <w:tcBorders>
              <w:top w:val="single" w:color="auto" w:sz="4" w:space="0"/>
              <w:left w:val="single" w:color="auto" w:sz="4" w:space="0"/>
              <w:right w:val="single" w:color="auto" w:sz="4" w:space="0"/>
            </w:tcBorders>
            <w:noWrap w:val="0"/>
            <w:vAlign w:val="center"/>
          </w:tcPr>
          <w:p w14:paraId="599A80F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66C7DC59">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须具备《中华人民共和国政府采购法》第二十二条规定 </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11A7FDE1">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1FB4AF6D">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5828D6F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64D3FB6A">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落实的政府采购政策</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02B04451">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501BC4ED">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2DFC99DA">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27A7ACD4">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营业执照</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593DB59C">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34F461F6">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1A7A25D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5419B8D4">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49CC0C14">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5DE1FB18">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5F4682EE">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74437899">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单位负责人为同一人或存在直接控股、管理关系的不同供应商，不得参加同一合同项下的政府采购活动</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3EBC6D13">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53507D9E">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bottom w:val="single" w:color="auto" w:sz="4" w:space="0"/>
              <w:right w:val="single" w:color="auto" w:sz="4" w:space="0"/>
            </w:tcBorders>
            <w:noWrap w:val="0"/>
            <w:vAlign w:val="center"/>
          </w:tcPr>
          <w:p w14:paraId="29819CAC">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top"/>
          </w:tcPr>
          <w:p w14:paraId="0284BF08">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其他</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0F95B236">
            <w:pPr>
              <w:pageBreakBefore w:val="0"/>
              <w:wordWrap/>
              <w:topLinePunct w:val="0"/>
              <w:bidi w:val="0"/>
              <w:spacing w:before="50" w:line="360" w:lineRule="auto"/>
              <w:ind w:right="97" w:rightChars="0"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符合第二章“供应商须知前附表”第1.4.1项规定</w:t>
            </w:r>
          </w:p>
        </w:tc>
      </w:tr>
      <w:tr w14:paraId="2713059A">
        <w:tblPrEx>
          <w:tblCellMar>
            <w:top w:w="0" w:type="dxa"/>
            <w:left w:w="0" w:type="dxa"/>
            <w:bottom w:w="0" w:type="dxa"/>
            <w:right w:w="0" w:type="dxa"/>
          </w:tblCellMar>
        </w:tblPrEx>
        <w:trPr>
          <w:trHeight w:val="567" w:hRule="atLeast"/>
          <w:jc w:val="center"/>
        </w:trPr>
        <w:tc>
          <w:tcPr>
            <w:tcW w:w="1798" w:type="dxa"/>
            <w:gridSpan w:val="2"/>
            <w:vMerge w:val="restart"/>
            <w:tcBorders>
              <w:top w:val="single" w:color="auto" w:sz="4" w:space="0"/>
              <w:left w:val="single" w:color="auto" w:sz="4" w:space="0"/>
              <w:right w:val="single" w:color="auto" w:sz="4" w:space="0"/>
            </w:tcBorders>
            <w:noWrap w:val="0"/>
            <w:vAlign w:val="center"/>
          </w:tcPr>
          <w:p w14:paraId="00E22A1B">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w:t>
            </w: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305EAE5A">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范围</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3A3ECD5C">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w:t>
            </w:r>
            <w:r>
              <w:rPr>
                <w:rFonts w:hint="eastAsia" w:hAnsi="宋体" w:cs="宋体"/>
                <w:color w:val="auto"/>
                <w:sz w:val="21"/>
                <w:szCs w:val="21"/>
                <w:highlight w:val="none"/>
                <w:lang w:val="en-US" w:eastAsia="zh-CN"/>
              </w:rPr>
              <w:t>章</w:t>
            </w:r>
            <w:r>
              <w:rPr>
                <w:rFonts w:hint="eastAsia" w:ascii="宋体" w:hAnsi="宋体" w:eastAsia="宋体" w:cs="宋体"/>
                <w:color w:val="auto"/>
                <w:sz w:val="21"/>
                <w:szCs w:val="21"/>
                <w:highlight w:val="none"/>
              </w:rPr>
              <w:t>“供应商须知”第1.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.1项规定</w:t>
            </w:r>
          </w:p>
        </w:tc>
      </w:tr>
      <w:tr w14:paraId="4EC72A6D">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06B2AF79">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648C78AB">
            <w:pPr>
              <w:pageBreakBefore w:val="0"/>
              <w:wordWrap/>
              <w:topLinePunct w:val="0"/>
              <w:bidi w:val="0"/>
              <w:spacing w:before="50" w:line="360" w:lineRule="auto"/>
              <w:ind w:right="97" w:firstLine="58" w:firstLineChars="28"/>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服务期限</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7E94EE63">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w:t>
            </w:r>
            <w:r>
              <w:rPr>
                <w:rFonts w:hint="eastAsia" w:hAnsi="宋体" w:cs="宋体"/>
                <w:color w:val="auto"/>
                <w:sz w:val="21"/>
                <w:szCs w:val="21"/>
                <w:highlight w:val="none"/>
                <w:lang w:val="en-US" w:eastAsia="zh-CN"/>
              </w:rPr>
              <w:t>章</w:t>
            </w:r>
            <w:r>
              <w:rPr>
                <w:rFonts w:hint="eastAsia" w:ascii="宋体" w:hAnsi="宋体" w:eastAsia="宋体" w:cs="宋体"/>
                <w:color w:val="auto"/>
                <w:sz w:val="21"/>
                <w:szCs w:val="21"/>
                <w:highlight w:val="none"/>
              </w:rPr>
              <w:t>“供应商须知”第1.</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项规定</w:t>
            </w:r>
          </w:p>
        </w:tc>
      </w:tr>
      <w:tr w14:paraId="0EE41576">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3F817F80">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4B7F9844">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676EC112">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w:t>
            </w:r>
            <w:r>
              <w:rPr>
                <w:rFonts w:hint="eastAsia" w:hAnsi="宋体" w:cs="宋体"/>
                <w:color w:val="auto"/>
                <w:sz w:val="21"/>
                <w:szCs w:val="21"/>
                <w:highlight w:val="none"/>
                <w:lang w:val="en-US" w:eastAsia="zh-CN"/>
              </w:rPr>
              <w:t>章</w:t>
            </w:r>
            <w:r>
              <w:rPr>
                <w:rFonts w:hint="eastAsia" w:ascii="宋体" w:hAnsi="宋体" w:eastAsia="宋体" w:cs="宋体"/>
                <w:color w:val="auto"/>
                <w:sz w:val="21"/>
                <w:szCs w:val="21"/>
                <w:highlight w:val="none"/>
              </w:rPr>
              <w:t>“供应商须知”第1.</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项规定</w:t>
            </w:r>
          </w:p>
        </w:tc>
      </w:tr>
      <w:tr w14:paraId="43E54369">
        <w:tblPrEx>
          <w:tblCellMar>
            <w:top w:w="0" w:type="dxa"/>
            <w:left w:w="0" w:type="dxa"/>
            <w:bottom w:w="0" w:type="dxa"/>
            <w:right w:w="0" w:type="dxa"/>
          </w:tblCellMar>
        </w:tblPrEx>
        <w:trPr>
          <w:trHeight w:val="567" w:hRule="atLeast"/>
          <w:jc w:val="center"/>
        </w:trPr>
        <w:tc>
          <w:tcPr>
            <w:tcW w:w="1798" w:type="dxa"/>
            <w:gridSpan w:val="2"/>
            <w:vMerge w:val="continue"/>
            <w:tcBorders>
              <w:left w:val="single" w:color="auto" w:sz="4" w:space="0"/>
              <w:right w:val="single" w:color="auto" w:sz="4" w:space="0"/>
            </w:tcBorders>
            <w:noWrap w:val="0"/>
            <w:vAlign w:val="center"/>
          </w:tcPr>
          <w:p w14:paraId="0FE67D15">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p>
        </w:tc>
        <w:tc>
          <w:tcPr>
            <w:tcW w:w="2667" w:type="dxa"/>
            <w:gridSpan w:val="3"/>
            <w:tcBorders>
              <w:top w:val="single" w:color="auto" w:sz="4" w:space="0"/>
              <w:left w:val="single" w:color="auto" w:sz="4" w:space="0"/>
              <w:bottom w:val="single" w:color="auto" w:sz="4" w:space="0"/>
              <w:right w:val="single" w:color="auto" w:sz="4" w:space="0"/>
            </w:tcBorders>
            <w:noWrap w:val="0"/>
            <w:vAlign w:val="center"/>
          </w:tcPr>
          <w:p w14:paraId="31118E50">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w:t>
            </w:r>
          </w:p>
        </w:tc>
        <w:tc>
          <w:tcPr>
            <w:tcW w:w="4996" w:type="dxa"/>
            <w:tcBorders>
              <w:top w:val="single" w:color="auto" w:sz="4" w:space="0"/>
              <w:left w:val="single" w:color="auto" w:sz="4" w:space="0"/>
              <w:bottom w:val="single" w:color="auto" w:sz="4" w:space="0"/>
              <w:right w:val="single" w:color="auto" w:sz="4" w:space="0"/>
            </w:tcBorders>
            <w:noWrap w:val="0"/>
            <w:vAlign w:val="center"/>
          </w:tcPr>
          <w:p w14:paraId="648D87F6">
            <w:pPr>
              <w:pageBreakBefore w:val="0"/>
              <w:wordWrap/>
              <w:topLinePunct w:val="0"/>
              <w:bidi w:val="0"/>
              <w:spacing w:before="50" w:line="360" w:lineRule="auto"/>
              <w:ind w:right="97" w:firstLine="58" w:firstLineChars="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w:t>
            </w:r>
            <w:r>
              <w:rPr>
                <w:rFonts w:hint="eastAsia" w:hAnsi="宋体" w:cs="宋体"/>
                <w:color w:val="auto"/>
                <w:sz w:val="21"/>
                <w:szCs w:val="21"/>
                <w:highlight w:val="none"/>
                <w:lang w:val="en-US" w:eastAsia="zh-CN"/>
              </w:rPr>
              <w:t>章</w:t>
            </w:r>
            <w:r>
              <w:rPr>
                <w:rFonts w:hint="eastAsia" w:ascii="宋体" w:hAnsi="宋体" w:eastAsia="宋体" w:cs="宋体"/>
                <w:color w:val="auto"/>
                <w:sz w:val="21"/>
                <w:szCs w:val="21"/>
                <w:highlight w:val="none"/>
              </w:rPr>
              <w:t>“供应商须知”第</w:t>
            </w:r>
            <w:r>
              <w:rPr>
                <w:rFonts w:hint="eastAsia" w:ascii="宋体" w:hAnsi="宋体" w:eastAsia="宋体" w:cs="宋体"/>
                <w:color w:val="auto"/>
                <w:sz w:val="21"/>
                <w:szCs w:val="21"/>
                <w:highlight w:val="none"/>
                <w:lang w:val="en-US" w:eastAsia="zh-CN"/>
              </w:rPr>
              <w:t>3.4.1</w:t>
            </w:r>
            <w:r>
              <w:rPr>
                <w:rFonts w:hint="eastAsia" w:ascii="宋体" w:hAnsi="宋体" w:eastAsia="宋体" w:cs="宋体"/>
                <w:color w:val="auto"/>
                <w:sz w:val="21"/>
                <w:szCs w:val="21"/>
                <w:highlight w:val="none"/>
              </w:rPr>
              <w:t>项规定</w:t>
            </w:r>
          </w:p>
        </w:tc>
      </w:tr>
      <w:tr w14:paraId="17FC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9461" w:type="dxa"/>
            <w:gridSpan w:val="6"/>
            <w:noWrap w:val="0"/>
            <w:vAlign w:val="center"/>
          </w:tcPr>
          <w:p w14:paraId="505ADA77">
            <w:pPr>
              <w:pageBreakBefore w:val="0"/>
              <w:wordWrap/>
              <w:topLinePunct w:val="0"/>
              <w:bidi w:val="0"/>
              <w:spacing w:line="360" w:lineRule="auto"/>
              <w:ind w:right="97" w:firstLine="59" w:firstLineChars="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详细评审</w:t>
            </w:r>
          </w:p>
        </w:tc>
      </w:tr>
      <w:tr w14:paraId="2F4C9C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046" w:type="dxa"/>
            <w:noWrap w:val="0"/>
            <w:vAlign w:val="center"/>
          </w:tcPr>
          <w:p w14:paraId="08490999">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14:paraId="7539FFBB">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489" w:type="dxa"/>
            <w:gridSpan w:val="2"/>
            <w:noWrap w:val="0"/>
            <w:vAlign w:val="center"/>
          </w:tcPr>
          <w:p w14:paraId="26CF631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1433" w:type="dxa"/>
            <w:noWrap w:val="0"/>
            <w:vAlign w:val="center"/>
          </w:tcPr>
          <w:p w14:paraId="71B4D1E6">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分值范围</w:t>
            </w:r>
          </w:p>
        </w:tc>
        <w:tc>
          <w:tcPr>
            <w:tcW w:w="5493" w:type="dxa"/>
            <w:gridSpan w:val="2"/>
            <w:noWrap w:val="0"/>
            <w:vAlign w:val="center"/>
          </w:tcPr>
          <w:p w14:paraId="4929C133">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评定原则</w:t>
            </w:r>
          </w:p>
        </w:tc>
      </w:tr>
      <w:tr w14:paraId="721E0D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1" w:hRule="atLeast"/>
          <w:jc w:val="center"/>
        </w:trPr>
        <w:tc>
          <w:tcPr>
            <w:tcW w:w="1046" w:type="dxa"/>
            <w:noWrap w:val="0"/>
            <w:vAlign w:val="center"/>
          </w:tcPr>
          <w:p w14:paraId="3A91EFAA">
            <w:pPr>
              <w:pageBreakBefore w:val="0"/>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投标报价评分标准</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tc>
        <w:tc>
          <w:tcPr>
            <w:tcW w:w="1489" w:type="dxa"/>
            <w:gridSpan w:val="2"/>
            <w:noWrap w:val="0"/>
            <w:vAlign w:val="center"/>
          </w:tcPr>
          <w:p w14:paraId="5E56B54A">
            <w:pPr>
              <w:pageBreakBefore w:val="0"/>
              <w:wordWrap/>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w:t>
            </w:r>
          </w:p>
        </w:tc>
        <w:tc>
          <w:tcPr>
            <w:tcW w:w="1433" w:type="dxa"/>
            <w:noWrap w:val="0"/>
            <w:vAlign w:val="center"/>
          </w:tcPr>
          <w:p w14:paraId="698715D9">
            <w:pPr>
              <w:pageBreakBefore w:val="0"/>
              <w:wordWrap/>
              <w:topLinePunct w:val="0"/>
              <w:bidi w:val="0"/>
              <w:spacing w:line="360" w:lineRule="auto"/>
              <w:jc w:val="center"/>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tc>
        <w:tc>
          <w:tcPr>
            <w:tcW w:w="5493" w:type="dxa"/>
            <w:gridSpan w:val="2"/>
            <w:noWrap w:val="0"/>
            <w:vAlign w:val="top"/>
          </w:tcPr>
          <w:p w14:paraId="4FFF9320">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投标报价低于控制价且通过初步评审的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为有效投标人。</w:t>
            </w:r>
          </w:p>
          <w:p w14:paraId="2EC520DE">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价格分统一采用低价优先法计算，即满足竞争性磋商文件要求且二次磋商报价最低的投标报价为评标基准价：</w:t>
            </w:r>
          </w:p>
          <w:p w14:paraId="25114B6A">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 (评标基准价/</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报价)×</w:t>
            </w:r>
            <w:r>
              <w:rPr>
                <w:rFonts w:hint="eastAsia"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p w14:paraId="1DE3E356">
            <w:pPr>
              <w:pageBreakBefore w:val="0"/>
              <w:wordWrap/>
              <w:topLinePunct w:val="0"/>
              <w:bidi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注：因本项目为专门面向中小企业，小型、微型、监狱企业、残疾人福利性单位，投标报价不再进行评标报价的扣除。</w:t>
            </w:r>
          </w:p>
          <w:p w14:paraId="449AB977">
            <w:pPr>
              <w:pageBreakBefore w:val="0"/>
              <w:wordWrap/>
              <w:topLinePunct w:val="0"/>
              <w:bidi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参加投标的小微企业，应当按照《政府采购促进中小企业发展管理办法》（财库〔2020〕46 号）的规定提供《中小企业声明函》，中小企业划型标准详见《关于印发中小企业划型标准规定的通知》工信部联企业〔2011〕300 号。</w:t>
            </w:r>
          </w:p>
          <w:p w14:paraId="071166E4">
            <w:pPr>
              <w:pageBreakBefore w:val="0"/>
              <w:wordWrap/>
              <w:topLinePunct w:val="0"/>
              <w:bidi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监狱企业参加政府采购活动时，应当提供由省级以上监狱管理局、戒毒管理局（含新疆生产建设兵团）出具的属于监狱企业的证明文件。</w:t>
            </w:r>
          </w:p>
          <w:p w14:paraId="0FE96C1E">
            <w:pPr>
              <w:pageBreakBefore w:val="0"/>
              <w:wordWrap/>
              <w:topLinePunct w:val="0"/>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根据财库〔2017〕141号《三部门联合发布关于促进残疾人就业政府采购政策的通知》残疾人福利性单位视同小型、微型企业，残疾人福利性单位在参加政府采购活动时提供《残疾人福利性单位声明函》，不再提供《中小微企业声明函》</w:t>
            </w:r>
            <w:r>
              <w:rPr>
                <w:rFonts w:hint="eastAsia"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lang w:val="en-US" w:eastAsia="zh-CN"/>
              </w:rPr>
              <w:t>在《残疾人福利性单位声明函》中的承诺如有虚假，其中标资格将被取消，并根据相关规定进行处罚。</w:t>
            </w:r>
          </w:p>
        </w:tc>
      </w:tr>
      <w:tr w14:paraId="76066E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9" w:hRule="atLeast"/>
          <w:jc w:val="center"/>
        </w:trPr>
        <w:tc>
          <w:tcPr>
            <w:tcW w:w="1046" w:type="dxa"/>
            <w:vMerge w:val="restart"/>
            <w:noWrap w:val="0"/>
            <w:vAlign w:val="center"/>
          </w:tcPr>
          <w:p w14:paraId="54A10DD2">
            <w:pPr>
              <w:pageBreakBefore w:val="0"/>
              <w:wordWrap/>
              <w:topLinePunct w:val="0"/>
              <w:bidi w:val="0"/>
              <w:spacing w:line="360" w:lineRule="auto"/>
              <w:jc w:val="center"/>
              <w:rPr>
                <w:rFonts w:hint="eastAsia" w:ascii="宋体" w:hAnsi="宋体" w:eastAsia="宋体" w:cs="宋体"/>
                <w:b/>
                <w:bCs/>
                <w:color w:val="auto"/>
                <w:sz w:val="21"/>
                <w:szCs w:val="21"/>
                <w:highlight w:val="none"/>
              </w:rPr>
            </w:pPr>
          </w:p>
          <w:p w14:paraId="2E5037A0">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技术部分</w:t>
            </w:r>
            <w:r>
              <w:rPr>
                <w:rFonts w:hint="eastAsia" w:ascii="宋体" w:hAnsi="宋体" w:eastAsia="宋体" w:cs="宋体"/>
                <w:b/>
                <w:color w:val="auto"/>
                <w:kern w:val="2"/>
                <w:sz w:val="21"/>
                <w:szCs w:val="21"/>
                <w:highlight w:val="none"/>
              </w:rPr>
              <w:t>（</w:t>
            </w:r>
            <w:r>
              <w:rPr>
                <w:rFonts w:hint="eastAsia" w:hAnsi="宋体" w:cs="宋体"/>
                <w:b/>
                <w:color w:val="auto"/>
                <w:kern w:val="2"/>
                <w:sz w:val="21"/>
                <w:szCs w:val="21"/>
                <w:highlight w:val="none"/>
                <w:lang w:val="en-US" w:eastAsia="zh-CN"/>
              </w:rPr>
              <w:t>70</w:t>
            </w:r>
            <w:r>
              <w:rPr>
                <w:rFonts w:hint="eastAsia" w:ascii="宋体" w:hAnsi="宋体" w:eastAsia="宋体" w:cs="宋体"/>
                <w:b/>
                <w:color w:val="auto"/>
                <w:kern w:val="2"/>
                <w:sz w:val="21"/>
                <w:szCs w:val="21"/>
                <w:highlight w:val="none"/>
              </w:rPr>
              <w:t>分）</w:t>
            </w:r>
          </w:p>
        </w:tc>
        <w:tc>
          <w:tcPr>
            <w:tcW w:w="1489" w:type="dxa"/>
            <w:gridSpan w:val="2"/>
            <w:noWrap w:val="0"/>
            <w:vAlign w:val="center"/>
          </w:tcPr>
          <w:p w14:paraId="7B9B4651">
            <w:pPr>
              <w:pStyle w:val="12"/>
              <w:pageBreakBefore w:val="0"/>
              <w:wordWrap/>
              <w:topLinePunct w:val="0"/>
              <w:bidi w:val="0"/>
              <w:spacing w:line="360" w:lineRule="auto"/>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实施方案 （1</w:t>
            </w:r>
            <w:r>
              <w:rPr>
                <w:rFonts w:hint="eastAsia" w:hAnsi="宋体" w:cs="宋体"/>
                <w:b w:val="0"/>
                <w:bCs w:val="0"/>
                <w:color w:val="auto"/>
                <w:sz w:val="21"/>
                <w:szCs w:val="21"/>
                <w:highlight w:val="none"/>
                <w:lang w:val="en-US" w:eastAsia="zh-CN" w:bidi="ar-SA"/>
              </w:rPr>
              <w:t>5</w:t>
            </w:r>
            <w:r>
              <w:rPr>
                <w:rFonts w:hint="eastAsia" w:ascii="宋体" w:hAnsi="宋体" w:eastAsia="宋体" w:cs="宋体"/>
                <w:b w:val="0"/>
                <w:bCs w:val="0"/>
                <w:color w:val="auto"/>
                <w:sz w:val="21"/>
                <w:szCs w:val="21"/>
                <w:highlight w:val="none"/>
                <w:lang w:val="en-US" w:eastAsia="zh-CN" w:bidi="ar-SA"/>
              </w:rPr>
              <w:t xml:space="preserve">分） </w:t>
            </w:r>
          </w:p>
        </w:tc>
        <w:tc>
          <w:tcPr>
            <w:tcW w:w="6926" w:type="dxa"/>
            <w:gridSpan w:val="3"/>
            <w:noWrap w:val="0"/>
            <w:vAlign w:val="center"/>
          </w:tcPr>
          <w:p w14:paraId="5A00E834">
            <w:pPr>
              <w:pageBreakBefore w:val="0"/>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1、供应商根据本项目采购需求及项目实际情况编制项目实施方案（包括人工修枝、割灌除草、剩余物清理等具体措施）。</w:t>
            </w:r>
          </w:p>
          <w:p w14:paraId="2B969757">
            <w:pPr>
              <w:pageBreakBefore w:val="0"/>
              <w:numPr>
                <w:ilvl w:val="0"/>
                <w:numId w:val="3"/>
              </w:numPr>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方案完整， 科学、合理，措施有力，有针对性强，得15分；</w:t>
            </w:r>
          </w:p>
          <w:p w14:paraId="0ECD3270">
            <w:pPr>
              <w:pageBreakBefore w:val="0"/>
              <w:numPr>
                <w:ilvl w:val="0"/>
                <w:numId w:val="3"/>
              </w:numPr>
              <w:wordWrap/>
              <w:topLinePunct w:val="0"/>
              <w:bidi w:val="0"/>
              <w:spacing w:line="360" w:lineRule="auto"/>
              <w:rPr>
                <w:rFonts w:hint="eastAsia" w:ascii="宋体" w:hAnsi="宋体" w:eastAsia="宋体" w:cs="宋体"/>
                <w:b w:val="0"/>
                <w:bCs w:val="0"/>
                <w:color w:val="auto"/>
                <w:sz w:val="21"/>
                <w:szCs w:val="21"/>
                <w:highlight w:val="none"/>
                <w:lang w:val="en-US" w:eastAsia="zh-CN" w:bidi="ar-SA"/>
              </w:rPr>
            </w:pPr>
            <w:r>
              <w:rPr>
                <w:rFonts w:hint="eastAsia" w:hAnsi="宋体" w:cs="宋体"/>
                <w:color w:val="auto"/>
                <w:sz w:val="21"/>
                <w:szCs w:val="21"/>
                <w:highlight w:val="none"/>
                <w:lang w:val="en-US" w:eastAsia="zh-CN"/>
              </w:rPr>
              <w:t>方案较完整，较科学、合理，措施较有力，针对性较强得10分；</w:t>
            </w:r>
          </w:p>
          <w:p w14:paraId="43544BBF">
            <w:pPr>
              <w:pageBreakBefore w:val="0"/>
              <w:numPr>
                <w:ilvl w:val="0"/>
                <w:numId w:val="3"/>
              </w:numPr>
              <w:wordWrap/>
              <w:topLinePunct w:val="0"/>
              <w:bidi w:val="0"/>
              <w:spacing w:line="360" w:lineRule="auto"/>
              <w:rPr>
                <w:rFonts w:hint="eastAsia" w:ascii="宋体" w:hAnsi="宋体" w:eastAsia="宋体" w:cs="宋体"/>
                <w:b w:val="0"/>
                <w:bCs w:val="0"/>
                <w:color w:val="auto"/>
                <w:sz w:val="21"/>
                <w:szCs w:val="21"/>
                <w:highlight w:val="none"/>
                <w:lang w:val="en-US" w:eastAsia="zh-CN" w:bidi="ar-SA"/>
              </w:rPr>
            </w:pPr>
            <w:r>
              <w:rPr>
                <w:rFonts w:hint="eastAsia" w:hAnsi="宋体" w:cs="宋体"/>
                <w:color w:val="auto"/>
                <w:sz w:val="21"/>
                <w:szCs w:val="21"/>
                <w:highlight w:val="none"/>
                <w:lang w:val="en-US" w:eastAsia="zh-CN"/>
              </w:rPr>
              <w:t>方案内容一般，基本科学，措施基本合 理，针对性一般，得5分；</w:t>
            </w:r>
          </w:p>
          <w:p w14:paraId="0756725C">
            <w:pPr>
              <w:pageBreakBefore w:val="0"/>
              <w:numPr>
                <w:ilvl w:val="0"/>
                <w:numId w:val="3"/>
              </w:numPr>
              <w:wordWrap/>
              <w:topLinePunct w:val="0"/>
              <w:bidi w:val="0"/>
              <w:spacing w:line="360" w:lineRule="auto"/>
              <w:rPr>
                <w:rFonts w:hint="eastAsia" w:ascii="宋体" w:hAnsi="宋体" w:eastAsia="宋体" w:cs="宋体"/>
                <w:b w:val="0"/>
                <w:bCs w:val="0"/>
                <w:color w:val="auto"/>
                <w:sz w:val="21"/>
                <w:szCs w:val="21"/>
                <w:highlight w:val="none"/>
                <w:lang w:val="en-US" w:eastAsia="zh-CN" w:bidi="ar-SA"/>
              </w:rPr>
            </w:pPr>
            <w:r>
              <w:rPr>
                <w:rFonts w:hint="eastAsia" w:hAnsi="宋体" w:cs="宋体"/>
                <w:color w:val="auto"/>
                <w:sz w:val="21"/>
                <w:szCs w:val="21"/>
                <w:highlight w:val="none"/>
                <w:lang w:val="en-US" w:eastAsia="zh-CN"/>
              </w:rPr>
              <w:t>未提供，得0分。</w:t>
            </w:r>
          </w:p>
        </w:tc>
      </w:tr>
      <w:tr w14:paraId="0D32F8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046" w:type="dxa"/>
            <w:vMerge w:val="continue"/>
            <w:noWrap w:val="0"/>
            <w:vAlign w:val="center"/>
          </w:tcPr>
          <w:p w14:paraId="566C73E0">
            <w:pPr>
              <w:pStyle w:val="8"/>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tcBorders>
              <w:bottom w:val="single" w:color="auto" w:sz="4" w:space="0"/>
            </w:tcBorders>
            <w:noWrap w:val="0"/>
            <w:vAlign w:val="center"/>
          </w:tcPr>
          <w:p w14:paraId="139CB4F7">
            <w:pPr>
              <w:pStyle w:val="12"/>
              <w:pageBreakBefore w:val="0"/>
              <w:wordWrap/>
              <w:topLinePunct w:val="0"/>
              <w:bidi w:val="0"/>
              <w:spacing w:line="360" w:lineRule="auto"/>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项目管理机构</w:t>
            </w:r>
            <w:r>
              <w:rPr>
                <w:rFonts w:hint="eastAsia" w:hAnsi="宋体" w:cs="宋体"/>
                <w:b w:val="0"/>
                <w:bCs w:val="0"/>
                <w:color w:val="auto"/>
                <w:sz w:val="21"/>
                <w:szCs w:val="21"/>
                <w:highlight w:val="none"/>
                <w:lang w:val="en-US" w:eastAsia="zh-CN" w:bidi="ar-SA"/>
              </w:rPr>
              <w:t>及人员配备计划</w:t>
            </w:r>
            <w:r>
              <w:rPr>
                <w:rFonts w:hint="eastAsia" w:ascii="宋体" w:hAnsi="宋体" w:eastAsia="宋体" w:cs="宋体"/>
                <w:b w:val="0"/>
                <w:bCs w:val="0"/>
                <w:color w:val="auto"/>
                <w:sz w:val="21"/>
                <w:szCs w:val="21"/>
                <w:highlight w:val="none"/>
                <w:lang w:val="en-US" w:eastAsia="zh-CN" w:bidi="ar-SA"/>
              </w:rPr>
              <w:t>（</w:t>
            </w:r>
            <w:r>
              <w:rPr>
                <w:rFonts w:hint="eastAsia" w:hAnsi="宋体" w:cs="宋体"/>
                <w:b w:val="0"/>
                <w:bCs w:val="0"/>
                <w:color w:val="auto"/>
                <w:sz w:val="21"/>
                <w:szCs w:val="21"/>
                <w:highlight w:val="none"/>
                <w:lang w:val="en-US" w:eastAsia="zh-CN" w:bidi="ar-SA"/>
              </w:rPr>
              <w:t>10</w:t>
            </w:r>
            <w:r>
              <w:rPr>
                <w:rFonts w:hint="eastAsia" w:ascii="宋体" w:hAnsi="宋体" w:eastAsia="宋体" w:cs="宋体"/>
                <w:b w:val="0"/>
                <w:bCs w:val="0"/>
                <w:color w:val="auto"/>
                <w:sz w:val="21"/>
                <w:szCs w:val="21"/>
                <w:highlight w:val="none"/>
                <w:lang w:val="en-US" w:eastAsia="zh-CN" w:bidi="ar-SA"/>
              </w:rPr>
              <w:t>分）</w:t>
            </w:r>
          </w:p>
        </w:tc>
        <w:tc>
          <w:tcPr>
            <w:tcW w:w="6926" w:type="dxa"/>
            <w:gridSpan w:val="3"/>
            <w:noWrap w:val="0"/>
            <w:vAlign w:val="center"/>
          </w:tcPr>
          <w:p w14:paraId="6ABD5B10">
            <w:pPr>
              <w:pageBreakBefore w:val="0"/>
              <w:numPr>
                <w:ilvl w:val="0"/>
                <w:numId w:val="4"/>
              </w:numPr>
              <w:wordWrap/>
              <w:topLinePunct w:val="0"/>
              <w:bidi w:val="0"/>
              <w:spacing w:line="360" w:lineRule="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根据</w:t>
            </w:r>
            <w:r>
              <w:rPr>
                <w:rFonts w:hint="eastAsia" w:hAnsi="宋体" w:cs="宋体"/>
                <w:color w:val="auto"/>
                <w:sz w:val="21"/>
                <w:szCs w:val="21"/>
                <w:highlight w:val="none"/>
                <w:lang w:val="en-US" w:eastAsia="zh-CN"/>
              </w:rPr>
              <w:t>供应商</w:t>
            </w:r>
            <w:r>
              <w:rPr>
                <w:rFonts w:hint="eastAsia" w:hAnsi="宋体" w:cs="宋体"/>
                <w:color w:val="auto"/>
                <w:sz w:val="21"/>
                <w:szCs w:val="21"/>
                <w:highlight w:val="none"/>
                <w:lang w:eastAsia="zh-CN"/>
              </w:rPr>
              <w:t>针对本项目项目管理机构</w:t>
            </w:r>
            <w:r>
              <w:rPr>
                <w:rFonts w:hint="eastAsia" w:hAnsi="宋体" w:cs="宋体"/>
                <w:color w:val="auto"/>
                <w:sz w:val="21"/>
                <w:szCs w:val="21"/>
                <w:highlight w:val="none"/>
                <w:lang w:val="en-US" w:eastAsia="zh-CN"/>
              </w:rPr>
              <w:t>设置任务名曲，能高效运行并满足服务需求，人员配备及主要技术人员的配备情况</w:t>
            </w:r>
            <w:r>
              <w:rPr>
                <w:rFonts w:hint="eastAsia" w:hAnsi="宋体" w:cs="宋体"/>
                <w:color w:val="auto"/>
                <w:sz w:val="21"/>
                <w:szCs w:val="21"/>
                <w:highlight w:val="none"/>
                <w:lang w:eastAsia="zh-CN"/>
              </w:rPr>
              <w:t>进行综合评价。</w:t>
            </w:r>
          </w:p>
          <w:p w14:paraId="7D1853F8">
            <w:pPr>
              <w:pageBreakBefore w:val="0"/>
              <w:numPr>
                <w:ilvl w:val="0"/>
                <w:numId w:val="5"/>
              </w:numPr>
              <w:wordWrap/>
              <w:topLinePunct w:val="0"/>
              <w:bidi w:val="0"/>
              <w:spacing w:line="360" w:lineRule="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组织机构健全合理，人员数量充足、专业配置合理，得</w:t>
            </w:r>
            <w:r>
              <w:rPr>
                <w:rFonts w:hint="eastAsia" w:hAnsi="宋体" w:cs="宋体"/>
                <w:color w:val="auto"/>
                <w:sz w:val="21"/>
                <w:szCs w:val="21"/>
                <w:highlight w:val="none"/>
                <w:lang w:val="en-US" w:eastAsia="zh-CN"/>
              </w:rPr>
              <w:t>10</w:t>
            </w:r>
            <w:r>
              <w:rPr>
                <w:rFonts w:hint="eastAsia" w:hAnsi="宋体" w:cs="宋体"/>
                <w:color w:val="auto"/>
                <w:sz w:val="21"/>
                <w:szCs w:val="21"/>
                <w:highlight w:val="none"/>
                <w:lang w:eastAsia="zh-CN"/>
              </w:rPr>
              <w:t>分；</w:t>
            </w:r>
          </w:p>
          <w:p w14:paraId="1954788F">
            <w:pPr>
              <w:pageBreakBefore w:val="0"/>
              <w:numPr>
                <w:ilvl w:val="0"/>
                <w:numId w:val="5"/>
              </w:numPr>
              <w:wordWrap/>
              <w:topLinePunct w:val="0"/>
              <w:bidi w:val="0"/>
              <w:spacing w:line="360" w:lineRule="auto"/>
              <w:rPr>
                <w:rFonts w:hint="eastAsia" w:ascii="宋体" w:hAnsi="宋体" w:eastAsia="宋体" w:cs="宋体"/>
                <w:b w:val="0"/>
                <w:bCs w:val="0"/>
                <w:color w:val="auto"/>
                <w:sz w:val="21"/>
                <w:szCs w:val="21"/>
                <w:highlight w:val="none"/>
                <w:lang w:val="en-US" w:eastAsia="zh-CN" w:bidi="ar-SA"/>
              </w:rPr>
            </w:pPr>
            <w:r>
              <w:rPr>
                <w:rFonts w:hint="eastAsia" w:hAnsi="宋体" w:cs="宋体"/>
                <w:color w:val="auto"/>
                <w:sz w:val="21"/>
                <w:szCs w:val="21"/>
                <w:highlight w:val="none"/>
                <w:lang w:eastAsia="zh-CN"/>
              </w:rPr>
              <w:t>组织机构基本健全，人员数量基本充足、专业配置基本合理，得</w:t>
            </w:r>
            <w:r>
              <w:rPr>
                <w:rFonts w:hint="eastAsia" w:hAnsi="宋体" w:cs="宋体"/>
                <w:color w:val="auto"/>
                <w:sz w:val="21"/>
                <w:szCs w:val="21"/>
                <w:highlight w:val="none"/>
                <w:lang w:val="en-US" w:eastAsia="zh-CN"/>
              </w:rPr>
              <w:t>6</w:t>
            </w:r>
            <w:r>
              <w:rPr>
                <w:rFonts w:hint="eastAsia" w:hAnsi="宋体" w:cs="宋体"/>
                <w:color w:val="auto"/>
                <w:sz w:val="21"/>
                <w:szCs w:val="21"/>
                <w:highlight w:val="none"/>
                <w:lang w:eastAsia="zh-CN"/>
              </w:rPr>
              <w:t>分；</w:t>
            </w:r>
          </w:p>
          <w:p w14:paraId="17F06B32">
            <w:pPr>
              <w:pageBreakBefore w:val="0"/>
              <w:numPr>
                <w:ilvl w:val="0"/>
                <w:numId w:val="5"/>
              </w:numPr>
              <w:wordWrap/>
              <w:topLinePunct w:val="0"/>
              <w:bidi w:val="0"/>
              <w:spacing w:line="360" w:lineRule="auto"/>
              <w:rPr>
                <w:rFonts w:hint="eastAsia" w:ascii="宋体" w:hAnsi="宋体" w:eastAsia="宋体" w:cs="宋体"/>
                <w:b w:val="0"/>
                <w:bCs w:val="0"/>
                <w:color w:val="auto"/>
                <w:sz w:val="21"/>
                <w:szCs w:val="21"/>
                <w:highlight w:val="none"/>
                <w:lang w:val="en-US" w:eastAsia="zh-CN" w:bidi="ar-SA"/>
              </w:rPr>
            </w:pPr>
            <w:r>
              <w:rPr>
                <w:rFonts w:hint="eastAsia" w:hAnsi="宋体" w:cs="宋体"/>
                <w:color w:val="auto"/>
                <w:sz w:val="21"/>
                <w:szCs w:val="21"/>
                <w:highlight w:val="none"/>
                <w:lang w:eastAsia="zh-CN"/>
              </w:rPr>
              <w:t>组织机构欠缺，人员数量少、专业配置不合理，得</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 xml:space="preserve">分； </w:t>
            </w:r>
          </w:p>
          <w:p w14:paraId="46FEC029">
            <w:pPr>
              <w:pageBreakBefore w:val="0"/>
              <w:numPr>
                <w:ilvl w:val="0"/>
                <w:numId w:val="5"/>
              </w:numPr>
              <w:wordWrap/>
              <w:topLinePunct w:val="0"/>
              <w:bidi w:val="0"/>
              <w:spacing w:line="360" w:lineRule="auto"/>
              <w:rPr>
                <w:rFonts w:hint="eastAsia" w:ascii="宋体" w:hAnsi="宋体" w:eastAsia="宋体" w:cs="宋体"/>
                <w:b w:val="0"/>
                <w:bCs w:val="0"/>
                <w:color w:val="auto"/>
                <w:sz w:val="21"/>
                <w:szCs w:val="21"/>
                <w:highlight w:val="none"/>
                <w:lang w:val="en-US" w:eastAsia="zh-CN" w:bidi="ar-SA"/>
              </w:rPr>
            </w:pPr>
            <w:r>
              <w:rPr>
                <w:rFonts w:hint="eastAsia" w:hAnsi="宋体" w:cs="宋体"/>
                <w:color w:val="auto"/>
                <w:sz w:val="21"/>
                <w:szCs w:val="21"/>
                <w:highlight w:val="none"/>
                <w:lang w:eastAsia="zh-CN"/>
              </w:rPr>
              <w:t>未提供，得0分。</w:t>
            </w:r>
          </w:p>
        </w:tc>
      </w:tr>
      <w:tr w14:paraId="0FCC36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9" w:hRule="atLeast"/>
          <w:jc w:val="center"/>
        </w:trPr>
        <w:tc>
          <w:tcPr>
            <w:tcW w:w="1046" w:type="dxa"/>
            <w:vMerge w:val="continue"/>
            <w:noWrap w:val="0"/>
            <w:vAlign w:val="center"/>
          </w:tcPr>
          <w:p w14:paraId="7C251FFF">
            <w:pPr>
              <w:pStyle w:val="8"/>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tcBorders>
              <w:top w:val="single" w:color="auto" w:sz="4" w:space="0"/>
              <w:bottom w:val="single" w:color="auto" w:sz="4" w:space="0"/>
            </w:tcBorders>
            <w:noWrap w:val="0"/>
            <w:vAlign w:val="center"/>
          </w:tcPr>
          <w:p w14:paraId="63707702">
            <w:pPr>
              <w:pStyle w:val="12"/>
              <w:pageBreakBefore w:val="0"/>
              <w:wordWrap/>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机械配备计划</w:t>
            </w:r>
            <w:r>
              <w:rPr>
                <w:rFonts w:hint="eastAsia" w:ascii="宋体" w:hAnsi="宋体" w:eastAsia="宋体" w:cs="宋体"/>
                <w:b w:val="0"/>
                <w:bCs w:val="0"/>
                <w:color w:val="auto"/>
                <w:sz w:val="21"/>
                <w:szCs w:val="21"/>
                <w:highlight w:val="none"/>
                <w:lang w:val="en-US" w:eastAsia="zh-CN" w:bidi="ar-SA"/>
              </w:rPr>
              <w:t>（</w:t>
            </w:r>
            <w:r>
              <w:rPr>
                <w:rFonts w:hint="eastAsia" w:hAnsi="宋体" w:cs="宋体"/>
                <w:b w:val="0"/>
                <w:bCs w:val="0"/>
                <w:color w:val="auto"/>
                <w:sz w:val="21"/>
                <w:szCs w:val="21"/>
                <w:highlight w:val="none"/>
                <w:lang w:val="en-US" w:eastAsia="zh-CN" w:bidi="ar-SA"/>
              </w:rPr>
              <w:t>10</w:t>
            </w:r>
            <w:r>
              <w:rPr>
                <w:rFonts w:hint="eastAsia" w:ascii="宋体" w:hAnsi="宋体" w:eastAsia="宋体" w:cs="宋体"/>
                <w:b w:val="0"/>
                <w:bCs w:val="0"/>
                <w:color w:val="auto"/>
                <w:sz w:val="21"/>
                <w:szCs w:val="21"/>
                <w:highlight w:val="none"/>
                <w:lang w:val="en-US" w:eastAsia="zh-CN" w:bidi="ar-SA"/>
              </w:rPr>
              <w:t>分）</w:t>
            </w:r>
          </w:p>
        </w:tc>
        <w:tc>
          <w:tcPr>
            <w:tcW w:w="6926" w:type="dxa"/>
            <w:gridSpan w:val="3"/>
            <w:tcBorders>
              <w:bottom w:val="single" w:color="auto" w:sz="4" w:space="0"/>
            </w:tcBorders>
            <w:noWrap w:val="0"/>
            <w:vAlign w:val="center"/>
          </w:tcPr>
          <w:p w14:paraId="674D7B1D">
            <w:pPr>
              <w:pageBreakBefore w:val="0"/>
              <w:numPr>
                <w:ilvl w:val="0"/>
                <w:numId w:val="4"/>
              </w:numPr>
              <w:wordWrap/>
              <w:topLinePunct w:val="0"/>
              <w:bidi w:val="0"/>
              <w:spacing w:line="360" w:lineRule="auto"/>
              <w:ind w:left="0" w:leftChars="0" w:firstLine="0" w:firstLineChars="0"/>
              <w:rPr>
                <w:rFonts w:hint="eastAsia"/>
                <w:highlight w:val="none"/>
                <w:lang w:eastAsia="zh-CN"/>
              </w:rPr>
            </w:pPr>
            <w:r>
              <w:rPr>
                <w:rFonts w:hint="eastAsia" w:hAnsi="宋体" w:eastAsia="宋体" w:cs="宋体"/>
                <w:color w:val="auto"/>
                <w:sz w:val="21"/>
                <w:szCs w:val="21"/>
                <w:highlight w:val="none"/>
                <w:lang w:eastAsia="zh-CN"/>
              </w:rPr>
              <w:t>根据</w:t>
            </w:r>
            <w:r>
              <w:rPr>
                <w:rFonts w:hint="eastAsia" w:hAnsi="宋体" w:cs="宋体"/>
                <w:color w:val="auto"/>
                <w:sz w:val="21"/>
                <w:szCs w:val="21"/>
                <w:highlight w:val="none"/>
                <w:lang w:val="en-US" w:eastAsia="zh-CN"/>
              </w:rPr>
              <w:t>供应商</w:t>
            </w:r>
            <w:r>
              <w:rPr>
                <w:rFonts w:hint="eastAsia" w:hAnsi="宋体" w:eastAsia="宋体" w:cs="宋体"/>
                <w:color w:val="auto"/>
                <w:sz w:val="21"/>
                <w:szCs w:val="21"/>
                <w:highlight w:val="none"/>
                <w:lang w:eastAsia="zh-CN"/>
              </w:rPr>
              <w:t>提供的</w:t>
            </w:r>
            <w:r>
              <w:rPr>
                <w:rFonts w:hint="eastAsia" w:hAnsi="宋体" w:cs="宋体"/>
                <w:color w:val="auto"/>
                <w:sz w:val="21"/>
                <w:szCs w:val="21"/>
                <w:highlight w:val="none"/>
                <w:lang w:val="en-US" w:eastAsia="zh-CN"/>
              </w:rPr>
              <w:t>机械</w:t>
            </w:r>
            <w:r>
              <w:rPr>
                <w:rFonts w:hint="eastAsia" w:hAnsi="宋体" w:eastAsia="宋体" w:cs="宋体"/>
                <w:color w:val="auto"/>
                <w:sz w:val="21"/>
                <w:szCs w:val="21"/>
                <w:highlight w:val="none"/>
                <w:lang w:eastAsia="zh-CN"/>
              </w:rPr>
              <w:t>设备工具</w:t>
            </w:r>
            <w:r>
              <w:rPr>
                <w:rFonts w:hint="eastAsia" w:hAnsi="宋体" w:cs="宋体"/>
                <w:color w:val="auto"/>
                <w:sz w:val="21"/>
                <w:szCs w:val="21"/>
                <w:highlight w:val="none"/>
                <w:lang w:val="en-US" w:eastAsia="zh-CN"/>
              </w:rPr>
              <w:t>配备的性能、规格、数量等情况进行评审。</w:t>
            </w:r>
          </w:p>
          <w:p w14:paraId="15A08031">
            <w:pPr>
              <w:pageBreakBefore w:val="0"/>
              <w:numPr>
                <w:ilvl w:val="0"/>
                <w:numId w:val="6"/>
              </w:numPr>
              <w:wordWrap/>
              <w:topLinePunct w:val="0"/>
              <w:bidi w:val="0"/>
              <w:spacing w:line="360" w:lineRule="auto"/>
              <w:ind w:leftChars="0"/>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机械</w:t>
            </w:r>
            <w:r>
              <w:rPr>
                <w:rFonts w:hint="eastAsia" w:hAnsi="宋体" w:eastAsia="宋体" w:cs="宋体"/>
                <w:color w:val="auto"/>
                <w:sz w:val="21"/>
                <w:szCs w:val="21"/>
                <w:highlight w:val="none"/>
                <w:lang w:eastAsia="zh-CN"/>
              </w:rPr>
              <w:t>设备工具</w:t>
            </w:r>
            <w:r>
              <w:rPr>
                <w:rFonts w:hint="eastAsia" w:hAnsi="宋体" w:cs="宋体"/>
                <w:color w:val="auto"/>
                <w:sz w:val="21"/>
                <w:szCs w:val="21"/>
                <w:highlight w:val="none"/>
                <w:lang w:val="en-US" w:eastAsia="zh-CN"/>
              </w:rPr>
              <w:t>配备的性能、规格、数量</w:t>
            </w:r>
            <w:r>
              <w:rPr>
                <w:rFonts w:hint="eastAsia" w:hAnsi="宋体" w:eastAsia="宋体" w:cs="宋体"/>
                <w:color w:val="auto"/>
                <w:sz w:val="21"/>
                <w:szCs w:val="21"/>
                <w:highlight w:val="none"/>
                <w:lang w:eastAsia="zh-CN"/>
              </w:rPr>
              <w:t>充足，</w:t>
            </w:r>
            <w:r>
              <w:rPr>
                <w:rFonts w:hint="eastAsia" w:hAnsi="宋体" w:cs="宋体"/>
                <w:color w:val="auto"/>
                <w:sz w:val="21"/>
                <w:szCs w:val="21"/>
                <w:highlight w:val="none"/>
                <w:lang w:val="en-US" w:eastAsia="zh-CN"/>
              </w:rPr>
              <w:t>完全符合</w:t>
            </w:r>
            <w:r>
              <w:rPr>
                <w:rFonts w:hint="eastAsia" w:hAnsi="宋体" w:eastAsia="宋体" w:cs="宋体"/>
                <w:color w:val="auto"/>
                <w:sz w:val="21"/>
                <w:szCs w:val="21"/>
                <w:highlight w:val="none"/>
                <w:lang w:eastAsia="zh-CN"/>
              </w:rPr>
              <w:t>本项目服务需求，得</w:t>
            </w:r>
            <w:r>
              <w:rPr>
                <w:rFonts w:hint="eastAsia" w:hAnsi="宋体" w:cs="宋体"/>
                <w:color w:val="auto"/>
                <w:sz w:val="21"/>
                <w:szCs w:val="21"/>
                <w:highlight w:val="none"/>
                <w:lang w:val="en-US" w:eastAsia="zh-CN"/>
              </w:rPr>
              <w:t>10</w:t>
            </w:r>
            <w:r>
              <w:rPr>
                <w:rFonts w:hint="eastAsia" w:hAnsi="宋体" w:eastAsia="宋体" w:cs="宋体"/>
                <w:color w:val="auto"/>
                <w:sz w:val="21"/>
                <w:szCs w:val="21"/>
                <w:highlight w:val="none"/>
                <w:lang w:eastAsia="zh-CN"/>
              </w:rPr>
              <w:t>分；</w:t>
            </w:r>
          </w:p>
          <w:p w14:paraId="22136005">
            <w:pPr>
              <w:pageBreakBefore w:val="0"/>
              <w:numPr>
                <w:ilvl w:val="0"/>
                <w:numId w:val="6"/>
              </w:numPr>
              <w:wordWrap/>
              <w:topLinePunct w:val="0"/>
              <w:bidi w:val="0"/>
              <w:spacing w:line="360" w:lineRule="auto"/>
              <w:ind w:leftChars="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机械</w:t>
            </w:r>
            <w:r>
              <w:rPr>
                <w:rFonts w:hint="eastAsia" w:hAnsi="宋体" w:eastAsia="宋体" w:cs="宋体"/>
                <w:color w:val="auto"/>
                <w:sz w:val="21"/>
                <w:szCs w:val="21"/>
                <w:highlight w:val="none"/>
                <w:lang w:eastAsia="zh-CN"/>
              </w:rPr>
              <w:t>设备工具</w:t>
            </w:r>
            <w:r>
              <w:rPr>
                <w:rFonts w:hint="eastAsia" w:hAnsi="宋体" w:eastAsia="宋体" w:cs="宋体"/>
                <w:color w:val="auto"/>
                <w:sz w:val="21"/>
                <w:szCs w:val="21"/>
                <w:highlight w:val="none"/>
                <w:lang w:val="en-US" w:eastAsia="zh-CN"/>
              </w:rPr>
              <w:t>配备的性能、规格、数量</w:t>
            </w:r>
            <w:r>
              <w:rPr>
                <w:rFonts w:hint="eastAsia" w:hAnsi="宋体" w:eastAsia="宋体" w:cs="宋体"/>
                <w:color w:val="auto"/>
                <w:sz w:val="21"/>
                <w:szCs w:val="21"/>
                <w:highlight w:val="none"/>
                <w:lang w:eastAsia="zh-CN"/>
              </w:rPr>
              <w:t>基本充足，基本</w:t>
            </w:r>
            <w:r>
              <w:rPr>
                <w:rFonts w:hint="eastAsia" w:hAnsi="宋体" w:cs="宋体"/>
                <w:color w:val="auto"/>
                <w:sz w:val="21"/>
                <w:szCs w:val="21"/>
                <w:highlight w:val="none"/>
                <w:lang w:val="en-US" w:eastAsia="zh-CN"/>
              </w:rPr>
              <w:t>符合</w:t>
            </w:r>
            <w:r>
              <w:rPr>
                <w:rFonts w:hint="eastAsia" w:hAnsi="宋体" w:eastAsia="宋体" w:cs="宋体"/>
                <w:color w:val="auto"/>
                <w:sz w:val="21"/>
                <w:szCs w:val="21"/>
                <w:highlight w:val="none"/>
                <w:lang w:eastAsia="zh-CN"/>
              </w:rPr>
              <w:t>本项目服务需求，得</w:t>
            </w:r>
            <w:r>
              <w:rPr>
                <w:rFonts w:hint="eastAsia" w:hAnsi="宋体" w:cs="宋体"/>
                <w:color w:val="auto"/>
                <w:sz w:val="21"/>
                <w:szCs w:val="21"/>
                <w:highlight w:val="none"/>
                <w:lang w:val="en-US" w:eastAsia="zh-CN"/>
              </w:rPr>
              <w:t>6</w:t>
            </w:r>
            <w:r>
              <w:rPr>
                <w:rFonts w:hint="eastAsia" w:hAnsi="宋体" w:eastAsia="宋体" w:cs="宋体"/>
                <w:color w:val="auto"/>
                <w:sz w:val="21"/>
                <w:szCs w:val="21"/>
                <w:highlight w:val="none"/>
                <w:lang w:eastAsia="zh-CN"/>
              </w:rPr>
              <w:t>分；</w:t>
            </w:r>
          </w:p>
          <w:p w14:paraId="1F47AF65">
            <w:pPr>
              <w:pageBreakBefore w:val="0"/>
              <w:numPr>
                <w:ilvl w:val="0"/>
                <w:numId w:val="6"/>
              </w:numPr>
              <w:wordWrap/>
              <w:topLinePunct w:val="0"/>
              <w:bidi w:val="0"/>
              <w:spacing w:line="360" w:lineRule="auto"/>
              <w:ind w:leftChars="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机械</w:t>
            </w:r>
            <w:r>
              <w:rPr>
                <w:rFonts w:hint="eastAsia" w:hAnsi="宋体" w:eastAsia="宋体" w:cs="宋体"/>
                <w:color w:val="auto"/>
                <w:sz w:val="21"/>
                <w:szCs w:val="21"/>
                <w:highlight w:val="none"/>
                <w:lang w:eastAsia="zh-CN"/>
              </w:rPr>
              <w:t>设备工具</w:t>
            </w:r>
            <w:r>
              <w:rPr>
                <w:rFonts w:hint="eastAsia" w:hAnsi="宋体" w:eastAsia="宋体" w:cs="宋体"/>
                <w:color w:val="auto"/>
                <w:sz w:val="21"/>
                <w:szCs w:val="21"/>
                <w:highlight w:val="none"/>
                <w:lang w:val="en-US" w:eastAsia="zh-CN"/>
              </w:rPr>
              <w:t>配备的性能、规格、数量</w:t>
            </w:r>
            <w:r>
              <w:rPr>
                <w:rFonts w:hint="eastAsia" w:hAnsi="宋体" w:eastAsia="宋体" w:cs="宋体"/>
                <w:color w:val="auto"/>
                <w:sz w:val="21"/>
                <w:szCs w:val="21"/>
                <w:highlight w:val="none"/>
                <w:lang w:eastAsia="zh-CN"/>
              </w:rPr>
              <w:t>少，</w:t>
            </w:r>
            <w:r>
              <w:rPr>
                <w:rFonts w:hint="eastAsia" w:hAnsi="宋体" w:cs="宋体"/>
                <w:color w:val="auto"/>
                <w:sz w:val="21"/>
                <w:szCs w:val="21"/>
                <w:highlight w:val="none"/>
                <w:lang w:val="en-US" w:eastAsia="zh-CN"/>
              </w:rPr>
              <w:t>一般符合</w:t>
            </w:r>
            <w:r>
              <w:rPr>
                <w:rFonts w:hint="eastAsia" w:hAnsi="宋体" w:eastAsia="宋体" w:cs="宋体"/>
                <w:color w:val="auto"/>
                <w:sz w:val="21"/>
                <w:szCs w:val="21"/>
                <w:highlight w:val="none"/>
                <w:lang w:eastAsia="zh-CN"/>
              </w:rPr>
              <w:t>本项目服务需求，得</w:t>
            </w:r>
            <w:r>
              <w:rPr>
                <w:rFonts w:hint="eastAsia" w:hAnsi="宋体" w:cs="宋体"/>
                <w:color w:val="auto"/>
                <w:sz w:val="21"/>
                <w:szCs w:val="21"/>
                <w:highlight w:val="none"/>
                <w:lang w:val="en-US" w:eastAsia="zh-CN"/>
              </w:rPr>
              <w:t>3</w:t>
            </w:r>
            <w:r>
              <w:rPr>
                <w:rFonts w:hint="eastAsia" w:hAnsi="宋体" w:eastAsia="宋体" w:cs="宋体"/>
                <w:color w:val="auto"/>
                <w:sz w:val="21"/>
                <w:szCs w:val="21"/>
                <w:highlight w:val="none"/>
                <w:lang w:eastAsia="zh-CN"/>
              </w:rPr>
              <w:t>分；</w:t>
            </w:r>
          </w:p>
          <w:p w14:paraId="1FB32C77">
            <w:pPr>
              <w:pageBreakBefore w:val="0"/>
              <w:numPr>
                <w:ilvl w:val="0"/>
                <w:numId w:val="6"/>
              </w:numPr>
              <w:wordWrap/>
              <w:topLinePunct w:val="0"/>
              <w:bidi w:val="0"/>
              <w:spacing w:line="360" w:lineRule="auto"/>
              <w:ind w:leftChars="0"/>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未提供，得0分</w:t>
            </w:r>
            <w:r>
              <w:rPr>
                <w:rFonts w:hint="eastAsia" w:hAnsi="宋体" w:cs="宋体"/>
                <w:color w:val="auto"/>
                <w:sz w:val="21"/>
                <w:szCs w:val="21"/>
                <w:highlight w:val="none"/>
                <w:lang w:eastAsia="zh-CN"/>
              </w:rPr>
              <w:t>。</w:t>
            </w:r>
          </w:p>
        </w:tc>
      </w:tr>
      <w:tr w14:paraId="07923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046" w:type="dxa"/>
            <w:vMerge w:val="continue"/>
            <w:noWrap w:val="0"/>
            <w:vAlign w:val="center"/>
          </w:tcPr>
          <w:p w14:paraId="41A918A2">
            <w:pPr>
              <w:pStyle w:val="8"/>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tcBorders>
              <w:top w:val="single" w:color="auto" w:sz="4" w:space="0"/>
              <w:bottom w:val="single" w:color="auto" w:sz="4" w:space="0"/>
            </w:tcBorders>
            <w:noWrap w:val="0"/>
            <w:vAlign w:val="center"/>
          </w:tcPr>
          <w:p w14:paraId="3AEF2312">
            <w:pPr>
              <w:pStyle w:val="12"/>
              <w:pageBreakBefore w:val="0"/>
              <w:wordWrap/>
              <w:topLinePunct w:val="0"/>
              <w:bidi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质量控制的措施和方法</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15分</w:t>
            </w:r>
            <w:r>
              <w:rPr>
                <w:rFonts w:hint="eastAsia" w:hAnsi="宋体" w:cs="宋体"/>
                <w:color w:val="auto"/>
                <w:kern w:val="0"/>
                <w:sz w:val="21"/>
                <w:szCs w:val="21"/>
                <w:highlight w:val="none"/>
                <w:lang w:eastAsia="zh-CN"/>
              </w:rPr>
              <w:t>）</w:t>
            </w:r>
          </w:p>
        </w:tc>
        <w:tc>
          <w:tcPr>
            <w:tcW w:w="6926" w:type="dxa"/>
            <w:gridSpan w:val="3"/>
            <w:tcBorders>
              <w:top w:val="single" w:color="auto" w:sz="4" w:space="0"/>
              <w:bottom w:val="single" w:color="auto" w:sz="4" w:space="0"/>
            </w:tcBorders>
            <w:noWrap w:val="0"/>
            <w:vAlign w:val="center"/>
          </w:tcPr>
          <w:p w14:paraId="028BA49C">
            <w:pPr>
              <w:pageBreakBefore w:val="0"/>
              <w:numPr>
                <w:ilvl w:val="0"/>
                <w:numId w:val="4"/>
              </w:numPr>
              <w:wordWrap/>
              <w:topLinePunct w:val="0"/>
              <w:bidi w:val="0"/>
              <w:spacing w:line="360" w:lineRule="auto"/>
              <w:ind w:left="0" w:leftChars="0" w:firstLine="0" w:firstLineChars="0"/>
              <w:rPr>
                <w:rFonts w:hint="eastAsia" w:hAnsi="宋体" w:cs="宋体"/>
                <w:color w:val="auto"/>
                <w:sz w:val="21"/>
                <w:szCs w:val="21"/>
                <w:highlight w:val="none"/>
                <w:lang w:val="en-US" w:eastAsia="zh-CN"/>
              </w:rPr>
            </w:pPr>
            <w:r>
              <w:rPr>
                <w:rFonts w:hint="default" w:hAnsi="宋体" w:cs="宋体"/>
                <w:color w:val="auto"/>
                <w:sz w:val="21"/>
                <w:szCs w:val="21"/>
                <w:highlight w:val="none"/>
                <w:lang w:val="en-US" w:eastAsia="zh-CN"/>
              </w:rPr>
              <w:t>根据</w:t>
            </w:r>
            <w:r>
              <w:rPr>
                <w:rFonts w:hint="eastAsia" w:hAnsi="宋体" w:cs="宋体"/>
                <w:color w:val="auto"/>
                <w:sz w:val="21"/>
                <w:szCs w:val="21"/>
                <w:highlight w:val="none"/>
                <w:lang w:val="en-US" w:eastAsia="zh-CN"/>
              </w:rPr>
              <w:t>供应商提供的</w:t>
            </w:r>
            <w:r>
              <w:rPr>
                <w:rFonts w:hint="default" w:hAnsi="宋体" w:cs="宋体"/>
                <w:color w:val="auto"/>
                <w:sz w:val="21"/>
                <w:szCs w:val="21"/>
                <w:highlight w:val="none"/>
                <w:lang w:val="en-US" w:eastAsia="zh-CN"/>
              </w:rPr>
              <w:t>质量管理组织机构及职责、项目质量目标、制度及保障措施、建立项目建设过程质量检查制度，制定纠正和预防措施等方面进行打分</w:t>
            </w:r>
            <w:r>
              <w:rPr>
                <w:rFonts w:hint="eastAsia" w:hAnsi="宋体" w:cs="宋体"/>
                <w:color w:val="auto"/>
                <w:sz w:val="21"/>
                <w:szCs w:val="21"/>
                <w:highlight w:val="none"/>
                <w:lang w:val="en-US" w:eastAsia="zh-CN"/>
              </w:rPr>
              <w:t>。</w:t>
            </w:r>
          </w:p>
          <w:p w14:paraId="03B4E7C9">
            <w:pPr>
              <w:pageBreakBefore w:val="0"/>
              <w:numPr>
                <w:ilvl w:val="0"/>
                <w:numId w:val="7"/>
              </w:numPr>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编制质量控制的措施和方法科学、合理，有针对性强，得15分；</w:t>
            </w:r>
          </w:p>
          <w:p w14:paraId="4C445868">
            <w:pPr>
              <w:pageBreakBefore w:val="0"/>
              <w:numPr>
                <w:ilvl w:val="0"/>
                <w:numId w:val="7"/>
              </w:numPr>
              <w:wordWrap/>
              <w:topLinePunct w:val="0"/>
              <w:bidi w:val="0"/>
              <w:spacing w:line="360" w:lineRule="auto"/>
              <w:rPr>
                <w:rFonts w:hint="eastAsia" w:ascii="宋体" w:hAnsi="宋体" w:eastAsia="宋体" w:cs="宋体"/>
                <w:b w:val="0"/>
                <w:bCs w:val="0"/>
                <w:color w:val="auto"/>
                <w:sz w:val="21"/>
                <w:szCs w:val="21"/>
                <w:highlight w:val="none"/>
                <w:lang w:val="en-US" w:eastAsia="zh-CN" w:bidi="ar-SA"/>
              </w:rPr>
            </w:pPr>
            <w:r>
              <w:rPr>
                <w:rFonts w:hint="eastAsia" w:hAnsi="宋体" w:cs="宋体"/>
                <w:color w:val="auto"/>
                <w:sz w:val="21"/>
                <w:szCs w:val="21"/>
                <w:highlight w:val="none"/>
                <w:lang w:val="en-US" w:eastAsia="zh-CN"/>
              </w:rPr>
              <w:t>编制质量控制的措施和方法较科学、合理，措施较有力，针对性较强得10分；</w:t>
            </w:r>
          </w:p>
          <w:p w14:paraId="6B3C6BD0">
            <w:pPr>
              <w:pageBreakBefore w:val="0"/>
              <w:numPr>
                <w:ilvl w:val="0"/>
                <w:numId w:val="7"/>
              </w:numPr>
              <w:wordWrap/>
              <w:topLinePunct w:val="0"/>
              <w:bidi w:val="0"/>
              <w:spacing w:line="360" w:lineRule="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编制质量控制的措施和方法一般，基本科学，措施基本合 理，针对性一般，得5分；</w:t>
            </w:r>
          </w:p>
          <w:p w14:paraId="527D90AB">
            <w:pPr>
              <w:pageBreakBefore w:val="0"/>
              <w:numPr>
                <w:ilvl w:val="0"/>
                <w:numId w:val="7"/>
              </w:numPr>
              <w:wordWrap/>
              <w:topLinePunct w:val="0"/>
              <w:bidi w:val="0"/>
              <w:spacing w:line="360" w:lineRule="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未提供，得0分。</w:t>
            </w:r>
          </w:p>
        </w:tc>
      </w:tr>
      <w:tr w14:paraId="357E67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046" w:type="dxa"/>
            <w:vMerge w:val="continue"/>
            <w:noWrap w:val="0"/>
            <w:vAlign w:val="center"/>
          </w:tcPr>
          <w:p w14:paraId="2217F15E">
            <w:pPr>
              <w:pStyle w:val="8"/>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tcBorders>
              <w:top w:val="single" w:color="auto" w:sz="4" w:space="0"/>
            </w:tcBorders>
            <w:noWrap w:val="0"/>
            <w:vAlign w:val="center"/>
          </w:tcPr>
          <w:p w14:paraId="2B40D736">
            <w:pPr>
              <w:pStyle w:val="12"/>
              <w:pageBreakBefore w:val="0"/>
              <w:wordWrap/>
              <w:topLinePunct w:val="0"/>
              <w:bidi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进度计划与</w:t>
            </w:r>
            <w:r>
              <w:rPr>
                <w:rFonts w:hint="eastAsia" w:hAnsi="宋体" w:cs="宋体"/>
                <w:color w:val="auto"/>
                <w:kern w:val="0"/>
                <w:sz w:val="21"/>
                <w:szCs w:val="21"/>
                <w:highlight w:val="none"/>
                <w:lang w:val="en-US" w:eastAsia="zh-CN"/>
              </w:rPr>
              <w:t>保障</w:t>
            </w:r>
            <w:r>
              <w:rPr>
                <w:rFonts w:hint="eastAsia" w:ascii="宋体" w:hAnsi="宋体" w:eastAsia="宋体" w:cs="宋体"/>
                <w:color w:val="auto"/>
                <w:kern w:val="0"/>
                <w:sz w:val="21"/>
                <w:szCs w:val="21"/>
                <w:highlight w:val="none"/>
              </w:rPr>
              <w:t>措施</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10分</w:t>
            </w:r>
            <w:r>
              <w:rPr>
                <w:rFonts w:hint="eastAsia" w:hAnsi="宋体" w:cs="宋体"/>
                <w:color w:val="auto"/>
                <w:kern w:val="0"/>
                <w:sz w:val="21"/>
                <w:szCs w:val="21"/>
                <w:highlight w:val="none"/>
                <w:lang w:eastAsia="zh-CN"/>
              </w:rPr>
              <w:t>）</w:t>
            </w:r>
          </w:p>
        </w:tc>
        <w:tc>
          <w:tcPr>
            <w:tcW w:w="6926" w:type="dxa"/>
            <w:gridSpan w:val="3"/>
            <w:tcBorders>
              <w:top w:val="single" w:color="auto" w:sz="4" w:space="0"/>
            </w:tcBorders>
            <w:noWrap w:val="0"/>
            <w:vAlign w:val="center"/>
          </w:tcPr>
          <w:p w14:paraId="05480A6A">
            <w:pPr>
              <w:pageBreakBefore w:val="0"/>
              <w:numPr>
                <w:ilvl w:val="0"/>
                <w:numId w:val="4"/>
              </w:numPr>
              <w:wordWrap/>
              <w:topLinePunct w:val="0"/>
              <w:bidi w:val="0"/>
              <w:spacing w:line="360" w:lineRule="auto"/>
              <w:ind w:left="0" w:leftChars="0" w:firstLine="0" w:firstLineChars="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根据供应商提供的对进度控制的工作内容、程序、方法和措施，进度控制的工作措施详细，技术措施、组织措施齐全等方面进行打分。</w:t>
            </w:r>
          </w:p>
          <w:p w14:paraId="7B6F7476">
            <w:pPr>
              <w:pageBreakBefore w:val="0"/>
              <w:numPr>
                <w:ilvl w:val="0"/>
                <w:numId w:val="8"/>
              </w:numPr>
              <w:wordWrap/>
              <w:topLinePunct w:val="0"/>
              <w:bidi w:val="0"/>
              <w:spacing w:line="360" w:lineRule="auto"/>
              <w:ind w:leftChars="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进度保障措施详细，进度阶段分明，安排合理，可行性和针对性强，得10分；</w:t>
            </w:r>
          </w:p>
          <w:p w14:paraId="3F5060FB">
            <w:pPr>
              <w:pageBreakBefore w:val="0"/>
              <w:numPr>
                <w:ilvl w:val="0"/>
                <w:numId w:val="8"/>
              </w:numPr>
              <w:wordWrap/>
              <w:topLinePunct w:val="0"/>
              <w:bidi w:val="0"/>
              <w:spacing w:line="360" w:lineRule="auto"/>
              <w:ind w:leftChars="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进度保障措施一般， 进度阶段基本分明，安排基本合理，可行性和针对性一般，得6分；</w:t>
            </w:r>
          </w:p>
          <w:p w14:paraId="09EEDD0C">
            <w:pPr>
              <w:pageBreakBefore w:val="0"/>
              <w:numPr>
                <w:ilvl w:val="0"/>
                <w:numId w:val="8"/>
              </w:numPr>
              <w:wordWrap/>
              <w:topLinePunct w:val="0"/>
              <w:bidi w:val="0"/>
              <w:spacing w:line="360" w:lineRule="auto"/>
              <w:ind w:leftChars="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进度保障措施简单，进度阶段不清晰，安排不合理，可行性和针对性差，得3分； </w:t>
            </w:r>
          </w:p>
          <w:p w14:paraId="2B5DB0D9">
            <w:pPr>
              <w:pageBreakBefore w:val="0"/>
              <w:numPr>
                <w:ilvl w:val="0"/>
                <w:numId w:val="8"/>
              </w:numPr>
              <w:wordWrap/>
              <w:topLinePunct w:val="0"/>
              <w:bidi w:val="0"/>
              <w:spacing w:line="360" w:lineRule="auto"/>
              <w:ind w:leftChars="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未提供，得0分。</w:t>
            </w:r>
          </w:p>
        </w:tc>
      </w:tr>
      <w:tr w14:paraId="57458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1046" w:type="dxa"/>
            <w:vMerge w:val="continue"/>
            <w:noWrap w:val="0"/>
            <w:vAlign w:val="center"/>
          </w:tcPr>
          <w:p w14:paraId="04D0AC67">
            <w:pPr>
              <w:pStyle w:val="8"/>
              <w:pageBreakBefore w:val="0"/>
              <w:wordWrap/>
              <w:topLinePunct w:val="0"/>
              <w:bidi w:val="0"/>
              <w:spacing w:line="360" w:lineRule="auto"/>
              <w:rPr>
                <w:rFonts w:hint="eastAsia" w:ascii="宋体" w:hAnsi="宋体" w:eastAsia="宋体" w:cs="宋体"/>
                <w:b/>
                <w:color w:val="auto"/>
                <w:sz w:val="21"/>
                <w:szCs w:val="21"/>
                <w:highlight w:val="none"/>
              </w:rPr>
            </w:pPr>
          </w:p>
        </w:tc>
        <w:tc>
          <w:tcPr>
            <w:tcW w:w="1489" w:type="dxa"/>
            <w:gridSpan w:val="2"/>
            <w:tcBorders>
              <w:top w:val="single" w:color="auto" w:sz="4" w:space="0"/>
            </w:tcBorders>
            <w:noWrap w:val="0"/>
            <w:vAlign w:val="center"/>
          </w:tcPr>
          <w:p w14:paraId="3897D585">
            <w:pPr>
              <w:pStyle w:val="12"/>
              <w:pageBreakBefore w:val="0"/>
              <w:wordWrap/>
              <w:topLinePunct w:val="0"/>
              <w:bidi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安全、文明控制的措施和方法</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10分</w:t>
            </w:r>
            <w:r>
              <w:rPr>
                <w:rFonts w:hint="eastAsia" w:hAnsi="宋体" w:cs="宋体"/>
                <w:color w:val="auto"/>
                <w:kern w:val="0"/>
                <w:sz w:val="21"/>
                <w:szCs w:val="21"/>
                <w:highlight w:val="none"/>
                <w:lang w:eastAsia="zh-CN"/>
              </w:rPr>
              <w:t>）</w:t>
            </w:r>
          </w:p>
        </w:tc>
        <w:tc>
          <w:tcPr>
            <w:tcW w:w="6926" w:type="dxa"/>
            <w:gridSpan w:val="3"/>
            <w:tcBorders>
              <w:top w:val="single" w:color="auto" w:sz="4" w:space="0"/>
            </w:tcBorders>
            <w:noWrap w:val="0"/>
            <w:vAlign w:val="center"/>
          </w:tcPr>
          <w:p w14:paraId="3B5B458B">
            <w:pPr>
              <w:pageBreakBefore w:val="0"/>
              <w:numPr>
                <w:ilvl w:val="0"/>
                <w:numId w:val="4"/>
              </w:numPr>
              <w:wordWrap/>
              <w:topLinePunct w:val="0"/>
              <w:bidi w:val="0"/>
              <w:spacing w:line="360" w:lineRule="auto"/>
              <w:ind w:left="0" w:leftChars="0" w:firstLine="0" w:firstLineChars="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根据供应商提供的对安全、文明工作内容、方法和措施，等方面进行打分。</w:t>
            </w:r>
          </w:p>
          <w:p w14:paraId="4B76C07D">
            <w:pPr>
              <w:pageBreakBefore w:val="0"/>
              <w:numPr>
                <w:ilvl w:val="0"/>
                <w:numId w:val="9"/>
              </w:numPr>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安全、文明工作内容、方法和措施，安排合理，可行性和针对性强，得10分；</w:t>
            </w:r>
          </w:p>
          <w:p w14:paraId="5F2E0365">
            <w:pPr>
              <w:pageBreakBefore w:val="0"/>
              <w:numPr>
                <w:ilvl w:val="0"/>
                <w:numId w:val="9"/>
              </w:numPr>
              <w:wordWrap/>
              <w:topLinePunct w:val="0"/>
              <w:bidi w:val="0"/>
              <w:spacing w:line="360" w:lineRule="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安全、文明工作内容、方法和措施，安排基本合理，可行性和针对性一般，得6分；</w:t>
            </w:r>
          </w:p>
          <w:p w14:paraId="1D970D14">
            <w:pPr>
              <w:pageBreakBefore w:val="0"/>
              <w:numPr>
                <w:ilvl w:val="0"/>
                <w:numId w:val="9"/>
              </w:numPr>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安全、文明工作内容、方法和措施，安排不合理，可行性和针对性差，得3分； </w:t>
            </w:r>
          </w:p>
          <w:p w14:paraId="134430A6">
            <w:pPr>
              <w:pageBreakBefore w:val="0"/>
              <w:numPr>
                <w:ilvl w:val="0"/>
                <w:numId w:val="9"/>
              </w:numPr>
              <w:wordWrap/>
              <w:topLinePunct w:val="0"/>
              <w:bidi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未提供，得0分。</w:t>
            </w:r>
          </w:p>
        </w:tc>
      </w:tr>
      <w:tr w14:paraId="345B5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46" w:type="dxa"/>
            <w:vMerge w:val="restart"/>
            <w:noWrap w:val="0"/>
            <w:vAlign w:val="center"/>
          </w:tcPr>
          <w:p w14:paraId="1EC9CB89">
            <w:pPr>
              <w:pageBreakBefore w:val="0"/>
              <w:wordWrap/>
              <w:topLinePunct w:val="0"/>
              <w:bidi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商务部分（</w:t>
            </w:r>
            <w:r>
              <w:rPr>
                <w:rFonts w:hint="eastAsia"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分）</w:t>
            </w:r>
          </w:p>
        </w:tc>
        <w:tc>
          <w:tcPr>
            <w:tcW w:w="1489" w:type="dxa"/>
            <w:gridSpan w:val="2"/>
            <w:noWrap w:val="0"/>
            <w:vAlign w:val="center"/>
          </w:tcPr>
          <w:p w14:paraId="00185D85">
            <w:pPr>
              <w:pStyle w:val="12"/>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类似业绩</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4分</w:t>
            </w:r>
            <w:r>
              <w:rPr>
                <w:rFonts w:hint="eastAsia" w:hAnsi="宋体" w:cs="宋体"/>
                <w:color w:val="auto"/>
                <w:kern w:val="0"/>
                <w:sz w:val="21"/>
                <w:szCs w:val="21"/>
                <w:highlight w:val="none"/>
                <w:lang w:eastAsia="zh-CN"/>
              </w:rPr>
              <w:t>）</w:t>
            </w:r>
          </w:p>
        </w:tc>
        <w:tc>
          <w:tcPr>
            <w:tcW w:w="6926" w:type="dxa"/>
            <w:gridSpan w:val="3"/>
            <w:noWrap w:val="0"/>
            <w:vAlign w:val="center"/>
          </w:tcPr>
          <w:p w14:paraId="769A88B0">
            <w:pPr>
              <w:pageBreakBefore w:val="0"/>
              <w:wordWrap/>
              <w:topLinePunct w:val="0"/>
              <w:bidi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年1月1日以来，供应商具有完成的类似项目</w:t>
            </w:r>
            <w:r>
              <w:rPr>
                <w:rFonts w:hint="eastAsia" w:hAnsi="宋体" w:cs="宋体"/>
                <w:color w:val="auto"/>
                <w:sz w:val="21"/>
                <w:szCs w:val="21"/>
                <w:highlight w:val="none"/>
                <w:lang w:val="en-US" w:eastAsia="zh-CN"/>
              </w:rPr>
              <w:t>业绩</w:t>
            </w:r>
            <w:r>
              <w:rPr>
                <w:rFonts w:hint="eastAsia" w:ascii="宋体" w:hAnsi="宋体" w:eastAsia="宋体" w:cs="宋体"/>
                <w:color w:val="auto"/>
                <w:sz w:val="21"/>
                <w:szCs w:val="21"/>
                <w:highlight w:val="none"/>
              </w:rPr>
              <w:t>，每提供一项得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文件中附业绩相应的中标通知书或合同协议书；提供中标</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成交</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通知书</w:t>
            </w:r>
            <w:r>
              <w:rPr>
                <w:rFonts w:hint="eastAsia" w:hAnsi="宋体" w:cs="宋体"/>
                <w:b/>
                <w:bCs/>
                <w:color w:val="auto"/>
                <w:sz w:val="21"/>
                <w:szCs w:val="21"/>
                <w:highlight w:val="none"/>
                <w:lang w:val="en-US" w:eastAsia="zh-CN"/>
              </w:rPr>
              <w:t>的，日期</w:t>
            </w:r>
            <w:r>
              <w:rPr>
                <w:rFonts w:hint="eastAsia" w:ascii="宋体" w:hAnsi="宋体" w:eastAsia="宋体" w:cs="宋体"/>
                <w:b/>
                <w:bCs/>
                <w:color w:val="auto"/>
                <w:sz w:val="21"/>
                <w:szCs w:val="21"/>
                <w:highlight w:val="none"/>
              </w:rPr>
              <w:t>以中标</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lang w:val="en-US" w:eastAsia="zh-CN"/>
              </w:rPr>
              <w:t>成交</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通知书上显示日期为准</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提供合同协议书</w:t>
            </w:r>
            <w:r>
              <w:rPr>
                <w:rFonts w:hint="eastAsia" w:hAnsi="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日期以合同签订日期为准）</w:t>
            </w:r>
          </w:p>
        </w:tc>
      </w:tr>
      <w:tr w14:paraId="1A2210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1046" w:type="dxa"/>
            <w:vMerge w:val="continue"/>
            <w:noWrap w:val="0"/>
            <w:vAlign w:val="center"/>
          </w:tcPr>
          <w:p w14:paraId="30FD6897">
            <w:pPr>
              <w:pageBreakBefore w:val="0"/>
              <w:wordWrap/>
              <w:topLinePunct w:val="0"/>
              <w:bidi w:val="0"/>
              <w:spacing w:line="360" w:lineRule="auto"/>
              <w:jc w:val="center"/>
              <w:rPr>
                <w:rFonts w:hint="eastAsia" w:ascii="宋体" w:hAnsi="宋体" w:eastAsia="宋体" w:cs="宋体"/>
                <w:b/>
                <w:color w:val="auto"/>
                <w:kern w:val="2"/>
                <w:sz w:val="21"/>
                <w:szCs w:val="21"/>
                <w:highlight w:val="none"/>
              </w:rPr>
            </w:pPr>
          </w:p>
        </w:tc>
        <w:tc>
          <w:tcPr>
            <w:tcW w:w="1489" w:type="dxa"/>
            <w:gridSpan w:val="2"/>
            <w:vMerge w:val="restart"/>
            <w:noWrap w:val="0"/>
            <w:vAlign w:val="center"/>
          </w:tcPr>
          <w:p w14:paraId="7668AD9D">
            <w:pPr>
              <w:pStyle w:val="12"/>
              <w:pageBreakBefore w:val="0"/>
              <w:wordWrap/>
              <w:topLinePunct w:val="0"/>
              <w:bidi w:val="0"/>
              <w:spacing w:line="360" w:lineRule="auto"/>
              <w:jc w:val="center"/>
              <w:rPr>
                <w:rFonts w:hint="eastAsia" w:ascii="宋体" w:hAnsi="宋体" w:eastAsia="宋体" w:cs="宋体"/>
                <w:color w:val="auto"/>
                <w:sz w:val="21"/>
                <w:szCs w:val="21"/>
                <w:highlight w:val="none"/>
                <w:lang w:val="en-US" w:eastAsia="zh-CN"/>
              </w:rPr>
            </w:pPr>
            <w:r>
              <w:rPr>
                <w:rFonts w:hint="eastAsia" w:hAnsi="宋体" w:cs="宋体"/>
                <w:color w:val="auto"/>
                <w:kern w:val="0"/>
                <w:sz w:val="21"/>
                <w:szCs w:val="21"/>
                <w:highlight w:val="none"/>
                <w:lang w:val="en-US" w:eastAsia="zh-CN"/>
              </w:rPr>
              <w:t>后期服务方案及保障体系（6分）</w:t>
            </w:r>
          </w:p>
        </w:tc>
        <w:tc>
          <w:tcPr>
            <w:tcW w:w="6926" w:type="dxa"/>
            <w:gridSpan w:val="3"/>
            <w:noWrap w:val="0"/>
            <w:vAlign w:val="center"/>
          </w:tcPr>
          <w:p w14:paraId="5A83C48C">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根据</w:t>
            </w:r>
            <w:r>
              <w:rPr>
                <w:rFonts w:hint="eastAsia" w:hAnsi="宋体" w:cs="宋体"/>
                <w:color w:val="auto"/>
                <w:sz w:val="21"/>
                <w:szCs w:val="21"/>
                <w:highlight w:val="none"/>
                <w:lang w:val="en-US" w:eastAsia="zh-CN"/>
              </w:rPr>
              <w:t>供应商提供的后期服务方案，在</w:t>
            </w:r>
            <w:r>
              <w:rPr>
                <w:rFonts w:hint="eastAsia" w:ascii="宋体" w:hAnsi="宋体" w:eastAsia="宋体" w:cs="宋体"/>
                <w:color w:val="auto"/>
                <w:sz w:val="21"/>
                <w:szCs w:val="21"/>
                <w:highlight w:val="none"/>
                <w:lang w:val="en-US" w:eastAsia="zh-CN"/>
              </w:rPr>
              <w:t>配备稳定的技术服务人员、响应时间、服务承诺及服务便利性等</w:t>
            </w:r>
            <w:r>
              <w:rPr>
                <w:rFonts w:hint="eastAsia" w:hAnsi="宋体" w:cs="宋体"/>
                <w:color w:val="auto"/>
                <w:sz w:val="21"/>
                <w:szCs w:val="21"/>
                <w:highlight w:val="none"/>
                <w:lang w:val="en-US" w:eastAsia="zh-CN"/>
              </w:rPr>
              <w:t>（包含但不限于）内容进行响应</w:t>
            </w:r>
            <w:r>
              <w:rPr>
                <w:rFonts w:hint="eastAsia" w:ascii="宋体" w:hAnsi="宋体" w:eastAsia="宋体" w:cs="宋体"/>
                <w:color w:val="auto"/>
                <w:sz w:val="21"/>
                <w:szCs w:val="21"/>
                <w:highlight w:val="none"/>
                <w:lang w:val="en-US" w:eastAsia="zh-CN"/>
              </w:rPr>
              <w:t xml:space="preserve">。 </w:t>
            </w:r>
          </w:p>
          <w:p w14:paraId="64AB513B">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内容详实，考虑周全，针对性强，完全能够满足服务的需要，得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分； </w:t>
            </w:r>
          </w:p>
          <w:p w14:paraId="410253BE">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内容完整，基本考虑周全，针对性较强，可以满足服务的需要，但有个别细节需要进一步完善或提高，得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5A2CBAEE">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内容</w:t>
            </w:r>
            <w:r>
              <w:rPr>
                <w:rFonts w:hint="eastAsia" w:hAnsi="宋体" w:cs="宋体"/>
                <w:color w:val="auto"/>
                <w:sz w:val="21"/>
                <w:szCs w:val="21"/>
                <w:highlight w:val="none"/>
                <w:lang w:val="en-US" w:eastAsia="zh-CN"/>
              </w:rPr>
              <w:t>有，但</w:t>
            </w:r>
            <w:r>
              <w:rPr>
                <w:rFonts w:hint="eastAsia" w:ascii="宋体" w:hAnsi="宋体" w:eastAsia="宋体" w:cs="宋体"/>
                <w:color w:val="auto"/>
                <w:sz w:val="21"/>
                <w:szCs w:val="21"/>
                <w:highlight w:val="none"/>
                <w:lang w:val="en-US" w:eastAsia="zh-CN"/>
              </w:rPr>
              <w:t>不合理、不科学的1分；</w:t>
            </w:r>
          </w:p>
          <w:p w14:paraId="6C21E42C">
            <w:pPr>
              <w:pageBreakBefore w:val="0"/>
              <w:wordWrap/>
              <w:topLinePunct w:val="0"/>
              <w:bidi w:val="0"/>
              <w:spacing w:line="360" w:lineRule="auto"/>
              <w:rPr>
                <w:rFonts w:hint="eastAsia"/>
                <w:color w:val="auto"/>
                <w:highlight w:val="none"/>
                <w:lang w:val="en-US"/>
              </w:rPr>
            </w:pPr>
            <w:r>
              <w:rPr>
                <w:rFonts w:hint="eastAsia" w:ascii="宋体" w:hAnsi="宋体" w:eastAsia="宋体" w:cs="宋体"/>
                <w:color w:val="auto"/>
                <w:sz w:val="21"/>
                <w:szCs w:val="21"/>
                <w:highlight w:val="none"/>
                <w:lang w:val="en-US" w:eastAsia="zh-CN"/>
              </w:rPr>
              <w:t>（4）如若缺项则不得分。</w:t>
            </w:r>
          </w:p>
        </w:tc>
      </w:tr>
      <w:tr w14:paraId="1564F9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1046" w:type="dxa"/>
            <w:vMerge w:val="continue"/>
            <w:noWrap w:val="0"/>
            <w:vAlign w:val="center"/>
          </w:tcPr>
          <w:p w14:paraId="6D35884F">
            <w:pPr>
              <w:pageBreakBefore w:val="0"/>
              <w:wordWrap/>
              <w:topLinePunct w:val="0"/>
              <w:bidi w:val="0"/>
              <w:spacing w:line="360" w:lineRule="auto"/>
              <w:jc w:val="center"/>
              <w:rPr>
                <w:rFonts w:hint="eastAsia" w:ascii="宋体" w:hAnsi="宋体" w:eastAsia="宋体" w:cs="宋体"/>
                <w:b/>
                <w:color w:val="auto"/>
                <w:kern w:val="2"/>
                <w:sz w:val="21"/>
                <w:szCs w:val="21"/>
                <w:highlight w:val="none"/>
              </w:rPr>
            </w:pPr>
          </w:p>
        </w:tc>
        <w:tc>
          <w:tcPr>
            <w:tcW w:w="1489" w:type="dxa"/>
            <w:gridSpan w:val="2"/>
            <w:vMerge w:val="continue"/>
            <w:noWrap w:val="0"/>
            <w:vAlign w:val="center"/>
          </w:tcPr>
          <w:p w14:paraId="516B2CF5">
            <w:pPr>
              <w:pStyle w:val="12"/>
              <w:pageBreakBefore w:val="0"/>
              <w:wordWrap/>
              <w:topLinePunct w:val="0"/>
              <w:bidi w:val="0"/>
              <w:spacing w:line="360" w:lineRule="auto"/>
              <w:jc w:val="center"/>
              <w:rPr>
                <w:rFonts w:hint="eastAsia" w:hAnsi="宋体" w:cs="宋体"/>
                <w:color w:val="auto"/>
                <w:kern w:val="0"/>
                <w:sz w:val="21"/>
                <w:szCs w:val="21"/>
                <w:highlight w:val="none"/>
                <w:lang w:val="en-US" w:eastAsia="zh-CN"/>
              </w:rPr>
            </w:pPr>
          </w:p>
        </w:tc>
        <w:tc>
          <w:tcPr>
            <w:tcW w:w="6926" w:type="dxa"/>
            <w:gridSpan w:val="3"/>
            <w:noWrap w:val="0"/>
            <w:vAlign w:val="center"/>
          </w:tcPr>
          <w:p w14:paraId="39223656">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2、后期</w:t>
            </w:r>
            <w:r>
              <w:rPr>
                <w:rFonts w:hint="eastAsia" w:ascii="宋体" w:hAnsi="宋体" w:eastAsia="宋体" w:cs="宋体"/>
                <w:color w:val="auto"/>
                <w:sz w:val="21"/>
                <w:szCs w:val="21"/>
                <w:highlight w:val="none"/>
                <w:lang w:val="en-US" w:eastAsia="zh-CN"/>
              </w:rPr>
              <w:t>保障体系：</w:t>
            </w:r>
            <w:r>
              <w:rPr>
                <w:rFonts w:hint="eastAsia" w:hAnsi="宋体" w:cs="宋体"/>
                <w:color w:val="auto"/>
                <w:sz w:val="21"/>
                <w:szCs w:val="21"/>
                <w:highlight w:val="none"/>
                <w:lang w:val="en-US" w:eastAsia="zh-CN"/>
              </w:rPr>
              <w:t>后期</w:t>
            </w:r>
            <w:r>
              <w:rPr>
                <w:rFonts w:hint="eastAsia" w:ascii="宋体" w:hAnsi="宋体" w:eastAsia="宋体" w:cs="宋体"/>
                <w:color w:val="auto"/>
                <w:sz w:val="21"/>
                <w:szCs w:val="21"/>
                <w:highlight w:val="none"/>
                <w:lang w:val="en-US" w:eastAsia="zh-CN"/>
              </w:rPr>
              <w:t>服务安排、紧急情况的处理措施、应急预案及风险控制</w:t>
            </w:r>
            <w:r>
              <w:rPr>
                <w:rFonts w:hint="eastAsia"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提出的切实可行的合理化建议与措施等</w:t>
            </w:r>
          </w:p>
          <w:p w14:paraId="4D55D284">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（1）承诺内容详实，考虑周全，针对性强，完全能够满足服务的需要，得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分； </w:t>
            </w:r>
          </w:p>
          <w:p w14:paraId="02F36A25">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（2）承诺内容完整，基本考虑周全，针对性较强，可以满足服务的需要，但有个别细节需要进一步完善或提高，得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570FFC38">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（3）承诺内容</w:t>
            </w:r>
            <w:r>
              <w:rPr>
                <w:rFonts w:hint="eastAsia" w:hAnsi="宋体" w:cs="宋体"/>
                <w:color w:val="auto"/>
                <w:sz w:val="21"/>
                <w:szCs w:val="21"/>
                <w:highlight w:val="none"/>
                <w:lang w:val="en-US" w:eastAsia="zh-CN"/>
              </w:rPr>
              <w:t>有，但</w:t>
            </w:r>
            <w:r>
              <w:rPr>
                <w:rFonts w:hint="eastAsia" w:ascii="宋体" w:hAnsi="宋体" w:eastAsia="宋体" w:cs="宋体"/>
                <w:color w:val="auto"/>
                <w:sz w:val="21"/>
                <w:szCs w:val="21"/>
                <w:highlight w:val="none"/>
                <w:lang w:val="en-US" w:eastAsia="zh-CN"/>
              </w:rPr>
              <w:t>不合理、不科学的1分；</w:t>
            </w:r>
          </w:p>
          <w:p w14:paraId="7AD7F24B">
            <w:pPr>
              <w:pageBreakBefore w:val="0"/>
              <w:wordWrap/>
              <w:topLinePunct w:val="0"/>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（4）如若缺项则不得分。</w:t>
            </w:r>
          </w:p>
        </w:tc>
      </w:tr>
      <w:tr w14:paraId="2C8736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9461" w:type="dxa"/>
            <w:gridSpan w:val="6"/>
            <w:noWrap w:val="0"/>
            <w:vAlign w:val="center"/>
          </w:tcPr>
          <w:p w14:paraId="47B98034">
            <w:pPr>
              <w:pageBreakBefore w:val="0"/>
              <w:widowControl/>
              <w:wordWrap/>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废标条款</w:t>
            </w:r>
          </w:p>
        </w:tc>
      </w:tr>
      <w:tr w14:paraId="0D5B1B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noWrap w:val="0"/>
            <w:vAlign w:val="center"/>
          </w:tcPr>
          <w:p w14:paraId="60373E75">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1.依据本章初步评审规定的评审标准对响应文件进行初步评审。有一项不符合评审标准的，作废标处理。</w:t>
            </w:r>
          </w:p>
        </w:tc>
      </w:tr>
      <w:tr w14:paraId="1D535B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461" w:type="dxa"/>
            <w:gridSpan w:val="6"/>
            <w:noWrap w:val="0"/>
            <w:vAlign w:val="center"/>
          </w:tcPr>
          <w:p w14:paraId="2071D7E2">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2．供应商有以下情形之一的，其投标作废标处理：</w:t>
            </w:r>
          </w:p>
          <w:p w14:paraId="27F22F40">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当供应商制作的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文件机器码一致时，按废标处理。</w:t>
            </w:r>
          </w:p>
          <w:p w14:paraId="15C7C215">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(2)串通投标或弄虚作假或有其他违法行为的；</w:t>
            </w:r>
          </w:p>
          <w:p w14:paraId="7363C4B3">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不按评审委员会要求澄清、说明或补正的。</w:t>
            </w:r>
          </w:p>
        </w:tc>
      </w:tr>
      <w:tr w14:paraId="749C8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noWrap w:val="0"/>
            <w:vAlign w:val="center"/>
          </w:tcPr>
          <w:p w14:paraId="079B9163">
            <w:pPr>
              <w:pageBreakBefore w:val="0"/>
              <w:wordWrap/>
              <w:topLinePunct w:val="0"/>
              <w:bidi w:val="0"/>
              <w:spacing w:line="360" w:lineRule="auto"/>
              <w:ind w:firstLine="453" w:firstLineChars="2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.响应报价有算术错误的，评审委员会按以下原则对响应报价进行修正，修正的价格经供应商书面确认后具有约束力。供应商不接受修正价格的，其投标作废标处理。</w:t>
            </w:r>
          </w:p>
        </w:tc>
      </w:tr>
      <w:tr w14:paraId="7B433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461" w:type="dxa"/>
            <w:gridSpan w:val="6"/>
            <w:noWrap w:val="0"/>
            <w:vAlign w:val="center"/>
          </w:tcPr>
          <w:p w14:paraId="23DD01AE">
            <w:pPr>
              <w:pageBreakBefore w:val="0"/>
              <w:numPr>
                <w:ilvl w:val="0"/>
                <w:numId w:val="0"/>
              </w:numPr>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审委员会发现供应商的报价明显低于其他需报价，或者在设有标底时明显低于标底，使得其响应报价可能低于其个别成本的，应当要求该供应商作出书面说明并提供相应的证明材料。供应商不能合理说明或者不能提供相应证明材料的，由评审委员会认定该供应商以低于成本报价竞标，其投标作废标处理。</w:t>
            </w:r>
          </w:p>
        </w:tc>
      </w:tr>
    </w:tbl>
    <w:p w14:paraId="7EA609C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1"/>
          <w:szCs w:val="21"/>
          <w:highlight w:val="none"/>
        </w:rPr>
      </w:pPr>
    </w:p>
    <w:p w14:paraId="1A66CB7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1、计分办法</w:t>
      </w:r>
    </w:p>
    <w:p w14:paraId="4F79A348">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委根据采购文件、响应文件，按照评分办法，统一认定供应商的硬指标分值；再加上评委个人评判分值，得出每个评委对供应商的评标分数。供应商的最终得分为所有评委对其打分的算术平均值，打分结果保留小数点后两位。</w:t>
      </w:r>
    </w:p>
    <w:p w14:paraId="774E07E4">
      <w:pPr>
        <w:pageBreakBefore w:val="0"/>
        <w:wordWrap/>
        <w:topLinePunct w:val="0"/>
        <w:bidi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2、定标</w:t>
      </w:r>
    </w:p>
    <w:p w14:paraId="5E9C7F24">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磋商委员会按照采购文件中评分办法的规定评定供应商名次。</w:t>
      </w:r>
    </w:p>
    <w:p w14:paraId="20ACF150">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2.供应商的排名按得分从高到低顺序排列。磋商委员会写出磋商报告向采购人推荐</w:t>
      </w:r>
      <w:r>
        <w:rPr>
          <w:rFonts w:hint="eastAsia" w:ascii="宋体" w:hAnsi="宋体" w:eastAsia="宋体" w:cs="宋体"/>
          <w:b/>
          <w:color w:val="auto"/>
          <w:kern w:val="0"/>
          <w:sz w:val="21"/>
          <w:szCs w:val="21"/>
          <w:highlight w:val="none"/>
          <w:u w:val="single"/>
        </w:rPr>
        <w:t>3</w:t>
      </w:r>
      <w:r>
        <w:rPr>
          <w:rFonts w:hint="eastAsia" w:ascii="宋体" w:hAnsi="宋体" w:eastAsia="宋体" w:cs="宋体"/>
          <w:color w:val="auto"/>
          <w:kern w:val="0"/>
          <w:sz w:val="21"/>
          <w:szCs w:val="21"/>
          <w:highlight w:val="none"/>
        </w:rPr>
        <w:t>名成交候选人。采购人原则上应按磋商委员会推荐的顺序确定成交人。</w:t>
      </w:r>
    </w:p>
    <w:p w14:paraId="6A071DCC">
      <w:pPr>
        <w:pageBreakBefore w:val="0"/>
        <w:wordWrap/>
        <w:topLinePunct w:val="0"/>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3.若前位成交候选人放弃成交、因不可抗力提出不能履行合同，可以按顺序向下确定成交人。</w:t>
      </w:r>
    </w:p>
    <w:p w14:paraId="3E2ED3E0">
      <w:pPr>
        <w:pageBreakBefore w:val="0"/>
        <w:wordWrap/>
        <w:topLinePunct w:val="0"/>
        <w:bidi w:val="0"/>
        <w:spacing w:line="360" w:lineRule="auto"/>
        <w:ind w:left="332" w:leftChars="151"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若前位成交候选人确有重大实质性问题或违法行为，经监督部门认可后成交无效。应当按照成交条件从其余供应商中重新确定成交人或者重新磋商。</w:t>
      </w:r>
    </w:p>
    <w:p w14:paraId="1D0E7B28">
      <w:pPr>
        <w:pageBreakBefore w:val="0"/>
        <w:wordWrap/>
        <w:topLinePunct w:val="0"/>
        <w:bidi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3、其它</w:t>
      </w:r>
    </w:p>
    <w:p w14:paraId="474BA9A7">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1.本采购文件未尽事宜按现行招标投标的有关法律法规和规定执行。如供应商在本次磋商活动中有违反相关法律法规的将根据相关法律法规和规定对其进行处罚。</w:t>
      </w:r>
    </w:p>
    <w:p w14:paraId="732C7E6C">
      <w:pPr>
        <w:pageBreakBefore w:val="0"/>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2.本采购文件根椐国家有关规定，解释权属采购人。</w:t>
      </w:r>
    </w:p>
    <w:p w14:paraId="69613B06">
      <w:pPr>
        <w:rPr>
          <w:rFonts w:hint="eastAsia"/>
          <w:highlight w:val="none"/>
          <w:lang w:val="en-US" w:eastAsia="zh-CN"/>
        </w:rPr>
      </w:pPr>
      <w:r>
        <w:rPr>
          <w:rFonts w:hint="eastAsia"/>
          <w:highlight w:val="none"/>
          <w:lang w:val="en-US" w:eastAsia="zh-CN"/>
        </w:rPr>
        <w:br w:type="page"/>
      </w:r>
    </w:p>
    <w:p w14:paraId="4E9B62C0">
      <w:pPr>
        <w:pStyle w:val="2"/>
        <w:pageBreakBefore w:val="0"/>
        <w:wordWrap/>
        <w:topLinePunct w:val="0"/>
        <w:bidi w:val="0"/>
        <w:spacing w:line="360" w:lineRule="auto"/>
        <w:jc w:val="center"/>
        <w:rPr>
          <w:rFonts w:hint="eastAsia" w:ascii="宋体" w:hAnsi="宋体" w:eastAsia="宋体" w:cs="宋体"/>
          <w:color w:val="auto"/>
          <w:sz w:val="28"/>
          <w:szCs w:val="28"/>
          <w:highlight w:val="none"/>
          <w:lang w:val="en-US" w:eastAsia="zh-CN" w:bidi="ar-SA"/>
        </w:rPr>
      </w:pPr>
      <w:bookmarkStart w:id="484" w:name="_Toc10155"/>
      <w:bookmarkStart w:id="485" w:name="_Toc9238"/>
      <w:bookmarkStart w:id="486" w:name="_Toc1965"/>
      <w:bookmarkStart w:id="487" w:name="_Toc16454"/>
      <w:bookmarkStart w:id="488" w:name="_Toc9671"/>
      <w:bookmarkStart w:id="489" w:name="_Toc24026"/>
      <w:bookmarkStart w:id="490" w:name="_Toc23770"/>
      <w:bookmarkStart w:id="491" w:name="_Toc14532"/>
      <w:bookmarkStart w:id="492" w:name="_Toc29270"/>
      <w:bookmarkStart w:id="493" w:name="_Toc12957"/>
      <w:r>
        <w:rPr>
          <w:rFonts w:hint="eastAsia" w:ascii="宋体" w:hAnsi="宋体" w:eastAsia="宋体" w:cs="宋体"/>
          <w:color w:val="auto"/>
          <w:highlight w:val="none"/>
        </w:rPr>
        <w:t>第四章 合同条款及格式</w:t>
      </w:r>
      <w:bookmarkEnd w:id="484"/>
      <w:bookmarkEnd w:id="485"/>
      <w:bookmarkEnd w:id="486"/>
      <w:bookmarkEnd w:id="487"/>
      <w:bookmarkEnd w:id="488"/>
      <w:bookmarkEnd w:id="489"/>
      <w:bookmarkEnd w:id="490"/>
      <w:bookmarkEnd w:id="491"/>
      <w:bookmarkEnd w:id="492"/>
      <w:bookmarkEnd w:id="493"/>
    </w:p>
    <w:p w14:paraId="05B01BBC">
      <w:pPr>
        <w:pStyle w:val="8"/>
        <w:pageBreakBefore w:val="0"/>
        <w:wordWrap/>
        <w:topLinePunct w:val="0"/>
        <w:bidi w:val="0"/>
        <w:spacing w:line="360" w:lineRule="auto"/>
        <w:jc w:val="center"/>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（本合同仅供参考，以最终签订为准）</w:t>
      </w:r>
    </w:p>
    <w:p w14:paraId="5DE1197F">
      <w:pPr>
        <w:spacing w:line="360" w:lineRule="atLeast"/>
        <w:jc w:val="center"/>
        <w:rPr>
          <w:rFonts w:hAnsi="宋体"/>
          <w:sz w:val="52"/>
          <w:szCs w:val="52"/>
          <w:highlight w:val="none"/>
        </w:rPr>
      </w:pPr>
      <w:r>
        <w:rPr>
          <w:rFonts w:hint="eastAsia" w:hAnsi="宋体" w:cs="宋体"/>
          <w:b/>
          <w:bCs/>
          <w:color w:val="333333"/>
          <w:kern w:val="0"/>
          <w:sz w:val="52"/>
          <w:szCs w:val="52"/>
          <w:highlight w:val="none"/>
          <w:lang w:bidi="ar"/>
        </w:rPr>
        <w:t>荥阳市林业局20</w:t>
      </w:r>
      <w:r>
        <w:rPr>
          <w:rFonts w:hint="eastAsia" w:hAnsi="宋体" w:cs="宋体"/>
          <w:b/>
          <w:bCs/>
          <w:color w:val="333333"/>
          <w:kern w:val="0"/>
          <w:sz w:val="52"/>
          <w:szCs w:val="52"/>
          <w:highlight w:val="none"/>
          <w:lang w:val="en-US" w:eastAsia="zh-CN" w:bidi="ar"/>
        </w:rPr>
        <w:t>24</w:t>
      </w:r>
      <w:r>
        <w:rPr>
          <w:rFonts w:hint="eastAsia" w:hAnsi="宋体" w:cs="宋体"/>
          <w:b/>
          <w:bCs/>
          <w:color w:val="333333"/>
          <w:kern w:val="0"/>
          <w:sz w:val="52"/>
          <w:szCs w:val="52"/>
          <w:highlight w:val="none"/>
          <w:lang w:bidi="ar"/>
        </w:rPr>
        <w:t>年森林抚育项目</w:t>
      </w:r>
    </w:p>
    <w:p w14:paraId="41C293ED">
      <w:pPr>
        <w:spacing w:line="360" w:lineRule="atLeast"/>
        <w:jc w:val="center"/>
        <w:rPr>
          <w:b/>
          <w:sz w:val="52"/>
          <w:szCs w:val="52"/>
          <w:highlight w:val="none"/>
        </w:rPr>
      </w:pPr>
    </w:p>
    <w:p w14:paraId="1A137A72">
      <w:pPr>
        <w:spacing w:line="360" w:lineRule="atLeast"/>
        <w:jc w:val="center"/>
        <w:rPr>
          <w:b/>
          <w:sz w:val="52"/>
          <w:szCs w:val="52"/>
          <w:highlight w:val="none"/>
        </w:rPr>
      </w:pPr>
    </w:p>
    <w:p w14:paraId="60B1C469">
      <w:pPr>
        <w:spacing w:line="360" w:lineRule="atLeast"/>
        <w:jc w:val="center"/>
        <w:rPr>
          <w:b/>
          <w:sz w:val="52"/>
          <w:szCs w:val="52"/>
          <w:highlight w:val="none"/>
        </w:rPr>
      </w:pPr>
      <w:r>
        <w:rPr>
          <w:rFonts w:hint="eastAsia"/>
          <w:b/>
          <w:sz w:val="52"/>
          <w:szCs w:val="52"/>
          <w:highlight w:val="none"/>
        </w:rPr>
        <w:t>施</w:t>
      </w:r>
    </w:p>
    <w:p w14:paraId="1EC8DDC4">
      <w:pPr>
        <w:spacing w:line="360" w:lineRule="atLeast"/>
        <w:jc w:val="center"/>
        <w:rPr>
          <w:b/>
          <w:sz w:val="52"/>
          <w:szCs w:val="52"/>
          <w:highlight w:val="none"/>
        </w:rPr>
      </w:pPr>
    </w:p>
    <w:p w14:paraId="1AF07814">
      <w:pPr>
        <w:spacing w:line="360" w:lineRule="atLeast"/>
        <w:jc w:val="center"/>
        <w:rPr>
          <w:b/>
          <w:sz w:val="52"/>
          <w:szCs w:val="52"/>
          <w:highlight w:val="none"/>
        </w:rPr>
      </w:pPr>
      <w:r>
        <w:rPr>
          <w:rFonts w:hint="eastAsia"/>
          <w:b/>
          <w:sz w:val="52"/>
          <w:szCs w:val="52"/>
          <w:highlight w:val="none"/>
        </w:rPr>
        <w:t>工</w:t>
      </w:r>
    </w:p>
    <w:p w14:paraId="163B62DF">
      <w:pPr>
        <w:spacing w:line="360" w:lineRule="atLeast"/>
        <w:jc w:val="center"/>
        <w:rPr>
          <w:b/>
          <w:sz w:val="52"/>
          <w:szCs w:val="52"/>
          <w:highlight w:val="none"/>
        </w:rPr>
      </w:pPr>
    </w:p>
    <w:p w14:paraId="7F4CC30C">
      <w:pPr>
        <w:spacing w:line="360" w:lineRule="atLeast"/>
        <w:jc w:val="center"/>
        <w:rPr>
          <w:b/>
          <w:sz w:val="52"/>
          <w:szCs w:val="52"/>
          <w:highlight w:val="none"/>
        </w:rPr>
      </w:pPr>
      <w:r>
        <w:rPr>
          <w:rFonts w:hint="eastAsia"/>
          <w:b/>
          <w:sz w:val="52"/>
          <w:szCs w:val="52"/>
          <w:highlight w:val="none"/>
        </w:rPr>
        <w:t>合</w:t>
      </w:r>
    </w:p>
    <w:p w14:paraId="3EE3B2D9">
      <w:pPr>
        <w:spacing w:line="360" w:lineRule="atLeast"/>
        <w:jc w:val="center"/>
        <w:rPr>
          <w:b/>
          <w:sz w:val="52"/>
          <w:szCs w:val="52"/>
          <w:highlight w:val="none"/>
        </w:rPr>
      </w:pPr>
    </w:p>
    <w:p w14:paraId="405102AD">
      <w:pPr>
        <w:spacing w:line="360" w:lineRule="atLeast"/>
        <w:jc w:val="center"/>
        <w:rPr>
          <w:b/>
          <w:sz w:val="52"/>
          <w:szCs w:val="52"/>
          <w:highlight w:val="none"/>
        </w:rPr>
      </w:pPr>
      <w:r>
        <w:rPr>
          <w:rFonts w:hint="eastAsia"/>
          <w:b/>
          <w:sz w:val="52"/>
          <w:szCs w:val="52"/>
          <w:highlight w:val="none"/>
        </w:rPr>
        <w:t>同</w:t>
      </w:r>
    </w:p>
    <w:p w14:paraId="7EE08A80">
      <w:pPr>
        <w:spacing w:line="360" w:lineRule="atLeast"/>
        <w:jc w:val="center"/>
        <w:rPr>
          <w:b/>
          <w:sz w:val="30"/>
          <w:szCs w:val="30"/>
          <w:highlight w:val="none"/>
        </w:rPr>
      </w:pPr>
    </w:p>
    <w:p w14:paraId="4EC0CA31">
      <w:pPr>
        <w:spacing w:line="360" w:lineRule="atLeast"/>
        <w:jc w:val="center"/>
        <w:rPr>
          <w:b/>
          <w:sz w:val="30"/>
          <w:szCs w:val="30"/>
          <w:highlight w:val="none"/>
        </w:rPr>
      </w:pPr>
    </w:p>
    <w:p w14:paraId="1BA27C5B">
      <w:pPr>
        <w:spacing w:line="360" w:lineRule="atLeast"/>
        <w:jc w:val="center"/>
        <w:rPr>
          <w:b/>
          <w:sz w:val="30"/>
          <w:szCs w:val="30"/>
          <w:highlight w:val="none"/>
        </w:rPr>
      </w:pPr>
    </w:p>
    <w:p w14:paraId="2332B891">
      <w:pPr>
        <w:spacing w:line="360" w:lineRule="atLeast"/>
        <w:jc w:val="center"/>
        <w:rPr>
          <w:b/>
          <w:sz w:val="30"/>
          <w:szCs w:val="30"/>
          <w:highlight w:val="none"/>
        </w:rPr>
      </w:pPr>
    </w:p>
    <w:p w14:paraId="072E40AC">
      <w:pPr>
        <w:tabs>
          <w:tab w:val="left" w:pos="1078"/>
        </w:tabs>
        <w:spacing w:line="480" w:lineRule="auto"/>
        <w:ind w:right="1120"/>
        <w:rPr>
          <w:rFonts w:hAnsi="宋体"/>
          <w:b/>
          <w:sz w:val="32"/>
          <w:szCs w:val="32"/>
          <w:highlight w:val="none"/>
        </w:rPr>
      </w:pPr>
      <w:r>
        <w:rPr>
          <w:rFonts w:hint="eastAsia" w:hAnsi="宋体"/>
          <w:sz w:val="32"/>
          <w:szCs w:val="32"/>
          <w:highlight w:val="none"/>
        </w:rPr>
        <w:t xml:space="preserve">      </w:t>
      </w:r>
      <w:r>
        <w:rPr>
          <w:rFonts w:hint="eastAsia" w:hAnsi="宋体"/>
          <w:b/>
          <w:sz w:val="32"/>
          <w:szCs w:val="32"/>
          <w:highlight w:val="none"/>
        </w:rPr>
        <w:t>发 包 人：</w:t>
      </w:r>
      <w:r>
        <w:rPr>
          <w:rFonts w:hint="eastAsia" w:hAnsi="宋体"/>
          <w:b/>
          <w:sz w:val="32"/>
          <w:szCs w:val="32"/>
          <w:highlight w:val="none"/>
          <w:u w:val="single"/>
        </w:rPr>
        <w:t xml:space="preserve"> 荥阳市林业局                </w:t>
      </w:r>
    </w:p>
    <w:p w14:paraId="1473B6D1">
      <w:pPr>
        <w:tabs>
          <w:tab w:val="left" w:pos="1078"/>
        </w:tabs>
        <w:spacing w:line="480" w:lineRule="auto"/>
        <w:ind w:right="1120" w:firstLine="948" w:firstLineChars="295"/>
        <w:rPr>
          <w:rFonts w:hAnsi="宋体"/>
          <w:b/>
          <w:sz w:val="32"/>
          <w:szCs w:val="32"/>
          <w:highlight w:val="none"/>
          <w:u w:val="single"/>
        </w:rPr>
      </w:pPr>
      <w:r>
        <w:rPr>
          <w:rFonts w:hint="eastAsia" w:hAnsi="宋体"/>
          <w:b/>
          <w:sz w:val="32"/>
          <w:szCs w:val="32"/>
          <w:highlight w:val="none"/>
        </w:rPr>
        <w:t>承 包 人：</w:t>
      </w:r>
      <w:r>
        <w:rPr>
          <w:rFonts w:hint="eastAsia" w:hAnsi="宋体"/>
          <w:b/>
          <w:sz w:val="32"/>
          <w:szCs w:val="32"/>
          <w:highlight w:val="none"/>
          <w:u w:val="single"/>
        </w:rPr>
        <w:t xml:space="preserve">  </w:t>
      </w:r>
      <w:r>
        <w:rPr>
          <w:rFonts w:hAnsi="宋体"/>
          <w:b/>
          <w:sz w:val="32"/>
          <w:szCs w:val="32"/>
          <w:highlight w:val="none"/>
          <w:u w:val="single"/>
        </w:rPr>
        <w:t xml:space="preserve">                            </w:t>
      </w:r>
    </w:p>
    <w:p w14:paraId="36392979">
      <w:pPr>
        <w:tabs>
          <w:tab w:val="left" w:pos="1078"/>
        </w:tabs>
        <w:spacing w:line="480" w:lineRule="auto"/>
        <w:jc w:val="both"/>
        <w:rPr>
          <w:rFonts w:hAnsi="宋体"/>
          <w:b/>
          <w:bCs/>
          <w:sz w:val="32"/>
          <w:szCs w:val="32"/>
          <w:highlight w:val="none"/>
        </w:rPr>
      </w:pPr>
      <w:r>
        <w:rPr>
          <w:rFonts w:hint="eastAsia" w:hAnsi="宋体"/>
          <w:b/>
          <w:sz w:val="32"/>
          <w:szCs w:val="32"/>
          <w:highlight w:val="none"/>
        </w:rPr>
        <w:t xml:space="preserve">      签定日期：</w:t>
      </w:r>
      <w:r>
        <w:rPr>
          <w:rFonts w:hint="eastAsia" w:hAnsi="宋体"/>
          <w:b/>
          <w:sz w:val="32"/>
          <w:szCs w:val="32"/>
          <w:highlight w:val="none"/>
          <w:u w:val="single"/>
        </w:rPr>
        <w:t xml:space="preserve">        年    月    日       </w:t>
      </w:r>
    </w:p>
    <w:p w14:paraId="49F8CD9D">
      <w:pPr>
        <w:jc w:val="center"/>
        <w:rPr>
          <w:b/>
          <w:bCs/>
          <w:sz w:val="44"/>
          <w:szCs w:val="44"/>
          <w:highlight w:val="none"/>
        </w:rPr>
      </w:pPr>
    </w:p>
    <w:p w14:paraId="4E3EF9D1">
      <w:pPr>
        <w:rPr>
          <w:highlight w:val="none"/>
        </w:rPr>
      </w:pPr>
      <w:r>
        <w:rPr>
          <w:highlight w:val="none"/>
        </w:rPr>
        <w:br w:type="page"/>
      </w:r>
    </w:p>
    <w:p w14:paraId="610294A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甲方（发包方）</w:t>
      </w:r>
      <w:r>
        <w:rPr>
          <w:rFonts w:hint="eastAsia" w:hAnsi="宋体" w:cs="宋体"/>
          <w:sz w:val="28"/>
          <w:szCs w:val="28"/>
          <w:highlight w:val="none"/>
          <w:u w:val="single"/>
        </w:rPr>
        <w:t xml:space="preserve"> </w:t>
      </w:r>
      <w:r>
        <w:rPr>
          <w:rFonts w:hAnsi="宋体" w:cs="宋体"/>
          <w:sz w:val="28"/>
          <w:szCs w:val="28"/>
          <w:highlight w:val="none"/>
          <w:u w:val="single"/>
        </w:rPr>
        <w:t xml:space="preserve">                         </w:t>
      </w:r>
    </w:p>
    <w:p w14:paraId="3B0CA5D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乙方（承包方）</w:t>
      </w:r>
      <w:r>
        <w:rPr>
          <w:rFonts w:hint="eastAsia" w:hAnsi="宋体" w:cs="宋体"/>
          <w:sz w:val="28"/>
          <w:szCs w:val="28"/>
          <w:highlight w:val="none"/>
          <w:u w:val="single"/>
        </w:rPr>
        <w:t xml:space="preserve"> </w:t>
      </w:r>
      <w:r>
        <w:rPr>
          <w:rFonts w:hAnsi="宋体" w:cs="宋体"/>
          <w:sz w:val="28"/>
          <w:szCs w:val="28"/>
          <w:highlight w:val="none"/>
          <w:u w:val="single"/>
        </w:rPr>
        <w:t xml:space="preserve">                         </w:t>
      </w:r>
    </w:p>
    <w:p w14:paraId="6F42787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 xml:space="preserve"> </w:t>
      </w:r>
    </w:p>
    <w:p w14:paraId="6414BE9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为明确甲乙双方的权利义务，依照《中华人民共和国民法典》及其他有关法律、法规的规定，遵循平等、自愿、公平和诚实信用的原则，双方就</w:t>
      </w:r>
      <w:r>
        <w:rPr>
          <w:rFonts w:hint="eastAsia" w:hAnsi="宋体" w:cs="宋体"/>
          <w:sz w:val="28"/>
          <w:szCs w:val="28"/>
          <w:highlight w:val="none"/>
          <w:u w:val="single"/>
          <w:lang w:val="en-US" w:eastAsia="zh-CN"/>
        </w:rPr>
        <w:t xml:space="preserve">                 </w:t>
      </w:r>
      <w:r>
        <w:rPr>
          <w:rFonts w:hint="eastAsia" w:hAnsi="宋体" w:cs="宋体"/>
          <w:sz w:val="28"/>
          <w:szCs w:val="28"/>
          <w:highlight w:val="none"/>
        </w:rPr>
        <w:t>相关事宜协商一致， 订立本合同。</w:t>
      </w:r>
    </w:p>
    <w:p w14:paraId="0AE0211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 xml:space="preserve"> </w:t>
      </w:r>
    </w:p>
    <w:p w14:paraId="5362235B">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494" w:name="_Toc13012"/>
      <w:r>
        <w:rPr>
          <w:rFonts w:ascii="宋体" w:hAnsi="宋体" w:eastAsia="宋体" w:cs="宋体"/>
          <w:sz w:val="28"/>
          <w:szCs w:val="28"/>
          <w:highlight w:val="none"/>
        </w:rPr>
        <w:t>项目概况</w:t>
      </w:r>
      <w:bookmarkEnd w:id="494"/>
      <w:r>
        <w:rPr>
          <w:rFonts w:ascii="宋体" w:hAnsi="宋体" w:eastAsia="宋体" w:cs="宋体"/>
          <w:sz w:val="28"/>
          <w:szCs w:val="28"/>
          <w:highlight w:val="none"/>
        </w:rPr>
        <w:t xml:space="preserve"> </w:t>
      </w:r>
    </w:p>
    <w:p w14:paraId="76F3362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color w:val="333333"/>
          <w:kern w:val="0"/>
          <w:sz w:val="28"/>
          <w:szCs w:val="28"/>
          <w:highlight w:val="none"/>
          <w:u w:val="single"/>
          <w:lang w:bidi="ar"/>
        </w:rPr>
      </w:pPr>
      <w:r>
        <w:rPr>
          <w:rFonts w:hint="eastAsia" w:hAnsi="宋体" w:cs="宋体"/>
          <w:sz w:val="28"/>
          <w:szCs w:val="28"/>
          <w:highlight w:val="none"/>
        </w:rPr>
        <w:t>项目名称：</w:t>
      </w:r>
      <w:r>
        <w:rPr>
          <w:rFonts w:hint="eastAsia" w:hAnsi="宋体" w:cs="宋体"/>
          <w:color w:val="333333"/>
          <w:kern w:val="0"/>
          <w:sz w:val="28"/>
          <w:szCs w:val="28"/>
          <w:highlight w:val="none"/>
          <w:u w:val="single"/>
          <w:lang w:bidi="ar"/>
        </w:rPr>
        <w:t xml:space="preserve"> </w:t>
      </w:r>
      <w:r>
        <w:rPr>
          <w:rFonts w:hAnsi="宋体" w:cs="宋体"/>
          <w:color w:val="333333"/>
          <w:kern w:val="0"/>
          <w:sz w:val="28"/>
          <w:szCs w:val="28"/>
          <w:highlight w:val="none"/>
          <w:u w:val="single"/>
          <w:lang w:bidi="ar"/>
        </w:rPr>
        <w:t xml:space="preserve">                               </w:t>
      </w:r>
    </w:p>
    <w:p w14:paraId="6B710C58">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color w:val="333333"/>
          <w:kern w:val="0"/>
          <w:sz w:val="28"/>
          <w:szCs w:val="28"/>
          <w:highlight w:val="none"/>
          <w:u w:val="single"/>
          <w:lang w:bidi="ar"/>
        </w:rPr>
      </w:pPr>
      <w:r>
        <w:rPr>
          <w:rFonts w:hint="eastAsia" w:hAnsi="宋体" w:cs="宋体"/>
          <w:sz w:val="28"/>
          <w:szCs w:val="28"/>
          <w:highlight w:val="none"/>
        </w:rPr>
        <w:t>项目地点：</w:t>
      </w:r>
      <w:r>
        <w:rPr>
          <w:rFonts w:hint="eastAsia" w:hAnsi="宋体" w:cs="宋体"/>
          <w:color w:val="333333"/>
          <w:kern w:val="0"/>
          <w:sz w:val="28"/>
          <w:szCs w:val="28"/>
          <w:highlight w:val="none"/>
          <w:u w:val="single"/>
          <w:lang w:bidi="ar"/>
        </w:rPr>
        <w:t xml:space="preserve"> </w:t>
      </w:r>
      <w:r>
        <w:rPr>
          <w:rFonts w:hAnsi="宋体" w:cs="宋体"/>
          <w:color w:val="333333"/>
          <w:kern w:val="0"/>
          <w:sz w:val="28"/>
          <w:szCs w:val="28"/>
          <w:highlight w:val="none"/>
          <w:u w:val="single"/>
          <w:lang w:bidi="ar"/>
        </w:rPr>
        <w:t xml:space="preserve">                               </w:t>
      </w:r>
    </w:p>
    <w:p w14:paraId="6AF3832D">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color w:val="333333"/>
          <w:kern w:val="0"/>
          <w:sz w:val="28"/>
          <w:szCs w:val="28"/>
          <w:highlight w:val="none"/>
          <w:u w:val="single"/>
          <w:lang w:bidi="ar"/>
        </w:rPr>
      </w:pPr>
      <w:r>
        <w:rPr>
          <w:rFonts w:hint="eastAsia" w:hAnsi="宋体" w:cs="宋体"/>
          <w:color w:val="333333"/>
          <w:kern w:val="0"/>
          <w:sz w:val="28"/>
          <w:szCs w:val="28"/>
          <w:highlight w:val="none"/>
          <w:lang w:bidi="ar"/>
        </w:rPr>
        <w:t>工程总造价：</w:t>
      </w:r>
      <w:r>
        <w:rPr>
          <w:rFonts w:hAnsi="宋体" w:cs="宋体"/>
          <w:color w:val="333333"/>
          <w:kern w:val="0"/>
          <w:sz w:val="28"/>
          <w:szCs w:val="28"/>
          <w:highlight w:val="none"/>
          <w:u w:val="single"/>
          <w:lang w:bidi="ar"/>
        </w:rPr>
        <w:t xml:space="preserve">         </w:t>
      </w:r>
      <w:r>
        <w:rPr>
          <w:rFonts w:hint="eastAsia" w:hAnsi="宋体" w:cs="宋体"/>
          <w:color w:val="333333"/>
          <w:kern w:val="0"/>
          <w:sz w:val="28"/>
          <w:szCs w:val="28"/>
          <w:highlight w:val="none"/>
          <w:lang w:bidi="ar"/>
        </w:rPr>
        <w:t>元，大写：</w:t>
      </w:r>
      <w:r>
        <w:rPr>
          <w:rFonts w:hint="eastAsia" w:hAnsi="宋体" w:cs="宋体"/>
          <w:color w:val="333333"/>
          <w:kern w:val="0"/>
          <w:sz w:val="28"/>
          <w:szCs w:val="28"/>
          <w:highlight w:val="none"/>
          <w:u w:val="single"/>
          <w:lang w:bidi="ar"/>
        </w:rPr>
        <w:t xml:space="preserve"> </w:t>
      </w:r>
      <w:r>
        <w:rPr>
          <w:rFonts w:hAnsi="宋体" w:cs="宋体"/>
          <w:color w:val="333333"/>
          <w:kern w:val="0"/>
          <w:sz w:val="28"/>
          <w:szCs w:val="28"/>
          <w:highlight w:val="none"/>
          <w:u w:val="single"/>
          <w:lang w:bidi="ar"/>
        </w:rPr>
        <w:t xml:space="preserve">          </w:t>
      </w:r>
    </w:p>
    <w:p w14:paraId="1AFC5541">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color w:val="333333"/>
          <w:kern w:val="0"/>
          <w:sz w:val="28"/>
          <w:szCs w:val="28"/>
          <w:highlight w:val="none"/>
          <w:u w:val="single"/>
          <w:lang w:bidi="ar"/>
        </w:rPr>
      </w:pPr>
    </w:p>
    <w:p w14:paraId="5D5F547C">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495" w:name="_Toc31285"/>
      <w:r>
        <w:rPr>
          <w:rFonts w:ascii="宋体" w:hAnsi="宋体" w:eastAsia="宋体" w:cs="宋体"/>
          <w:sz w:val="28"/>
          <w:szCs w:val="28"/>
          <w:highlight w:val="none"/>
        </w:rPr>
        <w:t>抚育内容</w:t>
      </w:r>
      <w:bookmarkEnd w:id="495"/>
    </w:p>
    <w:p w14:paraId="2D3909E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color w:val="333333"/>
          <w:kern w:val="0"/>
          <w:sz w:val="28"/>
          <w:szCs w:val="28"/>
          <w:highlight w:val="none"/>
          <w:u w:val="single"/>
          <w:lang w:bidi="ar"/>
        </w:rPr>
        <w:t>人工修枝、割灌除草。</w:t>
      </w:r>
      <w:r>
        <w:rPr>
          <w:rFonts w:hint="eastAsia" w:hAnsi="宋体" w:cs="宋体"/>
          <w:sz w:val="28"/>
          <w:szCs w:val="28"/>
          <w:highlight w:val="none"/>
          <w:u w:val="single"/>
        </w:rPr>
        <w:t xml:space="preserve"> </w:t>
      </w:r>
      <w:r>
        <w:rPr>
          <w:rFonts w:hint="eastAsia" w:hAnsi="宋体" w:cs="宋体"/>
          <w:sz w:val="28"/>
          <w:szCs w:val="28"/>
          <w:highlight w:val="none"/>
        </w:rPr>
        <w:t xml:space="preserve"> </w:t>
      </w:r>
    </w:p>
    <w:p w14:paraId="003D387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p>
    <w:p w14:paraId="47AAD48A">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496" w:name="_Toc28402"/>
      <w:r>
        <w:rPr>
          <w:rFonts w:ascii="宋体" w:hAnsi="宋体" w:eastAsia="宋体" w:cs="宋体"/>
          <w:sz w:val="28"/>
          <w:szCs w:val="28"/>
          <w:highlight w:val="none"/>
        </w:rPr>
        <w:t>抚育期限</w:t>
      </w:r>
      <w:bookmarkEnd w:id="496"/>
      <w:r>
        <w:rPr>
          <w:rFonts w:ascii="宋体" w:hAnsi="宋体" w:eastAsia="宋体" w:cs="宋体"/>
          <w:sz w:val="28"/>
          <w:szCs w:val="28"/>
          <w:highlight w:val="none"/>
        </w:rPr>
        <w:t xml:space="preserve"> </w:t>
      </w:r>
    </w:p>
    <w:p w14:paraId="7FA88048">
      <w:pPr>
        <w:keepNext w:val="0"/>
        <w:keepLines w:val="0"/>
        <w:pageBreakBefore w:val="0"/>
        <w:widowControl w:val="0"/>
        <w:kinsoku/>
        <w:wordWrap/>
        <w:overflowPunct/>
        <w:topLinePunct w:val="0"/>
        <w:autoSpaceDE w:val="0"/>
        <w:autoSpaceDN w:val="0"/>
        <w:bidi w:val="0"/>
        <w:adjustRightInd w:val="0"/>
        <w:snapToGrid/>
        <w:spacing w:line="360" w:lineRule="auto"/>
        <w:ind w:left="510" w:leftChars="232"/>
        <w:textAlignment w:val="auto"/>
        <w:rPr>
          <w:rFonts w:hint="eastAsia" w:hAnsi="宋体" w:cs="宋体"/>
          <w:sz w:val="28"/>
          <w:szCs w:val="28"/>
          <w:highlight w:val="none"/>
        </w:rPr>
      </w:pPr>
      <w:r>
        <w:rPr>
          <w:rFonts w:hint="eastAsia" w:hAnsi="宋体" w:cs="宋体"/>
          <w:sz w:val="28"/>
          <w:szCs w:val="28"/>
          <w:highlight w:val="none"/>
        </w:rPr>
        <w:t>抚育期限为</w:t>
      </w:r>
      <w:r>
        <w:rPr>
          <w:rFonts w:hint="eastAsia" w:hAnsi="宋体" w:cs="宋体"/>
          <w:sz w:val="28"/>
          <w:szCs w:val="28"/>
          <w:highlight w:val="none"/>
          <w:u w:val="single"/>
          <w:lang w:val="en-US" w:eastAsia="zh-CN"/>
        </w:rPr>
        <w:t xml:space="preserve">          </w:t>
      </w:r>
      <w:r>
        <w:rPr>
          <w:rFonts w:hint="eastAsia" w:hAnsi="宋体" w:cs="宋体"/>
          <w:sz w:val="28"/>
          <w:szCs w:val="28"/>
          <w:highlight w:val="none"/>
        </w:rPr>
        <w:t>，自</w:t>
      </w:r>
      <w:r>
        <w:rPr>
          <w:rFonts w:hAnsi="宋体" w:cs="宋体"/>
          <w:sz w:val="28"/>
          <w:szCs w:val="28"/>
          <w:highlight w:val="none"/>
          <w:u w:val="single"/>
        </w:rPr>
        <w:t xml:space="preserve">   </w:t>
      </w:r>
      <w:r>
        <w:rPr>
          <w:rFonts w:hint="eastAsia" w:hAnsi="宋体" w:cs="宋体"/>
          <w:sz w:val="28"/>
          <w:szCs w:val="28"/>
          <w:highlight w:val="none"/>
        </w:rPr>
        <w:t>年</w:t>
      </w:r>
      <w:r>
        <w:rPr>
          <w:rFonts w:hint="eastAsia" w:hAnsi="宋体" w:cs="宋体"/>
          <w:sz w:val="28"/>
          <w:szCs w:val="28"/>
          <w:highlight w:val="none"/>
          <w:u w:val="single"/>
        </w:rPr>
        <w:t xml:space="preserve"> </w:t>
      </w:r>
      <w:r>
        <w:rPr>
          <w:rFonts w:hAnsi="宋体" w:cs="宋体"/>
          <w:sz w:val="28"/>
          <w:szCs w:val="28"/>
          <w:highlight w:val="none"/>
          <w:u w:val="single"/>
        </w:rPr>
        <w:t xml:space="preserve"> </w:t>
      </w:r>
      <w:r>
        <w:rPr>
          <w:rFonts w:hint="eastAsia" w:hAnsi="宋体" w:cs="宋体"/>
          <w:sz w:val="28"/>
          <w:szCs w:val="28"/>
          <w:highlight w:val="none"/>
        </w:rPr>
        <w:t>月</w:t>
      </w:r>
      <w:r>
        <w:rPr>
          <w:rFonts w:hAnsi="宋体" w:cs="宋体"/>
          <w:sz w:val="28"/>
          <w:szCs w:val="28"/>
          <w:highlight w:val="none"/>
          <w:u w:val="single"/>
        </w:rPr>
        <w:t xml:space="preserve">  </w:t>
      </w:r>
      <w:r>
        <w:rPr>
          <w:rFonts w:hint="eastAsia" w:hAnsi="宋体" w:cs="宋体"/>
          <w:sz w:val="28"/>
          <w:szCs w:val="28"/>
          <w:highlight w:val="none"/>
        </w:rPr>
        <w:t>日起至</w:t>
      </w:r>
      <w:r>
        <w:rPr>
          <w:rFonts w:hAnsi="宋体" w:cs="宋体"/>
          <w:sz w:val="28"/>
          <w:szCs w:val="28"/>
          <w:highlight w:val="none"/>
          <w:u w:val="single"/>
        </w:rPr>
        <w:t xml:space="preserve">   </w:t>
      </w:r>
      <w:r>
        <w:rPr>
          <w:rFonts w:hint="eastAsia" w:hAnsi="宋体" w:cs="宋体"/>
          <w:sz w:val="28"/>
          <w:szCs w:val="28"/>
          <w:highlight w:val="none"/>
        </w:rPr>
        <w:t>年</w:t>
      </w:r>
      <w:r>
        <w:rPr>
          <w:rFonts w:hAnsi="宋体" w:cs="宋体"/>
          <w:sz w:val="28"/>
          <w:szCs w:val="28"/>
          <w:highlight w:val="none"/>
          <w:u w:val="single"/>
        </w:rPr>
        <w:t xml:space="preserve">  </w:t>
      </w:r>
      <w:r>
        <w:rPr>
          <w:rFonts w:hint="eastAsia" w:hAnsi="宋体" w:cs="宋体"/>
          <w:sz w:val="28"/>
          <w:szCs w:val="28"/>
          <w:highlight w:val="none"/>
        </w:rPr>
        <w:t>月</w:t>
      </w:r>
      <w:r>
        <w:rPr>
          <w:rFonts w:hAnsi="宋体" w:cs="宋体"/>
          <w:sz w:val="28"/>
          <w:szCs w:val="28"/>
          <w:highlight w:val="none"/>
          <w:u w:val="single"/>
        </w:rPr>
        <w:t xml:space="preserve">  </w:t>
      </w:r>
      <w:r>
        <w:rPr>
          <w:rFonts w:hint="eastAsia" w:hAnsi="宋体" w:cs="宋体"/>
          <w:sz w:val="28"/>
          <w:szCs w:val="28"/>
          <w:highlight w:val="none"/>
        </w:rPr>
        <w:t>日止。</w:t>
      </w:r>
    </w:p>
    <w:p w14:paraId="0AF5964B">
      <w:pPr>
        <w:keepNext w:val="0"/>
        <w:keepLines w:val="0"/>
        <w:pageBreakBefore w:val="0"/>
        <w:widowControl w:val="0"/>
        <w:kinsoku/>
        <w:wordWrap/>
        <w:overflowPunct/>
        <w:topLinePunct w:val="0"/>
        <w:autoSpaceDE w:val="0"/>
        <w:autoSpaceDN w:val="0"/>
        <w:bidi w:val="0"/>
        <w:adjustRightInd w:val="0"/>
        <w:snapToGrid/>
        <w:spacing w:line="360" w:lineRule="auto"/>
        <w:ind w:left="510" w:leftChars="232"/>
        <w:textAlignment w:val="auto"/>
        <w:rPr>
          <w:rFonts w:hint="eastAsia" w:hAnsi="宋体" w:cs="宋体"/>
          <w:sz w:val="28"/>
          <w:szCs w:val="28"/>
          <w:highlight w:val="none"/>
        </w:rPr>
      </w:pPr>
    </w:p>
    <w:p w14:paraId="1B87A8C2">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497" w:name="_Toc16330"/>
      <w:r>
        <w:rPr>
          <w:rFonts w:ascii="宋体" w:hAnsi="宋体" w:eastAsia="宋体" w:cs="宋体"/>
          <w:sz w:val="28"/>
          <w:szCs w:val="28"/>
          <w:highlight w:val="none"/>
        </w:rPr>
        <w:t>抚育质量和考核</w:t>
      </w:r>
      <w:bookmarkEnd w:id="497"/>
      <w:r>
        <w:rPr>
          <w:rFonts w:ascii="宋体" w:hAnsi="宋体" w:eastAsia="宋体" w:cs="宋体"/>
          <w:sz w:val="28"/>
          <w:szCs w:val="28"/>
          <w:highlight w:val="none"/>
        </w:rPr>
        <w:t xml:space="preserve"> </w:t>
      </w:r>
    </w:p>
    <w:p w14:paraId="3E61CAA8">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lang w:val="en-US" w:eastAsia="zh-CN"/>
        </w:rPr>
        <w:t>1.</w:t>
      </w:r>
      <w:r>
        <w:rPr>
          <w:rFonts w:hint="eastAsia" w:hAnsi="宋体" w:cs="宋体"/>
          <w:sz w:val="28"/>
          <w:szCs w:val="28"/>
          <w:highlight w:val="none"/>
        </w:rPr>
        <w:t>抚育质量</w:t>
      </w:r>
      <w:r>
        <w:rPr>
          <w:rFonts w:hint="eastAsia" w:hAnsi="宋体" w:cs="宋体"/>
          <w:sz w:val="28"/>
          <w:szCs w:val="28"/>
          <w:highlight w:val="none"/>
          <w:lang w:eastAsia="zh-CN"/>
        </w:rPr>
        <w:t>：</w:t>
      </w:r>
      <w:r>
        <w:rPr>
          <w:rFonts w:hint="eastAsia" w:hAnsi="宋体" w:cs="宋体"/>
          <w:sz w:val="28"/>
          <w:szCs w:val="28"/>
          <w:highlight w:val="none"/>
          <w:u w:val="single"/>
          <w:lang w:val="en-US" w:eastAsia="zh-CN"/>
        </w:rPr>
        <w:t xml:space="preserve">             </w:t>
      </w:r>
      <w:r>
        <w:rPr>
          <w:rFonts w:hint="eastAsia" w:hAnsi="宋体" w:cs="宋体"/>
          <w:sz w:val="28"/>
          <w:szCs w:val="28"/>
          <w:highlight w:val="none"/>
        </w:rPr>
        <w:t xml:space="preserve">  </w:t>
      </w:r>
    </w:p>
    <w:p w14:paraId="48A86101">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1"/>
        <w:rPr>
          <w:rFonts w:hint="default" w:ascii="宋体" w:hAnsi="宋体" w:eastAsia="宋体" w:cs="宋体"/>
          <w:sz w:val="28"/>
          <w:szCs w:val="28"/>
          <w:highlight w:val="none"/>
        </w:rPr>
      </w:pPr>
      <w:bookmarkStart w:id="498" w:name="_Toc20740"/>
      <w:r>
        <w:rPr>
          <w:rFonts w:hint="eastAsia" w:ascii="宋体" w:hAnsi="宋体" w:eastAsia="宋体" w:cs="宋体"/>
          <w:sz w:val="28"/>
          <w:szCs w:val="28"/>
          <w:highlight w:val="none"/>
          <w:lang w:val="en-US" w:eastAsia="zh-CN"/>
        </w:rPr>
        <w:t>2.</w:t>
      </w:r>
      <w:r>
        <w:rPr>
          <w:rFonts w:ascii="宋体" w:hAnsi="宋体" w:eastAsia="宋体" w:cs="宋体"/>
          <w:sz w:val="28"/>
          <w:szCs w:val="28"/>
          <w:highlight w:val="none"/>
        </w:rPr>
        <w:t>抚育考核</w:t>
      </w:r>
      <w:r>
        <w:rPr>
          <w:rFonts w:hint="eastAsia" w:ascii="宋体" w:hAnsi="宋体" w:eastAsia="宋体" w:cs="宋体"/>
          <w:sz w:val="28"/>
          <w:szCs w:val="28"/>
          <w:highlight w:val="none"/>
          <w:lang w:eastAsia="zh-CN"/>
        </w:rPr>
        <w:t>：</w:t>
      </w:r>
      <w:bookmarkEnd w:id="498"/>
      <w:r>
        <w:rPr>
          <w:rFonts w:ascii="宋体" w:hAnsi="宋体" w:eastAsia="宋体" w:cs="宋体"/>
          <w:sz w:val="28"/>
          <w:szCs w:val="28"/>
          <w:highlight w:val="none"/>
        </w:rPr>
        <w:t xml:space="preserve"> </w:t>
      </w:r>
    </w:p>
    <w:p w14:paraId="7E9E3242">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499" w:name="_Toc8003"/>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乙方应按照上交的施工组织设计方案，实施抚育，并随时接受甲方的检查和考核。</w:t>
      </w:r>
      <w:bookmarkEnd w:id="499"/>
      <w:r>
        <w:rPr>
          <w:rFonts w:ascii="宋体" w:hAnsi="宋体" w:eastAsia="宋体" w:cs="宋体"/>
          <w:sz w:val="28"/>
          <w:szCs w:val="28"/>
          <w:highlight w:val="none"/>
        </w:rPr>
        <w:t xml:space="preserve"> </w:t>
      </w:r>
    </w:p>
    <w:p w14:paraId="15FB1872">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00" w:name="_Toc18228"/>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甲方可按照合同约定的时间、标准进行随机检查和定期考核，发现抚育质量达不到约定标准的部分，甲方可要求乙方采取补救措施，直到符合约定标准。</w:t>
      </w:r>
      <w:bookmarkEnd w:id="500"/>
      <w:r>
        <w:rPr>
          <w:rFonts w:ascii="宋体" w:hAnsi="宋体" w:eastAsia="宋体" w:cs="宋体"/>
          <w:sz w:val="28"/>
          <w:szCs w:val="28"/>
          <w:highlight w:val="none"/>
        </w:rPr>
        <w:t xml:space="preserve">  </w:t>
      </w:r>
    </w:p>
    <w:p w14:paraId="5CE59AAA">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01" w:name="_Toc3592"/>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因抚育不当造成的绿化树木、花卉死亡或损坏由乙方无偿补种修复。若乙方认为造成绿化树木、花卉死亡或者损坏的责任不在乙方，由乙方承担举证责任。</w:t>
      </w:r>
      <w:bookmarkEnd w:id="501"/>
    </w:p>
    <w:p w14:paraId="4DD2A5E1">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 xml:space="preserve"> </w:t>
      </w:r>
    </w:p>
    <w:p w14:paraId="25328BA6">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502" w:name="_Toc22920"/>
      <w:r>
        <w:rPr>
          <w:rFonts w:ascii="宋体" w:hAnsi="宋体" w:eastAsia="宋体" w:cs="宋体"/>
          <w:sz w:val="28"/>
          <w:szCs w:val="28"/>
          <w:highlight w:val="none"/>
        </w:rPr>
        <w:t>双方一般权利和义务</w:t>
      </w:r>
      <w:bookmarkEnd w:id="502"/>
      <w:r>
        <w:rPr>
          <w:rFonts w:ascii="宋体" w:hAnsi="宋体" w:eastAsia="宋体" w:cs="宋体"/>
          <w:sz w:val="28"/>
          <w:szCs w:val="28"/>
          <w:highlight w:val="none"/>
        </w:rPr>
        <w:t xml:space="preserve"> </w:t>
      </w:r>
    </w:p>
    <w:p w14:paraId="1F2420CB">
      <w:pPr>
        <w:pStyle w:val="27"/>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firstLine="560" w:firstLineChars="200"/>
        <w:jc w:val="left"/>
        <w:textAlignment w:val="auto"/>
        <w:outlineLvl w:val="1"/>
        <w:rPr>
          <w:rFonts w:hint="default" w:ascii="宋体" w:hAnsi="宋体" w:eastAsia="宋体" w:cs="宋体"/>
          <w:sz w:val="28"/>
          <w:szCs w:val="28"/>
          <w:highlight w:val="none"/>
        </w:rPr>
      </w:pPr>
      <w:bookmarkStart w:id="503" w:name="_Toc17216"/>
      <w:r>
        <w:rPr>
          <w:rFonts w:ascii="宋体" w:hAnsi="宋体" w:eastAsia="宋体" w:cs="宋体"/>
          <w:sz w:val="28"/>
          <w:szCs w:val="28"/>
          <w:highlight w:val="none"/>
        </w:rPr>
        <w:t>甲方权利和义务</w:t>
      </w:r>
      <w:bookmarkEnd w:id="503"/>
      <w:r>
        <w:rPr>
          <w:rFonts w:ascii="宋体" w:hAnsi="宋体" w:eastAsia="宋体" w:cs="宋体"/>
          <w:sz w:val="28"/>
          <w:szCs w:val="28"/>
          <w:highlight w:val="none"/>
        </w:rPr>
        <w:t xml:space="preserve"> </w:t>
      </w:r>
    </w:p>
    <w:p w14:paraId="480ADC25">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04" w:name="_Toc23776"/>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甲方成立督查小组，由小组对乙方实施管理监督并代表甲方履行本合同义务。</w:t>
      </w:r>
      <w:bookmarkEnd w:id="504"/>
    </w:p>
    <w:p w14:paraId="63AC4D75">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05" w:name="_Toc6489"/>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乙方对督察组发出的书面指令应予执行，如对指令有异议可申诉。</w:t>
      </w:r>
      <w:bookmarkEnd w:id="505"/>
    </w:p>
    <w:p w14:paraId="64246F6C">
      <w:pPr>
        <w:pStyle w:val="27"/>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firstLine="560" w:firstLineChars="200"/>
        <w:jc w:val="left"/>
        <w:textAlignment w:val="auto"/>
        <w:outlineLvl w:val="1"/>
        <w:rPr>
          <w:rFonts w:hint="default" w:ascii="宋体" w:hAnsi="宋体" w:eastAsia="宋体" w:cs="宋体"/>
          <w:sz w:val="28"/>
          <w:szCs w:val="28"/>
          <w:highlight w:val="none"/>
        </w:rPr>
      </w:pPr>
      <w:bookmarkStart w:id="506" w:name="_Toc24276"/>
      <w:r>
        <w:rPr>
          <w:rFonts w:ascii="宋体" w:hAnsi="宋体" w:eastAsia="宋体" w:cs="宋体"/>
          <w:sz w:val="28"/>
          <w:szCs w:val="28"/>
          <w:highlight w:val="none"/>
        </w:rPr>
        <w:t>乙方权利和义务</w:t>
      </w:r>
      <w:bookmarkEnd w:id="506"/>
    </w:p>
    <w:p w14:paraId="64D36DFB">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07" w:name="_Toc6370"/>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乙方任命魏志永为现场负责人，按合同履行义务，同时必须附法人授权委托书。</w:t>
      </w:r>
      <w:bookmarkEnd w:id="507"/>
    </w:p>
    <w:p w14:paraId="1E2F17AB">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08" w:name="_Toc6565"/>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乙方如需要更换现场负责人， 应至少提前3天以书面形式告知甲方。后任乙方代表继续行使合同约定的职权，履行约定的义务，同时必须附法人授权委托书。</w:t>
      </w:r>
      <w:bookmarkEnd w:id="508"/>
      <w:r>
        <w:rPr>
          <w:rFonts w:ascii="宋体" w:hAnsi="宋体" w:eastAsia="宋体" w:cs="宋体"/>
          <w:sz w:val="28"/>
          <w:szCs w:val="28"/>
          <w:highlight w:val="none"/>
        </w:rPr>
        <w:t xml:space="preserve"> </w:t>
      </w:r>
    </w:p>
    <w:p w14:paraId="0FABBAAA">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09" w:name="_Toc24388"/>
      <w:r>
        <w:rPr>
          <w:rFonts w:hint="eastAsia" w:ascii="宋体" w:hAnsi="宋体" w:eastAsia="宋体" w:cs="宋体"/>
          <w:sz w:val="28"/>
          <w:szCs w:val="28"/>
          <w:highlight w:val="none"/>
          <w:lang w:val="en-US" w:eastAsia="zh-CN"/>
        </w:rPr>
        <w:t>（3）</w:t>
      </w:r>
      <w:r>
        <w:rPr>
          <w:rFonts w:ascii="宋体" w:hAnsi="宋体" w:eastAsia="宋体" w:cs="宋体"/>
          <w:sz w:val="28"/>
          <w:szCs w:val="28"/>
          <w:highlight w:val="none"/>
        </w:rPr>
        <w:t>乙方现场负责人不称职时，甲方可以与乙方协商，建议撤换；收到甲方要求撤换乙方现场负责人的通知时，乙方须按甲方要求，以称职人员替代。</w:t>
      </w:r>
      <w:bookmarkEnd w:id="509"/>
      <w:r>
        <w:rPr>
          <w:rFonts w:ascii="宋体" w:hAnsi="宋体" w:eastAsia="宋体" w:cs="宋体"/>
          <w:sz w:val="28"/>
          <w:szCs w:val="28"/>
          <w:highlight w:val="none"/>
        </w:rPr>
        <w:t xml:space="preserve"> </w:t>
      </w:r>
    </w:p>
    <w:p w14:paraId="4A24C06F">
      <w:pPr>
        <w:pStyle w:val="27"/>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firstLine="560" w:firstLineChars="200"/>
        <w:jc w:val="left"/>
        <w:textAlignment w:val="auto"/>
        <w:outlineLvl w:val="1"/>
        <w:rPr>
          <w:rFonts w:hint="default" w:ascii="宋体" w:hAnsi="宋体" w:eastAsia="宋体" w:cs="宋体"/>
          <w:sz w:val="28"/>
          <w:szCs w:val="28"/>
          <w:highlight w:val="none"/>
        </w:rPr>
      </w:pPr>
      <w:bookmarkStart w:id="510" w:name="_Toc30881"/>
      <w:r>
        <w:rPr>
          <w:rFonts w:ascii="宋体" w:hAnsi="宋体" w:eastAsia="宋体" w:cs="宋体"/>
          <w:sz w:val="28"/>
          <w:szCs w:val="28"/>
          <w:highlight w:val="none"/>
        </w:rPr>
        <w:t>甲方工作</w:t>
      </w:r>
      <w:bookmarkEnd w:id="510"/>
      <w:r>
        <w:rPr>
          <w:rFonts w:ascii="宋体" w:hAnsi="宋体" w:eastAsia="宋体" w:cs="宋体"/>
          <w:sz w:val="28"/>
          <w:szCs w:val="28"/>
          <w:highlight w:val="none"/>
        </w:rPr>
        <w:t xml:space="preserve"> </w:t>
      </w:r>
    </w:p>
    <w:p w14:paraId="7EF73065">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11" w:name="_Toc26640"/>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将抚育工程区域内的乔木、 花灌木，列明范围或清单， 双方进行现场确认。</w:t>
      </w:r>
      <w:bookmarkEnd w:id="511"/>
      <w:r>
        <w:rPr>
          <w:rFonts w:ascii="宋体" w:hAnsi="宋体" w:eastAsia="宋体" w:cs="宋体"/>
          <w:sz w:val="28"/>
          <w:szCs w:val="28"/>
          <w:highlight w:val="none"/>
        </w:rPr>
        <w:t xml:space="preserve"> </w:t>
      </w:r>
    </w:p>
    <w:p w14:paraId="6C089D3B">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12" w:name="_Toc14496"/>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提供养护所需用水、用电的接驳点的协调，保证养护期间的需要。 除双方另有约定外，养护期间的水、电使用费用由乙方承担。</w:t>
      </w:r>
      <w:bookmarkEnd w:id="512"/>
      <w:r>
        <w:rPr>
          <w:rFonts w:ascii="宋体" w:hAnsi="宋体" w:eastAsia="宋体" w:cs="宋体"/>
          <w:sz w:val="28"/>
          <w:szCs w:val="28"/>
          <w:highlight w:val="none"/>
        </w:rPr>
        <w:t xml:space="preserve"> </w:t>
      </w:r>
    </w:p>
    <w:p w14:paraId="2184DB18">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13" w:name="_Toc13828"/>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乙方进场后，抚育管理用房、工间休息室和材料、工具存放间及车辆及大型机械设备的存放问题，由乙方自行解决。</w:t>
      </w:r>
      <w:bookmarkEnd w:id="513"/>
      <w:r>
        <w:rPr>
          <w:rFonts w:ascii="宋体" w:hAnsi="宋体" w:eastAsia="宋体" w:cs="宋体"/>
          <w:sz w:val="28"/>
          <w:szCs w:val="28"/>
          <w:highlight w:val="none"/>
        </w:rPr>
        <w:t xml:space="preserve"> </w:t>
      </w:r>
    </w:p>
    <w:p w14:paraId="00D5E889">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14" w:name="_Toc19855"/>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在乙方开展抚育工作时，协调乙方与相关部门、相关单位和人员的关系。</w:t>
      </w:r>
      <w:bookmarkEnd w:id="514"/>
      <w:r>
        <w:rPr>
          <w:rFonts w:ascii="宋体" w:hAnsi="宋体" w:eastAsia="宋体" w:cs="宋体"/>
          <w:sz w:val="28"/>
          <w:szCs w:val="28"/>
          <w:highlight w:val="none"/>
        </w:rPr>
        <w:t xml:space="preserve"> </w:t>
      </w:r>
    </w:p>
    <w:p w14:paraId="294687D1">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15" w:name="_Toc245"/>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在抚育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bookmarkEnd w:id="515"/>
      <w:r>
        <w:rPr>
          <w:rFonts w:ascii="宋体" w:hAnsi="宋体" w:eastAsia="宋体" w:cs="宋体"/>
          <w:sz w:val="28"/>
          <w:szCs w:val="28"/>
          <w:highlight w:val="none"/>
        </w:rPr>
        <w:t xml:space="preserve"> </w:t>
      </w:r>
    </w:p>
    <w:p w14:paraId="11D531AD">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16" w:name="_Toc15648"/>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按照本合同约定，检查、考核乙方的工作。</w:t>
      </w:r>
      <w:bookmarkEnd w:id="516"/>
    </w:p>
    <w:p w14:paraId="3ADF632C">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17" w:name="_Toc30778"/>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按合同约定向乙方支付养护费用。</w:t>
      </w:r>
      <w:bookmarkEnd w:id="517"/>
    </w:p>
    <w:p w14:paraId="26EC5C5A">
      <w:pPr>
        <w:pStyle w:val="27"/>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firstLine="560" w:firstLineChars="200"/>
        <w:jc w:val="left"/>
        <w:textAlignment w:val="auto"/>
        <w:outlineLvl w:val="1"/>
        <w:rPr>
          <w:rFonts w:hint="default" w:ascii="宋体" w:hAnsi="宋体" w:eastAsia="宋体" w:cs="宋体"/>
          <w:sz w:val="28"/>
          <w:szCs w:val="28"/>
          <w:highlight w:val="none"/>
        </w:rPr>
      </w:pPr>
      <w:bookmarkStart w:id="518" w:name="_Toc24591"/>
      <w:r>
        <w:rPr>
          <w:rFonts w:ascii="宋体" w:hAnsi="宋体" w:eastAsia="宋体" w:cs="宋体"/>
          <w:sz w:val="28"/>
          <w:szCs w:val="28"/>
          <w:highlight w:val="none"/>
        </w:rPr>
        <w:t>乙方工作</w:t>
      </w:r>
      <w:bookmarkEnd w:id="518"/>
      <w:r>
        <w:rPr>
          <w:rFonts w:ascii="宋体" w:hAnsi="宋体" w:eastAsia="宋体" w:cs="宋体"/>
          <w:sz w:val="28"/>
          <w:szCs w:val="28"/>
          <w:highlight w:val="none"/>
        </w:rPr>
        <w:t xml:space="preserve"> </w:t>
      </w:r>
    </w:p>
    <w:p w14:paraId="549F9DE5">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19" w:name="_Toc25940"/>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根据本合同约定，在合同签订后3天内，制定抚育期内相应的总体绿化抚育管理方案，报请甲方代表审核批准，作为实施依据。 甲方代表收到乙方方案后，应于2天内予以确认或提出修改意见，逾期不确认也不提出修改意见的，视为同意。</w:t>
      </w:r>
      <w:bookmarkEnd w:id="519"/>
    </w:p>
    <w:p w14:paraId="0A7932AF">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20" w:name="_Toc18092"/>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建立完善的抚育班组，制定抚育岗位职责以及各岗位规范、 操作规程、 养护制度（ 包括节假日、值班制度和应急抢险工作制度）。 根据合同约定，配备技术管理人员和抚育操作人员，并将岗位规范、 操作规程、管理制度及工作人员的名单交甲方审批备案。</w:t>
      </w:r>
      <w:bookmarkEnd w:id="520"/>
      <w:r>
        <w:rPr>
          <w:rFonts w:ascii="宋体" w:hAnsi="宋体" w:eastAsia="宋体" w:cs="宋体"/>
          <w:sz w:val="28"/>
          <w:szCs w:val="28"/>
          <w:highlight w:val="none"/>
        </w:rPr>
        <w:t xml:space="preserve"> </w:t>
      </w:r>
    </w:p>
    <w:p w14:paraId="669A2AE7">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21" w:name="_Toc6368"/>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根据季节、气候、土壤、植物的生长习性和生长阶段及抚育场地的具体情况合理安排、开展抚育工作，根据甲方要求及时做好养护区域的局部调整，保证绿化观赏的整体性。</w:t>
      </w:r>
      <w:bookmarkEnd w:id="521"/>
      <w:r>
        <w:rPr>
          <w:rFonts w:ascii="宋体" w:hAnsi="宋体" w:eastAsia="宋体" w:cs="宋体"/>
          <w:sz w:val="28"/>
          <w:szCs w:val="28"/>
          <w:highlight w:val="none"/>
        </w:rPr>
        <w:t xml:space="preserve"> </w:t>
      </w:r>
    </w:p>
    <w:p w14:paraId="436CDD20">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22" w:name="_Toc8832"/>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负责区域内各类植物养护及日常巡视检查，如发现各类苗木、设施有被损、被盗等情况时，应及时向甲方汇报并立即进行补缺、 恢复，所需费用由甲方承担。</w:t>
      </w:r>
      <w:bookmarkEnd w:id="522"/>
      <w:r>
        <w:rPr>
          <w:rFonts w:ascii="宋体" w:hAnsi="宋体" w:eastAsia="宋体" w:cs="宋体"/>
          <w:sz w:val="28"/>
          <w:szCs w:val="28"/>
          <w:highlight w:val="none"/>
        </w:rPr>
        <w:t xml:space="preserve"> </w:t>
      </w:r>
    </w:p>
    <w:p w14:paraId="426BDC1B">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23" w:name="_Toc7195"/>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开展抚育工作时，严格遵守政府和有关主管部门对噪音污染、环境保护和安全生产等的管理规定，文明施工；对外开放的养护区域，处理好抚育工作与游客的关系。</w:t>
      </w:r>
      <w:bookmarkEnd w:id="523"/>
      <w:r>
        <w:rPr>
          <w:rFonts w:ascii="宋体" w:hAnsi="宋体" w:eastAsia="宋体" w:cs="宋体"/>
          <w:sz w:val="28"/>
          <w:szCs w:val="28"/>
          <w:highlight w:val="none"/>
        </w:rPr>
        <w:t xml:space="preserve"> </w:t>
      </w:r>
    </w:p>
    <w:p w14:paraId="3EE7DC96">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24" w:name="_Toc26183"/>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接受甲方的管理、监督、检查和考核，对甲方发出的整改通知，应及时按甲方的要求进行整改。乙方无正当理由拒绝整改时， 甲方可以另行委托他人予以整改，所发生的费用由乙方承担。</w:t>
      </w:r>
      <w:bookmarkEnd w:id="524"/>
      <w:r>
        <w:rPr>
          <w:rFonts w:ascii="宋体" w:hAnsi="宋体" w:eastAsia="宋体" w:cs="宋体"/>
          <w:sz w:val="28"/>
          <w:szCs w:val="28"/>
          <w:highlight w:val="none"/>
        </w:rPr>
        <w:t xml:space="preserve"> </w:t>
      </w:r>
    </w:p>
    <w:p w14:paraId="60064C18">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25" w:name="_Toc13182"/>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乙方管护区域内植物施肥所需费用，由乙方承担。</w:t>
      </w:r>
      <w:bookmarkEnd w:id="525"/>
    </w:p>
    <w:p w14:paraId="6CA21A3F">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26" w:name="_Toc5784"/>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负责抚育工作人员的劳动保护和人身安全，为施工人员购买相关保险。除双方另有约定外，抚育工作人员的餐饮、住宿由乙方自行承担。</w:t>
      </w:r>
      <w:bookmarkEnd w:id="526"/>
      <w:r>
        <w:rPr>
          <w:rFonts w:ascii="宋体" w:hAnsi="宋体" w:eastAsia="宋体" w:cs="宋体"/>
          <w:sz w:val="28"/>
          <w:szCs w:val="28"/>
          <w:highlight w:val="none"/>
        </w:rPr>
        <w:t xml:space="preserve"> </w:t>
      </w:r>
    </w:p>
    <w:p w14:paraId="21D5C173">
      <w:pPr>
        <w:pStyle w:val="28"/>
        <w:keepNext w:val="0"/>
        <w:keepLines w:val="0"/>
        <w:pageBreakBefore w:val="0"/>
        <w:widowControl w:val="0"/>
        <w:kinsoku/>
        <w:wordWrap/>
        <w:overflowPunct/>
        <w:topLinePunct w:val="0"/>
        <w:autoSpaceDE w:val="0"/>
        <w:autoSpaceDN w:val="0"/>
        <w:bidi w:val="0"/>
        <w:adjustRightInd w:val="0"/>
        <w:snapToGrid/>
        <w:spacing w:line="360" w:lineRule="auto"/>
        <w:ind w:left="480" w:firstLine="0" w:firstLineChars="0"/>
        <w:jc w:val="left"/>
        <w:textAlignment w:val="auto"/>
        <w:outlineLvl w:val="2"/>
        <w:rPr>
          <w:rFonts w:hint="default" w:ascii="宋体" w:hAnsi="宋体" w:eastAsia="宋体" w:cs="宋体"/>
          <w:sz w:val="28"/>
          <w:szCs w:val="28"/>
          <w:highlight w:val="none"/>
        </w:rPr>
      </w:pPr>
    </w:p>
    <w:p w14:paraId="206B153F">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527" w:name="_Toc25402"/>
      <w:r>
        <w:rPr>
          <w:rFonts w:ascii="宋体" w:hAnsi="宋体" w:eastAsia="宋体" w:cs="宋体"/>
          <w:sz w:val="28"/>
          <w:szCs w:val="28"/>
          <w:highlight w:val="none"/>
        </w:rPr>
        <w:t>抚育方案及调整</w:t>
      </w:r>
      <w:bookmarkEnd w:id="527"/>
      <w:r>
        <w:rPr>
          <w:rFonts w:ascii="宋体" w:hAnsi="宋体" w:eastAsia="宋体" w:cs="宋体"/>
          <w:sz w:val="28"/>
          <w:szCs w:val="28"/>
          <w:highlight w:val="none"/>
        </w:rPr>
        <w:t xml:space="preserve"> </w:t>
      </w:r>
    </w:p>
    <w:p w14:paraId="471ADBC4">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1"/>
        <w:rPr>
          <w:rFonts w:hint="default" w:ascii="宋体" w:hAnsi="宋体" w:eastAsia="宋体" w:cs="宋体"/>
          <w:sz w:val="28"/>
          <w:szCs w:val="28"/>
          <w:highlight w:val="none"/>
        </w:rPr>
      </w:pPr>
      <w:bookmarkStart w:id="528" w:name="_Toc22770"/>
      <w:r>
        <w:rPr>
          <w:rFonts w:hint="eastAsia" w:ascii="宋体" w:hAnsi="宋体" w:eastAsia="宋体" w:cs="宋体"/>
          <w:sz w:val="28"/>
          <w:szCs w:val="28"/>
          <w:highlight w:val="none"/>
          <w:lang w:val="en-US" w:eastAsia="zh-CN"/>
        </w:rPr>
        <w:t>1.</w:t>
      </w:r>
      <w:r>
        <w:rPr>
          <w:rFonts w:ascii="宋体" w:hAnsi="宋体" w:eastAsia="宋体" w:cs="宋体"/>
          <w:sz w:val="28"/>
          <w:szCs w:val="28"/>
          <w:highlight w:val="none"/>
        </w:rPr>
        <w:t>乙方必须接受甲方代表对抚育质量的检查、监督和考核。</w:t>
      </w:r>
      <w:bookmarkEnd w:id="528"/>
      <w:r>
        <w:rPr>
          <w:rFonts w:ascii="宋体" w:hAnsi="宋体" w:eastAsia="宋体" w:cs="宋体"/>
          <w:sz w:val="28"/>
          <w:szCs w:val="28"/>
          <w:highlight w:val="none"/>
        </w:rPr>
        <w:t xml:space="preserve"> </w:t>
      </w:r>
    </w:p>
    <w:p w14:paraId="6C6DCBC9">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1"/>
        <w:rPr>
          <w:rFonts w:hint="default" w:ascii="宋体" w:hAnsi="宋体" w:eastAsia="宋体" w:cs="宋体"/>
          <w:sz w:val="28"/>
          <w:szCs w:val="28"/>
          <w:highlight w:val="none"/>
        </w:rPr>
      </w:pPr>
      <w:bookmarkStart w:id="529" w:name="_Toc27808"/>
      <w:r>
        <w:rPr>
          <w:rFonts w:hint="eastAsia" w:ascii="宋体" w:hAnsi="宋体" w:eastAsia="宋体" w:cs="宋体"/>
          <w:sz w:val="28"/>
          <w:szCs w:val="28"/>
          <w:highlight w:val="none"/>
          <w:lang w:val="en-US" w:eastAsia="zh-CN"/>
        </w:rPr>
        <w:t>2.</w:t>
      </w:r>
      <w:r>
        <w:rPr>
          <w:rFonts w:ascii="宋体" w:hAnsi="宋体" w:eastAsia="宋体" w:cs="宋体"/>
          <w:sz w:val="28"/>
          <w:szCs w:val="28"/>
          <w:highlight w:val="none"/>
        </w:rPr>
        <w:t>涉及重大活动或其他原因，甲方代表认为确有必要暂停抚育工作或调整抚育方案时，应当以书面形式要求乙方养护人员调整抚育时间或更改抚育措施。乙方应遵从甲方要求。</w:t>
      </w:r>
      <w:bookmarkEnd w:id="529"/>
      <w:r>
        <w:rPr>
          <w:rFonts w:ascii="宋体" w:hAnsi="宋体" w:eastAsia="宋体" w:cs="宋体"/>
          <w:sz w:val="28"/>
          <w:szCs w:val="28"/>
          <w:highlight w:val="none"/>
        </w:rPr>
        <w:t xml:space="preserve"> </w:t>
      </w:r>
    </w:p>
    <w:p w14:paraId="4B2FD934">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1"/>
        <w:rPr>
          <w:rFonts w:hint="default" w:ascii="宋体" w:hAnsi="宋体" w:eastAsia="宋体" w:cs="宋体"/>
          <w:sz w:val="28"/>
          <w:szCs w:val="28"/>
          <w:highlight w:val="none"/>
        </w:rPr>
      </w:pPr>
      <w:bookmarkStart w:id="530" w:name="_Toc31750"/>
      <w:r>
        <w:rPr>
          <w:rFonts w:hint="eastAsia" w:ascii="宋体" w:hAnsi="宋体" w:eastAsia="宋体" w:cs="宋体"/>
          <w:sz w:val="28"/>
          <w:szCs w:val="28"/>
          <w:highlight w:val="none"/>
          <w:lang w:val="en-US" w:eastAsia="zh-CN"/>
        </w:rPr>
        <w:t>3.</w:t>
      </w:r>
      <w:r>
        <w:rPr>
          <w:rFonts w:ascii="宋体" w:hAnsi="宋体" w:eastAsia="宋体" w:cs="宋体"/>
          <w:sz w:val="28"/>
          <w:szCs w:val="28"/>
          <w:highlight w:val="none"/>
        </w:rPr>
        <w:t>未经甲方事前书面许可，乙方不得自行调整抚育时间或更改抚育措施。</w:t>
      </w:r>
      <w:bookmarkEnd w:id="530"/>
      <w:r>
        <w:rPr>
          <w:rFonts w:ascii="宋体" w:hAnsi="宋体" w:eastAsia="宋体" w:cs="宋体"/>
          <w:sz w:val="28"/>
          <w:szCs w:val="28"/>
          <w:highlight w:val="none"/>
        </w:rPr>
        <w:t xml:space="preserve"> </w:t>
      </w:r>
    </w:p>
    <w:p w14:paraId="429365F4">
      <w:pPr>
        <w:pStyle w:val="27"/>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outlineLvl w:val="1"/>
        <w:rPr>
          <w:rFonts w:hint="default" w:ascii="宋体" w:hAnsi="宋体" w:eastAsia="宋体" w:cs="宋体"/>
          <w:sz w:val="28"/>
          <w:szCs w:val="28"/>
          <w:highlight w:val="none"/>
        </w:rPr>
      </w:pPr>
    </w:p>
    <w:p w14:paraId="2BBB1D21">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531" w:name="_Toc13237"/>
      <w:r>
        <w:rPr>
          <w:rFonts w:ascii="宋体" w:hAnsi="宋体" w:eastAsia="宋体" w:cs="宋体"/>
          <w:sz w:val="28"/>
          <w:szCs w:val="28"/>
          <w:highlight w:val="none"/>
        </w:rPr>
        <w:t>安全防护及事故处理</w:t>
      </w:r>
      <w:bookmarkEnd w:id="531"/>
      <w:r>
        <w:rPr>
          <w:rFonts w:ascii="宋体" w:hAnsi="宋体" w:eastAsia="宋体" w:cs="宋体"/>
          <w:sz w:val="28"/>
          <w:szCs w:val="28"/>
          <w:highlight w:val="none"/>
        </w:rPr>
        <w:t xml:space="preserve"> </w:t>
      </w:r>
    </w:p>
    <w:p w14:paraId="44594C83">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outlineLvl w:val="1"/>
        <w:rPr>
          <w:rFonts w:hint="default" w:ascii="宋体" w:hAnsi="宋体" w:eastAsia="宋体" w:cs="宋体"/>
          <w:sz w:val="28"/>
          <w:szCs w:val="28"/>
          <w:highlight w:val="none"/>
        </w:rPr>
      </w:pPr>
      <w:bookmarkStart w:id="532" w:name="_Toc19315"/>
      <w:r>
        <w:rPr>
          <w:rFonts w:hint="eastAsia" w:ascii="宋体" w:hAnsi="宋体" w:eastAsia="宋体" w:cs="宋体"/>
          <w:sz w:val="28"/>
          <w:szCs w:val="28"/>
          <w:highlight w:val="none"/>
          <w:lang w:val="en-US" w:eastAsia="zh-CN"/>
        </w:rPr>
        <w:t>1.</w:t>
      </w:r>
      <w:r>
        <w:rPr>
          <w:rFonts w:ascii="宋体" w:hAnsi="宋体" w:eastAsia="宋体" w:cs="宋体"/>
          <w:sz w:val="28"/>
          <w:szCs w:val="28"/>
          <w:highlight w:val="none"/>
        </w:rPr>
        <w:t>一般要求</w:t>
      </w:r>
      <w:bookmarkEnd w:id="532"/>
      <w:r>
        <w:rPr>
          <w:rFonts w:ascii="宋体" w:hAnsi="宋体" w:eastAsia="宋体" w:cs="宋体"/>
          <w:sz w:val="28"/>
          <w:szCs w:val="28"/>
          <w:highlight w:val="none"/>
        </w:rPr>
        <w:t xml:space="preserve"> </w:t>
      </w:r>
    </w:p>
    <w:p w14:paraId="30D9090B">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33" w:name="_Toc21077"/>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乙方在抚育期间，应当严格遵守安全生产作业的有关管理制度，并随时接受行业安全检查人员依法实施的监督检查，采取必要的安全防护措施，消除事故隐患。由于乙方安全措施不力造成事故的责任和因此发生的费用，由乙方承担。</w:t>
      </w:r>
      <w:bookmarkEnd w:id="533"/>
      <w:r>
        <w:rPr>
          <w:rFonts w:ascii="宋体" w:hAnsi="宋体" w:eastAsia="宋体" w:cs="宋体"/>
          <w:sz w:val="28"/>
          <w:szCs w:val="28"/>
          <w:highlight w:val="none"/>
        </w:rPr>
        <w:t xml:space="preserve"> </w:t>
      </w:r>
    </w:p>
    <w:p w14:paraId="113CC177">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34" w:name="_Toc19448"/>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乙方应对其在抚育场地的工作人员进行安全教育，并对他们的安全负责。</w:t>
      </w:r>
      <w:bookmarkEnd w:id="534"/>
      <w:r>
        <w:rPr>
          <w:rFonts w:ascii="宋体" w:hAnsi="宋体" w:eastAsia="宋体" w:cs="宋体"/>
          <w:sz w:val="28"/>
          <w:szCs w:val="28"/>
          <w:highlight w:val="none"/>
        </w:rPr>
        <w:t xml:space="preserve"> </w:t>
      </w:r>
    </w:p>
    <w:p w14:paraId="62D6BD3B">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35" w:name="_Toc2901"/>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甲方不得要求乙方违反安全管理的规定进行抚育工作。 因甲方原因导致的安全事故，由甲方承担相应责任及发生的费用。</w:t>
      </w:r>
      <w:bookmarkEnd w:id="535"/>
      <w:r>
        <w:rPr>
          <w:rFonts w:ascii="宋体" w:hAnsi="宋体" w:eastAsia="宋体" w:cs="宋体"/>
          <w:sz w:val="28"/>
          <w:szCs w:val="28"/>
          <w:highlight w:val="none"/>
        </w:rPr>
        <w:t xml:space="preserve"> </w:t>
      </w:r>
    </w:p>
    <w:p w14:paraId="632679D1">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outlineLvl w:val="1"/>
        <w:rPr>
          <w:rFonts w:hint="default" w:ascii="宋体" w:hAnsi="宋体" w:eastAsia="宋体" w:cs="宋体"/>
          <w:sz w:val="28"/>
          <w:szCs w:val="28"/>
          <w:highlight w:val="none"/>
        </w:rPr>
      </w:pPr>
      <w:bookmarkStart w:id="536" w:name="_Toc19999"/>
      <w:r>
        <w:rPr>
          <w:rFonts w:hint="eastAsia" w:ascii="宋体" w:hAnsi="宋体" w:eastAsia="宋体" w:cs="宋体"/>
          <w:sz w:val="28"/>
          <w:szCs w:val="28"/>
          <w:highlight w:val="none"/>
          <w:lang w:val="en-US" w:eastAsia="zh-CN"/>
        </w:rPr>
        <w:t>2.</w:t>
      </w:r>
      <w:r>
        <w:rPr>
          <w:rFonts w:ascii="宋体" w:hAnsi="宋体" w:eastAsia="宋体" w:cs="宋体"/>
          <w:sz w:val="28"/>
          <w:szCs w:val="28"/>
          <w:highlight w:val="none"/>
        </w:rPr>
        <w:t>安全防范</w:t>
      </w:r>
      <w:bookmarkEnd w:id="536"/>
      <w:r>
        <w:rPr>
          <w:rFonts w:ascii="宋体" w:hAnsi="宋体" w:eastAsia="宋体" w:cs="宋体"/>
          <w:sz w:val="28"/>
          <w:szCs w:val="28"/>
          <w:highlight w:val="none"/>
        </w:rPr>
        <w:t xml:space="preserve"> </w:t>
      </w:r>
    </w:p>
    <w:p w14:paraId="561C2AA8">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37" w:name="_Toc12820"/>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乙方在从事修剪树木等工作时应自行采取相应的安全防护措施。除双方另有约定外，安全防护费用由乙方自行承担。</w:t>
      </w:r>
      <w:bookmarkEnd w:id="537"/>
      <w:r>
        <w:rPr>
          <w:rFonts w:ascii="宋体" w:hAnsi="宋体" w:eastAsia="宋体" w:cs="宋体"/>
          <w:sz w:val="28"/>
          <w:szCs w:val="28"/>
          <w:highlight w:val="none"/>
        </w:rPr>
        <w:t xml:space="preserve"> </w:t>
      </w:r>
    </w:p>
    <w:p w14:paraId="119D3FCF">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38" w:name="_Toc13420"/>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乙方应保证抚育范围内的各项设施能够安全使用，对于存在安全隐患的设施、物品，应及时提请甲方予以修理或更换。对养护范围内的树林或其他可能造成人员伤亡的场所，乙方应提请甲方设置禁止吸烟、禁止火种、禁止游泳等安全警告铭牌。</w:t>
      </w:r>
      <w:bookmarkEnd w:id="538"/>
      <w:r>
        <w:rPr>
          <w:rFonts w:ascii="宋体" w:hAnsi="宋体" w:eastAsia="宋体" w:cs="宋体"/>
          <w:sz w:val="28"/>
          <w:szCs w:val="28"/>
          <w:highlight w:val="none"/>
        </w:rPr>
        <w:t xml:space="preserve">  </w:t>
      </w:r>
    </w:p>
    <w:p w14:paraId="58A59455">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outlineLvl w:val="1"/>
        <w:rPr>
          <w:rFonts w:hint="default" w:ascii="宋体" w:hAnsi="宋体" w:eastAsia="宋体" w:cs="宋体"/>
          <w:sz w:val="28"/>
          <w:szCs w:val="28"/>
          <w:highlight w:val="none"/>
        </w:rPr>
      </w:pPr>
      <w:bookmarkStart w:id="539" w:name="_Toc18736"/>
      <w:r>
        <w:rPr>
          <w:rFonts w:hint="eastAsia" w:ascii="宋体" w:hAnsi="宋体" w:eastAsia="宋体" w:cs="宋体"/>
          <w:sz w:val="28"/>
          <w:szCs w:val="28"/>
          <w:highlight w:val="none"/>
          <w:lang w:val="en-US" w:eastAsia="zh-CN"/>
        </w:rPr>
        <w:t>3.</w:t>
      </w:r>
      <w:r>
        <w:rPr>
          <w:rFonts w:ascii="宋体" w:hAnsi="宋体" w:eastAsia="宋体" w:cs="宋体"/>
          <w:sz w:val="28"/>
          <w:szCs w:val="28"/>
          <w:highlight w:val="none"/>
        </w:rPr>
        <w:t>环境保护</w:t>
      </w:r>
      <w:bookmarkEnd w:id="539"/>
      <w:r>
        <w:rPr>
          <w:rFonts w:ascii="宋体" w:hAnsi="宋体" w:eastAsia="宋体" w:cs="宋体"/>
          <w:sz w:val="28"/>
          <w:szCs w:val="28"/>
          <w:highlight w:val="none"/>
        </w:rPr>
        <w:t xml:space="preserve"> </w:t>
      </w:r>
    </w:p>
    <w:p w14:paraId="63385A31">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40" w:name="_Toc1073"/>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抚育期间，乙方应遵守国家有关环境保护的政策、 法规。</w:t>
      </w:r>
      <w:bookmarkEnd w:id="540"/>
      <w:r>
        <w:rPr>
          <w:rFonts w:ascii="宋体" w:hAnsi="宋体" w:eastAsia="宋体" w:cs="宋体"/>
          <w:sz w:val="28"/>
          <w:szCs w:val="28"/>
          <w:highlight w:val="none"/>
        </w:rPr>
        <w:t xml:space="preserve">  </w:t>
      </w:r>
    </w:p>
    <w:p w14:paraId="03E8F76D">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41" w:name="_Toc16692"/>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乙方应按合同约定进行施肥、沤肥。施肥、沤肥不得造成绿化景观和周边环境污染。</w:t>
      </w:r>
      <w:bookmarkEnd w:id="541"/>
      <w:r>
        <w:rPr>
          <w:rFonts w:ascii="宋体" w:hAnsi="宋体" w:eastAsia="宋体" w:cs="宋体"/>
          <w:sz w:val="28"/>
          <w:szCs w:val="28"/>
          <w:highlight w:val="none"/>
        </w:rPr>
        <w:t xml:space="preserve"> </w:t>
      </w:r>
    </w:p>
    <w:p w14:paraId="1B68BA1C">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outlineLvl w:val="1"/>
        <w:rPr>
          <w:rFonts w:hint="default" w:ascii="宋体" w:hAnsi="宋体" w:eastAsia="宋体" w:cs="宋体"/>
          <w:sz w:val="28"/>
          <w:szCs w:val="28"/>
          <w:highlight w:val="none"/>
        </w:rPr>
      </w:pPr>
      <w:bookmarkStart w:id="542" w:name="_Toc29255"/>
      <w:r>
        <w:rPr>
          <w:rFonts w:hint="eastAsia" w:ascii="宋体" w:hAnsi="宋体" w:eastAsia="宋体" w:cs="宋体"/>
          <w:sz w:val="28"/>
          <w:szCs w:val="28"/>
          <w:highlight w:val="none"/>
          <w:lang w:val="en-US" w:eastAsia="zh-CN"/>
        </w:rPr>
        <w:t>4.</w:t>
      </w:r>
      <w:r>
        <w:rPr>
          <w:rFonts w:ascii="宋体" w:hAnsi="宋体" w:eastAsia="宋体" w:cs="宋体"/>
          <w:sz w:val="28"/>
          <w:szCs w:val="28"/>
          <w:highlight w:val="none"/>
        </w:rPr>
        <w:t>事故处理</w:t>
      </w:r>
      <w:bookmarkEnd w:id="542"/>
      <w:r>
        <w:rPr>
          <w:rFonts w:ascii="宋体" w:hAnsi="宋体" w:eastAsia="宋体" w:cs="宋体"/>
          <w:sz w:val="28"/>
          <w:szCs w:val="28"/>
          <w:highlight w:val="none"/>
        </w:rPr>
        <w:t xml:space="preserve"> </w:t>
      </w:r>
    </w:p>
    <w:p w14:paraId="1BB88FC7">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43" w:name="_Toc20522"/>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抚育期间，若发生重大伤亡及其他安全事故， 乙方应按有关规定立即上报有关部门并通知甲方代表，同时按政府有关部门要求处理，由事故责任方承担发生的费用。</w:t>
      </w:r>
      <w:bookmarkEnd w:id="543"/>
      <w:r>
        <w:rPr>
          <w:rFonts w:ascii="宋体" w:hAnsi="宋体" w:eastAsia="宋体" w:cs="宋体"/>
          <w:sz w:val="28"/>
          <w:szCs w:val="28"/>
          <w:highlight w:val="none"/>
        </w:rPr>
        <w:t xml:space="preserve"> </w:t>
      </w:r>
    </w:p>
    <w:p w14:paraId="12708356">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44" w:name="_Toc9946"/>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甲方、乙方对事故责任有争议时，应按政府有关部门的认定处理。</w:t>
      </w:r>
      <w:bookmarkEnd w:id="544"/>
      <w:r>
        <w:rPr>
          <w:rFonts w:ascii="宋体" w:hAnsi="宋体" w:eastAsia="宋体" w:cs="宋体"/>
          <w:sz w:val="28"/>
          <w:szCs w:val="28"/>
          <w:highlight w:val="none"/>
        </w:rPr>
        <w:t xml:space="preserve"> </w:t>
      </w:r>
    </w:p>
    <w:p w14:paraId="016B3D02">
      <w:pPr>
        <w:pStyle w:val="28"/>
        <w:keepNext w:val="0"/>
        <w:keepLines w:val="0"/>
        <w:pageBreakBefore w:val="0"/>
        <w:widowControl w:val="0"/>
        <w:kinsoku/>
        <w:wordWrap/>
        <w:overflowPunct/>
        <w:topLinePunct w:val="0"/>
        <w:autoSpaceDE w:val="0"/>
        <w:autoSpaceDN w:val="0"/>
        <w:bidi w:val="0"/>
        <w:adjustRightInd w:val="0"/>
        <w:snapToGrid/>
        <w:spacing w:line="360" w:lineRule="auto"/>
        <w:ind w:left="480" w:firstLine="0" w:firstLineChars="0"/>
        <w:jc w:val="left"/>
        <w:textAlignment w:val="auto"/>
        <w:outlineLvl w:val="2"/>
        <w:rPr>
          <w:rFonts w:hint="default" w:ascii="宋体" w:hAnsi="宋体" w:eastAsia="宋体" w:cs="宋体"/>
          <w:sz w:val="28"/>
          <w:szCs w:val="28"/>
          <w:highlight w:val="none"/>
        </w:rPr>
      </w:pPr>
    </w:p>
    <w:p w14:paraId="0A102323">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545" w:name="_Toc18097"/>
      <w:r>
        <w:rPr>
          <w:rFonts w:ascii="宋体" w:hAnsi="宋体" w:eastAsia="宋体" w:cs="宋体"/>
          <w:sz w:val="28"/>
          <w:szCs w:val="28"/>
          <w:highlight w:val="none"/>
        </w:rPr>
        <w:t>合同价款与支付</w:t>
      </w:r>
      <w:bookmarkEnd w:id="545"/>
      <w:r>
        <w:rPr>
          <w:rFonts w:ascii="宋体" w:hAnsi="宋体" w:eastAsia="宋体" w:cs="宋体"/>
          <w:sz w:val="28"/>
          <w:szCs w:val="28"/>
          <w:highlight w:val="none"/>
        </w:rPr>
        <w:t xml:space="preserve"> </w:t>
      </w:r>
    </w:p>
    <w:p w14:paraId="2820AC0A">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outlineLvl w:val="1"/>
        <w:rPr>
          <w:rFonts w:hint="default" w:ascii="宋体" w:hAnsi="宋体" w:eastAsia="宋体" w:cs="宋体"/>
          <w:sz w:val="28"/>
          <w:szCs w:val="28"/>
          <w:highlight w:val="none"/>
        </w:rPr>
      </w:pPr>
      <w:bookmarkStart w:id="546" w:name="_Toc23720"/>
      <w:r>
        <w:rPr>
          <w:rFonts w:hint="eastAsia" w:ascii="宋体" w:hAnsi="宋体" w:eastAsia="宋体" w:cs="宋体"/>
          <w:sz w:val="28"/>
          <w:szCs w:val="28"/>
          <w:highlight w:val="none"/>
          <w:lang w:val="en-US" w:eastAsia="zh-CN"/>
        </w:rPr>
        <w:t>1.</w:t>
      </w:r>
      <w:r>
        <w:rPr>
          <w:rFonts w:ascii="宋体" w:hAnsi="宋体" w:eastAsia="宋体" w:cs="宋体"/>
          <w:sz w:val="28"/>
          <w:szCs w:val="28"/>
          <w:highlight w:val="none"/>
        </w:rPr>
        <w:t>合同价款</w:t>
      </w:r>
      <w:bookmarkEnd w:id="546"/>
    </w:p>
    <w:p w14:paraId="0874D510">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47" w:name="_Toc22206"/>
      <w:r>
        <w:rPr>
          <w:rFonts w:ascii="宋体" w:hAnsi="宋体" w:eastAsia="宋体" w:cs="宋体"/>
          <w:sz w:val="28"/>
          <w:szCs w:val="28"/>
          <w:highlight w:val="none"/>
        </w:rPr>
        <w:t>本抚育项目，双方约定合同总价款为</w:t>
      </w:r>
      <w:r>
        <w:rPr>
          <w:rFonts w:hint="default" w:ascii="宋体" w:hAnsi="宋体" w:eastAsia="宋体" w:cs="宋体"/>
          <w:sz w:val="28"/>
          <w:szCs w:val="28"/>
          <w:highlight w:val="none"/>
          <w:u w:val="single"/>
        </w:rPr>
        <w:t xml:space="preserve">       </w:t>
      </w:r>
      <w:r>
        <w:rPr>
          <w:rFonts w:ascii="宋体" w:hAnsi="宋体" w:eastAsia="宋体" w:cs="宋体"/>
          <w:sz w:val="28"/>
          <w:szCs w:val="28"/>
          <w:highlight w:val="none"/>
        </w:rPr>
        <w:t xml:space="preserve">元 </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大写：</w:t>
      </w:r>
      <w:r>
        <w:rPr>
          <w:rFonts w:ascii="宋体" w:hAnsi="宋体" w:eastAsia="宋体" w:cs="宋体"/>
          <w:sz w:val="28"/>
          <w:szCs w:val="28"/>
          <w:highlight w:val="none"/>
          <w:u w:val="single"/>
        </w:rPr>
        <w:t xml:space="preserve"> </w:t>
      </w:r>
      <w:r>
        <w:rPr>
          <w:rFonts w:hint="default"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w:t>
      </w:r>
      <w:bookmarkEnd w:id="547"/>
      <w:r>
        <w:rPr>
          <w:rFonts w:ascii="宋体" w:hAnsi="宋体" w:eastAsia="宋体" w:cs="宋体"/>
          <w:sz w:val="28"/>
          <w:szCs w:val="28"/>
          <w:highlight w:val="none"/>
        </w:rPr>
        <w:t xml:space="preserve">  </w:t>
      </w:r>
    </w:p>
    <w:p w14:paraId="051E8558">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rPr>
          <w:rFonts w:hint="default" w:ascii="宋体" w:hAnsi="宋体" w:eastAsia="宋体" w:cs="宋体"/>
          <w:sz w:val="28"/>
          <w:szCs w:val="28"/>
          <w:highlight w:val="none"/>
        </w:rPr>
      </w:pPr>
      <w:bookmarkStart w:id="548" w:name="_Toc7996"/>
      <w:r>
        <w:rPr>
          <w:rFonts w:hint="eastAsia" w:ascii="宋体" w:hAnsi="宋体" w:eastAsia="宋体" w:cs="宋体"/>
          <w:sz w:val="28"/>
          <w:szCs w:val="28"/>
          <w:highlight w:val="none"/>
          <w:lang w:val="en-US" w:eastAsia="zh-CN"/>
        </w:rPr>
        <w:t>2.</w:t>
      </w:r>
      <w:r>
        <w:rPr>
          <w:rFonts w:ascii="宋体" w:hAnsi="宋体" w:eastAsia="宋体" w:cs="宋体"/>
          <w:sz w:val="28"/>
          <w:szCs w:val="28"/>
          <w:highlight w:val="none"/>
        </w:rPr>
        <w:t>双方约定本合同抚育价款支付方式如下：</w:t>
      </w:r>
      <w:bookmarkEnd w:id="548"/>
    </w:p>
    <w:p w14:paraId="7EEE377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合同签订后，甲方</w:t>
      </w:r>
      <w:r>
        <w:rPr>
          <w:rFonts w:hint="eastAsia" w:hAnsi="宋体" w:cs="宋体"/>
          <w:color w:val="333333"/>
          <w:sz w:val="28"/>
          <w:szCs w:val="28"/>
          <w:highlight w:val="none"/>
        </w:rPr>
        <w:t>应先预付</w:t>
      </w:r>
      <w:r>
        <w:rPr>
          <w:rFonts w:hint="eastAsia" w:hAnsi="宋体" w:cs="宋体"/>
          <w:sz w:val="28"/>
          <w:szCs w:val="28"/>
          <w:highlight w:val="none"/>
          <w:u w:val="single"/>
          <w:lang w:val="en-US" w:eastAsia="zh-CN"/>
        </w:rPr>
        <w:t>5</w:t>
      </w:r>
      <w:r>
        <w:rPr>
          <w:rFonts w:hint="eastAsia" w:hAnsi="宋体" w:cs="宋体"/>
          <w:sz w:val="28"/>
          <w:szCs w:val="28"/>
          <w:highlight w:val="none"/>
          <w:u w:val="single"/>
        </w:rPr>
        <w:t>0％</w:t>
      </w:r>
      <w:r>
        <w:rPr>
          <w:rFonts w:hint="eastAsia" w:hAnsi="宋体" w:cs="宋体"/>
          <w:color w:val="333333"/>
          <w:sz w:val="28"/>
          <w:szCs w:val="28"/>
          <w:highlight w:val="none"/>
        </w:rPr>
        <w:t>的工程总价款（</w:t>
      </w:r>
      <w:r>
        <w:rPr>
          <w:rFonts w:hAnsi="宋体" w:cs="宋体"/>
          <w:color w:val="333333"/>
          <w:sz w:val="28"/>
          <w:szCs w:val="28"/>
          <w:highlight w:val="none"/>
          <w:u w:val="single"/>
        </w:rPr>
        <w:t xml:space="preserve">    </w:t>
      </w:r>
      <w:r>
        <w:rPr>
          <w:rFonts w:hint="eastAsia" w:hAnsi="宋体" w:cs="宋体"/>
          <w:color w:val="333333"/>
          <w:sz w:val="28"/>
          <w:szCs w:val="28"/>
          <w:highlight w:val="none"/>
        </w:rPr>
        <w:t>元，大写</w:t>
      </w:r>
      <w:r>
        <w:rPr>
          <w:rFonts w:hint="eastAsia" w:hAnsi="宋体" w:cs="宋体"/>
          <w:color w:val="333333"/>
          <w:sz w:val="28"/>
          <w:szCs w:val="28"/>
          <w:highlight w:val="none"/>
          <w:lang w:eastAsia="zh-CN"/>
        </w:rPr>
        <w:t>：</w:t>
      </w:r>
      <w:r>
        <w:rPr>
          <w:rFonts w:hint="eastAsia" w:hAnsi="宋体" w:cs="宋体"/>
          <w:color w:val="333333"/>
          <w:sz w:val="28"/>
          <w:szCs w:val="28"/>
          <w:highlight w:val="none"/>
          <w:u w:val="single"/>
        </w:rPr>
        <w:t xml:space="preserve"> </w:t>
      </w:r>
      <w:r>
        <w:rPr>
          <w:rFonts w:hAnsi="宋体" w:cs="宋体"/>
          <w:color w:val="333333"/>
          <w:sz w:val="28"/>
          <w:szCs w:val="28"/>
          <w:highlight w:val="none"/>
          <w:u w:val="single"/>
        </w:rPr>
        <w:t xml:space="preserve">   </w:t>
      </w:r>
      <w:r>
        <w:rPr>
          <w:rFonts w:hint="eastAsia" w:hAnsi="宋体" w:cs="宋体"/>
          <w:color w:val="333333"/>
          <w:sz w:val="28"/>
          <w:szCs w:val="28"/>
          <w:highlight w:val="none"/>
        </w:rPr>
        <w:t>）于乙方，</w:t>
      </w:r>
      <w:r>
        <w:rPr>
          <w:rFonts w:hint="eastAsia" w:hAnsi="宋体" w:cs="宋体"/>
          <w:sz w:val="28"/>
          <w:szCs w:val="28"/>
          <w:highlight w:val="none"/>
        </w:rPr>
        <w:t>其后</w:t>
      </w:r>
      <w:r>
        <w:rPr>
          <w:rFonts w:hint="eastAsia" w:hAnsi="宋体" w:cs="宋体"/>
          <w:sz w:val="28"/>
          <w:szCs w:val="28"/>
          <w:highlight w:val="none"/>
          <w:u w:val="single"/>
          <w:lang w:val="en-US" w:eastAsia="zh-CN"/>
        </w:rPr>
        <w:t>5</w:t>
      </w:r>
      <w:r>
        <w:rPr>
          <w:rFonts w:hint="eastAsia" w:hAnsi="宋体" w:cs="宋体"/>
          <w:sz w:val="28"/>
          <w:szCs w:val="28"/>
          <w:highlight w:val="none"/>
          <w:u w:val="single"/>
        </w:rPr>
        <w:t>0％</w:t>
      </w:r>
      <w:r>
        <w:rPr>
          <w:rFonts w:hint="eastAsia" w:hAnsi="宋体" w:cs="宋体"/>
          <w:sz w:val="28"/>
          <w:szCs w:val="28"/>
          <w:highlight w:val="none"/>
        </w:rPr>
        <w:t xml:space="preserve">工程款在验收合格后，一次性结算完毕。 </w:t>
      </w:r>
    </w:p>
    <w:p w14:paraId="13D335D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p>
    <w:p w14:paraId="28C5A511">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549" w:name="_Toc8565"/>
      <w:r>
        <w:rPr>
          <w:rFonts w:ascii="宋体" w:hAnsi="宋体" w:eastAsia="宋体" w:cs="宋体"/>
          <w:sz w:val="28"/>
          <w:szCs w:val="28"/>
          <w:highlight w:val="none"/>
        </w:rPr>
        <w:t>抚育施工所需机械、材料、器具设备</w:t>
      </w:r>
      <w:bookmarkEnd w:id="549"/>
      <w:r>
        <w:rPr>
          <w:rFonts w:ascii="宋体" w:hAnsi="宋体" w:eastAsia="宋体" w:cs="宋体"/>
          <w:sz w:val="28"/>
          <w:szCs w:val="28"/>
          <w:highlight w:val="none"/>
        </w:rPr>
        <w:t xml:space="preserve"> </w:t>
      </w:r>
    </w:p>
    <w:p w14:paraId="415A51D8">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outlineLvl w:val="1"/>
        <w:rPr>
          <w:rFonts w:hint="default" w:ascii="宋体" w:hAnsi="宋体" w:eastAsia="宋体" w:cs="宋体"/>
          <w:sz w:val="28"/>
          <w:szCs w:val="28"/>
          <w:highlight w:val="none"/>
        </w:rPr>
      </w:pPr>
      <w:bookmarkStart w:id="550" w:name="_Toc18403"/>
      <w:r>
        <w:rPr>
          <w:rFonts w:hint="eastAsia" w:ascii="宋体" w:hAnsi="宋体" w:eastAsia="宋体" w:cs="宋体"/>
          <w:sz w:val="28"/>
          <w:szCs w:val="28"/>
          <w:highlight w:val="none"/>
          <w:lang w:val="en-US" w:eastAsia="zh-CN"/>
        </w:rPr>
        <w:t>1.</w:t>
      </w:r>
      <w:r>
        <w:rPr>
          <w:rFonts w:ascii="宋体" w:hAnsi="宋体" w:eastAsia="宋体" w:cs="宋体"/>
          <w:sz w:val="28"/>
          <w:szCs w:val="28"/>
          <w:highlight w:val="none"/>
        </w:rPr>
        <w:t>乙方购买的机械、材料、器具设备</w:t>
      </w:r>
      <w:bookmarkEnd w:id="550"/>
      <w:r>
        <w:rPr>
          <w:rFonts w:ascii="宋体" w:hAnsi="宋体" w:eastAsia="宋体" w:cs="宋体"/>
          <w:sz w:val="28"/>
          <w:szCs w:val="28"/>
          <w:highlight w:val="none"/>
        </w:rPr>
        <w:t xml:space="preserve"> </w:t>
      </w:r>
    </w:p>
    <w:p w14:paraId="4102AF0C">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51" w:name="_Toc6003"/>
      <w:r>
        <w:rPr>
          <w:rFonts w:ascii="宋体" w:hAnsi="宋体" w:eastAsia="宋体" w:cs="宋体"/>
          <w:sz w:val="28"/>
          <w:szCs w:val="28"/>
          <w:highlight w:val="none"/>
        </w:rPr>
        <w:t>在乙方使用前，应按规范要求进行检验或试验，不合格的不得使用。 检验或试验费用，由乙方承担。</w:t>
      </w:r>
      <w:bookmarkEnd w:id="551"/>
    </w:p>
    <w:p w14:paraId="1F024890">
      <w:pPr>
        <w:pStyle w:val="28"/>
        <w:keepNext w:val="0"/>
        <w:keepLines w:val="0"/>
        <w:pageBreakBefore w:val="0"/>
        <w:widowControl w:val="0"/>
        <w:kinsoku/>
        <w:wordWrap/>
        <w:overflowPunct/>
        <w:topLinePunct w:val="0"/>
        <w:autoSpaceDE w:val="0"/>
        <w:autoSpaceDN w:val="0"/>
        <w:bidi w:val="0"/>
        <w:adjustRightInd w:val="0"/>
        <w:snapToGrid/>
        <w:spacing w:line="360" w:lineRule="auto"/>
        <w:ind w:left="480" w:firstLine="0" w:firstLineChars="0"/>
        <w:jc w:val="left"/>
        <w:textAlignment w:val="auto"/>
        <w:outlineLvl w:val="2"/>
        <w:rPr>
          <w:rFonts w:hint="default" w:ascii="宋体" w:hAnsi="宋体" w:eastAsia="宋体" w:cs="宋体"/>
          <w:sz w:val="28"/>
          <w:szCs w:val="28"/>
          <w:highlight w:val="none"/>
        </w:rPr>
      </w:pPr>
      <w:r>
        <w:rPr>
          <w:rFonts w:ascii="宋体" w:hAnsi="宋体" w:eastAsia="宋体" w:cs="宋体"/>
          <w:sz w:val="28"/>
          <w:szCs w:val="28"/>
          <w:highlight w:val="none"/>
        </w:rPr>
        <w:t xml:space="preserve">  </w:t>
      </w:r>
    </w:p>
    <w:p w14:paraId="35A670B0">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552" w:name="_Toc9849"/>
      <w:r>
        <w:rPr>
          <w:rFonts w:ascii="宋体" w:hAnsi="宋体" w:eastAsia="宋体" w:cs="宋体"/>
          <w:sz w:val="28"/>
          <w:szCs w:val="28"/>
          <w:highlight w:val="none"/>
        </w:rPr>
        <w:t>违约责任</w:t>
      </w:r>
      <w:bookmarkEnd w:id="552"/>
      <w:r>
        <w:rPr>
          <w:rFonts w:ascii="宋体" w:hAnsi="宋体" w:eastAsia="宋体" w:cs="宋体"/>
          <w:sz w:val="28"/>
          <w:szCs w:val="28"/>
          <w:highlight w:val="none"/>
        </w:rPr>
        <w:t xml:space="preserve"> </w:t>
      </w:r>
    </w:p>
    <w:p w14:paraId="4D3DE881">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outlineLvl w:val="1"/>
        <w:rPr>
          <w:rFonts w:hint="default" w:ascii="宋体" w:hAnsi="宋体" w:eastAsia="宋体" w:cs="宋体"/>
          <w:sz w:val="28"/>
          <w:szCs w:val="28"/>
          <w:highlight w:val="none"/>
        </w:rPr>
      </w:pPr>
      <w:bookmarkStart w:id="553" w:name="_Toc31513"/>
      <w:r>
        <w:rPr>
          <w:rFonts w:hint="eastAsia" w:ascii="宋体" w:hAnsi="宋体" w:eastAsia="宋体" w:cs="宋体"/>
          <w:sz w:val="28"/>
          <w:szCs w:val="28"/>
          <w:highlight w:val="none"/>
          <w:lang w:val="en-US" w:eastAsia="zh-CN"/>
        </w:rPr>
        <w:t>1.</w:t>
      </w:r>
      <w:r>
        <w:rPr>
          <w:rFonts w:ascii="宋体" w:hAnsi="宋体" w:eastAsia="宋体" w:cs="宋体"/>
          <w:sz w:val="28"/>
          <w:szCs w:val="28"/>
          <w:highlight w:val="none"/>
        </w:rPr>
        <w:t>甲方违约责任</w:t>
      </w:r>
      <w:bookmarkEnd w:id="553"/>
      <w:r>
        <w:rPr>
          <w:rFonts w:ascii="宋体" w:hAnsi="宋体" w:eastAsia="宋体" w:cs="宋体"/>
          <w:sz w:val="28"/>
          <w:szCs w:val="28"/>
          <w:highlight w:val="none"/>
        </w:rPr>
        <w:t xml:space="preserve"> </w:t>
      </w:r>
    </w:p>
    <w:p w14:paraId="5B0D6B29">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54" w:name="_Toc19089"/>
      <w:r>
        <w:rPr>
          <w:rFonts w:ascii="宋体" w:hAnsi="宋体" w:eastAsia="宋体" w:cs="宋体"/>
          <w:sz w:val="28"/>
          <w:szCs w:val="28"/>
          <w:highlight w:val="none"/>
        </w:rPr>
        <w:t>因甲方原因， 造成抚育范围内的植物或养殖物死亡， 其损失由甲方承担。</w:t>
      </w:r>
      <w:bookmarkEnd w:id="554"/>
      <w:r>
        <w:rPr>
          <w:rFonts w:ascii="宋体" w:hAnsi="宋体" w:eastAsia="宋体" w:cs="宋体"/>
          <w:sz w:val="28"/>
          <w:szCs w:val="28"/>
          <w:highlight w:val="none"/>
        </w:rPr>
        <w:t xml:space="preserve"> </w:t>
      </w:r>
    </w:p>
    <w:p w14:paraId="2CD4FCFB">
      <w:pPr>
        <w:pStyle w:val="2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200"/>
        <w:jc w:val="left"/>
        <w:textAlignment w:val="auto"/>
        <w:outlineLvl w:val="1"/>
        <w:rPr>
          <w:rFonts w:hint="default" w:ascii="宋体" w:hAnsi="宋体" w:eastAsia="宋体" w:cs="宋体"/>
          <w:sz w:val="28"/>
          <w:szCs w:val="28"/>
          <w:highlight w:val="none"/>
        </w:rPr>
      </w:pPr>
      <w:bookmarkStart w:id="555" w:name="_Toc15562"/>
      <w:r>
        <w:rPr>
          <w:rFonts w:hint="eastAsia" w:ascii="宋体" w:hAnsi="宋体" w:eastAsia="宋体" w:cs="宋体"/>
          <w:sz w:val="28"/>
          <w:szCs w:val="28"/>
          <w:highlight w:val="none"/>
          <w:lang w:val="en-US" w:eastAsia="zh-CN"/>
        </w:rPr>
        <w:t>2.</w:t>
      </w:r>
      <w:r>
        <w:rPr>
          <w:rFonts w:ascii="宋体" w:hAnsi="宋体" w:eastAsia="宋体" w:cs="宋体"/>
          <w:sz w:val="28"/>
          <w:szCs w:val="28"/>
          <w:highlight w:val="none"/>
        </w:rPr>
        <w:t>乙方违约责任</w:t>
      </w:r>
      <w:bookmarkEnd w:id="555"/>
      <w:r>
        <w:rPr>
          <w:rFonts w:ascii="宋体" w:hAnsi="宋体" w:eastAsia="宋体" w:cs="宋体"/>
          <w:sz w:val="28"/>
          <w:szCs w:val="28"/>
          <w:highlight w:val="none"/>
        </w:rPr>
        <w:t xml:space="preserve"> </w:t>
      </w:r>
    </w:p>
    <w:p w14:paraId="01F9F10B">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56" w:name="_Toc10797"/>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因乙方原因，抚育质量未达到合同约定的抚育标准，乙方应采取补救措施，并赔偿甲方损失。</w:t>
      </w:r>
      <w:bookmarkEnd w:id="556"/>
      <w:r>
        <w:rPr>
          <w:rFonts w:ascii="宋体" w:hAnsi="宋体" w:eastAsia="宋体" w:cs="宋体"/>
          <w:sz w:val="28"/>
          <w:szCs w:val="28"/>
          <w:highlight w:val="none"/>
        </w:rPr>
        <w:t xml:space="preserve"> </w:t>
      </w:r>
    </w:p>
    <w:p w14:paraId="6CA0EDE3">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57" w:name="_Toc9229"/>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未经甲方同意，乙方擅自更改、调整抚育方案，给甲方造成损失的，应承担赔偿责任。</w:t>
      </w:r>
      <w:bookmarkEnd w:id="557"/>
      <w:r>
        <w:rPr>
          <w:rFonts w:ascii="宋体" w:hAnsi="宋体" w:eastAsia="宋体" w:cs="宋体"/>
          <w:sz w:val="28"/>
          <w:szCs w:val="28"/>
          <w:highlight w:val="none"/>
        </w:rPr>
        <w:t xml:space="preserve"> </w:t>
      </w:r>
    </w:p>
    <w:p w14:paraId="74D314D3">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outlineLvl w:val="2"/>
        <w:rPr>
          <w:rFonts w:hint="default" w:ascii="宋体" w:hAnsi="宋体" w:eastAsia="宋体" w:cs="宋体"/>
          <w:sz w:val="28"/>
          <w:szCs w:val="28"/>
          <w:highlight w:val="none"/>
        </w:rPr>
      </w:pPr>
      <w:bookmarkStart w:id="558" w:name="_Toc1481"/>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未经甲方同意，乙方擅自将承包的抚育项目进行分包或转包给他人，给甲方造成损失的，应承担赔偿责任。</w:t>
      </w:r>
      <w:bookmarkEnd w:id="558"/>
    </w:p>
    <w:p w14:paraId="60D2E10E">
      <w:pPr>
        <w:pStyle w:val="28"/>
        <w:keepNext w:val="0"/>
        <w:keepLines w:val="0"/>
        <w:pageBreakBefore w:val="0"/>
        <w:widowControl w:val="0"/>
        <w:kinsoku/>
        <w:wordWrap/>
        <w:overflowPunct/>
        <w:topLinePunct w:val="0"/>
        <w:autoSpaceDE w:val="0"/>
        <w:autoSpaceDN w:val="0"/>
        <w:bidi w:val="0"/>
        <w:adjustRightInd w:val="0"/>
        <w:snapToGrid/>
        <w:spacing w:line="360" w:lineRule="auto"/>
        <w:ind w:left="480" w:firstLine="0" w:firstLineChars="0"/>
        <w:jc w:val="left"/>
        <w:textAlignment w:val="auto"/>
        <w:outlineLvl w:val="2"/>
        <w:rPr>
          <w:rFonts w:hint="default" w:ascii="宋体" w:hAnsi="宋体" w:eastAsia="宋体" w:cs="宋体"/>
          <w:sz w:val="28"/>
          <w:szCs w:val="28"/>
          <w:highlight w:val="none"/>
        </w:rPr>
      </w:pPr>
      <w:r>
        <w:rPr>
          <w:rFonts w:ascii="宋体" w:hAnsi="宋体" w:eastAsia="宋体" w:cs="宋体"/>
          <w:sz w:val="28"/>
          <w:szCs w:val="28"/>
          <w:highlight w:val="none"/>
        </w:rPr>
        <w:t xml:space="preserve"> </w:t>
      </w:r>
    </w:p>
    <w:p w14:paraId="1510C06A">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559" w:name="_Toc29231"/>
      <w:r>
        <w:rPr>
          <w:rFonts w:ascii="宋体" w:hAnsi="宋体" w:eastAsia="宋体" w:cs="宋体"/>
          <w:sz w:val="28"/>
          <w:szCs w:val="28"/>
          <w:highlight w:val="none"/>
        </w:rPr>
        <w:t>其他约定。</w:t>
      </w:r>
      <w:bookmarkEnd w:id="559"/>
      <w:r>
        <w:rPr>
          <w:rFonts w:ascii="宋体" w:hAnsi="宋体" w:eastAsia="宋体" w:cs="宋体"/>
          <w:sz w:val="28"/>
          <w:szCs w:val="28"/>
          <w:highlight w:val="none"/>
        </w:rPr>
        <w:t xml:space="preserve"> </w:t>
      </w:r>
    </w:p>
    <w:p w14:paraId="3EB24C51">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 xml:space="preserve">合同履行过程中，双方可根据有关法律、行政法规规定，结合抚育项目的实际情况，经协商一致后订立补充协议。补充协议视为本合同的组成部分。 </w:t>
      </w:r>
    </w:p>
    <w:p w14:paraId="5926A6E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p>
    <w:p w14:paraId="3ADDBFD7">
      <w:pPr>
        <w:pStyle w:val="26"/>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firstLine="560" w:firstLineChars="200"/>
        <w:jc w:val="left"/>
        <w:textAlignment w:val="auto"/>
        <w:rPr>
          <w:rFonts w:hint="default" w:ascii="宋体" w:hAnsi="宋体" w:eastAsia="宋体" w:cs="宋体"/>
          <w:sz w:val="28"/>
          <w:szCs w:val="28"/>
          <w:highlight w:val="none"/>
        </w:rPr>
      </w:pPr>
      <w:bookmarkStart w:id="560" w:name="_Toc14618"/>
      <w:r>
        <w:rPr>
          <w:rFonts w:ascii="宋体" w:hAnsi="宋体" w:eastAsia="宋体" w:cs="宋体"/>
          <w:sz w:val="28"/>
          <w:szCs w:val="28"/>
          <w:highlight w:val="none"/>
        </w:rPr>
        <w:t>合同争议的解决</w:t>
      </w:r>
      <w:bookmarkEnd w:id="560"/>
      <w:r>
        <w:rPr>
          <w:rFonts w:ascii="宋体" w:hAnsi="宋体" w:eastAsia="宋体" w:cs="宋体"/>
          <w:sz w:val="28"/>
          <w:szCs w:val="28"/>
          <w:highlight w:val="none"/>
        </w:rPr>
        <w:t xml:space="preserve"> </w:t>
      </w:r>
    </w:p>
    <w:p w14:paraId="515AE85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双方发生争议的，可协商解决，或向有关部门申请调解；也可采取以下方式</w:t>
      </w:r>
      <w:r>
        <w:rPr>
          <w:rFonts w:hint="eastAsia" w:hAnsi="宋体" w:cs="宋体"/>
          <w:sz w:val="28"/>
          <w:szCs w:val="28"/>
          <w:highlight w:val="none"/>
          <w:lang w:eastAsia="zh-CN"/>
        </w:rPr>
        <w:t>：</w:t>
      </w:r>
      <w:r>
        <w:rPr>
          <w:rFonts w:hint="eastAsia" w:hAnsi="宋体" w:cs="宋体"/>
          <w:sz w:val="28"/>
          <w:szCs w:val="28"/>
          <w:highlight w:val="none"/>
        </w:rPr>
        <w:t>向合同签订地人民法院起诉。</w:t>
      </w:r>
    </w:p>
    <w:p w14:paraId="279159E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p>
    <w:p w14:paraId="0E33DC00">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本合同正本</w:t>
      </w:r>
      <w:r>
        <w:rPr>
          <w:rFonts w:hint="eastAsia" w:hAnsi="宋体" w:cs="宋体"/>
          <w:sz w:val="28"/>
          <w:szCs w:val="28"/>
          <w:highlight w:val="none"/>
          <w:u w:val="single"/>
          <w:lang w:val="en-US" w:eastAsia="zh-CN"/>
        </w:rPr>
        <w:t xml:space="preserve">   </w:t>
      </w:r>
      <w:r>
        <w:rPr>
          <w:rFonts w:hint="eastAsia" w:hAnsi="宋体" w:cs="宋体"/>
          <w:sz w:val="28"/>
          <w:szCs w:val="28"/>
          <w:highlight w:val="none"/>
        </w:rPr>
        <w:t>份，具有同等效力，由甲方保存</w:t>
      </w:r>
      <w:r>
        <w:rPr>
          <w:rFonts w:hint="eastAsia" w:hAnsi="宋体" w:cs="宋体"/>
          <w:sz w:val="28"/>
          <w:szCs w:val="28"/>
          <w:highlight w:val="none"/>
          <w:u w:val="single"/>
          <w:lang w:val="en-US" w:eastAsia="zh-CN"/>
        </w:rPr>
        <w:t xml:space="preserve">   </w:t>
      </w:r>
      <w:r>
        <w:rPr>
          <w:rFonts w:hint="eastAsia" w:hAnsi="宋体" w:cs="宋体"/>
          <w:sz w:val="28"/>
          <w:szCs w:val="28"/>
          <w:highlight w:val="none"/>
        </w:rPr>
        <w:t>份、 乙方保存</w:t>
      </w:r>
      <w:r>
        <w:rPr>
          <w:rFonts w:hint="eastAsia" w:hAnsi="宋体" w:cs="宋体"/>
          <w:sz w:val="28"/>
          <w:szCs w:val="28"/>
          <w:highlight w:val="none"/>
          <w:u w:val="single"/>
          <w:lang w:val="en-US" w:eastAsia="zh-CN"/>
        </w:rPr>
        <w:t xml:space="preserve">   </w:t>
      </w:r>
      <w:r>
        <w:rPr>
          <w:rFonts w:hint="eastAsia" w:hAnsi="宋体" w:cs="宋体"/>
          <w:sz w:val="28"/>
          <w:szCs w:val="28"/>
          <w:highlight w:val="none"/>
        </w:rPr>
        <w:t>份。</w:t>
      </w:r>
    </w:p>
    <w:p w14:paraId="768BABFC">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p>
    <w:p w14:paraId="6751E765">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 xml:space="preserve">发 包 方：（公章）              承 包 方：（公章） </w:t>
      </w:r>
    </w:p>
    <w:p w14:paraId="4C26E97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 xml:space="preserve">法定代表人：                   法定代表人： </w:t>
      </w:r>
    </w:p>
    <w:p w14:paraId="0BD7DAB8">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 xml:space="preserve">委托代理人：                   委托代理人： </w:t>
      </w:r>
    </w:p>
    <w:p w14:paraId="72EE7FCF">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 xml:space="preserve">电话：                         电话： </w:t>
      </w:r>
    </w:p>
    <w:p w14:paraId="42AA2687">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传真：                         传真：</w:t>
      </w:r>
    </w:p>
    <w:p w14:paraId="1494EC7A">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 xml:space="preserve">开户银行：                     开户银行： </w:t>
      </w:r>
    </w:p>
    <w:p w14:paraId="3040B939">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帐号：                         帐号：</w:t>
      </w:r>
    </w:p>
    <w:p w14:paraId="3E0E7C53">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 xml:space="preserve">邮政编码：                     邮政编码： </w:t>
      </w:r>
    </w:p>
    <w:p w14:paraId="151CA556">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hAnsi="宋体" w:cs="宋体"/>
          <w:sz w:val="28"/>
          <w:szCs w:val="28"/>
          <w:highlight w:val="none"/>
        </w:rPr>
      </w:pPr>
    </w:p>
    <w:p w14:paraId="4CC453F8">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Ansi="宋体" w:cs="宋体"/>
          <w:sz w:val="28"/>
          <w:szCs w:val="28"/>
          <w:highlight w:val="none"/>
        </w:rPr>
      </w:pPr>
      <w:r>
        <w:rPr>
          <w:rFonts w:hint="eastAsia" w:hAnsi="宋体" w:cs="宋体"/>
          <w:sz w:val="28"/>
          <w:szCs w:val="28"/>
          <w:highlight w:val="none"/>
        </w:rPr>
        <w:t>合同订立时间：</w:t>
      </w:r>
      <w:r>
        <w:rPr>
          <w:rFonts w:hint="eastAsia" w:hAnsi="宋体" w:cs="宋体"/>
          <w:sz w:val="28"/>
          <w:szCs w:val="28"/>
          <w:highlight w:val="none"/>
          <w:u w:val="single"/>
          <w:lang w:val="en-US" w:eastAsia="zh-CN"/>
        </w:rPr>
        <w:t xml:space="preserve">     </w:t>
      </w:r>
      <w:r>
        <w:rPr>
          <w:rFonts w:hint="eastAsia" w:hAnsi="宋体" w:cs="宋体"/>
          <w:sz w:val="28"/>
          <w:szCs w:val="28"/>
          <w:highlight w:val="none"/>
        </w:rPr>
        <w:t>年</w:t>
      </w:r>
      <w:r>
        <w:rPr>
          <w:rFonts w:hint="eastAsia" w:hAnsi="宋体" w:cs="宋体"/>
          <w:sz w:val="28"/>
          <w:szCs w:val="28"/>
          <w:highlight w:val="none"/>
          <w:u w:val="single"/>
          <w:lang w:val="en-US" w:eastAsia="zh-CN"/>
        </w:rPr>
        <w:t xml:space="preserve">    </w:t>
      </w:r>
      <w:r>
        <w:rPr>
          <w:rFonts w:hint="eastAsia" w:hAnsi="宋体" w:cs="宋体"/>
          <w:sz w:val="28"/>
          <w:szCs w:val="28"/>
          <w:highlight w:val="none"/>
        </w:rPr>
        <w:t>月</w:t>
      </w:r>
      <w:r>
        <w:rPr>
          <w:rFonts w:hint="eastAsia" w:hAnsi="宋体" w:cs="宋体"/>
          <w:sz w:val="28"/>
          <w:szCs w:val="28"/>
          <w:highlight w:val="none"/>
          <w:u w:val="single"/>
          <w:lang w:val="en-US" w:eastAsia="zh-CN"/>
        </w:rPr>
        <w:t xml:space="preserve">    </w:t>
      </w:r>
      <w:r>
        <w:rPr>
          <w:rFonts w:hint="eastAsia" w:hAnsi="宋体" w:cs="宋体"/>
          <w:sz w:val="28"/>
          <w:szCs w:val="28"/>
          <w:highlight w:val="none"/>
        </w:rPr>
        <w:t>日</w:t>
      </w:r>
    </w:p>
    <w:p w14:paraId="7F7DD3B6">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hAnsi="宋体" w:cs="宋体"/>
          <w:sz w:val="28"/>
          <w:szCs w:val="28"/>
          <w:highlight w:val="none"/>
          <w:lang w:val="en-US" w:eastAsia="zh-CN"/>
        </w:rPr>
      </w:pPr>
      <w:r>
        <w:rPr>
          <w:rFonts w:hint="eastAsia" w:hAnsi="宋体" w:cs="宋体"/>
          <w:sz w:val="28"/>
          <w:szCs w:val="28"/>
          <w:highlight w:val="none"/>
        </w:rPr>
        <w:t>合同订立地点：</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p>
    <w:p w14:paraId="0BC90E4D">
      <w:pPr>
        <w:rPr>
          <w:rFonts w:hint="eastAsia" w:hAnsi="宋体" w:cs="宋体"/>
          <w:sz w:val="28"/>
          <w:szCs w:val="28"/>
          <w:highlight w:val="none"/>
          <w:lang w:val="en-US" w:eastAsia="zh-CN"/>
        </w:rPr>
      </w:pPr>
      <w:r>
        <w:rPr>
          <w:rFonts w:hint="eastAsia" w:hAnsi="宋体" w:cs="宋体"/>
          <w:sz w:val="28"/>
          <w:szCs w:val="28"/>
          <w:highlight w:val="none"/>
          <w:lang w:val="en-US" w:eastAsia="zh-CN"/>
        </w:rPr>
        <w:br w:type="page"/>
      </w:r>
    </w:p>
    <w:p w14:paraId="78EC1938">
      <w:pPr>
        <w:pStyle w:val="2"/>
        <w:numPr>
          <w:ilvl w:val="0"/>
          <w:numId w:val="12"/>
        </w:numPr>
        <w:spacing w:line="360" w:lineRule="auto"/>
        <w:jc w:val="center"/>
        <w:rPr>
          <w:rFonts w:hint="eastAsia" w:ascii="宋体" w:hAnsi="宋体" w:eastAsia="宋体" w:cs="宋体"/>
          <w:color w:val="auto"/>
          <w:sz w:val="32"/>
          <w:szCs w:val="32"/>
          <w:highlight w:val="none"/>
        </w:rPr>
      </w:pPr>
      <w:bookmarkStart w:id="561" w:name="_Toc15666"/>
      <w:r>
        <w:rPr>
          <w:rFonts w:hint="eastAsia" w:ascii="宋体" w:hAnsi="宋体" w:eastAsia="宋体" w:cs="宋体"/>
          <w:color w:val="auto"/>
          <w:sz w:val="32"/>
          <w:szCs w:val="32"/>
          <w:highlight w:val="none"/>
          <w:lang w:val="en-US" w:eastAsia="zh-CN"/>
        </w:rPr>
        <w:t>采购需求</w:t>
      </w:r>
      <w:bookmarkEnd w:id="561"/>
    </w:p>
    <w:p w14:paraId="6D9C37A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5ED26EC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lang w:val="en-US" w:eastAsia="zh-CN"/>
        </w:rPr>
        <w:t>荥阳市林业局2024年度省级森林抚育项目</w:t>
      </w:r>
      <w:r>
        <w:rPr>
          <w:rFonts w:hint="eastAsia" w:ascii="宋体" w:hAnsi="宋体" w:eastAsia="宋体" w:cs="宋体"/>
          <w:color w:val="auto"/>
          <w:sz w:val="24"/>
          <w:szCs w:val="24"/>
          <w:highlight w:val="none"/>
        </w:rPr>
        <w:t>；</w:t>
      </w:r>
    </w:p>
    <w:p w14:paraId="4B19D05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2、预算控制金额：</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0000元；</w:t>
      </w:r>
    </w:p>
    <w:p w14:paraId="1980EFC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w:t>
      </w:r>
      <w:r>
        <w:rPr>
          <w:rFonts w:hint="eastAsia" w:hAnsi="宋体" w:cs="宋体"/>
          <w:color w:val="auto"/>
          <w:sz w:val="24"/>
          <w:szCs w:val="24"/>
          <w:highlight w:val="none"/>
          <w:lang w:val="en-US" w:eastAsia="zh-CN"/>
        </w:rPr>
        <w:t>期限</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6E298E2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5、质量要求：</w:t>
      </w:r>
      <w:r>
        <w:rPr>
          <w:rFonts w:hint="eastAsia" w:ascii="宋体" w:hAnsi="宋体" w:eastAsia="宋体" w:cs="宋体"/>
          <w:color w:val="auto"/>
          <w:sz w:val="24"/>
          <w:szCs w:val="24"/>
          <w:highlight w:val="none"/>
          <w:lang w:val="en-US" w:eastAsia="zh-CN"/>
        </w:rPr>
        <w:t>合格，符合国家、行业及地区现行相关规范和标准</w:t>
      </w:r>
      <w:r>
        <w:rPr>
          <w:rFonts w:hint="eastAsia" w:ascii="宋体" w:hAnsi="宋体" w:eastAsia="宋体" w:cs="宋体"/>
          <w:color w:val="auto"/>
          <w:sz w:val="24"/>
          <w:szCs w:val="24"/>
          <w:highlight w:val="none"/>
        </w:rPr>
        <w:t>；</w:t>
      </w:r>
    </w:p>
    <w:p w14:paraId="5B997B7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6、资金来源：财政资金；</w:t>
      </w:r>
    </w:p>
    <w:p w14:paraId="612BCE6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7、项目地点：荥阳市</w:t>
      </w:r>
      <w:r>
        <w:rPr>
          <w:rFonts w:hint="eastAsia" w:hAnsi="宋体" w:cs="宋体"/>
          <w:color w:val="auto"/>
          <w:sz w:val="24"/>
          <w:szCs w:val="24"/>
          <w:highlight w:val="none"/>
          <w:lang w:val="en-US" w:eastAsia="zh-CN"/>
        </w:rPr>
        <w:t>内</w:t>
      </w:r>
      <w:r>
        <w:rPr>
          <w:rFonts w:hint="eastAsia" w:ascii="宋体" w:hAnsi="宋体" w:eastAsia="宋体" w:cs="宋体"/>
          <w:color w:val="auto"/>
          <w:sz w:val="24"/>
          <w:szCs w:val="24"/>
          <w:highlight w:val="none"/>
        </w:rPr>
        <w:t>；</w:t>
      </w:r>
    </w:p>
    <w:p w14:paraId="03E7AC2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8、项目介绍：</w:t>
      </w:r>
      <w:r>
        <w:rPr>
          <w:rFonts w:hint="eastAsia" w:ascii="宋体" w:hAnsi="宋体" w:eastAsia="宋体" w:cs="宋体"/>
          <w:color w:val="auto"/>
          <w:sz w:val="24"/>
          <w:szCs w:val="24"/>
          <w:highlight w:val="none"/>
          <w:lang w:val="en-US" w:eastAsia="zh-CN"/>
        </w:rPr>
        <w:t>本项目根据2024年度国土绿化建设工作安排，拟对荥阳市环翠峪森林公园范围内进行抚育，抚育面积约3000亩</w:t>
      </w:r>
      <w:r>
        <w:rPr>
          <w:rFonts w:hint="eastAsia" w:ascii="宋体" w:hAnsi="宋体" w:eastAsia="宋体" w:cs="宋体"/>
          <w:color w:val="auto"/>
          <w:sz w:val="24"/>
          <w:szCs w:val="24"/>
          <w:highlight w:val="none"/>
        </w:rPr>
        <w:t>。</w:t>
      </w:r>
    </w:p>
    <w:p w14:paraId="31D7915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三、项目要求</w:t>
      </w:r>
    </w:p>
    <w:p w14:paraId="5E78155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通过采取科学有效的森林抚育措施，改善森林环境，促进林木生长，培育健康稳定的森林生态系统， 提高森林的生态、经济和社会效益，实现林业的可持续发展，同时总结经验，探索森林抚育的有效模式和管理制度,为今后林场的森林资源管理和我县林业助推脱贫攻坚提供科学依据。</w:t>
      </w:r>
    </w:p>
    <w:p w14:paraId="3322595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四、指导思想</w:t>
      </w:r>
    </w:p>
    <w:p w14:paraId="352FDCD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以《森林法》、国家林业局《森林抚育作业设计规定》等有关法律法规为依据，以河南省《森林抚育作业设计规定》 为标准，以县情、场情、林情为基础，遵照河南省林业局最新通知禁止保护地开展森林抚育项目的规定，因场制宜、因林制宜，设计出符合林场、林班、小班实际情况的，有利于森林综合效益增长的，操作性强的森林抚育设计方案。</w:t>
      </w:r>
    </w:p>
    <w:p w14:paraId="727914D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五、主要依据</w:t>
      </w:r>
    </w:p>
    <w:p w14:paraId="7586424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1.国家林业局《森林抚育作业设计规定》(林造发[2014]140 号);</w:t>
      </w:r>
    </w:p>
    <w:p w14:paraId="57B9241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2.《生态公益林建设技术规程》(GB/T18337.3);</w:t>
      </w:r>
    </w:p>
    <w:p w14:paraId="2FA04A3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3.《生态公益林建设导则》(GB/T18337.1);</w:t>
      </w:r>
    </w:p>
    <w:p w14:paraId="5787AA8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4.《森林抚育规程》(GB/T15781-2015);</w:t>
      </w:r>
    </w:p>
    <w:p w14:paraId="0F4B795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5.《森林资源规划设计调查技术规程》(GB/T26424)</w:t>
      </w:r>
    </w:p>
    <w:p w14:paraId="6DC6111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6.《森林采伐作业规程》(LY/T1646-2006);</w:t>
      </w:r>
    </w:p>
    <w:p w14:paraId="7F7A164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7.《河南省森林抚育作业设计规定》(豫林造[2015]10 号);</w:t>
      </w:r>
    </w:p>
    <w:p w14:paraId="1427385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8.《河南省公益林抚育技术规程 》 (DB41/T640);</w:t>
      </w:r>
    </w:p>
    <w:p w14:paraId="36A9459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六、基本原则</w:t>
      </w:r>
    </w:p>
    <w:p w14:paraId="518ABE2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为积极稳妥地做好森林抚育这项工作，必须坚持下列几个原则。</w:t>
      </w:r>
    </w:p>
    <w:p w14:paraId="44DEA81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（1）坚持以森林经营规划为基础，按照任务集中连片、交通便利、便于施工、稳步推进、促进就业的原则，科学合理地编制年度森林抚育项目作业设计。</w:t>
      </w:r>
    </w:p>
    <w:p w14:paraId="52790EB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（2）坚持森林抚育施工作业必须以林场贫困职工和林区贫困户为主的原则，全面落实施工责任制， 层层签订责任状或合同书，做到公开、公平、公正、公示、利于社会监督。</w:t>
      </w:r>
    </w:p>
    <w:p w14:paraId="2A3CE2F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（3）坚持分区施策、严格控制出材的原则，科学确定抚育林分和作业方式。</w:t>
      </w:r>
    </w:p>
    <w:p w14:paraId="0FB8428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（4）坚持生态效益和生物多样性保护功能稳定发挥的原则。</w:t>
      </w:r>
    </w:p>
    <w:p w14:paraId="0EF6B3FD">
      <w:pPr>
        <w:rPr>
          <w:rFonts w:hint="default" w:eastAsia="宋体"/>
          <w:highlight w:val="none"/>
          <w:lang w:val="en-US" w:eastAsia="zh-CN"/>
        </w:rPr>
      </w:pPr>
      <w:r>
        <w:rPr>
          <w:rFonts w:hint="default" w:eastAsia="宋体"/>
          <w:highlight w:val="none"/>
          <w:lang w:val="en-US" w:eastAsia="zh-CN"/>
        </w:rPr>
        <w:br w:type="page"/>
      </w:r>
    </w:p>
    <w:p w14:paraId="48C24C1B">
      <w:pPr>
        <w:pStyle w:val="2"/>
        <w:bidi w:val="0"/>
        <w:jc w:val="center"/>
        <w:rPr>
          <w:rFonts w:hint="eastAsia" w:ascii="宋体" w:hAnsi="宋体" w:eastAsia="宋体" w:cs="宋体"/>
          <w:color w:val="auto"/>
          <w:highlight w:val="none"/>
        </w:rPr>
      </w:pPr>
      <w:bookmarkStart w:id="562" w:name="_Toc13186"/>
      <w:bookmarkStart w:id="563" w:name="_Toc28370"/>
      <w:r>
        <w:rPr>
          <w:rFonts w:hint="eastAsia" w:ascii="宋体" w:hAnsi="宋体" w:eastAsia="宋体" w:cs="宋体"/>
          <w:color w:val="auto"/>
          <w:highlight w:val="none"/>
        </w:rPr>
        <w:t>第</w:t>
      </w:r>
      <w:r>
        <w:rPr>
          <w:rFonts w:hint="eastAsia" w:ascii="宋体" w:hAnsi="宋体" w:eastAsia="宋体" w:cs="宋体"/>
          <w:color w:val="auto"/>
          <w:highlight w:val="none"/>
          <w:lang w:val="en-US"/>
        </w:rPr>
        <w:t>六</w:t>
      </w:r>
      <w:r>
        <w:rPr>
          <w:rFonts w:hint="eastAsia" w:ascii="宋体" w:hAnsi="宋体" w:eastAsia="宋体" w:cs="宋体"/>
          <w:color w:val="auto"/>
          <w:highlight w:val="none"/>
        </w:rPr>
        <w:t>章  响应文件格式</w:t>
      </w:r>
      <w:bookmarkEnd w:id="562"/>
      <w:bookmarkEnd w:id="563"/>
    </w:p>
    <w:p w14:paraId="61CD3963">
      <w:pPr>
        <w:pStyle w:val="8"/>
        <w:pageBreakBefore w:val="0"/>
        <w:kinsoku w:val="0"/>
        <w:wordWrap/>
        <w:overflowPunct w:val="0"/>
        <w:topLinePunct w:val="0"/>
        <w:bidi w:val="0"/>
        <w:spacing w:before="7" w:line="360" w:lineRule="auto"/>
        <w:textAlignment w:val="auto"/>
        <w:rPr>
          <w:rFonts w:hint="eastAsia" w:ascii="宋体" w:hAnsi="宋体" w:eastAsia="宋体" w:cs="宋体"/>
          <w:b/>
          <w:color w:val="auto"/>
          <w:sz w:val="23"/>
          <w:szCs w:val="23"/>
          <w:highlight w:val="none"/>
        </w:rPr>
      </w:pPr>
    </w:p>
    <w:p w14:paraId="5030E922">
      <w:pPr>
        <w:pStyle w:val="29"/>
        <w:pageBreakBefore w:val="0"/>
        <w:wordWrap/>
        <w:topLinePunct w:val="0"/>
        <w:bidi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r>
        <w:rPr>
          <w:rFonts w:hint="eastAsia" w:ascii="宋体" w:hAnsi="宋体" w:eastAsia="宋体" w:cs="宋体"/>
          <w:color w:val="auto"/>
          <w:spacing w:val="-3"/>
          <w:sz w:val="32"/>
          <w:szCs w:val="32"/>
          <w:highlight w:val="none"/>
        </w:rPr>
        <w:t>项目名称</w:t>
      </w:r>
      <w:r>
        <w:rPr>
          <w:rFonts w:hint="eastAsia" w:ascii="宋体" w:hAnsi="宋体" w:eastAsia="宋体" w:cs="宋体"/>
          <w:color w:val="auto"/>
          <w:sz w:val="32"/>
          <w:szCs w:val="32"/>
          <w:highlight w:val="none"/>
        </w:rPr>
        <w:t>）</w:t>
      </w:r>
    </w:p>
    <w:p w14:paraId="10FA8007">
      <w:pPr>
        <w:pStyle w:val="8"/>
        <w:pageBreakBefore w:val="0"/>
        <w:kinsoku w:val="0"/>
        <w:wordWrap/>
        <w:overflowPunct w:val="0"/>
        <w:topLinePunct w:val="0"/>
        <w:bidi w:val="0"/>
        <w:spacing w:line="360" w:lineRule="auto"/>
        <w:textAlignment w:val="auto"/>
        <w:rPr>
          <w:rFonts w:hint="eastAsia" w:ascii="宋体" w:hAnsi="宋体" w:eastAsia="宋体" w:cs="宋体"/>
          <w:color w:val="auto"/>
          <w:sz w:val="30"/>
          <w:szCs w:val="30"/>
          <w:highlight w:val="none"/>
        </w:rPr>
      </w:pPr>
    </w:p>
    <w:p w14:paraId="766BEFE4">
      <w:pPr>
        <w:pStyle w:val="8"/>
        <w:pageBreakBefore w:val="0"/>
        <w:kinsoku w:val="0"/>
        <w:wordWrap/>
        <w:overflowPunct w:val="0"/>
        <w:topLinePunct w:val="0"/>
        <w:bidi w:val="0"/>
        <w:spacing w:line="360" w:lineRule="auto"/>
        <w:textAlignment w:val="auto"/>
        <w:rPr>
          <w:rFonts w:hint="eastAsia" w:ascii="宋体" w:hAnsi="宋体" w:eastAsia="宋体" w:cs="宋体"/>
          <w:color w:val="auto"/>
          <w:sz w:val="30"/>
          <w:szCs w:val="30"/>
          <w:highlight w:val="none"/>
        </w:rPr>
      </w:pPr>
    </w:p>
    <w:p w14:paraId="68F6712F">
      <w:pPr>
        <w:pStyle w:val="8"/>
        <w:pageBreakBefore w:val="0"/>
        <w:kinsoku w:val="0"/>
        <w:wordWrap/>
        <w:overflowPunct w:val="0"/>
        <w:topLinePunct w:val="0"/>
        <w:bidi w:val="0"/>
        <w:spacing w:line="360" w:lineRule="auto"/>
        <w:textAlignment w:val="auto"/>
        <w:rPr>
          <w:rFonts w:hint="eastAsia" w:ascii="宋体" w:hAnsi="宋体" w:eastAsia="宋体" w:cs="宋体"/>
          <w:color w:val="auto"/>
          <w:sz w:val="30"/>
          <w:szCs w:val="30"/>
          <w:highlight w:val="none"/>
        </w:rPr>
      </w:pPr>
    </w:p>
    <w:p w14:paraId="504DFEB1">
      <w:pPr>
        <w:pStyle w:val="8"/>
        <w:pageBreakBefore w:val="0"/>
        <w:kinsoku w:val="0"/>
        <w:wordWrap/>
        <w:overflowPunct w:val="0"/>
        <w:topLinePunct w:val="0"/>
        <w:bidi w:val="0"/>
        <w:spacing w:before="12" w:line="360" w:lineRule="auto"/>
        <w:textAlignment w:val="auto"/>
        <w:rPr>
          <w:rFonts w:hint="eastAsia" w:ascii="宋体" w:hAnsi="宋体" w:eastAsia="宋体" w:cs="宋体"/>
          <w:color w:val="auto"/>
          <w:sz w:val="31"/>
          <w:szCs w:val="31"/>
          <w:highlight w:val="none"/>
        </w:rPr>
      </w:pPr>
    </w:p>
    <w:p w14:paraId="6701C47E">
      <w:pPr>
        <w:pStyle w:val="8"/>
        <w:pageBreakBefore w:val="0"/>
        <w:tabs>
          <w:tab w:val="left" w:pos="1439"/>
          <w:tab w:val="left" w:pos="2879"/>
          <w:tab w:val="left" w:pos="4319"/>
        </w:tabs>
        <w:kinsoku w:val="0"/>
        <w:wordWrap/>
        <w:overflowPunct w:val="0"/>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72"/>
          <w:szCs w:val="72"/>
          <w:highlight w:val="none"/>
        </w:rPr>
        <w:t>响</w:t>
      </w:r>
      <w:r>
        <w:rPr>
          <w:rFonts w:hint="eastAsia" w:ascii="宋体" w:hAnsi="宋体" w:eastAsia="宋体" w:cs="宋体"/>
          <w:color w:val="auto"/>
          <w:sz w:val="72"/>
          <w:szCs w:val="72"/>
          <w:highlight w:val="none"/>
        </w:rPr>
        <w:tab/>
      </w:r>
      <w:r>
        <w:rPr>
          <w:rFonts w:hint="eastAsia" w:ascii="宋体" w:hAnsi="宋体" w:eastAsia="宋体" w:cs="宋体"/>
          <w:color w:val="auto"/>
          <w:sz w:val="72"/>
          <w:szCs w:val="72"/>
          <w:highlight w:val="none"/>
        </w:rPr>
        <w:t>应</w:t>
      </w:r>
      <w:r>
        <w:rPr>
          <w:rFonts w:hint="eastAsia" w:ascii="宋体" w:hAnsi="宋体" w:eastAsia="宋体" w:cs="宋体"/>
          <w:color w:val="auto"/>
          <w:sz w:val="72"/>
          <w:szCs w:val="72"/>
          <w:highlight w:val="none"/>
        </w:rPr>
        <w:tab/>
      </w:r>
      <w:r>
        <w:rPr>
          <w:rFonts w:hint="eastAsia" w:ascii="宋体" w:hAnsi="宋体" w:eastAsia="宋体" w:cs="宋体"/>
          <w:color w:val="auto"/>
          <w:sz w:val="72"/>
          <w:szCs w:val="72"/>
          <w:highlight w:val="none"/>
        </w:rPr>
        <w:t>文</w:t>
      </w:r>
      <w:r>
        <w:rPr>
          <w:rFonts w:hint="eastAsia" w:ascii="宋体" w:hAnsi="宋体" w:eastAsia="宋体" w:cs="宋体"/>
          <w:color w:val="auto"/>
          <w:sz w:val="72"/>
          <w:szCs w:val="72"/>
          <w:highlight w:val="none"/>
        </w:rPr>
        <w:tab/>
      </w:r>
      <w:r>
        <w:rPr>
          <w:rFonts w:hint="eastAsia" w:ascii="宋体" w:hAnsi="宋体" w:eastAsia="宋体" w:cs="宋体"/>
          <w:color w:val="auto"/>
          <w:sz w:val="72"/>
          <w:szCs w:val="72"/>
          <w:highlight w:val="none"/>
        </w:rPr>
        <w:t>件</w:t>
      </w:r>
    </w:p>
    <w:p w14:paraId="2B05EAC9">
      <w:pPr>
        <w:pStyle w:val="29"/>
        <w:pageBreakBefore w:val="0"/>
        <w:wordWrap/>
        <w:topLinePunct w:val="0"/>
        <w:bidi w:val="0"/>
        <w:spacing w:line="360" w:lineRule="auto"/>
        <w:ind w:leftChars="16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采购编号：</w:t>
      </w:r>
    </w:p>
    <w:p w14:paraId="6891C12C">
      <w:pPr>
        <w:pStyle w:val="8"/>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112DE629">
      <w:pPr>
        <w:pStyle w:val="8"/>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762ADAD7">
      <w:pPr>
        <w:pStyle w:val="8"/>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23F84F82">
      <w:pPr>
        <w:pStyle w:val="8"/>
        <w:pageBreakBefore w:val="0"/>
        <w:kinsoku w:val="0"/>
        <w:wordWrap/>
        <w:overflowPunct w:val="0"/>
        <w:topLinePunct w:val="0"/>
        <w:bidi w:val="0"/>
        <w:spacing w:line="360" w:lineRule="auto"/>
        <w:textAlignment w:val="auto"/>
        <w:rPr>
          <w:rFonts w:hint="eastAsia" w:ascii="宋体" w:hAnsi="宋体" w:eastAsia="宋体" w:cs="宋体"/>
          <w:color w:val="auto"/>
          <w:sz w:val="28"/>
          <w:szCs w:val="28"/>
          <w:highlight w:val="none"/>
        </w:rPr>
      </w:pPr>
    </w:p>
    <w:p w14:paraId="664C6332">
      <w:pPr>
        <w:pStyle w:val="8"/>
        <w:pageBreakBefore w:val="0"/>
        <w:kinsoku w:val="0"/>
        <w:wordWrap/>
        <w:overflowPunct w:val="0"/>
        <w:topLinePunct w:val="0"/>
        <w:bidi w:val="0"/>
        <w:spacing w:line="360" w:lineRule="auto"/>
        <w:textAlignment w:val="auto"/>
        <w:rPr>
          <w:rFonts w:hint="eastAsia" w:ascii="宋体" w:hAnsi="宋体" w:eastAsia="宋体" w:cs="宋体"/>
          <w:color w:val="auto"/>
          <w:sz w:val="34"/>
          <w:szCs w:val="34"/>
          <w:highlight w:val="none"/>
        </w:rPr>
      </w:pPr>
    </w:p>
    <w:p w14:paraId="4FAABC97">
      <w:pPr>
        <w:pStyle w:val="8"/>
        <w:pageBreakBefore w:val="0"/>
        <w:tabs>
          <w:tab w:val="left" w:pos="5599"/>
        </w:tabs>
        <w:kinsoku w:val="0"/>
        <w:wordWrap/>
        <w:overflowPunct w:val="0"/>
        <w:topLinePunct w:val="0"/>
        <w:bidi w:val="0"/>
        <w:spacing w:line="360" w:lineRule="auto"/>
        <w:ind w:left="420" w:leftChars="0" w:right="552" w:firstLine="420" w:firstLineChars="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w:t>
      </w:r>
      <w:r>
        <w:rPr>
          <w:rFonts w:hint="eastAsia" w:ascii="宋体" w:hAnsi="宋体" w:eastAsia="宋体" w:cs="宋体"/>
          <w:color w:val="auto"/>
          <w:spacing w:val="-3"/>
          <w:sz w:val="28"/>
          <w:szCs w:val="28"/>
          <w:highlight w:val="none"/>
        </w:rPr>
        <w:t>应</w:t>
      </w:r>
      <w:r>
        <w:rPr>
          <w:rFonts w:hint="eastAsia" w:ascii="宋体" w:hAnsi="宋体" w:eastAsia="宋体" w:cs="宋体"/>
          <w:color w:val="auto"/>
          <w:sz w:val="28"/>
          <w:szCs w:val="28"/>
          <w:highlight w:val="none"/>
        </w:rPr>
        <w:t>商：</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w:t>
      </w:r>
      <w:r>
        <w:rPr>
          <w:rFonts w:hint="eastAsia" w:ascii="宋体" w:hAnsi="宋体" w:eastAsia="宋体" w:cs="宋体"/>
          <w:color w:val="auto"/>
          <w:spacing w:val="-3"/>
          <w:sz w:val="28"/>
          <w:szCs w:val="28"/>
          <w:highlight w:val="none"/>
        </w:rPr>
        <w:t>电</w:t>
      </w:r>
      <w:r>
        <w:rPr>
          <w:rFonts w:hint="eastAsia" w:ascii="宋体" w:hAnsi="宋体" w:eastAsia="宋体" w:cs="宋体"/>
          <w:color w:val="auto"/>
          <w:sz w:val="28"/>
          <w:szCs w:val="28"/>
          <w:highlight w:val="none"/>
        </w:rPr>
        <w:t>子签</w:t>
      </w:r>
      <w:r>
        <w:rPr>
          <w:rFonts w:hint="eastAsia" w:ascii="宋体" w:hAnsi="宋体" w:eastAsia="宋体" w:cs="宋体"/>
          <w:color w:val="auto"/>
          <w:spacing w:val="-3"/>
          <w:sz w:val="28"/>
          <w:szCs w:val="28"/>
          <w:highlight w:val="none"/>
        </w:rPr>
        <w:t>章</w:t>
      </w:r>
      <w:r>
        <w:rPr>
          <w:rFonts w:hint="eastAsia" w:ascii="宋体" w:hAnsi="宋体" w:eastAsia="宋体" w:cs="宋体"/>
          <w:color w:val="auto"/>
          <w:sz w:val="28"/>
          <w:szCs w:val="28"/>
          <w:highlight w:val="none"/>
        </w:rPr>
        <w:t>）</w:t>
      </w:r>
    </w:p>
    <w:p w14:paraId="7D17AA37">
      <w:pPr>
        <w:pStyle w:val="8"/>
        <w:pageBreakBefore w:val="0"/>
        <w:tabs>
          <w:tab w:val="left" w:pos="8139"/>
        </w:tabs>
        <w:kinsoku w:val="0"/>
        <w:wordWrap/>
        <w:overflowPunct w:val="0"/>
        <w:topLinePunct w:val="0"/>
        <w:bidi w:val="0"/>
        <w:spacing w:before="183" w:line="360" w:lineRule="auto"/>
        <w:ind w:left="420" w:leftChars="0" w:firstLine="42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w:t>
      </w:r>
      <w:r>
        <w:rPr>
          <w:rFonts w:hint="eastAsia" w:ascii="宋体" w:hAnsi="宋体" w:eastAsia="宋体" w:cs="宋体"/>
          <w:color w:val="auto"/>
          <w:spacing w:val="-3"/>
          <w:sz w:val="28"/>
          <w:szCs w:val="28"/>
          <w:highlight w:val="none"/>
        </w:rPr>
        <w:t>定</w:t>
      </w:r>
      <w:r>
        <w:rPr>
          <w:rFonts w:hint="eastAsia" w:ascii="宋体" w:hAnsi="宋体" w:eastAsia="宋体" w:cs="宋体"/>
          <w:color w:val="auto"/>
          <w:sz w:val="28"/>
          <w:szCs w:val="28"/>
          <w:highlight w:val="none"/>
        </w:rPr>
        <w:t>代表</w:t>
      </w:r>
      <w:r>
        <w:rPr>
          <w:rFonts w:hint="eastAsia" w:ascii="宋体" w:hAnsi="宋体" w:eastAsia="宋体" w:cs="宋体"/>
          <w:color w:val="auto"/>
          <w:spacing w:val="-3"/>
          <w:sz w:val="28"/>
          <w:szCs w:val="28"/>
          <w:highlight w:val="none"/>
        </w:rPr>
        <w:t>人</w:t>
      </w:r>
      <w:r>
        <w:rPr>
          <w:rFonts w:hint="eastAsia" w:ascii="宋体" w:hAnsi="宋体" w:eastAsia="宋体" w:cs="宋体"/>
          <w:color w:val="auto"/>
          <w:sz w:val="28"/>
          <w:szCs w:val="28"/>
          <w:highlight w:val="none"/>
        </w:rPr>
        <w:t>或其</w:t>
      </w:r>
      <w:r>
        <w:rPr>
          <w:rFonts w:hint="eastAsia" w:ascii="宋体" w:hAnsi="宋体" w:eastAsia="宋体" w:cs="宋体"/>
          <w:color w:val="auto"/>
          <w:spacing w:val="-3"/>
          <w:sz w:val="28"/>
          <w:szCs w:val="28"/>
          <w:highlight w:val="none"/>
        </w:rPr>
        <w:t>委</w:t>
      </w:r>
      <w:r>
        <w:rPr>
          <w:rFonts w:hint="eastAsia" w:ascii="宋体" w:hAnsi="宋体" w:eastAsia="宋体" w:cs="宋体"/>
          <w:color w:val="auto"/>
          <w:sz w:val="28"/>
          <w:szCs w:val="28"/>
          <w:highlight w:val="none"/>
        </w:rPr>
        <w:t>托代</w:t>
      </w:r>
      <w:r>
        <w:rPr>
          <w:rFonts w:hint="eastAsia" w:ascii="宋体" w:hAnsi="宋体" w:eastAsia="宋体" w:cs="宋体"/>
          <w:color w:val="auto"/>
          <w:spacing w:val="-3"/>
          <w:sz w:val="28"/>
          <w:szCs w:val="28"/>
          <w:highlight w:val="none"/>
        </w:rPr>
        <w:t>理</w:t>
      </w:r>
      <w:r>
        <w:rPr>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pacing w:val="-3"/>
          <w:sz w:val="28"/>
          <w:szCs w:val="28"/>
          <w:highlight w:val="none"/>
        </w:rPr>
        <w:t>电</w:t>
      </w:r>
      <w:r>
        <w:rPr>
          <w:rFonts w:hint="eastAsia" w:ascii="宋体" w:hAnsi="宋体" w:eastAsia="宋体" w:cs="宋体"/>
          <w:color w:val="auto"/>
          <w:sz w:val="28"/>
          <w:szCs w:val="28"/>
          <w:highlight w:val="none"/>
        </w:rPr>
        <w:t>子签</w:t>
      </w:r>
      <w:r>
        <w:rPr>
          <w:rFonts w:hint="eastAsia" w:ascii="宋体" w:hAnsi="宋体" w:eastAsia="宋体" w:cs="宋体"/>
          <w:color w:val="auto"/>
          <w:spacing w:val="-3"/>
          <w:sz w:val="28"/>
          <w:szCs w:val="28"/>
          <w:highlight w:val="none"/>
        </w:rPr>
        <w:t>章或签字</w:t>
      </w:r>
      <w:r>
        <w:rPr>
          <w:rFonts w:hint="eastAsia" w:ascii="宋体" w:hAnsi="宋体" w:eastAsia="宋体" w:cs="宋体"/>
          <w:color w:val="auto"/>
          <w:sz w:val="28"/>
          <w:szCs w:val="28"/>
          <w:highlight w:val="none"/>
        </w:rPr>
        <w:t>）</w:t>
      </w:r>
    </w:p>
    <w:p w14:paraId="1D47A154">
      <w:pPr>
        <w:pStyle w:val="8"/>
        <w:pageBreakBefore w:val="0"/>
        <w:tabs>
          <w:tab w:val="left" w:pos="1120"/>
          <w:tab w:val="left" w:pos="2520"/>
          <w:tab w:val="left" w:pos="3919"/>
        </w:tabs>
        <w:kinsoku w:val="0"/>
        <w:wordWrap/>
        <w:overflowPunct w:val="0"/>
        <w:topLinePunct w:val="0"/>
        <w:bidi w:val="0"/>
        <w:spacing w:before="189"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u w:val="single"/>
          <w:lang w:val="en-US" w:eastAsia="zh-CN"/>
        </w:rPr>
        <w:t xml:space="preserve">         </w:t>
      </w:r>
      <w:r>
        <w:rPr>
          <w:rFonts w:hint="eastAsia" w:ascii="宋体" w:hAnsi="宋体" w:eastAsia="宋体" w:cs="宋体"/>
          <w:color w:val="auto"/>
          <w:spacing w:val="-3"/>
          <w:sz w:val="28"/>
          <w:szCs w:val="28"/>
          <w:highlight w:val="none"/>
        </w:rPr>
        <w:t>年</w:t>
      </w:r>
      <w:r>
        <w:rPr>
          <w:rFonts w:hint="eastAsia" w:ascii="宋体" w:hAnsi="宋体" w:eastAsia="宋体" w:cs="宋体"/>
          <w:color w:val="auto"/>
          <w:spacing w:val="-3"/>
          <w:sz w:val="28"/>
          <w:szCs w:val="28"/>
          <w:highlight w:val="none"/>
          <w:u w:val="single"/>
        </w:rPr>
        <w:t xml:space="preserve"> </w:t>
      </w:r>
      <w:r>
        <w:rPr>
          <w:rFonts w:hint="eastAsia" w:ascii="宋体" w:hAnsi="宋体" w:eastAsia="宋体" w:cs="宋体"/>
          <w:color w:val="auto"/>
          <w:spacing w:val="-3"/>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p>
    <w:p w14:paraId="043D7AB3">
      <w:pPr>
        <w:pStyle w:val="8"/>
        <w:pageBreakBefore w:val="0"/>
        <w:tabs>
          <w:tab w:val="left" w:pos="1120"/>
          <w:tab w:val="left" w:pos="2520"/>
          <w:tab w:val="left" w:pos="3919"/>
        </w:tabs>
        <w:kinsoku w:val="0"/>
        <w:wordWrap/>
        <w:overflowPunct w:val="0"/>
        <w:topLinePunct w:val="0"/>
        <w:bidi w:val="0"/>
        <w:spacing w:before="189" w:line="360" w:lineRule="auto"/>
        <w:jc w:val="center"/>
        <w:textAlignment w:val="auto"/>
        <w:rPr>
          <w:rFonts w:hint="eastAsia" w:ascii="宋体" w:hAnsi="宋体" w:eastAsia="宋体" w:cs="宋体"/>
          <w:color w:val="auto"/>
          <w:sz w:val="28"/>
          <w:szCs w:val="28"/>
          <w:highlight w:val="none"/>
        </w:rPr>
        <w:sectPr>
          <w:footerReference r:id="rId5" w:type="default"/>
          <w:pgSz w:w="12240" w:h="15840"/>
          <w:pgMar w:top="1440" w:right="1440" w:bottom="1440" w:left="1440" w:header="828" w:footer="1111" w:gutter="0"/>
          <w:lnNumType w:countBy="0" w:distance="360"/>
          <w:pgNumType w:fmt="decimal" w:start="1"/>
          <w:cols w:space="0" w:num="1"/>
          <w:rtlGutter w:val="0"/>
          <w:docGrid w:linePitch="0" w:charSpace="0"/>
        </w:sectPr>
      </w:pPr>
    </w:p>
    <w:p w14:paraId="1FB7D3FB">
      <w:pPr>
        <w:pStyle w:val="2"/>
        <w:spacing w:before="240" w:after="240" w:line="240" w:lineRule="auto"/>
        <w:jc w:val="center"/>
        <w:rPr>
          <w:rFonts w:hint="eastAsia" w:ascii="宋体" w:hAnsi="宋体" w:eastAsia="宋体" w:cs="宋体"/>
          <w:color w:val="auto"/>
          <w:sz w:val="44"/>
          <w:highlight w:val="none"/>
        </w:rPr>
      </w:pPr>
      <w:bookmarkStart w:id="564" w:name="_Toc1765"/>
      <w:bookmarkStart w:id="565" w:name="_Toc31712"/>
      <w:bookmarkStart w:id="566" w:name="_Toc13688"/>
      <w:bookmarkStart w:id="567" w:name="_Toc13373"/>
      <w:bookmarkStart w:id="568" w:name="_Toc16683"/>
      <w:bookmarkStart w:id="569" w:name="_Toc24622"/>
      <w:bookmarkStart w:id="570" w:name="_Toc3439"/>
      <w:bookmarkStart w:id="571" w:name="_Toc31498"/>
      <w:bookmarkStart w:id="572" w:name="_Toc17623"/>
      <w:bookmarkStart w:id="573" w:name="_Toc26422"/>
      <w:bookmarkStart w:id="574" w:name="_Toc26294"/>
      <w:bookmarkStart w:id="575" w:name="_Toc7249"/>
      <w:bookmarkStart w:id="576" w:name="_Toc27449"/>
      <w:bookmarkStart w:id="577" w:name="_Toc15546"/>
      <w:bookmarkStart w:id="578" w:name="_Toc12484"/>
      <w:bookmarkStart w:id="579" w:name="_Toc26875"/>
      <w:bookmarkStart w:id="580" w:name="_Toc27050"/>
      <w:bookmarkStart w:id="581" w:name="_Toc21778"/>
      <w:bookmarkStart w:id="582" w:name="_Toc15029"/>
      <w:bookmarkStart w:id="583" w:name="_Toc18834"/>
      <w:bookmarkStart w:id="584" w:name="_Toc16730"/>
      <w:r>
        <w:rPr>
          <w:rFonts w:hint="eastAsia" w:ascii="宋体" w:hAnsi="宋体" w:eastAsia="宋体" w:cs="宋体"/>
          <w:color w:val="auto"/>
          <w:sz w:val="44"/>
          <w:highlight w:val="none"/>
        </w:rPr>
        <w:t>目  录</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3630E7EA">
      <w:pPr>
        <w:pStyle w:val="3"/>
        <w:jc w:val="center"/>
        <w:rPr>
          <w:rFonts w:hint="eastAsia" w:ascii="宋体" w:hAnsi="宋体" w:eastAsia="宋体" w:cs="宋体"/>
          <w:color w:val="auto"/>
          <w:sz w:val="24"/>
          <w:highlight w:val="none"/>
          <w:lang w:val="en-US" w:eastAsia="zh-CN"/>
        </w:rPr>
      </w:pPr>
      <w:bookmarkStart w:id="585" w:name="_Toc28186"/>
      <w:bookmarkStart w:id="586" w:name="_Toc9442"/>
      <w:bookmarkStart w:id="587" w:name="_Toc17349"/>
      <w:bookmarkStart w:id="588" w:name="_Toc23343"/>
      <w:bookmarkStart w:id="589" w:name="_Toc25120"/>
      <w:r>
        <w:rPr>
          <w:rFonts w:hint="eastAsia" w:ascii="宋体" w:hAnsi="宋体" w:eastAsia="宋体" w:cs="宋体"/>
          <w:color w:val="auto"/>
          <w:sz w:val="28"/>
          <w:szCs w:val="28"/>
          <w:highlight w:val="none"/>
          <w:lang w:val="en-US" w:eastAsia="zh-CN"/>
        </w:rPr>
        <w:t>格式自拟</w:t>
      </w:r>
      <w:r>
        <w:rPr>
          <w:rFonts w:hint="eastAsia" w:ascii="宋体" w:hAnsi="宋体" w:eastAsia="宋体" w:cs="宋体"/>
          <w:color w:val="auto"/>
          <w:sz w:val="24"/>
          <w:highlight w:val="none"/>
        </w:rPr>
        <w:br w:type="page"/>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磋商响应函</w:t>
      </w:r>
      <w:bookmarkEnd w:id="585"/>
      <w:bookmarkEnd w:id="586"/>
      <w:bookmarkEnd w:id="587"/>
      <w:bookmarkEnd w:id="588"/>
      <w:bookmarkEnd w:id="589"/>
    </w:p>
    <w:p w14:paraId="7367FD0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14:paraId="21B4E7B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根据贵方的</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（全名、职务）经正式授权并代表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提交下述文件，并对此负法律责任。</w:t>
      </w:r>
    </w:p>
    <w:p w14:paraId="3491207A">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bookmarkStart w:id="590" w:name="_Toc2481_WPSOffice_Level2"/>
      <w:bookmarkStart w:id="591" w:name="_Toc22890"/>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函；</w:t>
      </w:r>
      <w:bookmarkEnd w:id="590"/>
      <w:bookmarkEnd w:id="591"/>
    </w:p>
    <w:p w14:paraId="4D052B1E">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bookmarkStart w:id="592" w:name="_Toc8964_WPSOffice_Level2"/>
      <w:bookmarkStart w:id="593" w:name="_Toc15307"/>
      <w:r>
        <w:rPr>
          <w:rFonts w:hint="eastAsia" w:ascii="宋体" w:hAnsi="宋体" w:eastAsia="宋体" w:cs="宋体"/>
          <w:color w:val="auto"/>
          <w:sz w:val="21"/>
          <w:szCs w:val="21"/>
          <w:highlight w:val="none"/>
        </w:rPr>
        <w:t>磋商响应</w:t>
      </w:r>
      <w:r>
        <w:rPr>
          <w:rFonts w:hint="eastAsia" w:ascii="宋体" w:hAnsi="宋体" w:eastAsia="宋体" w:cs="宋体"/>
          <w:color w:val="auto"/>
          <w:sz w:val="21"/>
          <w:szCs w:val="21"/>
          <w:highlight w:val="none"/>
          <w:lang w:val="en-US" w:eastAsia="zh-CN"/>
        </w:rPr>
        <w:t>函</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rPr>
        <w:t>；</w:t>
      </w:r>
      <w:bookmarkEnd w:id="592"/>
      <w:bookmarkEnd w:id="593"/>
    </w:p>
    <w:p w14:paraId="0EEB662F">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bookmarkStart w:id="594" w:name="_Toc9845"/>
      <w:r>
        <w:rPr>
          <w:rFonts w:hint="eastAsia" w:ascii="宋体" w:hAnsi="宋体" w:eastAsia="宋体" w:cs="宋体"/>
          <w:color w:val="auto"/>
          <w:sz w:val="21"/>
          <w:szCs w:val="21"/>
          <w:highlight w:val="none"/>
        </w:rPr>
        <w:t>资格证明材料；</w:t>
      </w:r>
      <w:bookmarkEnd w:id="594"/>
      <w:bookmarkStart w:id="595" w:name="_Toc31144"/>
    </w:p>
    <w:p w14:paraId="14A8E6EE">
      <w:pPr>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提供的其他资料。</w:t>
      </w:r>
      <w:bookmarkEnd w:id="595"/>
    </w:p>
    <w:p w14:paraId="3FB21371">
      <w:pPr>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2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根据此函，签字代表宣布同意如下：</w:t>
      </w:r>
    </w:p>
    <w:p w14:paraId="52572AF6">
      <w:pPr>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报价表中规定的应提供和交付的项目，</w:t>
      </w:r>
      <w:r>
        <w:rPr>
          <w:rFonts w:hint="eastAsia" w:ascii="宋体" w:hAnsi="宋体" w:eastAsia="宋体" w:cs="宋体"/>
          <w:color w:val="auto"/>
          <w:sz w:val="21"/>
          <w:szCs w:val="21"/>
          <w:highlight w:val="none"/>
          <w:lang w:eastAsia="zh-CN"/>
        </w:rPr>
        <w:t>首次磋商</w:t>
      </w:r>
      <w:r>
        <w:rPr>
          <w:rFonts w:hint="eastAsia" w:ascii="宋体" w:hAnsi="宋体" w:eastAsia="宋体" w:cs="宋体"/>
          <w:color w:val="auto"/>
          <w:sz w:val="21"/>
          <w:szCs w:val="21"/>
          <w:highlight w:val="none"/>
        </w:rPr>
        <w:t>报价为大写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rPr>
        <w:t>）；质量要求：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DAB0CD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2、如果我们的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被接受，我们将按《中华人民共和国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的规定签订并严格履行合同中的责任和义务。</w:t>
      </w:r>
    </w:p>
    <w:p w14:paraId="42206E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3、我们详细审查了</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，包括修改文件以及全部参考资料和有关附件，我们完全理解并同意放弃对这方面有不明及误解的权力。</w:t>
      </w:r>
    </w:p>
    <w:p w14:paraId="784656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w:t>
      </w:r>
      <w:r>
        <w:rPr>
          <w:rFonts w:hint="eastAsia" w:ascii="宋体" w:hAnsi="宋体" w:eastAsia="宋体" w:cs="宋体"/>
          <w:color w:val="auto"/>
          <w:sz w:val="21"/>
          <w:szCs w:val="21"/>
          <w:highlight w:val="none"/>
          <w:lang w:eastAsia="zh-CN"/>
        </w:rPr>
        <w:t>项目磋商</w:t>
      </w:r>
      <w:r>
        <w:rPr>
          <w:rFonts w:hint="eastAsia" w:ascii="宋体" w:hAnsi="宋体" w:eastAsia="宋体" w:cs="宋体"/>
          <w:color w:val="auto"/>
          <w:sz w:val="21"/>
          <w:szCs w:val="21"/>
          <w:highlight w:val="none"/>
        </w:rPr>
        <w:t>有效期为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295A6D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5、如果在规定的开标时间后，我们在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有效期内撤回投标，同意</w:t>
      </w:r>
      <w:r>
        <w:rPr>
          <w:rFonts w:hint="eastAsia" w:ascii="宋体" w:hAnsi="宋体" w:eastAsia="宋体" w:cs="宋体"/>
          <w:color w:val="auto"/>
          <w:sz w:val="21"/>
          <w:szCs w:val="21"/>
          <w:highlight w:val="none"/>
          <w:lang w:eastAsia="zh-CN"/>
        </w:rPr>
        <w:t>承担相应责任</w:t>
      </w:r>
      <w:r>
        <w:rPr>
          <w:rFonts w:hint="eastAsia" w:ascii="宋体" w:hAnsi="宋体" w:eastAsia="宋体" w:cs="宋体"/>
          <w:color w:val="auto"/>
          <w:sz w:val="21"/>
          <w:szCs w:val="21"/>
          <w:highlight w:val="none"/>
        </w:rPr>
        <w:t>。</w:t>
      </w:r>
    </w:p>
    <w:p w14:paraId="396950C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6、根据相关规定，我方承诺，与采购人聘请的为此项目提供咨询服务的公司及任何附属机构均无关联，我方不是采购单位的附属机构。</w:t>
      </w:r>
    </w:p>
    <w:p w14:paraId="2979E81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7、我们同意提供贵方可能要求的与投标有关的一切数据或资料，完全理解贵方不一定接受最低价的投标或收到的任何投标。</w:t>
      </w:r>
    </w:p>
    <w:p w14:paraId="3ADDDB3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8、我们同意若我方中标将向代机构缴纳招标代理服务费。</w:t>
      </w:r>
    </w:p>
    <w:p w14:paraId="7CD1A78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有关的一切正式文书请寄：</w:t>
      </w:r>
    </w:p>
    <w:p w14:paraId="19548D62">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（电子签章）</w:t>
      </w:r>
    </w:p>
    <w:p w14:paraId="13BA6C8C">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lang w:val="en-US" w:eastAsia="zh-CN"/>
        </w:rPr>
        <w:t>或签字</w:t>
      </w:r>
      <w:r>
        <w:rPr>
          <w:rFonts w:hint="eastAsia" w:ascii="宋体" w:hAnsi="宋体" w:eastAsia="宋体" w:cs="宋体"/>
          <w:color w:val="auto"/>
          <w:sz w:val="21"/>
          <w:szCs w:val="21"/>
          <w:highlight w:val="none"/>
        </w:rPr>
        <w:t>）</w:t>
      </w:r>
    </w:p>
    <w:p w14:paraId="3D102E9F">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76080FEC">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436C6FFC">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0D67ED90">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70E8BE53">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lang w:val="en-US" w:eastAsia="zh-CN"/>
        </w:rPr>
        <w:t xml:space="preserve">                                </w:t>
      </w:r>
    </w:p>
    <w:p w14:paraId="6952E5CB">
      <w:pPr>
        <w:rPr>
          <w:rFonts w:hint="eastAsia" w:ascii="宋体" w:hAnsi="宋体" w:eastAsia="宋体" w:cs="宋体"/>
          <w:color w:val="auto"/>
          <w:highlight w:val="none"/>
        </w:rPr>
      </w:pPr>
      <w:bookmarkStart w:id="596" w:name="_Toc31554"/>
      <w:bookmarkStart w:id="597" w:name="_Toc14074"/>
      <w:bookmarkStart w:id="598" w:name="_Toc419109050"/>
      <w:bookmarkStart w:id="599" w:name="_Toc29858"/>
      <w:bookmarkStart w:id="600" w:name="_Toc1935"/>
      <w:bookmarkStart w:id="601" w:name="_Toc30100"/>
      <w:bookmarkStart w:id="602" w:name="_Toc533590167"/>
      <w:bookmarkStart w:id="603" w:name="_Toc14021"/>
      <w:bookmarkStart w:id="604" w:name="_Toc492883627"/>
      <w:bookmarkStart w:id="605" w:name="_Toc30939"/>
      <w:bookmarkStart w:id="606" w:name="_Toc419114459"/>
      <w:bookmarkStart w:id="607" w:name="_Toc2717"/>
      <w:bookmarkStart w:id="608" w:name="_Toc28545"/>
      <w:bookmarkStart w:id="609" w:name="_Toc13447"/>
      <w:bookmarkStart w:id="610" w:name="_Toc27347"/>
      <w:bookmarkStart w:id="611" w:name="_Toc31211"/>
      <w:bookmarkStart w:id="612" w:name="_Toc13630"/>
      <w:bookmarkStart w:id="613" w:name="_Toc18952"/>
      <w:bookmarkStart w:id="614" w:name="_Toc14555"/>
      <w:bookmarkStart w:id="615" w:name="_Toc26958"/>
      <w:bookmarkStart w:id="616" w:name="_Toc16299"/>
      <w:bookmarkStart w:id="617" w:name="_Toc16099"/>
      <w:bookmarkStart w:id="618" w:name="_Toc16298_WPSOffice_Level1"/>
      <w:r>
        <w:rPr>
          <w:rFonts w:hint="eastAsia" w:ascii="宋体" w:hAnsi="宋体" w:eastAsia="宋体" w:cs="宋体"/>
          <w:color w:val="auto"/>
          <w:highlight w:val="none"/>
        </w:rPr>
        <w:br w:type="page"/>
      </w:r>
    </w:p>
    <w:p w14:paraId="3DB8CAD4">
      <w:pPr>
        <w:pStyle w:val="3"/>
        <w:jc w:val="center"/>
        <w:rPr>
          <w:rFonts w:hint="eastAsia" w:ascii="宋体" w:hAnsi="宋体" w:eastAsia="宋体" w:cs="宋体"/>
          <w:color w:val="auto"/>
          <w:highlight w:val="none"/>
          <w:lang w:val="en-US" w:eastAsia="zh-CN"/>
        </w:rPr>
      </w:pPr>
      <w:bookmarkStart w:id="619" w:name="_Toc31176"/>
      <w:bookmarkStart w:id="620" w:name="_Toc5068"/>
      <w:bookmarkStart w:id="621" w:name="_Toc8017"/>
      <w:bookmarkStart w:id="622" w:name="_Toc24535"/>
      <w:bookmarkStart w:id="623" w:name="_Toc6665"/>
      <w:r>
        <w:rPr>
          <w:rFonts w:hint="eastAsia" w:ascii="宋体" w:hAnsi="宋体" w:eastAsia="宋体" w:cs="宋体"/>
          <w:color w:val="auto"/>
          <w:highlight w:val="none"/>
        </w:rPr>
        <w:t>二、</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hint="eastAsia" w:ascii="宋体" w:hAnsi="宋体" w:eastAsia="宋体" w:cs="宋体"/>
          <w:color w:val="auto"/>
          <w:highlight w:val="none"/>
          <w:lang w:val="en-US" w:eastAsia="zh-CN"/>
        </w:rPr>
        <w:t>磋商响应函附表</w:t>
      </w:r>
      <w:bookmarkEnd w:id="619"/>
      <w:bookmarkEnd w:id="620"/>
      <w:bookmarkEnd w:id="621"/>
      <w:bookmarkEnd w:id="622"/>
      <w:bookmarkEnd w:id="623"/>
    </w:p>
    <w:tbl>
      <w:tblPr>
        <w:tblStyle w:val="22"/>
        <w:tblpPr w:leftFromText="181" w:rightFromText="181" w:vertAnchor="text" w:horzAnchor="margin" w:tblpY="130"/>
        <w:tblOverlap w:val="never"/>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6621"/>
      </w:tblGrid>
      <w:tr w14:paraId="7302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2198" w:type="dxa"/>
            <w:noWrap w:val="0"/>
            <w:vAlign w:val="center"/>
          </w:tcPr>
          <w:p w14:paraId="2AF0D02F">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21" w:type="dxa"/>
            <w:noWrap w:val="0"/>
            <w:vAlign w:val="center"/>
          </w:tcPr>
          <w:p w14:paraId="0C7D0874">
            <w:pPr>
              <w:spacing w:line="480" w:lineRule="auto"/>
              <w:jc w:val="center"/>
              <w:rPr>
                <w:rFonts w:hint="eastAsia" w:ascii="宋体" w:hAnsi="宋体" w:eastAsia="宋体" w:cs="宋体"/>
                <w:color w:val="auto"/>
                <w:sz w:val="21"/>
                <w:szCs w:val="21"/>
                <w:highlight w:val="none"/>
                <w:lang w:eastAsia="zh-CN"/>
              </w:rPr>
            </w:pPr>
          </w:p>
        </w:tc>
      </w:tr>
      <w:tr w14:paraId="5AD7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2198" w:type="dxa"/>
            <w:noWrap w:val="0"/>
            <w:vAlign w:val="center"/>
          </w:tcPr>
          <w:p w14:paraId="77B97C16">
            <w:pPr>
              <w:spacing w:line="48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6621" w:type="dxa"/>
            <w:noWrap w:val="0"/>
            <w:vAlign w:val="center"/>
          </w:tcPr>
          <w:p w14:paraId="5C602BF6">
            <w:pPr>
              <w:spacing w:line="480" w:lineRule="auto"/>
              <w:jc w:val="center"/>
              <w:rPr>
                <w:rFonts w:hint="eastAsia" w:ascii="宋体" w:hAnsi="宋体" w:eastAsia="宋体" w:cs="宋体"/>
                <w:color w:val="auto"/>
                <w:sz w:val="21"/>
                <w:szCs w:val="21"/>
                <w:highlight w:val="none"/>
              </w:rPr>
            </w:pPr>
          </w:p>
        </w:tc>
      </w:tr>
      <w:tr w14:paraId="02EA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198" w:type="dxa"/>
            <w:vMerge w:val="restart"/>
            <w:noWrap w:val="0"/>
            <w:vAlign w:val="center"/>
          </w:tcPr>
          <w:p w14:paraId="3ED8D2E6">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（首次报价）</w:t>
            </w:r>
          </w:p>
        </w:tc>
        <w:tc>
          <w:tcPr>
            <w:tcW w:w="6621" w:type="dxa"/>
            <w:noWrap w:val="0"/>
            <w:vAlign w:val="center"/>
          </w:tcPr>
          <w:p w14:paraId="344C0649">
            <w:pPr>
              <w:spacing w:line="48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tc>
      </w:tr>
      <w:tr w14:paraId="49D9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198" w:type="dxa"/>
            <w:vMerge w:val="continue"/>
            <w:noWrap w:val="0"/>
            <w:vAlign w:val="center"/>
          </w:tcPr>
          <w:p w14:paraId="5571AB33">
            <w:pPr>
              <w:spacing w:line="480" w:lineRule="auto"/>
              <w:jc w:val="center"/>
              <w:rPr>
                <w:rFonts w:hint="eastAsia" w:ascii="宋体" w:hAnsi="宋体" w:eastAsia="宋体" w:cs="宋体"/>
                <w:color w:val="auto"/>
                <w:sz w:val="21"/>
                <w:szCs w:val="21"/>
                <w:highlight w:val="none"/>
              </w:rPr>
            </w:pPr>
          </w:p>
        </w:tc>
        <w:tc>
          <w:tcPr>
            <w:tcW w:w="6621" w:type="dxa"/>
            <w:noWrap w:val="0"/>
            <w:vAlign w:val="center"/>
          </w:tcPr>
          <w:p w14:paraId="2E9043E4">
            <w:pPr>
              <w:spacing w:line="48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lang w:val="en-US" w:eastAsia="zh-CN"/>
              </w:rPr>
              <w:t xml:space="preserve">       元</w:t>
            </w:r>
          </w:p>
        </w:tc>
      </w:tr>
      <w:tr w14:paraId="75A4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2198" w:type="dxa"/>
            <w:noWrap w:val="0"/>
            <w:vAlign w:val="center"/>
          </w:tcPr>
          <w:p w14:paraId="33943B8F">
            <w:pPr>
              <w:spacing w:line="480"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服务期限</w:t>
            </w:r>
          </w:p>
        </w:tc>
        <w:tc>
          <w:tcPr>
            <w:tcW w:w="6621" w:type="dxa"/>
            <w:noWrap w:val="0"/>
            <w:vAlign w:val="center"/>
          </w:tcPr>
          <w:p w14:paraId="1D87E03D">
            <w:pPr>
              <w:spacing w:line="480" w:lineRule="auto"/>
              <w:jc w:val="center"/>
              <w:rPr>
                <w:rFonts w:hint="eastAsia" w:ascii="宋体" w:hAnsi="宋体" w:eastAsia="宋体" w:cs="宋体"/>
                <w:color w:val="auto"/>
                <w:kern w:val="0"/>
                <w:sz w:val="21"/>
                <w:szCs w:val="21"/>
                <w:highlight w:val="none"/>
                <w:lang w:val="en-US" w:eastAsia="zh-CN"/>
              </w:rPr>
            </w:pPr>
          </w:p>
        </w:tc>
      </w:tr>
      <w:tr w14:paraId="6111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2198" w:type="dxa"/>
            <w:noWrap w:val="0"/>
            <w:vAlign w:val="center"/>
          </w:tcPr>
          <w:p w14:paraId="30280A1D">
            <w:pPr>
              <w:spacing w:line="48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范围</w:t>
            </w:r>
          </w:p>
        </w:tc>
        <w:tc>
          <w:tcPr>
            <w:tcW w:w="6621" w:type="dxa"/>
            <w:noWrap w:val="0"/>
            <w:vAlign w:val="center"/>
          </w:tcPr>
          <w:p w14:paraId="4852E99B">
            <w:pPr>
              <w:spacing w:line="480" w:lineRule="auto"/>
              <w:jc w:val="both"/>
              <w:rPr>
                <w:rFonts w:hint="eastAsia" w:ascii="宋体" w:hAnsi="宋体" w:eastAsia="宋体" w:cs="宋体"/>
                <w:color w:val="auto"/>
                <w:kern w:val="0"/>
                <w:sz w:val="21"/>
                <w:szCs w:val="21"/>
                <w:highlight w:val="none"/>
                <w:lang w:eastAsia="zh-CN"/>
              </w:rPr>
            </w:pPr>
          </w:p>
        </w:tc>
      </w:tr>
      <w:tr w14:paraId="2A0A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198" w:type="dxa"/>
            <w:noWrap w:val="0"/>
            <w:vAlign w:val="center"/>
          </w:tcPr>
          <w:p w14:paraId="3B97FF8C">
            <w:pPr>
              <w:spacing w:line="480" w:lineRule="auto"/>
              <w:jc w:val="center"/>
              <w:rPr>
                <w:rFonts w:hint="eastAsia" w:ascii="宋体" w:hAnsi="宋体" w:eastAsia="宋体" w:cs="宋体"/>
                <w:color w:val="auto"/>
                <w:w w:val="90"/>
                <w:sz w:val="21"/>
                <w:szCs w:val="21"/>
                <w:highlight w:val="none"/>
              </w:rPr>
            </w:pPr>
            <w:r>
              <w:rPr>
                <w:rFonts w:hint="eastAsia" w:ascii="宋体" w:hAnsi="宋体" w:eastAsia="宋体" w:cs="宋体"/>
                <w:color w:val="auto"/>
                <w:sz w:val="21"/>
                <w:szCs w:val="21"/>
                <w:highlight w:val="none"/>
              </w:rPr>
              <w:t>质量要求</w:t>
            </w:r>
          </w:p>
        </w:tc>
        <w:tc>
          <w:tcPr>
            <w:tcW w:w="6621" w:type="dxa"/>
            <w:noWrap w:val="0"/>
            <w:vAlign w:val="center"/>
          </w:tcPr>
          <w:p w14:paraId="46FD2B3B">
            <w:pPr>
              <w:spacing w:line="480" w:lineRule="auto"/>
              <w:jc w:val="center"/>
              <w:rPr>
                <w:rFonts w:hint="eastAsia" w:ascii="宋体" w:hAnsi="宋体" w:eastAsia="宋体" w:cs="宋体"/>
                <w:color w:val="auto"/>
                <w:sz w:val="21"/>
                <w:szCs w:val="21"/>
                <w:highlight w:val="none"/>
              </w:rPr>
            </w:pPr>
          </w:p>
        </w:tc>
      </w:tr>
      <w:tr w14:paraId="22ED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198" w:type="dxa"/>
            <w:noWrap w:val="0"/>
            <w:vAlign w:val="center"/>
          </w:tcPr>
          <w:p w14:paraId="091A1EDF">
            <w:pPr>
              <w:spacing w:line="48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磋商有效期</w:t>
            </w:r>
          </w:p>
        </w:tc>
        <w:tc>
          <w:tcPr>
            <w:tcW w:w="6621" w:type="dxa"/>
            <w:noWrap w:val="0"/>
            <w:vAlign w:val="center"/>
          </w:tcPr>
          <w:p w14:paraId="5EDCAB63">
            <w:pPr>
              <w:spacing w:line="480" w:lineRule="auto"/>
              <w:jc w:val="center"/>
              <w:rPr>
                <w:rFonts w:hint="eastAsia" w:ascii="宋体" w:hAnsi="宋体" w:eastAsia="宋体" w:cs="宋体"/>
                <w:color w:val="auto"/>
                <w:sz w:val="21"/>
                <w:szCs w:val="21"/>
                <w:highlight w:val="none"/>
                <w:lang w:val="en-US" w:eastAsia="zh-CN"/>
              </w:rPr>
            </w:pPr>
          </w:p>
        </w:tc>
      </w:tr>
      <w:tr w14:paraId="21DC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2198" w:type="dxa"/>
            <w:noWrap w:val="0"/>
            <w:vAlign w:val="center"/>
          </w:tcPr>
          <w:p w14:paraId="2C90F950">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需要说明的问题</w:t>
            </w:r>
          </w:p>
        </w:tc>
        <w:tc>
          <w:tcPr>
            <w:tcW w:w="6621" w:type="dxa"/>
            <w:noWrap w:val="0"/>
            <w:vAlign w:val="center"/>
          </w:tcPr>
          <w:p w14:paraId="516B9058">
            <w:pPr>
              <w:spacing w:line="480" w:lineRule="auto"/>
              <w:jc w:val="center"/>
              <w:rPr>
                <w:rFonts w:hint="eastAsia" w:ascii="宋体" w:hAnsi="宋体" w:eastAsia="宋体" w:cs="宋体"/>
                <w:color w:val="auto"/>
                <w:sz w:val="21"/>
                <w:szCs w:val="21"/>
                <w:highlight w:val="none"/>
              </w:rPr>
            </w:pPr>
          </w:p>
        </w:tc>
      </w:tr>
    </w:tbl>
    <w:p w14:paraId="6F588F95">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p>
    <w:p w14:paraId="6EDC05B6">
      <w:pPr>
        <w:pStyle w:val="8"/>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p>
    <w:p w14:paraId="6190C02F">
      <w:pPr>
        <w:pStyle w:val="8"/>
        <w:pageBreakBefore w:val="0"/>
        <w:tabs>
          <w:tab w:val="left" w:pos="8622"/>
        </w:tabs>
        <w:kinsoku w:val="0"/>
        <w:wordWrap/>
        <w:overflowPunct w:val="0"/>
        <w:topLinePunct w:val="0"/>
        <w:bidi w:val="0"/>
        <w:spacing w:line="360" w:lineRule="auto"/>
        <w:ind w:left="294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w:t>
      </w:r>
    </w:p>
    <w:p w14:paraId="7E43DF9C">
      <w:pPr>
        <w:pStyle w:val="8"/>
        <w:pageBreakBefore w:val="0"/>
        <w:tabs>
          <w:tab w:val="left" w:pos="8838"/>
        </w:tabs>
        <w:kinsoku w:val="0"/>
        <w:wordWrap/>
        <w:overflowPunct w:val="0"/>
        <w:topLinePunct w:val="0"/>
        <w:bidi w:val="0"/>
        <w:spacing w:before="180" w:line="360" w:lineRule="auto"/>
        <w:ind w:firstLine="1980" w:firstLineChars="9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（电子签章或签字）</w:t>
      </w:r>
    </w:p>
    <w:p w14:paraId="43E8B6F0">
      <w:pPr>
        <w:pStyle w:val="8"/>
        <w:pageBreakBefore w:val="0"/>
        <w:kinsoku w:val="0"/>
        <w:wordWrap/>
        <w:overflowPunct w:val="0"/>
        <w:topLinePunct w:val="0"/>
        <w:bidi w:val="0"/>
        <w:spacing w:before="10" w:line="360" w:lineRule="auto"/>
        <w:ind w:left="840" w:leftChars="0" w:firstLine="420" w:firstLineChars="0"/>
        <w:textAlignment w:val="auto"/>
        <w:rPr>
          <w:rFonts w:hint="eastAsia" w:ascii="宋体" w:hAnsi="宋体" w:eastAsia="宋体" w:cs="宋体"/>
          <w:color w:val="auto"/>
          <w:sz w:val="22"/>
          <w:szCs w:val="22"/>
          <w:highlight w:val="none"/>
        </w:rPr>
      </w:pPr>
    </w:p>
    <w:p w14:paraId="5FC204F5">
      <w:pPr>
        <w:wordWrap w:val="0"/>
        <w:ind w:left="840" w:leftChars="0" w:firstLine="420" w:firstLineChars="0"/>
        <w:jc w:val="center"/>
        <w:rPr>
          <w:rFonts w:hint="eastAsia" w:ascii="宋体" w:hAnsi="宋体" w:eastAsia="宋体" w:cs="宋体"/>
          <w:color w:val="auto"/>
          <w:szCs w:val="21"/>
          <w:highlight w:val="none"/>
        </w:rPr>
      </w:pPr>
      <w:r>
        <w:rPr>
          <w:rFonts w:hint="eastAsia" w:ascii="宋体" w:hAnsi="宋体" w:eastAsia="宋体" w:cs="宋体"/>
          <w:color w:val="auto"/>
          <w:w w:val="99"/>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日</w:t>
      </w:r>
      <w:r>
        <w:rPr>
          <w:rFonts w:hint="eastAsia" w:ascii="宋体" w:hAnsi="宋体" w:eastAsia="宋体" w:cs="宋体"/>
          <w:color w:val="auto"/>
          <w:szCs w:val="21"/>
          <w:highlight w:val="none"/>
        </w:rPr>
        <w:t xml:space="preserve">    </w:t>
      </w:r>
    </w:p>
    <w:p w14:paraId="00623A0C">
      <w:pPr>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ab/>
      </w:r>
    </w:p>
    <w:p w14:paraId="36048683">
      <w:pPr>
        <w:jc w:val="right"/>
        <w:rPr>
          <w:rFonts w:hint="eastAsia" w:ascii="宋体" w:hAnsi="宋体" w:eastAsia="宋体" w:cs="宋体"/>
          <w:color w:val="auto"/>
          <w:szCs w:val="21"/>
          <w:highlight w:val="none"/>
        </w:rPr>
      </w:pPr>
    </w:p>
    <w:p w14:paraId="5F8E81B0">
      <w:pPr>
        <w:rPr>
          <w:rFonts w:hint="eastAsia" w:ascii="宋体" w:hAnsi="宋体" w:eastAsia="宋体" w:cs="宋体"/>
          <w:color w:val="auto"/>
          <w:sz w:val="24"/>
          <w:highlight w:val="none"/>
        </w:rPr>
      </w:pPr>
    </w:p>
    <w:p w14:paraId="73B4C8DC">
      <w:pPr>
        <w:pStyle w:val="3"/>
        <w:jc w:val="center"/>
        <w:rPr>
          <w:rFonts w:hint="eastAsia" w:ascii="宋体" w:hAnsi="宋体" w:eastAsia="宋体" w:cs="宋体"/>
          <w:color w:val="auto"/>
          <w:highlight w:val="none"/>
        </w:rPr>
      </w:pPr>
      <w:bookmarkStart w:id="624" w:name="_Toc419114463"/>
      <w:bookmarkStart w:id="625" w:name="_Toc11734"/>
      <w:bookmarkStart w:id="626" w:name="_Toc492883631"/>
      <w:bookmarkStart w:id="627" w:name="_Toc27798"/>
      <w:bookmarkStart w:id="628" w:name="_Toc419109054"/>
      <w:bookmarkStart w:id="629" w:name="_Toc4417"/>
      <w:bookmarkStart w:id="630" w:name="_Toc23555"/>
      <w:bookmarkStart w:id="631" w:name="_Toc15025"/>
      <w:bookmarkStart w:id="632" w:name="_Toc16772"/>
      <w:bookmarkStart w:id="633" w:name="_Toc533590168"/>
      <w:bookmarkStart w:id="634" w:name="_Toc9515"/>
      <w:bookmarkStart w:id="635" w:name="_Toc946"/>
      <w:bookmarkStart w:id="636" w:name="_Toc13976"/>
      <w:bookmarkStart w:id="637" w:name="_Toc26720"/>
      <w:bookmarkStart w:id="638" w:name="_Toc18878"/>
      <w:bookmarkStart w:id="639" w:name="_Toc26938_WPSOffice_Level1"/>
      <w:bookmarkStart w:id="640" w:name="_Toc19713"/>
      <w:bookmarkStart w:id="641" w:name="_Toc7223"/>
      <w:bookmarkStart w:id="642" w:name="_Toc16399"/>
      <w:bookmarkStart w:id="643" w:name="_Toc12490"/>
      <w:bookmarkStart w:id="644" w:name="_Toc28829"/>
      <w:bookmarkStart w:id="645" w:name="_Toc10590"/>
      <w:bookmarkStart w:id="646" w:name="_Toc18089"/>
      <w:bookmarkStart w:id="647" w:name="_Toc27921"/>
      <w:bookmarkStart w:id="648" w:name="_Toc13865"/>
      <w:bookmarkStart w:id="649" w:name="_Toc18537"/>
      <w:bookmarkStart w:id="650" w:name="_Toc11727"/>
      <w:bookmarkStart w:id="651" w:name="_Toc32641"/>
      <w:bookmarkStart w:id="652" w:name="_Toc13157"/>
      <w:bookmarkStart w:id="653" w:name="_Toc419114460"/>
      <w:bookmarkStart w:id="654" w:name="_Toc419109051"/>
      <w:bookmarkStart w:id="655" w:name="_Toc28080"/>
      <w:bookmarkStart w:id="656" w:name="_Toc492883628"/>
      <w:r>
        <w:rPr>
          <w:rFonts w:hint="eastAsia" w:ascii="宋体" w:hAnsi="宋体" w:eastAsia="宋体" w:cs="宋体"/>
          <w:color w:val="auto"/>
          <w:highlight w:val="none"/>
        </w:rPr>
        <w:t>三、法定代表人</w:t>
      </w:r>
      <w:bookmarkEnd w:id="624"/>
      <w:bookmarkEnd w:id="625"/>
      <w:bookmarkEnd w:id="626"/>
      <w:bookmarkEnd w:id="627"/>
      <w:bookmarkEnd w:id="628"/>
      <w:r>
        <w:rPr>
          <w:rFonts w:hint="eastAsia" w:ascii="宋体" w:hAnsi="宋体" w:eastAsia="宋体" w:cs="宋体"/>
          <w:color w:val="auto"/>
          <w:highlight w:val="none"/>
        </w:rPr>
        <w:t>身份证明及授权委托书</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3BF83409">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p>
    <w:p w14:paraId="24090E26">
      <w:pPr>
        <w:jc w:val="center"/>
        <w:rPr>
          <w:rFonts w:hint="eastAsia" w:ascii="宋体" w:hAnsi="宋体" w:eastAsia="宋体" w:cs="宋体"/>
          <w:b/>
          <w:color w:val="auto"/>
          <w:sz w:val="21"/>
          <w:szCs w:val="21"/>
          <w:highlight w:val="none"/>
        </w:rPr>
      </w:pPr>
      <w:bookmarkStart w:id="657" w:name="_Toc11679_WPSOffice_Level2"/>
      <w:r>
        <w:rPr>
          <w:rFonts w:hint="eastAsia" w:ascii="宋体" w:hAnsi="宋体" w:eastAsia="宋体" w:cs="宋体"/>
          <w:b/>
          <w:color w:val="auto"/>
          <w:sz w:val="21"/>
          <w:szCs w:val="21"/>
          <w:highlight w:val="none"/>
        </w:rPr>
        <w:t>法定代表人身份证明</w:t>
      </w:r>
      <w:bookmarkEnd w:id="657"/>
    </w:p>
    <w:p w14:paraId="3586B261">
      <w:pPr>
        <w:rPr>
          <w:rFonts w:hint="eastAsia" w:ascii="宋体" w:hAnsi="宋体" w:eastAsia="宋体" w:cs="宋体"/>
          <w:color w:val="auto"/>
          <w:sz w:val="21"/>
          <w:szCs w:val="21"/>
          <w:highlight w:val="none"/>
        </w:rPr>
      </w:pPr>
    </w:p>
    <w:p w14:paraId="721C4EE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名称：______________</w:t>
      </w:r>
    </w:p>
    <w:p w14:paraId="68C58A52">
      <w:pPr>
        <w:rPr>
          <w:rFonts w:hint="eastAsia" w:ascii="宋体" w:hAnsi="宋体" w:eastAsia="宋体" w:cs="宋体"/>
          <w:color w:val="auto"/>
          <w:sz w:val="21"/>
          <w:szCs w:val="21"/>
          <w:highlight w:val="none"/>
        </w:rPr>
      </w:pPr>
    </w:p>
    <w:p w14:paraId="29C63107">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单位性质：________________</w:t>
      </w:r>
    </w:p>
    <w:p w14:paraId="7CCF730D">
      <w:pPr>
        <w:rPr>
          <w:rFonts w:hint="eastAsia" w:ascii="宋体" w:hAnsi="宋体" w:eastAsia="宋体" w:cs="宋体"/>
          <w:color w:val="auto"/>
          <w:sz w:val="21"/>
          <w:szCs w:val="21"/>
          <w:highlight w:val="none"/>
        </w:rPr>
      </w:pPr>
    </w:p>
    <w:p w14:paraId="4D6DB54D">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地址：____________________</w:t>
      </w:r>
    </w:p>
    <w:p w14:paraId="0EFF8405">
      <w:pPr>
        <w:rPr>
          <w:rFonts w:hint="eastAsia" w:ascii="宋体" w:hAnsi="宋体" w:eastAsia="宋体" w:cs="宋体"/>
          <w:color w:val="auto"/>
          <w:sz w:val="21"/>
          <w:szCs w:val="21"/>
          <w:highlight w:val="none"/>
        </w:rPr>
      </w:pPr>
    </w:p>
    <w:p w14:paraId="3887A2ED">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成立时间：______年__月__日</w:t>
      </w:r>
    </w:p>
    <w:p w14:paraId="660949F8">
      <w:pPr>
        <w:rPr>
          <w:rFonts w:hint="eastAsia" w:ascii="宋体" w:hAnsi="宋体" w:eastAsia="宋体" w:cs="宋体"/>
          <w:color w:val="auto"/>
          <w:sz w:val="21"/>
          <w:szCs w:val="21"/>
          <w:highlight w:val="none"/>
        </w:rPr>
      </w:pPr>
    </w:p>
    <w:p w14:paraId="502EBD07">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经营期限：________________</w:t>
      </w:r>
    </w:p>
    <w:p w14:paraId="0B0C9259">
      <w:pPr>
        <w:rPr>
          <w:rFonts w:hint="eastAsia" w:ascii="宋体" w:hAnsi="宋体" w:eastAsia="宋体" w:cs="宋体"/>
          <w:color w:val="auto"/>
          <w:sz w:val="21"/>
          <w:szCs w:val="21"/>
          <w:highlight w:val="none"/>
        </w:rPr>
      </w:pPr>
    </w:p>
    <w:p w14:paraId="0F2ADF28">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姓名：_________性别：_____年龄：______职务：________</w:t>
      </w:r>
    </w:p>
    <w:p w14:paraId="0C1234FB">
      <w:pPr>
        <w:rPr>
          <w:rFonts w:hint="eastAsia" w:ascii="宋体" w:hAnsi="宋体" w:eastAsia="宋体" w:cs="宋体"/>
          <w:color w:val="auto"/>
          <w:sz w:val="21"/>
          <w:szCs w:val="21"/>
          <w:highlight w:val="none"/>
        </w:rPr>
      </w:pPr>
    </w:p>
    <w:p w14:paraId="040DE66E">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系________________（</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w:t>
      </w:r>
    </w:p>
    <w:p w14:paraId="691563B1">
      <w:pPr>
        <w:rPr>
          <w:rFonts w:hint="eastAsia" w:ascii="宋体" w:hAnsi="宋体" w:eastAsia="宋体" w:cs="宋体"/>
          <w:color w:val="auto"/>
          <w:sz w:val="21"/>
          <w:szCs w:val="21"/>
          <w:highlight w:val="none"/>
        </w:rPr>
      </w:pPr>
    </w:p>
    <w:p w14:paraId="0C8F8537">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5CB465B5">
      <w:pPr>
        <w:rPr>
          <w:rFonts w:hint="eastAsia" w:ascii="宋体" w:hAnsi="宋体" w:eastAsia="宋体" w:cs="宋体"/>
          <w:b/>
          <w:color w:val="auto"/>
          <w:sz w:val="21"/>
          <w:szCs w:val="21"/>
          <w:highlight w:val="none"/>
        </w:rPr>
      </w:pPr>
    </w:p>
    <w:p w14:paraId="5FFC4731">
      <w:pPr>
        <w:rPr>
          <w:rFonts w:hint="eastAsia" w:ascii="宋体" w:hAnsi="宋体" w:eastAsia="宋体" w:cs="宋体"/>
          <w:b/>
          <w:color w:val="auto"/>
          <w:sz w:val="21"/>
          <w:szCs w:val="21"/>
          <w:highlight w:val="none"/>
        </w:rPr>
      </w:pPr>
    </w:p>
    <w:p w14:paraId="40DD6204">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附：法定代表人身份证（正、反两面）</w:t>
      </w:r>
    </w:p>
    <w:p w14:paraId="01618325">
      <w:pPr>
        <w:ind w:left="420"/>
        <w:rPr>
          <w:rFonts w:hint="eastAsia" w:ascii="宋体" w:hAnsi="宋体" w:eastAsia="宋体" w:cs="宋体"/>
          <w:color w:val="auto"/>
          <w:sz w:val="21"/>
          <w:szCs w:val="21"/>
          <w:highlight w:val="none"/>
        </w:rPr>
      </w:pPr>
    </w:p>
    <w:p w14:paraId="4EAB6D94">
      <w:pPr>
        <w:rPr>
          <w:rFonts w:hint="eastAsia" w:ascii="宋体" w:hAnsi="宋体" w:eastAsia="宋体" w:cs="宋体"/>
          <w:color w:val="auto"/>
          <w:sz w:val="21"/>
          <w:szCs w:val="21"/>
          <w:highlight w:val="none"/>
        </w:rPr>
      </w:pPr>
    </w:p>
    <w:p w14:paraId="51209EDA">
      <w:pPr>
        <w:pStyle w:val="8"/>
        <w:pageBreakBefore w:val="0"/>
        <w:tabs>
          <w:tab w:val="left" w:pos="8622"/>
        </w:tabs>
        <w:kinsoku w:val="0"/>
        <w:wordWrap/>
        <w:overflowPunct w:val="0"/>
        <w:topLinePunct w:val="0"/>
        <w:bidi w:val="0"/>
        <w:spacing w:line="360" w:lineRule="auto"/>
        <w:ind w:left="2940" w:leftChars="0" w:firstLine="819" w:firstLineChars="39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（电子签章）</w:t>
      </w:r>
    </w:p>
    <w:p w14:paraId="34D2A036">
      <w:pPr>
        <w:pStyle w:val="8"/>
        <w:pageBreakBefore w:val="0"/>
        <w:kinsoku w:val="0"/>
        <w:wordWrap/>
        <w:overflowPunct w:val="0"/>
        <w:topLinePunct w:val="0"/>
        <w:bidi w:val="0"/>
        <w:spacing w:before="10" w:line="360" w:lineRule="auto"/>
        <w:ind w:left="840" w:leftChars="0" w:firstLine="420" w:firstLineChars="0"/>
        <w:textAlignment w:val="auto"/>
        <w:rPr>
          <w:rFonts w:hint="eastAsia" w:ascii="宋体" w:hAnsi="宋体" w:eastAsia="宋体" w:cs="宋体"/>
          <w:color w:val="auto"/>
          <w:sz w:val="21"/>
          <w:szCs w:val="21"/>
          <w:highlight w:val="none"/>
        </w:rPr>
      </w:pPr>
    </w:p>
    <w:p w14:paraId="3F41EBD9">
      <w:pPr>
        <w:ind w:firstLine="5589" w:firstLineChars="2700"/>
        <w:jc w:val="both"/>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u w:val="none"/>
          <w:lang w:val="en-US" w:eastAsia="zh-CN"/>
        </w:rPr>
        <w:t xml:space="preserve"> </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14:paraId="2600A9E8">
      <w:pPr>
        <w:rPr>
          <w:rFonts w:hint="eastAsia" w:ascii="宋体" w:hAnsi="宋体" w:eastAsia="宋体" w:cs="宋体"/>
          <w:color w:val="auto"/>
          <w:sz w:val="21"/>
          <w:szCs w:val="21"/>
          <w:highlight w:val="none"/>
        </w:rPr>
      </w:pPr>
    </w:p>
    <w:p w14:paraId="4074CF27">
      <w:pPr>
        <w:rPr>
          <w:rFonts w:hint="eastAsia" w:ascii="宋体" w:hAnsi="宋体" w:eastAsia="宋体" w:cs="宋体"/>
          <w:color w:val="auto"/>
          <w:sz w:val="21"/>
          <w:szCs w:val="21"/>
          <w:highlight w:val="none"/>
        </w:rPr>
      </w:pPr>
    </w:p>
    <w:p w14:paraId="63C42084">
      <w:pPr>
        <w:rPr>
          <w:rFonts w:hint="eastAsia" w:ascii="宋体" w:hAnsi="宋体" w:eastAsia="宋体" w:cs="宋体"/>
          <w:b/>
          <w:color w:val="auto"/>
          <w:sz w:val="21"/>
          <w:szCs w:val="21"/>
          <w:highlight w:val="none"/>
        </w:rPr>
      </w:pPr>
    </w:p>
    <w:p w14:paraId="5FC160E2">
      <w:pPr>
        <w:rPr>
          <w:rFonts w:hint="eastAsia" w:ascii="宋体" w:hAnsi="宋体" w:eastAsia="宋体" w:cs="宋体"/>
          <w:b/>
          <w:color w:val="auto"/>
          <w:sz w:val="21"/>
          <w:szCs w:val="21"/>
          <w:highlight w:val="none"/>
        </w:rPr>
      </w:pPr>
    </w:p>
    <w:p w14:paraId="19CE0596">
      <w:pPr>
        <w:rPr>
          <w:rFonts w:hint="eastAsia" w:ascii="宋体" w:hAnsi="宋体" w:eastAsia="宋体" w:cs="宋体"/>
          <w:b/>
          <w:color w:val="auto"/>
          <w:sz w:val="21"/>
          <w:szCs w:val="21"/>
          <w:highlight w:val="none"/>
        </w:rPr>
      </w:pPr>
    </w:p>
    <w:p w14:paraId="0E9EEF69">
      <w:pPr>
        <w:rPr>
          <w:rFonts w:hint="eastAsia" w:ascii="宋体" w:hAnsi="宋体" w:eastAsia="宋体" w:cs="宋体"/>
          <w:b/>
          <w:color w:val="auto"/>
          <w:sz w:val="21"/>
          <w:szCs w:val="21"/>
          <w:highlight w:val="none"/>
        </w:rPr>
      </w:pPr>
    </w:p>
    <w:p w14:paraId="1F7946E9">
      <w:pPr>
        <w:rPr>
          <w:rFonts w:hint="eastAsia" w:ascii="宋体" w:hAnsi="宋体" w:eastAsia="宋体" w:cs="宋体"/>
          <w:b/>
          <w:color w:val="auto"/>
          <w:sz w:val="21"/>
          <w:szCs w:val="21"/>
          <w:highlight w:val="none"/>
        </w:rPr>
      </w:pPr>
    </w:p>
    <w:p w14:paraId="46B6FCCA">
      <w:pPr>
        <w:rPr>
          <w:rFonts w:hint="eastAsia" w:ascii="宋体" w:hAnsi="宋体" w:eastAsia="宋体" w:cs="宋体"/>
          <w:b/>
          <w:color w:val="auto"/>
          <w:sz w:val="21"/>
          <w:szCs w:val="21"/>
          <w:highlight w:val="none"/>
        </w:rPr>
      </w:pPr>
    </w:p>
    <w:p w14:paraId="28C34015">
      <w:pPr>
        <w:rPr>
          <w:rFonts w:hint="eastAsia" w:ascii="宋体" w:hAnsi="宋体" w:eastAsia="宋体" w:cs="宋体"/>
          <w:b/>
          <w:color w:val="auto"/>
          <w:sz w:val="21"/>
          <w:szCs w:val="21"/>
          <w:highlight w:val="none"/>
        </w:rPr>
      </w:pPr>
    </w:p>
    <w:p w14:paraId="7D74CD9A">
      <w:pPr>
        <w:rPr>
          <w:rFonts w:hint="eastAsia" w:ascii="宋体" w:hAnsi="宋体" w:eastAsia="宋体" w:cs="宋体"/>
          <w:b/>
          <w:color w:val="auto"/>
          <w:sz w:val="21"/>
          <w:szCs w:val="21"/>
          <w:highlight w:val="none"/>
        </w:rPr>
      </w:pPr>
    </w:p>
    <w:p w14:paraId="75D63ACE">
      <w:pPr>
        <w:rPr>
          <w:rFonts w:hint="eastAsia" w:ascii="宋体" w:hAnsi="宋体" w:eastAsia="宋体" w:cs="宋体"/>
          <w:b/>
          <w:color w:val="auto"/>
          <w:sz w:val="21"/>
          <w:szCs w:val="21"/>
          <w:highlight w:val="none"/>
        </w:rPr>
      </w:pPr>
    </w:p>
    <w:p w14:paraId="0516501B">
      <w:pPr>
        <w:rPr>
          <w:rFonts w:hint="eastAsia" w:ascii="宋体" w:hAnsi="宋体" w:eastAsia="宋体" w:cs="宋体"/>
          <w:b/>
          <w:color w:val="auto"/>
          <w:sz w:val="21"/>
          <w:szCs w:val="21"/>
          <w:highlight w:val="none"/>
        </w:rPr>
      </w:pPr>
    </w:p>
    <w:p w14:paraId="51C92D43">
      <w:pPr>
        <w:rPr>
          <w:rFonts w:hint="eastAsia" w:ascii="宋体" w:hAnsi="宋体" w:eastAsia="宋体" w:cs="宋体"/>
          <w:b/>
          <w:color w:val="auto"/>
          <w:sz w:val="21"/>
          <w:szCs w:val="21"/>
          <w:highlight w:val="none"/>
        </w:rPr>
      </w:pPr>
    </w:p>
    <w:p w14:paraId="76F0C6DA">
      <w:pPr>
        <w:rPr>
          <w:rFonts w:hint="eastAsia" w:ascii="宋体" w:hAnsi="宋体" w:eastAsia="宋体" w:cs="宋体"/>
          <w:b/>
          <w:color w:val="auto"/>
          <w:sz w:val="21"/>
          <w:szCs w:val="21"/>
          <w:highlight w:val="none"/>
        </w:rPr>
      </w:pPr>
    </w:p>
    <w:p w14:paraId="45D4413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 2</w:t>
      </w:r>
    </w:p>
    <w:p w14:paraId="03BA0299">
      <w:pPr>
        <w:rPr>
          <w:rFonts w:hint="eastAsia" w:ascii="宋体" w:hAnsi="宋体" w:eastAsia="宋体" w:cs="宋体"/>
          <w:color w:val="auto"/>
          <w:sz w:val="21"/>
          <w:szCs w:val="21"/>
          <w:highlight w:val="none"/>
        </w:rPr>
      </w:pPr>
    </w:p>
    <w:p w14:paraId="72F7F768">
      <w:pPr>
        <w:jc w:val="center"/>
        <w:rPr>
          <w:rFonts w:hint="eastAsia" w:ascii="宋体" w:hAnsi="宋体" w:eastAsia="宋体" w:cs="宋体"/>
          <w:b/>
          <w:color w:val="auto"/>
          <w:sz w:val="21"/>
          <w:szCs w:val="21"/>
          <w:highlight w:val="none"/>
        </w:rPr>
      </w:pPr>
      <w:bookmarkStart w:id="658" w:name="_Toc15267_WPSOffice_Level2"/>
      <w:r>
        <w:rPr>
          <w:rFonts w:hint="eastAsia" w:ascii="宋体" w:hAnsi="宋体" w:eastAsia="宋体" w:cs="宋体"/>
          <w:b/>
          <w:color w:val="auto"/>
          <w:sz w:val="21"/>
          <w:szCs w:val="21"/>
          <w:highlight w:val="none"/>
        </w:rPr>
        <w:t>法定代表人授权书</w:t>
      </w:r>
      <w:bookmarkEnd w:id="658"/>
    </w:p>
    <w:p w14:paraId="38A78AEB">
      <w:pPr>
        <w:rPr>
          <w:rFonts w:hint="eastAsia" w:ascii="宋体" w:hAnsi="宋体" w:eastAsia="宋体" w:cs="宋体"/>
          <w:color w:val="auto"/>
          <w:sz w:val="21"/>
          <w:szCs w:val="21"/>
          <w:highlight w:val="none"/>
        </w:rPr>
      </w:pPr>
    </w:p>
    <w:p w14:paraId="484323CD">
      <w:pPr>
        <w:rPr>
          <w:rFonts w:hint="eastAsia" w:ascii="宋体" w:hAnsi="宋体" w:eastAsia="宋体" w:cs="宋体"/>
          <w:color w:val="auto"/>
          <w:sz w:val="21"/>
          <w:szCs w:val="21"/>
          <w:highlight w:val="none"/>
        </w:rPr>
      </w:pPr>
    </w:p>
    <w:p w14:paraId="2389DC34">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本人______（姓名）系________________（</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名称）的法定代表人，现委托________（姓名）为我方代理人。代理人根据授权，以我方名义签署、澄清、说明、补正、递交、撤回、修改________________（项目名称）的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、接受转为其他采购方式的签署、签订合同和处理有关事宜等与之有关的一切事务，我方均予以承认，其法律后果由我方承担。</w:t>
      </w:r>
    </w:p>
    <w:p w14:paraId="6BBE535A">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。代理人无转委托权。</w:t>
      </w:r>
    </w:p>
    <w:p w14:paraId="0E1E7483">
      <w:pPr>
        <w:rPr>
          <w:rFonts w:hint="eastAsia" w:ascii="宋体" w:hAnsi="宋体" w:eastAsia="宋体" w:cs="宋体"/>
          <w:color w:val="auto"/>
          <w:sz w:val="21"/>
          <w:szCs w:val="21"/>
          <w:highlight w:val="none"/>
        </w:rPr>
      </w:pPr>
    </w:p>
    <w:p w14:paraId="4DD0F68F">
      <w:pPr>
        <w:ind w:left="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附：委托代理人身份证（正、反两面）</w:t>
      </w:r>
    </w:p>
    <w:p w14:paraId="09E172B4">
      <w:pPr>
        <w:rPr>
          <w:rFonts w:hint="eastAsia" w:ascii="宋体" w:hAnsi="宋体" w:eastAsia="宋体" w:cs="宋体"/>
          <w:color w:val="auto"/>
          <w:sz w:val="21"/>
          <w:szCs w:val="21"/>
          <w:highlight w:val="none"/>
        </w:rPr>
      </w:pPr>
    </w:p>
    <w:p w14:paraId="6FAF3EB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：________________（电子签章</w:t>
      </w:r>
      <w:r>
        <w:rPr>
          <w:rFonts w:hint="eastAsia" w:ascii="宋体" w:hAnsi="宋体" w:eastAsia="宋体" w:cs="宋体"/>
          <w:color w:val="auto"/>
          <w:spacing w:val="-14"/>
          <w:sz w:val="21"/>
          <w:szCs w:val="21"/>
          <w:highlight w:val="none"/>
        </w:rPr>
        <w:t>）</w:t>
      </w:r>
    </w:p>
    <w:p w14:paraId="4FB9D191">
      <w:pPr>
        <w:rPr>
          <w:rFonts w:hint="eastAsia" w:ascii="宋体" w:hAnsi="宋体" w:eastAsia="宋体" w:cs="宋体"/>
          <w:color w:val="auto"/>
          <w:sz w:val="21"/>
          <w:szCs w:val="21"/>
          <w:highlight w:val="none"/>
        </w:rPr>
      </w:pPr>
    </w:p>
    <w:p w14:paraId="21C7219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法定代表人：________________（电子签章</w:t>
      </w:r>
      <w:r>
        <w:rPr>
          <w:rFonts w:hint="eastAsia" w:ascii="宋体" w:hAnsi="宋体" w:eastAsia="宋体" w:cs="宋体"/>
          <w:color w:val="auto"/>
          <w:sz w:val="21"/>
          <w:szCs w:val="21"/>
          <w:highlight w:val="none"/>
          <w:lang w:val="en-US" w:eastAsia="zh-CN"/>
        </w:rPr>
        <w:t>或签字</w:t>
      </w:r>
      <w:r>
        <w:rPr>
          <w:rFonts w:hint="eastAsia" w:ascii="宋体" w:hAnsi="宋体" w:eastAsia="宋体" w:cs="宋体"/>
          <w:color w:val="auto"/>
          <w:spacing w:val="-14"/>
          <w:sz w:val="21"/>
          <w:szCs w:val="21"/>
          <w:highlight w:val="none"/>
        </w:rPr>
        <w:t>）</w:t>
      </w:r>
    </w:p>
    <w:p w14:paraId="59972D39">
      <w:pPr>
        <w:rPr>
          <w:rFonts w:hint="eastAsia" w:ascii="宋体" w:hAnsi="宋体" w:eastAsia="宋体" w:cs="宋体"/>
          <w:color w:val="auto"/>
          <w:sz w:val="21"/>
          <w:szCs w:val="21"/>
          <w:highlight w:val="none"/>
        </w:rPr>
      </w:pPr>
    </w:p>
    <w:p w14:paraId="24FD955A">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身份证号码：________________________</w:t>
      </w:r>
    </w:p>
    <w:p w14:paraId="46F6CCA5">
      <w:pPr>
        <w:rPr>
          <w:rFonts w:hint="eastAsia" w:ascii="宋体" w:hAnsi="宋体" w:eastAsia="宋体" w:cs="宋体"/>
          <w:color w:val="auto"/>
          <w:sz w:val="21"/>
          <w:szCs w:val="21"/>
          <w:highlight w:val="none"/>
        </w:rPr>
      </w:pPr>
    </w:p>
    <w:p w14:paraId="41ED2B11">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委托代理人：________________（电子签章或签字</w:t>
      </w:r>
      <w:r>
        <w:rPr>
          <w:rFonts w:hint="eastAsia" w:ascii="宋体" w:hAnsi="宋体" w:eastAsia="宋体" w:cs="宋体"/>
          <w:color w:val="auto"/>
          <w:spacing w:val="-14"/>
          <w:sz w:val="21"/>
          <w:szCs w:val="21"/>
          <w:highlight w:val="none"/>
        </w:rPr>
        <w:t>）</w:t>
      </w:r>
    </w:p>
    <w:p w14:paraId="5CDCF2A1">
      <w:pPr>
        <w:rPr>
          <w:rFonts w:hint="eastAsia" w:ascii="宋体" w:hAnsi="宋体" w:eastAsia="宋体" w:cs="宋体"/>
          <w:color w:val="auto"/>
          <w:sz w:val="21"/>
          <w:szCs w:val="21"/>
          <w:highlight w:val="none"/>
        </w:rPr>
      </w:pPr>
    </w:p>
    <w:p w14:paraId="3C1B9533">
      <w:pPr>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身份证号码：________________________</w:t>
      </w:r>
    </w:p>
    <w:p w14:paraId="5F84F5CF">
      <w:pPr>
        <w:ind w:firstLine="420" w:firstLineChars="200"/>
        <w:rPr>
          <w:rFonts w:hint="eastAsia" w:ascii="宋体" w:hAnsi="宋体" w:eastAsia="宋体" w:cs="宋体"/>
          <w:color w:val="auto"/>
          <w:sz w:val="21"/>
          <w:szCs w:val="21"/>
          <w:highlight w:val="none"/>
        </w:rPr>
      </w:pPr>
    </w:p>
    <w:p w14:paraId="478C93D1">
      <w:pPr>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_____年____月____日</w:t>
      </w:r>
    </w:p>
    <w:bookmarkEnd w:id="652"/>
    <w:bookmarkEnd w:id="653"/>
    <w:bookmarkEnd w:id="654"/>
    <w:bookmarkEnd w:id="655"/>
    <w:bookmarkEnd w:id="656"/>
    <w:p w14:paraId="344391E8">
      <w:pPr>
        <w:spacing w:line="360" w:lineRule="auto"/>
        <w:rPr>
          <w:rFonts w:hint="eastAsia" w:ascii="宋体" w:hAnsi="宋体" w:eastAsia="宋体" w:cs="宋体"/>
          <w:color w:val="auto"/>
          <w:sz w:val="21"/>
          <w:szCs w:val="21"/>
          <w:highlight w:val="none"/>
        </w:rPr>
      </w:pPr>
    </w:p>
    <w:p w14:paraId="28C35291">
      <w:pPr>
        <w:spacing w:line="360" w:lineRule="auto"/>
        <w:rPr>
          <w:rFonts w:hint="eastAsia" w:ascii="宋体" w:hAnsi="宋体" w:eastAsia="宋体" w:cs="宋体"/>
          <w:color w:val="auto"/>
          <w:sz w:val="24"/>
          <w:highlight w:val="none"/>
        </w:rPr>
      </w:pPr>
    </w:p>
    <w:p w14:paraId="6E526A37">
      <w:pPr>
        <w:spacing w:line="360" w:lineRule="auto"/>
        <w:rPr>
          <w:rFonts w:hint="eastAsia" w:ascii="宋体" w:hAnsi="宋体" w:eastAsia="宋体" w:cs="宋体"/>
          <w:color w:val="auto"/>
          <w:sz w:val="24"/>
          <w:highlight w:val="none"/>
        </w:rPr>
      </w:pPr>
    </w:p>
    <w:p w14:paraId="2E605D6F">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CCD76ED">
      <w:pPr>
        <w:pStyle w:val="3"/>
        <w:numPr>
          <w:ilvl w:val="0"/>
          <w:numId w:val="0"/>
        </w:numPr>
        <w:ind w:leftChars="0"/>
        <w:jc w:val="center"/>
        <w:rPr>
          <w:rFonts w:hint="eastAsia" w:ascii="宋体" w:hAnsi="宋体" w:eastAsia="宋体" w:cs="宋体"/>
          <w:color w:val="auto"/>
          <w:highlight w:val="none"/>
        </w:rPr>
      </w:pPr>
      <w:bookmarkStart w:id="659" w:name="_Toc24619"/>
      <w:bookmarkStart w:id="660" w:name="_Toc21496"/>
      <w:bookmarkStart w:id="661" w:name="_Toc17805"/>
      <w:bookmarkStart w:id="662" w:name="_Toc11668"/>
      <w:bookmarkStart w:id="663" w:name="_Toc533590171"/>
      <w:bookmarkStart w:id="664" w:name="_Toc7544"/>
      <w:bookmarkStart w:id="665" w:name="_Toc14935"/>
      <w:bookmarkStart w:id="666" w:name="_Toc4661"/>
      <w:bookmarkStart w:id="667" w:name="_Toc1104"/>
      <w:bookmarkStart w:id="668" w:name="_Toc2575"/>
      <w:bookmarkStart w:id="669" w:name="_Toc7808"/>
      <w:bookmarkStart w:id="670" w:name="_Toc17785"/>
      <w:bookmarkStart w:id="671" w:name="_Toc16200"/>
      <w:bookmarkStart w:id="672" w:name="_Toc8593"/>
      <w:bookmarkStart w:id="673" w:name="_Toc15079"/>
      <w:bookmarkStart w:id="674" w:name="_Toc25297"/>
      <w:bookmarkStart w:id="675" w:name="_Toc26584"/>
      <w:bookmarkStart w:id="676" w:name="_Toc15308"/>
      <w:bookmarkStart w:id="677" w:name="_Toc16776"/>
      <w:bookmarkStart w:id="678" w:name="_Toc3303"/>
      <w:bookmarkStart w:id="679" w:name="_Toc17949"/>
      <w:bookmarkStart w:id="680" w:name="_Toc8905"/>
      <w:bookmarkStart w:id="681" w:name="_Toc4720_WPSOffice_Level1"/>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资格证明资料</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53F7409A">
      <w:pPr>
        <w:pStyle w:val="4"/>
        <w:jc w:val="center"/>
        <w:rPr>
          <w:rFonts w:hint="eastAsia" w:ascii="宋体" w:hAnsi="宋体" w:eastAsia="宋体" w:cs="宋体"/>
          <w:color w:val="auto"/>
          <w:highlight w:val="none"/>
        </w:rPr>
      </w:pPr>
      <w:bookmarkStart w:id="682" w:name="_Toc12832"/>
      <w:bookmarkStart w:id="683" w:name="_Toc25486"/>
      <w:bookmarkStart w:id="684" w:name="_Toc5221"/>
      <w:bookmarkStart w:id="685" w:name="_Toc5013"/>
      <w:bookmarkStart w:id="686" w:name="_Toc4666"/>
      <w:bookmarkStart w:id="687" w:name="_Toc1460"/>
      <w:bookmarkStart w:id="688" w:name="_Toc10133"/>
      <w:bookmarkStart w:id="689" w:name="_Toc9821"/>
      <w:bookmarkStart w:id="690" w:name="_Toc8915"/>
      <w:bookmarkStart w:id="691" w:name="_Toc16534"/>
      <w:bookmarkStart w:id="692" w:name="_Toc12544"/>
      <w:bookmarkStart w:id="693" w:name="_Toc16855"/>
      <w:bookmarkStart w:id="694" w:name="_Toc15847"/>
      <w:bookmarkStart w:id="695" w:name="_Toc24598"/>
      <w:bookmarkStart w:id="696" w:name="_Toc9176"/>
      <w:bookmarkStart w:id="697" w:name="_Toc3954"/>
      <w:bookmarkStart w:id="698" w:name="_Toc19602"/>
      <w:r>
        <w:rPr>
          <w:rFonts w:hint="eastAsia" w:ascii="宋体" w:hAnsi="宋体" w:eastAsia="宋体" w:cs="宋体"/>
          <w:color w:val="auto"/>
          <w:highlight w:val="none"/>
        </w:rPr>
        <w:t>（一）</w:t>
      </w:r>
      <w:r>
        <w:rPr>
          <w:rFonts w:hint="eastAsia" w:hAnsi="宋体" w:cs="宋体"/>
          <w:color w:val="auto"/>
          <w:highlight w:val="none"/>
          <w:lang w:val="en-US" w:eastAsia="zh-CN"/>
        </w:rPr>
        <w:t>供应商</w:t>
      </w:r>
      <w:r>
        <w:rPr>
          <w:rFonts w:hint="eastAsia" w:ascii="宋体" w:hAnsi="宋体" w:eastAsia="宋体" w:cs="宋体"/>
          <w:color w:val="auto"/>
          <w:highlight w:val="none"/>
        </w:rPr>
        <w:t>基本情况表</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tbl>
      <w:tblPr>
        <w:tblStyle w:val="22"/>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323"/>
        <w:gridCol w:w="1894"/>
        <w:gridCol w:w="1476"/>
        <w:gridCol w:w="1080"/>
        <w:gridCol w:w="1730"/>
      </w:tblGrid>
      <w:tr w14:paraId="091E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74388542">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6A7227CB">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367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7C20A691">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注册地址</w:t>
            </w:r>
          </w:p>
        </w:tc>
        <w:tc>
          <w:tcPr>
            <w:tcW w:w="3217" w:type="dxa"/>
            <w:gridSpan w:val="2"/>
            <w:tcBorders>
              <w:top w:val="single" w:color="auto" w:sz="4" w:space="0"/>
              <w:left w:val="single" w:color="auto" w:sz="4" w:space="0"/>
              <w:bottom w:val="single" w:color="auto" w:sz="4" w:space="0"/>
              <w:right w:val="single" w:color="auto" w:sz="4" w:space="0"/>
            </w:tcBorders>
            <w:vAlign w:val="center"/>
          </w:tcPr>
          <w:p w14:paraId="2BA8EAE5">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14:paraId="39FFD1C6">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5F9BCF2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47D8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50BF29BB">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3217" w:type="dxa"/>
            <w:gridSpan w:val="2"/>
            <w:tcBorders>
              <w:top w:val="single" w:color="auto" w:sz="4" w:space="0"/>
              <w:left w:val="single" w:color="auto" w:sz="4" w:space="0"/>
              <w:bottom w:val="single" w:color="auto" w:sz="4" w:space="0"/>
              <w:right w:val="single" w:color="auto" w:sz="4" w:space="0"/>
            </w:tcBorders>
            <w:vAlign w:val="center"/>
          </w:tcPr>
          <w:p w14:paraId="177120E3">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14:paraId="04EB8E56">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p>
        </w:tc>
        <w:tc>
          <w:tcPr>
            <w:tcW w:w="2810" w:type="dxa"/>
            <w:gridSpan w:val="2"/>
            <w:tcBorders>
              <w:top w:val="single" w:color="auto" w:sz="4" w:space="0"/>
              <w:left w:val="single" w:color="auto" w:sz="4" w:space="0"/>
              <w:bottom w:val="single" w:color="auto" w:sz="4" w:space="0"/>
              <w:right w:val="single" w:color="auto" w:sz="4" w:space="0"/>
            </w:tcBorders>
            <w:vAlign w:val="center"/>
          </w:tcPr>
          <w:p w14:paraId="1B7A80A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3FD2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1ABF6B00">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1323" w:type="dxa"/>
            <w:tcBorders>
              <w:top w:val="single" w:color="auto" w:sz="4" w:space="0"/>
              <w:left w:val="single" w:color="auto" w:sz="4" w:space="0"/>
              <w:bottom w:val="single" w:color="auto" w:sz="4" w:space="0"/>
              <w:right w:val="single" w:color="auto" w:sz="4" w:space="0"/>
            </w:tcBorders>
            <w:vAlign w:val="center"/>
          </w:tcPr>
          <w:p w14:paraId="51A1C277">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3370" w:type="dxa"/>
            <w:gridSpan w:val="2"/>
            <w:tcBorders>
              <w:top w:val="single" w:color="auto" w:sz="4" w:space="0"/>
              <w:left w:val="single" w:color="auto" w:sz="4" w:space="0"/>
              <w:bottom w:val="single" w:color="auto" w:sz="4" w:space="0"/>
              <w:right w:val="single" w:color="auto" w:sz="4" w:space="0"/>
            </w:tcBorders>
            <w:vAlign w:val="center"/>
          </w:tcPr>
          <w:p w14:paraId="04497FA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36B0EBC">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730" w:type="dxa"/>
            <w:tcBorders>
              <w:top w:val="single" w:color="auto" w:sz="4" w:space="0"/>
              <w:left w:val="single" w:color="auto" w:sz="4" w:space="0"/>
              <w:bottom w:val="single" w:color="auto" w:sz="4" w:space="0"/>
              <w:right w:val="single" w:color="auto" w:sz="4" w:space="0"/>
            </w:tcBorders>
            <w:vAlign w:val="center"/>
          </w:tcPr>
          <w:p w14:paraId="09CCF4CD">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05DB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66CA4E34">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技术负责人</w:t>
            </w:r>
          </w:p>
        </w:tc>
        <w:tc>
          <w:tcPr>
            <w:tcW w:w="1323" w:type="dxa"/>
            <w:tcBorders>
              <w:top w:val="single" w:color="auto" w:sz="4" w:space="0"/>
              <w:left w:val="single" w:color="auto" w:sz="4" w:space="0"/>
              <w:bottom w:val="single" w:color="auto" w:sz="4" w:space="0"/>
              <w:right w:val="single" w:color="auto" w:sz="4" w:space="0"/>
            </w:tcBorders>
            <w:vAlign w:val="center"/>
          </w:tcPr>
          <w:p w14:paraId="049C9C50">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p>
        </w:tc>
        <w:tc>
          <w:tcPr>
            <w:tcW w:w="3370" w:type="dxa"/>
            <w:gridSpan w:val="2"/>
            <w:tcBorders>
              <w:top w:val="single" w:color="auto" w:sz="4" w:space="0"/>
              <w:left w:val="single" w:color="auto" w:sz="4" w:space="0"/>
              <w:bottom w:val="single" w:color="auto" w:sz="4" w:space="0"/>
              <w:right w:val="single" w:color="auto" w:sz="4" w:space="0"/>
            </w:tcBorders>
            <w:vAlign w:val="center"/>
          </w:tcPr>
          <w:p w14:paraId="36233C67">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E55D0DF">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1730" w:type="dxa"/>
            <w:tcBorders>
              <w:top w:val="single" w:color="auto" w:sz="4" w:space="0"/>
              <w:left w:val="single" w:color="auto" w:sz="4" w:space="0"/>
              <w:bottom w:val="single" w:color="auto" w:sz="4" w:space="0"/>
              <w:right w:val="single" w:color="auto" w:sz="4" w:space="0"/>
            </w:tcBorders>
            <w:vAlign w:val="center"/>
          </w:tcPr>
          <w:p w14:paraId="3DD9003F">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05D2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22245ABB">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5B68FFBE">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3A3A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680AB844">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员工总人数</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7C0C94F8">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C84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2A13EE5F">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营业执照号</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3B7BC818">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C1B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5458D4FE">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注册资金</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0EBEEB81">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3615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6BF26F05">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经营范围</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1E900D15">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3474605">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7B6BABBE">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0EC86BFB">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09242536">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70059C77">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E5E44E4">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372E58D">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490CF03B">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0233981D">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177C6FF2">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69018217">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42706540">
            <w:pPr>
              <w:autoSpaceDE w:val="0"/>
              <w:autoSpaceDN w:val="0"/>
              <w:adjustRightInd w:val="0"/>
              <w:spacing w:line="360" w:lineRule="exact"/>
              <w:jc w:val="center"/>
              <w:rPr>
                <w:rFonts w:hint="eastAsia" w:ascii="宋体" w:hAnsi="宋体" w:eastAsia="宋体" w:cs="宋体"/>
                <w:color w:val="auto"/>
                <w:kern w:val="0"/>
                <w:sz w:val="21"/>
                <w:szCs w:val="21"/>
                <w:highlight w:val="none"/>
              </w:rPr>
            </w:pPr>
          </w:p>
          <w:p w14:paraId="24138F30">
            <w:pPr>
              <w:autoSpaceDE w:val="0"/>
              <w:autoSpaceDN w:val="0"/>
              <w:adjustRightInd w:val="0"/>
              <w:spacing w:line="360" w:lineRule="exact"/>
              <w:jc w:val="center"/>
              <w:rPr>
                <w:rFonts w:hint="eastAsia" w:ascii="宋体" w:hAnsi="宋体" w:eastAsia="宋体" w:cs="宋体"/>
                <w:color w:val="auto"/>
                <w:kern w:val="0"/>
                <w:sz w:val="21"/>
                <w:szCs w:val="21"/>
                <w:highlight w:val="none"/>
              </w:rPr>
            </w:pPr>
          </w:p>
        </w:tc>
      </w:tr>
      <w:tr w14:paraId="6AB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14:paraId="4555CE13">
            <w:pPr>
              <w:autoSpaceDE w:val="0"/>
              <w:autoSpaceDN w:val="0"/>
              <w:adjustRightIn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c>
          <w:tcPr>
            <w:tcW w:w="7503" w:type="dxa"/>
            <w:gridSpan w:val="5"/>
            <w:tcBorders>
              <w:top w:val="single" w:color="auto" w:sz="4" w:space="0"/>
              <w:left w:val="single" w:color="auto" w:sz="4" w:space="0"/>
              <w:bottom w:val="single" w:color="auto" w:sz="4" w:space="0"/>
              <w:right w:val="single" w:color="auto" w:sz="4" w:space="0"/>
            </w:tcBorders>
            <w:vAlign w:val="center"/>
          </w:tcPr>
          <w:p w14:paraId="4BE0DC59">
            <w:pPr>
              <w:spacing w:line="360" w:lineRule="auto"/>
              <w:rPr>
                <w:rFonts w:hint="eastAsia" w:ascii="宋体" w:hAnsi="宋体" w:eastAsia="宋体" w:cs="宋体"/>
                <w:color w:val="auto"/>
                <w:kern w:val="0"/>
                <w:sz w:val="21"/>
                <w:szCs w:val="21"/>
                <w:highlight w:val="none"/>
              </w:rPr>
            </w:pPr>
          </w:p>
        </w:tc>
      </w:tr>
    </w:tbl>
    <w:p w14:paraId="76A1FCFC">
      <w:pPr>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注：本表按照采购文件要求（供应商须知前附表、磋商办法前附表等）规定附相关证明材料的扫描件（以上内容若有无法填写项，请打“/”）。</w:t>
      </w:r>
      <w:r>
        <w:rPr>
          <w:rFonts w:hint="eastAsia" w:ascii="宋体" w:hAnsi="宋体" w:eastAsia="宋体" w:cs="宋体"/>
          <w:color w:val="auto"/>
          <w:highlight w:val="none"/>
        </w:rPr>
        <w:br w:type="page"/>
      </w:r>
    </w:p>
    <w:p w14:paraId="155DE0A5">
      <w:pPr>
        <w:pStyle w:val="3"/>
        <w:pageBreakBefore w:val="0"/>
        <w:widowControl w:val="0"/>
        <w:numPr>
          <w:ilvl w:val="0"/>
          <w:numId w:val="0"/>
        </w:numPr>
        <w:kinsoku/>
        <w:wordWrap/>
        <w:overflowPunct/>
        <w:topLinePunct w:val="0"/>
        <w:autoSpaceDE w:val="0"/>
        <w:autoSpaceDN w:val="0"/>
        <w:bidi w:val="0"/>
        <w:adjustRightInd w:val="0"/>
        <w:snapToGrid/>
        <w:spacing w:line="400" w:lineRule="exact"/>
        <w:ind w:leftChars="0"/>
        <w:jc w:val="center"/>
        <w:textAlignment w:val="auto"/>
        <w:rPr>
          <w:rFonts w:hint="eastAsia" w:ascii="宋体" w:hAnsi="宋体" w:eastAsia="宋体" w:cs="宋体"/>
          <w:color w:val="auto"/>
          <w:sz w:val="32"/>
          <w:szCs w:val="32"/>
          <w:highlight w:val="none"/>
          <w:lang w:val="en-US" w:eastAsia="zh-CN"/>
        </w:rPr>
      </w:pPr>
      <w:bookmarkStart w:id="699" w:name="_Toc10574"/>
      <w:bookmarkStart w:id="700" w:name="_Toc3497"/>
      <w:bookmarkStart w:id="701" w:name="_Toc21984"/>
      <w:r>
        <w:rPr>
          <w:rFonts w:hint="eastAsia" w:ascii="宋体" w:hAnsi="宋体" w:eastAsia="宋体" w:cs="宋体"/>
          <w:color w:val="auto"/>
          <w:sz w:val="32"/>
          <w:szCs w:val="32"/>
          <w:highlight w:val="none"/>
          <w:lang w:val="en-US" w:eastAsia="zh-CN"/>
        </w:rPr>
        <w:t>五、技术部分</w:t>
      </w:r>
      <w:bookmarkEnd w:id="699"/>
      <w:bookmarkEnd w:id="700"/>
      <w:bookmarkEnd w:id="701"/>
    </w:p>
    <w:p w14:paraId="2F675332">
      <w:pPr>
        <w:numPr>
          <w:ilvl w:val="0"/>
          <w:numId w:val="0"/>
        </w:numPr>
        <w:ind w:leftChars="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格式自拟，内容参考磋商办法“技术部分评分标准”要求编制（包含但不限于）</w:t>
      </w:r>
    </w:p>
    <w:p w14:paraId="2FFC22BD">
      <w:pPr>
        <w:spacing w:line="276" w:lineRule="auto"/>
        <w:rPr>
          <w:rFonts w:hint="eastAsia" w:ascii="宋体" w:hAnsi="宋体" w:eastAsia="宋体" w:cs="宋体"/>
          <w:color w:val="auto"/>
          <w:sz w:val="24"/>
          <w:highlight w:val="none"/>
        </w:rPr>
      </w:pPr>
    </w:p>
    <w:p w14:paraId="00DF500B">
      <w:pPr>
        <w:pStyle w:val="3"/>
        <w:jc w:val="center"/>
        <w:rPr>
          <w:rFonts w:hint="default" w:ascii="宋体" w:hAnsi="宋体" w:eastAsia="宋体" w:cs="宋体"/>
          <w:color w:val="auto"/>
          <w:highlight w:val="none"/>
          <w:lang w:val="en-US" w:eastAsia="zh-CN"/>
        </w:rPr>
      </w:pPr>
      <w:bookmarkStart w:id="702" w:name="page54"/>
      <w:bookmarkEnd w:id="702"/>
      <w:bookmarkStart w:id="703" w:name="_Toc24816"/>
      <w:bookmarkStart w:id="704" w:name="_Toc3906"/>
      <w:bookmarkStart w:id="705" w:name="_Toc31901"/>
      <w:bookmarkStart w:id="706" w:name="_Toc492883640"/>
      <w:bookmarkStart w:id="707" w:name="_Toc10824"/>
      <w:bookmarkStart w:id="708" w:name="_Toc18500"/>
      <w:bookmarkStart w:id="709" w:name="_Toc19353"/>
      <w:bookmarkStart w:id="710" w:name="_Toc19827"/>
      <w:bookmarkStart w:id="711" w:name="_Toc25746_WPSOffice_Level1"/>
      <w:bookmarkStart w:id="712" w:name="_Toc533590174"/>
      <w:r>
        <w:rPr>
          <w:rFonts w:hint="eastAsia" w:ascii="宋体" w:hAnsi="宋体" w:eastAsia="宋体" w:cs="宋体"/>
          <w:color w:val="auto"/>
          <w:highlight w:val="none"/>
          <w:lang w:eastAsia="zh-CN"/>
        </w:rPr>
        <w:br w:type="page"/>
      </w:r>
      <w:bookmarkStart w:id="713" w:name="_Toc5576"/>
      <w:bookmarkStart w:id="714" w:name="_Toc21295"/>
      <w:bookmarkStart w:id="715" w:name="_Toc26076"/>
      <w:bookmarkStart w:id="716" w:name="_Toc32257"/>
      <w:bookmarkStart w:id="717" w:name="_Toc10757"/>
      <w:bookmarkStart w:id="718" w:name="_Toc16996"/>
      <w:bookmarkStart w:id="719" w:name="_Toc19348"/>
      <w:bookmarkStart w:id="720" w:name="_Toc9584"/>
      <w:bookmarkStart w:id="721" w:name="_Toc29889"/>
      <w:bookmarkStart w:id="722" w:name="_Toc4260"/>
      <w:bookmarkStart w:id="723" w:name="_Toc6901"/>
      <w:bookmarkStart w:id="724" w:name="_Toc16528"/>
      <w:bookmarkStart w:id="725" w:name="_Toc19859"/>
      <w:bookmarkStart w:id="726" w:name="_Toc1776"/>
      <w:bookmarkStart w:id="727" w:name="_Toc22018"/>
      <w:bookmarkStart w:id="728" w:name="_Toc6937"/>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商务</w:t>
      </w:r>
      <w:bookmarkEnd w:id="713"/>
      <w:bookmarkEnd w:id="714"/>
      <w:r>
        <w:rPr>
          <w:rFonts w:hint="eastAsia" w:ascii="宋体" w:hAnsi="宋体" w:eastAsia="宋体" w:cs="宋体"/>
          <w:color w:val="auto"/>
          <w:highlight w:val="none"/>
          <w:lang w:val="en-US" w:eastAsia="zh-CN"/>
        </w:rPr>
        <w:t>部分</w:t>
      </w:r>
      <w:bookmarkEnd w:id="715"/>
      <w:bookmarkEnd w:id="716"/>
    </w:p>
    <w:bookmarkEnd w:id="703"/>
    <w:bookmarkEnd w:id="704"/>
    <w:bookmarkEnd w:id="705"/>
    <w:bookmarkEnd w:id="706"/>
    <w:bookmarkEnd w:id="707"/>
    <w:bookmarkEnd w:id="708"/>
    <w:bookmarkEnd w:id="709"/>
    <w:bookmarkEnd w:id="710"/>
    <w:bookmarkEnd w:id="711"/>
    <w:bookmarkEnd w:id="712"/>
    <w:bookmarkEnd w:id="717"/>
    <w:bookmarkEnd w:id="718"/>
    <w:bookmarkEnd w:id="719"/>
    <w:bookmarkEnd w:id="720"/>
    <w:bookmarkEnd w:id="721"/>
    <w:bookmarkEnd w:id="722"/>
    <w:bookmarkEnd w:id="723"/>
    <w:bookmarkEnd w:id="724"/>
    <w:bookmarkEnd w:id="725"/>
    <w:bookmarkEnd w:id="726"/>
    <w:bookmarkEnd w:id="727"/>
    <w:bookmarkEnd w:id="728"/>
    <w:p w14:paraId="27C13FC7">
      <w:pPr>
        <w:spacing w:line="48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b w:val="0"/>
          <w:bCs w:val="0"/>
          <w:color w:val="auto"/>
          <w:sz w:val="21"/>
          <w:szCs w:val="21"/>
          <w:highlight w:val="none"/>
          <w:lang w:val="en-US" w:eastAsia="zh-CN"/>
        </w:rPr>
        <w:t>格式自拟，内容参考磋商办法“</w:t>
      </w:r>
      <w:r>
        <w:rPr>
          <w:rFonts w:hint="eastAsia" w:hAnsi="宋体" w:cs="宋体"/>
          <w:b w:val="0"/>
          <w:bCs w:val="0"/>
          <w:color w:val="auto"/>
          <w:sz w:val="21"/>
          <w:szCs w:val="21"/>
          <w:highlight w:val="none"/>
          <w:lang w:val="en-US" w:eastAsia="zh-CN"/>
        </w:rPr>
        <w:t>商务</w:t>
      </w:r>
      <w:r>
        <w:rPr>
          <w:rFonts w:hint="eastAsia" w:ascii="宋体" w:hAnsi="宋体" w:eastAsia="宋体" w:cs="宋体"/>
          <w:b w:val="0"/>
          <w:bCs w:val="0"/>
          <w:color w:val="auto"/>
          <w:sz w:val="21"/>
          <w:szCs w:val="21"/>
          <w:highlight w:val="none"/>
          <w:lang w:val="en-US" w:eastAsia="zh-CN"/>
        </w:rPr>
        <w:t>部分评分标准”要求</w:t>
      </w:r>
      <w:r>
        <w:rPr>
          <w:rFonts w:hint="eastAsia" w:hAnsi="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lang w:val="en-US" w:eastAsia="zh-CN"/>
        </w:rPr>
        <w:t>（包含但不限于）</w:t>
      </w:r>
    </w:p>
    <w:p w14:paraId="0B17888F">
      <w:pPr>
        <w:rPr>
          <w:rFonts w:hint="eastAsia" w:ascii="宋体" w:hAnsi="宋体" w:eastAsia="宋体" w:cs="宋体"/>
          <w:color w:val="auto"/>
          <w:highlight w:val="none"/>
          <w:lang w:val="en-US" w:eastAsia="zh-CN"/>
        </w:rPr>
      </w:pPr>
      <w:bookmarkStart w:id="729" w:name="_Toc7553"/>
      <w:bookmarkStart w:id="730" w:name="_Toc8378"/>
      <w:bookmarkStart w:id="731" w:name="_Toc10652"/>
      <w:bookmarkStart w:id="732" w:name="_Toc13023"/>
      <w:bookmarkStart w:id="733" w:name="_Toc22119"/>
      <w:bookmarkStart w:id="734" w:name="_Toc21308"/>
      <w:bookmarkStart w:id="735" w:name="_Toc5441"/>
      <w:bookmarkStart w:id="736" w:name="_Toc9226"/>
      <w:bookmarkStart w:id="737" w:name="_Toc9661"/>
      <w:r>
        <w:rPr>
          <w:rFonts w:hint="eastAsia" w:ascii="宋体" w:hAnsi="宋体" w:eastAsia="宋体" w:cs="宋体"/>
          <w:color w:val="auto"/>
          <w:highlight w:val="none"/>
          <w:lang w:val="en-US" w:eastAsia="zh-CN"/>
        </w:rPr>
        <w:br w:type="page"/>
      </w:r>
    </w:p>
    <w:p w14:paraId="394BC1D8">
      <w:pPr>
        <w:pStyle w:val="3"/>
        <w:jc w:val="center"/>
        <w:rPr>
          <w:rFonts w:hint="eastAsia" w:ascii="宋体" w:hAnsi="宋体" w:eastAsia="宋体" w:cs="宋体"/>
          <w:color w:val="auto"/>
          <w:highlight w:val="none"/>
        </w:rPr>
      </w:pPr>
      <w:bookmarkStart w:id="738" w:name="_Toc20132"/>
      <w:bookmarkStart w:id="739" w:name="_Toc13813"/>
      <w:bookmarkStart w:id="740" w:name="_Toc25058"/>
      <w:bookmarkStart w:id="741" w:name="_Toc28407"/>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w:t>
      </w:r>
      <w:r>
        <w:rPr>
          <w:rFonts w:hint="eastAsia" w:ascii="宋体" w:hAnsi="宋体" w:eastAsia="宋体" w:cs="宋体"/>
          <w:color w:val="auto"/>
          <w:szCs w:val="28"/>
          <w:highlight w:val="none"/>
          <w:lang w:val="en-US" w:eastAsia="zh-CN"/>
        </w:rPr>
        <w:t>供应商认为有必要的其他资料</w:t>
      </w:r>
      <w:bookmarkEnd w:id="738"/>
      <w:bookmarkEnd w:id="739"/>
      <w:bookmarkEnd w:id="740"/>
      <w:bookmarkEnd w:id="741"/>
    </w:p>
    <w:p w14:paraId="39C87996">
      <w:pPr>
        <w:pStyle w:val="4"/>
        <w:widowControl w:val="0"/>
        <w:wordWrap/>
        <w:adjustRightInd/>
        <w:snapToGrid/>
        <w:spacing w:line="440" w:lineRule="exact"/>
        <w:jc w:val="center"/>
        <w:textAlignment w:val="auto"/>
        <w:rPr>
          <w:rStyle w:val="30"/>
          <w:rFonts w:hint="eastAsia" w:ascii="宋体" w:hAnsi="宋体" w:eastAsia="宋体" w:cs="宋体"/>
          <w:b/>
          <w:bCs w:val="0"/>
          <w:color w:val="auto"/>
          <w:kern w:val="0"/>
          <w:sz w:val="28"/>
          <w:szCs w:val="28"/>
          <w:highlight w:val="none"/>
          <w:lang w:val="en-US" w:eastAsia="zh-CN"/>
        </w:rPr>
      </w:pPr>
      <w:bookmarkStart w:id="742" w:name="_Toc24479"/>
      <w:bookmarkStart w:id="743" w:name="_Toc28235"/>
      <w:bookmarkStart w:id="744" w:name="_Toc16837"/>
      <w:bookmarkStart w:id="745" w:name="_Toc9159"/>
      <w:bookmarkStart w:id="746" w:name="_Toc24843"/>
      <w:bookmarkStart w:id="747" w:name="_Toc2157"/>
      <w:bookmarkStart w:id="748" w:name="_Toc7328"/>
      <w:bookmarkStart w:id="749" w:name="_Toc15512"/>
      <w:bookmarkStart w:id="750" w:name="_Toc8775"/>
      <w:bookmarkStart w:id="751" w:name="_Toc16744"/>
      <w:bookmarkStart w:id="752" w:name="_Toc24950"/>
      <w:bookmarkStart w:id="753" w:name="_Toc26914"/>
      <w:r>
        <w:rPr>
          <w:rStyle w:val="30"/>
          <w:rFonts w:hint="eastAsia" w:ascii="宋体" w:hAnsi="宋体" w:eastAsia="宋体" w:cs="宋体"/>
          <w:b/>
          <w:bCs w:val="0"/>
          <w:color w:val="auto"/>
          <w:kern w:val="0"/>
          <w:sz w:val="28"/>
          <w:szCs w:val="28"/>
          <w:highlight w:val="none"/>
          <w:lang w:val="en-US" w:eastAsia="zh-CN"/>
        </w:rPr>
        <w:t>(一) 资格承诺声明函</w:t>
      </w:r>
      <w:bookmarkEnd w:id="742"/>
      <w:bookmarkEnd w:id="743"/>
      <w:bookmarkEnd w:id="744"/>
      <w:bookmarkEnd w:id="745"/>
      <w:bookmarkEnd w:id="746"/>
      <w:bookmarkEnd w:id="747"/>
      <w:bookmarkEnd w:id="748"/>
      <w:bookmarkEnd w:id="749"/>
      <w:bookmarkEnd w:id="750"/>
      <w:bookmarkEnd w:id="751"/>
      <w:bookmarkEnd w:id="752"/>
      <w:bookmarkEnd w:id="753"/>
    </w:p>
    <w:p w14:paraId="05B87E7D">
      <w:pPr>
        <w:widowControl w:val="0"/>
        <w:wordWrap/>
        <w:adjustRightInd/>
        <w:snapToGrid/>
        <w:spacing w:line="44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资格承诺声明函</w:t>
      </w:r>
    </w:p>
    <w:p w14:paraId="6D5654C7">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致（本项目采购单位）</w:t>
      </w:r>
      <w:r>
        <w:rPr>
          <w:rFonts w:hint="eastAsia" w:ascii="宋体" w:hAnsi="宋体" w:eastAsia="宋体" w:cs="宋体"/>
          <w:color w:val="auto"/>
          <w:sz w:val="21"/>
          <w:szCs w:val="21"/>
          <w:highlight w:val="none"/>
          <w:lang w:val="en-US" w:eastAsia="zh-CN"/>
        </w:rPr>
        <w:t>：</w:t>
      </w:r>
    </w:p>
    <w:p w14:paraId="55E57DDF">
      <w:p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我单位自愿参加本次政府采购活动，严格遵守《中华人民共和国政府采购法》及相关法律法规，依法诚信经营，依法遵守本次政府采购活动的各项规定。我单位郑重承诺声明如下：</w:t>
      </w:r>
    </w:p>
    <w:p w14:paraId="2142D092">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一、我单位全称为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注册地点为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统一社会信用代码为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法定代表人（单位负责人）为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联系方式为</w:t>
      </w:r>
      <w:r>
        <w:rPr>
          <w:rFonts w:hint="eastAsia" w:ascii="宋体" w:hAnsi="宋体" w:eastAsia="宋体" w:cs="宋体"/>
          <w:color w:val="auto"/>
          <w:sz w:val="21"/>
          <w:szCs w:val="21"/>
          <w:highlight w:val="none"/>
          <w:u w:val="single"/>
          <w:lang w:val="en-US" w:eastAsia="zh-CN"/>
        </w:rPr>
        <w:t xml:space="preserve">                          。</w:t>
      </w:r>
    </w:p>
    <w:p w14:paraId="5124E987">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二、我单位具有独立承担民事责任的能力。</w:t>
      </w:r>
    </w:p>
    <w:p w14:paraId="7D6FECEE">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三、我单位具有良好的商业信誉和健全的财务会计制度。</w:t>
      </w:r>
    </w:p>
    <w:p w14:paraId="5B74213F">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四、我单位具有履行合同所必需的设备和专业技术能力。</w:t>
      </w:r>
    </w:p>
    <w:p w14:paraId="009F9C14">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五、我单位有依法缴纳税收和社会保障资金的良好记录。</w:t>
      </w:r>
    </w:p>
    <w:p w14:paraId="5427B179">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六、我单位参加政府采购活动前三年内，在经营活动中没有重大违法记录。（重大违法记录，是指供应商因违法经营受到刑事处罚或者责令停产停业、吊销许可证或者执照、较大数额罚款等行政处罚。）</w:t>
      </w:r>
    </w:p>
    <w:p w14:paraId="05D45B0E">
      <w:pPr>
        <w:spacing w:line="360" w:lineRule="auto"/>
        <w:ind w:firstLine="420" w:firstLineChars="200"/>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七、我单位具备法律、行政法规规定的其他条件。</w:t>
      </w:r>
    </w:p>
    <w:p w14:paraId="3A522C3E">
      <w:p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我单位保证上述声明的事项都是真实的，符合</w:t>
      </w:r>
      <w:r>
        <w:rPr>
          <w:rFonts w:hint="eastAsia" w:ascii="宋体" w:hAnsi="宋体" w:eastAsia="宋体" w:cs="宋体"/>
          <w:color w:val="auto"/>
          <w:sz w:val="21"/>
          <w:szCs w:val="21"/>
          <w:highlight w:val="none"/>
          <w:lang w:val="en-US" w:eastAsia="zh-CN"/>
        </w:rPr>
        <w:t>《中华人民共和国政府采购法》规定的供应商资格条件。如有弄虚作假，我单位愿意按照“提交虚假材料谋取中标、成交”承担相应的法律责任，同意将违背承诺行为作为失信行为记录到社会信用信息平台，并承担因此造成的一切损失。</w:t>
      </w:r>
    </w:p>
    <w:p w14:paraId="0092367E">
      <w:pPr>
        <w:jc w:val="both"/>
        <w:rPr>
          <w:rFonts w:hint="eastAsia" w:ascii="宋体" w:hAnsi="宋体" w:eastAsia="宋体" w:cs="宋体"/>
          <w:color w:val="auto"/>
          <w:sz w:val="21"/>
          <w:szCs w:val="21"/>
          <w:highlight w:val="none"/>
          <w:lang w:val="en-US" w:eastAsia="zh-CN"/>
        </w:rPr>
      </w:pPr>
    </w:p>
    <w:p w14:paraId="775215AB">
      <w:pPr>
        <w:spacing w:line="360" w:lineRule="auto"/>
        <w:ind w:firstLine="1260" w:firstLineChars="6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承诺单位：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lang w:val="en-US" w:eastAsia="zh-CN"/>
        </w:rPr>
        <w:t>）</w:t>
      </w:r>
    </w:p>
    <w:p w14:paraId="1682710C">
      <w:pPr>
        <w:spacing w:line="360" w:lineRule="auto"/>
        <w:ind w:firstLine="1260" w:firstLineChars="6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法定代表人或委托代理人：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（电子签章或签字）</w:t>
      </w:r>
    </w:p>
    <w:p w14:paraId="37A41CD8">
      <w:pPr>
        <w:spacing w:line="360" w:lineRule="auto"/>
        <w:ind w:firstLine="1260" w:firstLineChars="6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FA4BFED">
      <w:pPr>
        <w:jc w:val="center"/>
        <w:rPr>
          <w:rFonts w:hint="eastAsia" w:ascii="宋体" w:hAnsi="宋体" w:eastAsia="宋体" w:cs="宋体"/>
          <w:color w:val="auto"/>
          <w:highlight w:val="none"/>
          <w:lang w:val="en-US" w:eastAsia="zh-CN"/>
        </w:rPr>
      </w:pPr>
    </w:p>
    <w:p w14:paraId="38026BFE">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注：1.供应商须在响应文件中按此模板提供承诺函，未提供视为未实质性响应磋商文件要求，按无效投标处理。</w:t>
      </w:r>
    </w:p>
    <w:p w14:paraId="0A53EDD8">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2.供应商的法定代表人或者授权代表的签字或盖章应真实、有效。</w:t>
      </w:r>
    </w:p>
    <w:p w14:paraId="041EC09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3958A40">
      <w:pPr>
        <w:pStyle w:val="4"/>
        <w:widowControl w:val="0"/>
        <w:wordWrap/>
        <w:adjustRightInd/>
        <w:snapToGrid/>
        <w:spacing w:line="440" w:lineRule="exact"/>
        <w:jc w:val="center"/>
        <w:textAlignment w:val="auto"/>
        <w:rPr>
          <w:rStyle w:val="30"/>
          <w:rFonts w:hint="eastAsia" w:ascii="宋体" w:hAnsi="宋体" w:eastAsia="宋体" w:cs="宋体"/>
          <w:b/>
          <w:bCs w:val="0"/>
          <w:color w:val="auto"/>
          <w:kern w:val="0"/>
          <w:sz w:val="28"/>
          <w:szCs w:val="28"/>
          <w:highlight w:val="none"/>
          <w:lang w:val="en-US" w:eastAsia="zh-CN"/>
        </w:rPr>
      </w:pPr>
      <w:bookmarkStart w:id="754" w:name="_Toc2144"/>
      <w:bookmarkStart w:id="755" w:name="_Toc22672"/>
      <w:bookmarkStart w:id="756" w:name="_Toc29226"/>
      <w:bookmarkStart w:id="757" w:name="_Toc19378"/>
      <w:bookmarkStart w:id="758" w:name="_Toc13553"/>
      <w:bookmarkStart w:id="759" w:name="_Toc1972"/>
      <w:r>
        <w:rPr>
          <w:rStyle w:val="30"/>
          <w:rFonts w:hint="eastAsia" w:ascii="宋体" w:hAnsi="宋体" w:eastAsia="宋体" w:cs="宋体"/>
          <w:b/>
          <w:bCs w:val="0"/>
          <w:color w:val="auto"/>
          <w:kern w:val="0"/>
          <w:sz w:val="28"/>
          <w:szCs w:val="28"/>
          <w:highlight w:val="none"/>
          <w:lang w:val="en-US" w:eastAsia="zh-CN"/>
        </w:rPr>
        <w:t>（二）招标代理服务费承诺函</w:t>
      </w:r>
      <w:bookmarkEnd w:id="754"/>
      <w:bookmarkEnd w:id="755"/>
      <w:bookmarkEnd w:id="756"/>
      <w:bookmarkEnd w:id="757"/>
      <w:bookmarkEnd w:id="758"/>
      <w:bookmarkEnd w:id="759"/>
    </w:p>
    <w:p w14:paraId="131A3308">
      <w:pPr>
        <w:pStyle w:val="18"/>
        <w:widowControl/>
        <w:spacing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致</w:t>
      </w:r>
      <w:r>
        <w:rPr>
          <w:rFonts w:hint="eastAsia" w:cs="宋体"/>
          <w:color w:val="auto"/>
          <w:spacing w:val="8"/>
          <w:sz w:val="21"/>
          <w:szCs w:val="21"/>
          <w:highlight w:val="none"/>
          <w:shd w:val="clear" w:color="auto" w:fill="FFFFFF"/>
          <w:lang w:eastAsia="zh-CN"/>
        </w:rPr>
        <w:t>（</w:t>
      </w:r>
      <w:r>
        <w:rPr>
          <w:rFonts w:hint="eastAsia" w:ascii="宋体" w:hAnsi="宋体" w:eastAsia="宋体" w:cs="宋体"/>
          <w:color w:val="auto"/>
          <w:spacing w:val="8"/>
          <w:sz w:val="21"/>
          <w:szCs w:val="21"/>
          <w:highlight w:val="none"/>
          <w:u w:val="none"/>
          <w:shd w:val="clear" w:color="auto" w:fill="FFFFFF"/>
          <w:lang w:val="en-US" w:eastAsia="zh-CN"/>
        </w:rPr>
        <w:t>招标</w:t>
      </w:r>
      <w:r>
        <w:rPr>
          <w:rFonts w:hint="eastAsia" w:ascii="宋体" w:hAnsi="宋体" w:eastAsia="宋体" w:cs="宋体"/>
          <w:color w:val="auto"/>
          <w:spacing w:val="8"/>
          <w:sz w:val="21"/>
          <w:szCs w:val="21"/>
          <w:highlight w:val="none"/>
          <w:u w:val="none"/>
          <w:shd w:val="clear" w:color="auto" w:fill="FFFFFF"/>
        </w:rPr>
        <w:t>代理机构</w:t>
      </w:r>
      <w:r>
        <w:rPr>
          <w:rFonts w:hint="eastAsia" w:cs="宋体"/>
          <w:color w:val="auto"/>
          <w:spacing w:val="8"/>
          <w:sz w:val="21"/>
          <w:szCs w:val="21"/>
          <w:highlight w:val="none"/>
          <w:shd w:val="clear" w:color="auto" w:fill="FFFFFF"/>
          <w:lang w:eastAsia="zh-CN"/>
        </w:rPr>
        <w:t>）</w:t>
      </w:r>
      <w:r>
        <w:rPr>
          <w:rFonts w:hint="eastAsia" w:ascii="宋体" w:hAnsi="宋体" w:eastAsia="宋体" w:cs="宋体"/>
          <w:color w:val="auto"/>
          <w:spacing w:val="8"/>
          <w:sz w:val="21"/>
          <w:szCs w:val="21"/>
          <w:highlight w:val="none"/>
          <w:shd w:val="clear" w:color="auto" w:fill="FFFFFF"/>
        </w:rPr>
        <w:t>：</w:t>
      </w:r>
    </w:p>
    <w:p w14:paraId="2F9DDFE2">
      <w:pPr>
        <w:pStyle w:val="18"/>
        <w:widowControl/>
        <w:spacing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我们在贵公司组织的（项目名称：</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，项目编号：</w:t>
      </w:r>
      <w:r>
        <w:rPr>
          <w:rFonts w:hint="eastAsia" w:ascii="宋体" w:hAnsi="宋体" w:eastAsia="宋体" w:cs="宋体"/>
          <w:color w:val="auto"/>
          <w:spacing w:val="8"/>
          <w:sz w:val="21"/>
          <w:szCs w:val="21"/>
          <w:highlight w:val="none"/>
          <w:u w:val="single"/>
          <w:shd w:val="clear" w:color="auto" w:fill="FFFFFF"/>
        </w:rPr>
        <w:t xml:space="preserve">      </w:t>
      </w:r>
      <w:r>
        <w:rPr>
          <w:rFonts w:hint="eastAsia" w:ascii="宋体" w:hAnsi="宋体" w:eastAsia="宋体" w:cs="宋体"/>
          <w:color w:val="auto"/>
          <w:spacing w:val="8"/>
          <w:sz w:val="21"/>
          <w:szCs w:val="21"/>
          <w:highlight w:val="none"/>
          <w:shd w:val="clear" w:color="auto" w:fill="FFFFFF"/>
        </w:rPr>
        <w:t>）招标中若获</w:t>
      </w:r>
      <w:r>
        <w:rPr>
          <w:rFonts w:hint="eastAsia" w:ascii="宋体" w:hAnsi="宋体" w:eastAsia="宋体" w:cs="宋体"/>
          <w:color w:val="auto"/>
          <w:spacing w:val="8"/>
          <w:sz w:val="21"/>
          <w:szCs w:val="21"/>
          <w:highlight w:val="none"/>
          <w:shd w:val="clear" w:color="auto" w:fill="FFFFFF"/>
          <w:lang w:val="en-US" w:eastAsia="zh-CN"/>
        </w:rPr>
        <w:t>中标</w:t>
      </w:r>
      <w:r>
        <w:rPr>
          <w:rFonts w:hint="eastAsia" w:ascii="宋体" w:hAnsi="宋体" w:eastAsia="宋体" w:cs="宋体"/>
          <w:color w:val="auto"/>
          <w:spacing w:val="8"/>
          <w:sz w:val="21"/>
          <w:szCs w:val="21"/>
          <w:highlight w:val="none"/>
          <w:shd w:val="clear" w:color="auto" w:fill="FFFFFF"/>
        </w:rPr>
        <w:t>，我们保证在</w:t>
      </w:r>
      <w:r>
        <w:rPr>
          <w:rFonts w:hint="eastAsia" w:cs="宋体"/>
          <w:color w:val="auto"/>
          <w:spacing w:val="8"/>
          <w:sz w:val="21"/>
          <w:szCs w:val="21"/>
          <w:highlight w:val="none"/>
          <w:shd w:val="clear" w:color="auto" w:fill="FFFFFF"/>
          <w:lang w:val="en-US" w:eastAsia="zh-CN"/>
        </w:rPr>
        <w:t>成交</w:t>
      </w:r>
      <w:r>
        <w:rPr>
          <w:rFonts w:hint="eastAsia" w:ascii="宋体" w:hAnsi="宋体" w:eastAsia="宋体" w:cs="宋体"/>
          <w:color w:val="auto"/>
          <w:spacing w:val="8"/>
          <w:sz w:val="21"/>
          <w:szCs w:val="21"/>
          <w:highlight w:val="none"/>
          <w:shd w:val="clear" w:color="auto" w:fill="FFFFFF"/>
        </w:rPr>
        <w:t>公告发布后5个工作日内，按</w:t>
      </w:r>
      <w:r>
        <w:rPr>
          <w:rFonts w:hint="eastAsia" w:ascii="宋体" w:hAnsi="宋体" w:eastAsia="宋体" w:cs="宋体"/>
          <w:color w:val="auto"/>
          <w:sz w:val="21"/>
          <w:szCs w:val="21"/>
          <w:highlight w:val="none"/>
        </w:rPr>
        <w:t>文件</w:t>
      </w:r>
      <w:r>
        <w:rPr>
          <w:rFonts w:hint="eastAsia" w:ascii="宋体" w:hAnsi="宋体" w:eastAsia="宋体" w:cs="宋体"/>
          <w:color w:val="auto"/>
          <w:spacing w:val="8"/>
          <w:sz w:val="21"/>
          <w:szCs w:val="21"/>
          <w:highlight w:val="none"/>
          <w:shd w:val="clear" w:color="auto" w:fill="FFFFFF"/>
        </w:rPr>
        <w:t>的规定，以现金</w:t>
      </w:r>
      <w:r>
        <w:rPr>
          <w:rFonts w:hint="eastAsia" w:ascii="宋体" w:hAnsi="宋体" w:eastAsia="宋体" w:cs="宋体"/>
          <w:color w:val="auto"/>
          <w:spacing w:val="8"/>
          <w:sz w:val="21"/>
          <w:szCs w:val="21"/>
          <w:highlight w:val="none"/>
          <w:shd w:val="clear" w:color="auto" w:fill="FFFFFF"/>
          <w:lang w:val="en-US" w:eastAsia="zh-CN"/>
        </w:rPr>
        <w:t>或转账的</w:t>
      </w:r>
      <w:r>
        <w:rPr>
          <w:rFonts w:hint="eastAsia" w:ascii="宋体" w:hAnsi="宋体" w:eastAsia="宋体" w:cs="宋体"/>
          <w:color w:val="auto"/>
          <w:spacing w:val="8"/>
          <w:sz w:val="21"/>
          <w:szCs w:val="21"/>
          <w:highlight w:val="none"/>
          <w:shd w:val="clear" w:color="auto" w:fill="FFFFFF"/>
        </w:rPr>
        <w:t>形式向贵公司一次性支付招标代理服务费用。否则，由此产生的一切法律后果和责任由我公司承担。我公司声明放弃对此提出任何异议和追索的权利。</w:t>
      </w:r>
    </w:p>
    <w:p w14:paraId="62CCCDCE">
      <w:pPr>
        <w:pStyle w:val="18"/>
        <w:widowControl/>
        <w:spacing w:line="360"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特此承诺。</w:t>
      </w:r>
    </w:p>
    <w:p w14:paraId="22EC73F6">
      <w:pPr>
        <w:pStyle w:val="18"/>
        <w:widowControl/>
        <w:spacing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auto" w:fill="FFFFFF"/>
        </w:rPr>
        <w:t> </w:t>
      </w:r>
    </w:p>
    <w:p w14:paraId="4808DDBF">
      <w:pPr>
        <w:pStyle w:val="18"/>
        <w:widowControl/>
        <w:spacing w:line="360" w:lineRule="auto"/>
        <w:jc w:val="both"/>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 </w:t>
      </w:r>
    </w:p>
    <w:p w14:paraId="705865DA">
      <w:pPr>
        <w:pStyle w:val="18"/>
        <w:widowControl/>
        <w:spacing w:line="360" w:lineRule="auto"/>
        <w:ind w:firstLine="480"/>
        <w:jc w:val="both"/>
        <w:rPr>
          <w:rFonts w:hint="eastAsia" w:ascii="宋体" w:hAnsi="宋体" w:eastAsia="宋体" w:cs="宋体"/>
          <w:color w:val="auto"/>
          <w:spacing w:val="8"/>
          <w:sz w:val="21"/>
          <w:szCs w:val="21"/>
          <w:highlight w:val="none"/>
          <w:shd w:val="clear" w:color="auto" w:fill="FFFFFF"/>
          <w:lang w:val="en-US" w:eastAsia="zh-CN"/>
        </w:rPr>
      </w:pPr>
      <w:r>
        <w:rPr>
          <w:rFonts w:hint="eastAsia" w:cs="宋体"/>
          <w:color w:val="auto"/>
          <w:spacing w:val="8"/>
          <w:sz w:val="21"/>
          <w:szCs w:val="21"/>
          <w:highlight w:val="none"/>
          <w:shd w:val="clear" w:color="auto" w:fill="FFFFFF"/>
          <w:lang w:val="en-US" w:eastAsia="zh-CN"/>
        </w:rPr>
        <w:t>供应商</w:t>
      </w:r>
      <w:r>
        <w:rPr>
          <w:rFonts w:hint="eastAsia" w:ascii="宋体" w:hAnsi="宋体" w:eastAsia="宋体" w:cs="宋体"/>
          <w:color w:val="auto"/>
          <w:spacing w:val="8"/>
          <w:sz w:val="21"/>
          <w:szCs w:val="21"/>
          <w:highlight w:val="none"/>
          <w:shd w:val="clear" w:color="auto" w:fill="FFFFFF"/>
          <w:lang w:val="en-US" w:eastAsia="zh-CN"/>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spacing w:val="8"/>
          <w:sz w:val="21"/>
          <w:szCs w:val="21"/>
          <w:highlight w:val="none"/>
          <w:shd w:val="clear" w:color="auto" w:fill="FFFFFF"/>
          <w:lang w:val="en-US" w:eastAsia="zh-CN"/>
        </w:rPr>
        <w:t>）：</w:t>
      </w:r>
    </w:p>
    <w:p w14:paraId="32CAE755">
      <w:pPr>
        <w:pStyle w:val="18"/>
        <w:widowControl/>
        <w:spacing w:line="360" w:lineRule="auto"/>
        <w:ind w:firstLine="480"/>
        <w:jc w:val="both"/>
        <w:rPr>
          <w:rFonts w:hint="eastAsia" w:ascii="宋体" w:hAnsi="宋体" w:eastAsia="宋体" w:cs="宋体"/>
          <w:color w:val="auto"/>
          <w:spacing w:val="8"/>
          <w:sz w:val="21"/>
          <w:szCs w:val="21"/>
          <w:highlight w:val="none"/>
          <w:shd w:val="clear" w:color="auto" w:fill="FFFFFF"/>
          <w:lang w:val="en-US" w:eastAsia="zh-CN"/>
        </w:rPr>
      </w:pPr>
      <w:r>
        <w:rPr>
          <w:rFonts w:hint="eastAsia" w:ascii="宋体" w:hAnsi="宋体" w:eastAsia="宋体" w:cs="宋体"/>
          <w:color w:val="auto"/>
          <w:spacing w:val="8"/>
          <w:sz w:val="21"/>
          <w:szCs w:val="21"/>
          <w:highlight w:val="none"/>
          <w:shd w:val="clear" w:color="auto" w:fill="FFFFFF"/>
          <w:lang w:val="en-US" w:eastAsia="zh-CN"/>
        </w:rPr>
        <w:t>法定代表人或委托代理人（电子签章或签字）：</w:t>
      </w:r>
    </w:p>
    <w:p w14:paraId="7A964607">
      <w:pPr>
        <w:ind w:firstLine="452" w:firstLineChars="200"/>
        <w:rPr>
          <w:rFonts w:hint="eastAsia" w:ascii="宋体" w:hAnsi="宋体" w:eastAsia="宋体" w:cs="宋体"/>
          <w:color w:val="auto"/>
          <w:highlight w:val="none"/>
        </w:rPr>
      </w:pPr>
      <w:r>
        <w:rPr>
          <w:rFonts w:hint="eastAsia" w:ascii="宋体" w:hAnsi="宋体" w:eastAsia="宋体" w:cs="宋体"/>
          <w:color w:val="auto"/>
          <w:spacing w:val="8"/>
          <w:sz w:val="21"/>
          <w:szCs w:val="21"/>
          <w:highlight w:val="none"/>
          <w:shd w:val="clear" w:color="auto" w:fill="FFFFFF"/>
          <w:lang w:val="en-US" w:eastAsia="zh-CN"/>
        </w:rPr>
        <w:t>日期：  年  月  日</w:t>
      </w:r>
      <w:r>
        <w:rPr>
          <w:rFonts w:hint="eastAsia" w:ascii="宋体" w:hAnsi="宋体" w:eastAsia="宋体" w:cs="宋体"/>
          <w:color w:val="auto"/>
          <w:highlight w:val="none"/>
        </w:rPr>
        <w:br w:type="page"/>
      </w:r>
    </w:p>
    <w:bookmarkEnd w:id="729"/>
    <w:bookmarkEnd w:id="730"/>
    <w:bookmarkEnd w:id="731"/>
    <w:bookmarkEnd w:id="732"/>
    <w:bookmarkEnd w:id="733"/>
    <w:bookmarkEnd w:id="734"/>
    <w:bookmarkEnd w:id="735"/>
    <w:bookmarkEnd w:id="736"/>
    <w:bookmarkEnd w:id="737"/>
    <w:p w14:paraId="60406040">
      <w:pPr>
        <w:pStyle w:val="3"/>
        <w:numPr>
          <w:ilvl w:val="0"/>
          <w:numId w:val="0"/>
        </w:numPr>
        <w:ind w:leftChars="0"/>
        <w:jc w:val="center"/>
        <w:rPr>
          <w:rFonts w:hint="eastAsia" w:ascii="宋体" w:hAnsi="宋体" w:eastAsia="宋体" w:cs="宋体"/>
          <w:color w:val="auto"/>
          <w:highlight w:val="none"/>
          <w:lang w:val="en-US" w:eastAsia="zh-CN"/>
        </w:rPr>
      </w:pPr>
      <w:bookmarkStart w:id="760" w:name="_Toc31612"/>
      <w:bookmarkStart w:id="761" w:name="_Toc30301"/>
      <w:bookmarkStart w:id="762" w:name="_Toc18751"/>
      <w:bookmarkStart w:id="763" w:name="_Toc10158"/>
      <w:bookmarkStart w:id="764" w:name="_Toc6226"/>
      <w:bookmarkStart w:id="765" w:name="_Toc30674"/>
      <w:r>
        <w:rPr>
          <w:rFonts w:hint="eastAsia" w:ascii="宋体" w:hAnsi="宋体" w:eastAsia="宋体" w:cs="宋体"/>
          <w:color w:val="auto"/>
          <w:szCs w:val="28"/>
          <w:highlight w:val="none"/>
          <w:lang w:val="en-US" w:eastAsia="zh-CN"/>
        </w:rPr>
        <w:t>八、享受政府采购政策扶持的证明材料</w:t>
      </w:r>
      <w:bookmarkEnd w:id="760"/>
      <w:bookmarkEnd w:id="761"/>
      <w:bookmarkEnd w:id="762"/>
      <w:bookmarkEnd w:id="763"/>
      <w:bookmarkEnd w:id="764"/>
    </w:p>
    <w:p w14:paraId="437E0F72">
      <w:pPr>
        <w:wordWrap/>
        <w:adjustRightInd/>
        <w:snapToGrid/>
        <w:spacing w:before="72" w:line="480" w:lineRule="auto"/>
        <w:jc w:val="center"/>
        <w:textAlignment w:val="auto"/>
        <w:outlineLvl w:val="6"/>
        <w:rPr>
          <w:rFonts w:hint="eastAsia" w:ascii="宋体" w:hAnsi="宋体" w:eastAsia="宋体" w:cs="宋体"/>
          <w:b/>
          <w:bCs/>
          <w:color w:val="auto"/>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中小企业声明函</w:t>
      </w:r>
    </w:p>
    <w:p w14:paraId="42122639">
      <w:pPr>
        <w:wordWrap/>
        <w:adjustRightInd/>
        <w:snapToGrid/>
        <w:spacing w:line="480" w:lineRule="auto"/>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（属于中小微企业的填写，不属于的无需填写此项内容）</w:t>
      </w:r>
    </w:p>
    <w:p w14:paraId="6A3C9C84">
      <w:pPr>
        <w:keepNext w:val="0"/>
        <w:keepLines w:val="0"/>
        <w:pageBreakBefore w:val="0"/>
        <w:widowControl/>
        <w:kinsoku/>
        <w:wordWrap/>
        <w:overflowPunct/>
        <w:topLinePunct w:val="0"/>
        <w:autoSpaceDE/>
        <w:autoSpaceDN/>
        <w:bidi w:val="0"/>
        <w:adjustRightInd/>
        <w:snapToGrid/>
        <w:spacing w:line="480" w:lineRule="auto"/>
        <w:ind w:left="0" w:leftChars="0" w:right="0" w:firstLine="420" w:firstLineChars="200"/>
        <w:jc w:val="left"/>
        <w:textAlignment w:val="auto"/>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本公司（联合体）郑重声明，根据《政府采购促进中小企业发展管理办法》（财库﹝2020﹞46号）的规定，本公司（联合体）参加</w:t>
      </w:r>
      <w:r>
        <w:rPr>
          <w:rFonts w:hint="eastAsia" w:ascii="宋体" w:hAnsi="宋体" w:eastAsia="宋体" w:cs="宋体"/>
          <w:color w:val="auto"/>
          <w:sz w:val="21"/>
          <w:szCs w:val="20"/>
          <w:highlight w:val="none"/>
          <w:u w:val="single"/>
          <w:lang w:val="en-US" w:eastAsia="zh-CN"/>
        </w:rPr>
        <w:t>（单位名称）</w:t>
      </w:r>
      <w:r>
        <w:rPr>
          <w:rFonts w:hint="eastAsia" w:ascii="宋体" w:hAnsi="宋体" w:eastAsia="宋体" w:cs="宋体"/>
          <w:color w:val="auto"/>
          <w:sz w:val="21"/>
          <w:szCs w:val="20"/>
          <w:highlight w:val="none"/>
          <w:lang w:val="en-US" w:eastAsia="zh-CN"/>
        </w:rPr>
        <w:t>的</w:t>
      </w:r>
      <w:r>
        <w:rPr>
          <w:rFonts w:hint="eastAsia" w:ascii="宋体" w:hAnsi="宋体" w:eastAsia="宋体" w:cs="宋体"/>
          <w:color w:val="auto"/>
          <w:sz w:val="21"/>
          <w:szCs w:val="20"/>
          <w:highlight w:val="none"/>
          <w:u w:val="single"/>
          <w:lang w:val="en-US" w:eastAsia="zh-CN"/>
        </w:rPr>
        <w:t>（项目名称）</w:t>
      </w:r>
      <w:r>
        <w:rPr>
          <w:rFonts w:hint="eastAsia" w:ascii="宋体" w:hAnsi="宋体" w:eastAsia="宋体" w:cs="宋体"/>
          <w:color w:val="auto"/>
          <w:sz w:val="21"/>
          <w:szCs w:val="20"/>
          <w:highlight w:val="none"/>
          <w:lang w:val="en-US" w:eastAsia="zh-CN"/>
        </w:rPr>
        <w:t>采购活动，工程的施工单位全部为符合政策要求的中小企业（或者：服务全部由符合政策要求的中小企业承接）。相关企业（含联合 体中的中小企业、签订分包意向协议的中小企业）的具体情况如下：</w:t>
      </w:r>
    </w:p>
    <w:p w14:paraId="514DA989">
      <w:pPr>
        <w:keepNext w:val="0"/>
        <w:keepLines w:val="0"/>
        <w:pageBreakBefore w:val="0"/>
        <w:widowControl/>
        <w:kinsoku/>
        <w:wordWrap/>
        <w:overflowPunct/>
        <w:topLinePunct w:val="0"/>
        <w:autoSpaceDE/>
        <w:autoSpaceDN/>
        <w:bidi w:val="0"/>
        <w:adjustRightInd/>
        <w:snapToGrid/>
        <w:spacing w:line="480" w:lineRule="auto"/>
        <w:ind w:left="0" w:leftChars="0" w:right="0" w:firstLine="420" w:firstLineChars="200"/>
        <w:jc w:val="left"/>
        <w:textAlignment w:val="auto"/>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1.</w:t>
      </w:r>
      <w:r>
        <w:rPr>
          <w:rFonts w:hint="eastAsia" w:ascii="宋体" w:hAnsi="宋体" w:eastAsia="宋体" w:cs="宋体"/>
          <w:color w:val="auto"/>
          <w:sz w:val="21"/>
          <w:szCs w:val="20"/>
          <w:highlight w:val="none"/>
          <w:u w:val="single"/>
          <w:lang w:val="en-US" w:eastAsia="zh-CN"/>
        </w:rPr>
        <w:t>（标的名称）</w:t>
      </w:r>
      <w:r>
        <w:rPr>
          <w:rFonts w:hint="eastAsia" w:ascii="宋体" w:hAnsi="宋体" w:eastAsia="宋体" w:cs="宋体"/>
          <w:color w:val="auto"/>
          <w:sz w:val="21"/>
          <w:szCs w:val="20"/>
          <w:highlight w:val="none"/>
          <w:lang w:val="en-US" w:eastAsia="zh-CN"/>
        </w:rPr>
        <w:t>，属于</w:t>
      </w:r>
      <w:r>
        <w:rPr>
          <w:rFonts w:hint="eastAsia" w:ascii="宋体" w:hAnsi="宋体" w:eastAsia="宋体" w:cs="宋体"/>
          <w:color w:val="auto"/>
          <w:sz w:val="21"/>
          <w:szCs w:val="20"/>
          <w:highlight w:val="none"/>
          <w:u w:val="single"/>
          <w:lang w:val="en-US" w:eastAsia="zh-CN"/>
        </w:rPr>
        <w:t xml:space="preserve"> （采购文件中明确的所属行业） </w:t>
      </w:r>
      <w:r>
        <w:rPr>
          <w:rFonts w:hint="eastAsia" w:ascii="宋体" w:hAnsi="宋体" w:eastAsia="宋体" w:cs="宋体"/>
          <w:color w:val="auto"/>
          <w:sz w:val="21"/>
          <w:szCs w:val="20"/>
          <w:highlight w:val="none"/>
          <w:lang w:val="en-US" w:eastAsia="zh-CN"/>
        </w:rPr>
        <w:t>；承建（承接）企业为</w:t>
      </w:r>
      <w:r>
        <w:rPr>
          <w:rFonts w:hint="eastAsia" w:ascii="宋体" w:hAnsi="宋体" w:eastAsia="宋体" w:cs="宋体"/>
          <w:color w:val="auto"/>
          <w:sz w:val="21"/>
          <w:szCs w:val="20"/>
          <w:highlight w:val="none"/>
          <w:u w:val="single"/>
          <w:lang w:val="en-US" w:eastAsia="zh-CN"/>
        </w:rPr>
        <w:t>（企业名称）</w:t>
      </w:r>
      <w:r>
        <w:rPr>
          <w:rFonts w:hint="eastAsia" w:ascii="宋体" w:hAnsi="宋体" w:eastAsia="宋体" w:cs="宋体"/>
          <w:color w:val="auto"/>
          <w:sz w:val="21"/>
          <w:szCs w:val="20"/>
          <w:highlight w:val="none"/>
          <w:lang w:val="en-US" w:eastAsia="zh-CN"/>
        </w:rPr>
        <w:t>，从业人员</w:t>
      </w:r>
      <w:r>
        <w:rPr>
          <w:rFonts w:hint="eastAsia" w:ascii="宋体" w:hAnsi="宋体" w:eastAsia="宋体" w:cs="宋体"/>
          <w:color w:val="auto"/>
          <w:sz w:val="21"/>
          <w:szCs w:val="20"/>
          <w:highlight w:val="none"/>
          <w:u w:val="single"/>
          <w:lang w:val="en-US" w:eastAsia="zh-CN"/>
        </w:rPr>
        <w:t xml:space="preserve">    </w:t>
      </w:r>
      <w:r>
        <w:rPr>
          <w:rFonts w:hint="eastAsia" w:ascii="宋体" w:hAnsi="宋体" w:eastAsia="宋体" w:cs="宋体"/>
          <w:color w:val="auto"/>
          <w:sz w:val="21"/>
          <w:szCs w:val="20"/>
          <w:highlight w:val="none"/>
          <w:lang w:val="en-US" w:eastAsia="zh-CN"/>
        </w:rPr>
        <w:t>人，营业收入为</w:t>
      </w:r>
      <w:r>
        <w:rPr>
          <w:rFonts w:hint="eastAsia" w:ascii="宋体" w:hAnsi="宋体" w:eastAsia="宋体" w:cs="宋体"/>
          <w:color w:val="auto"/>
          <w:sz w:val="21"/>
          <w:szCs w:val="20"/>
          <w:highlight w:val="none"/>
          <w:u w:val="single"/>
          <w:lang w:val="en-US" w:eastAsia="zh-CN"/>
        </w:rPr>
        <w:t xml:space="preserve">    </w:t>
      </w:r>
      <w:r>
        <w:rPr>
          <w:rFonts w:hint="eastAsia" w:ascii="宋体" w:hAnsi="宋体" w:eastAsia="宋体" w:cs="宋体"/>
          <w:color w:val="auto"/>
          <w:sz w:val="21"/>
          <w:szCs w:val="20"/>
          <w:highlight w:val="none"/>
          <w:lang w:val="en-US" w:eastAsia="zh-CN"/>
        </w:rPr>
        <w:t>万元，资产总额为</w:t>
      </w:r>
      <w:r>
        <w:rPr>
          <w:rFonts w:hint="eastAsia" w:ascii="宋体" w:hAnsi="宋体" w:eastAsia="宋体" w:cs="宋体"/>
          <w:color w:val="auto"/>
          <w:sz w:val="21"/>
          <w:szCs w:val="20"/>
          <w:highlight w:val="none"/>
          <w:u w:val="single"/>
          <w:lang w:val="en-US" w:eastAsia="zh-CN"/>
        </w:rPr>
        <w:t xml:space="preserve">     </w:t>
      </w:r>
      <w:r>
        <w:rPr>
          <w:rFonts w:hint="eastAsia" w:ascii="宋体" w:hAnsi="宋体" w:eastAsia="宋体" w:cs="宋体"/>
          <w:color w:val="auto"/>
          <w:sz w:val="21"/>
          <w:szCs w:val="20"/>
          <w:highlight w:val="none"/>
          <w:lang w:val="en-US" w:eastAsia="zh-CN"/>
        </w:rPr>
        <w:t>万元，属于</w:t>
      </w:r>
      <w:r>
        <w:rPr>
          <w:rFonts w:hint="eastAsia" w:ascii="宋体" w:hAnsi="宋体" w:eastAsia="宋体" w:cs="宋体"/>
          <w:color w:val="auto"/>
          <w:sz w:val="21"/>
          <w:szCs w:val="20"/>
          <w:highlight w:val="none"/>
          <w:u w:val="single"/>
          <w:lang w:val="en-US" w:eastAsia="zh-CN"/>
        </w:rPr>
        <w:t>（中型企业、小型企业、微型企业）</w:t>
      </w:r>
      <w:r>
        <w:rPr>
          <w:rFonts w:hint="eastAsia" w:ascii="宋体" w:hAnsi="宋体" w:eastAsia="宋体" w:cs="宋体"/>
          <w:color w:val="auto"/>
          <w:sz w:val="21"/>
          <w:szCs w:val="20"/>
          <w:highlight w:val="none"/>
          <w:lang w:val="en-US" w:eastAsia="zh-CN"/>
        </w:rPr>
        <w:t>；</w:t>
      </w:r>
    </w:p>
    <w:p w14:paraId="326DF891">
      <w:pPr>
        <w:keepNext w:val="0"/>
        <w:keepLines w:val="0"/>
        <w:pageBreakBefore w:val="0"/>
        <w:widowControl/>
        <w:kinsoku/>
        <w:wordWrap/>
        <w:overflowPunct/>
        <w:topLinePunct w:val="0"/>
        <w:autoSpaceDE/>
        <w:autoSpaceDN/>
        <w:bidi w:val="0"/>
        <w:adjustRightInd/>
        <w:snapToGrid/>
        <w:spacing w:line="480" w:lineRule="auto"/>
        <w:ind w:left="0" w:leftChars="0" w:right="0" w:firstLine="420" w:firstLineChars="200"/>
        <w:jc w:val="left"/>
        <w:textAlignment w:val="auto"/>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2.</w:t>
      </w:r>
      <w:r>
        <w:rPr>
          <w:rFonts w:hint="eastAsia" w:ascii="宋体" w:hAnsi="宋体" w:eastAsia="宋体" w:cs="宋体"/>
          <w:color w:val="auto"/>
          <w:sz w:val="21"/>
          <w:szCs w:val="20"/>
          <w:highlight w:val="none"/>
          <w:u w:val="single"/>
          <w:lang w:val="en-US" w:eastAsia="zh-CN"/>
        </w:rPr>
        <w:t>（标的名称）</w:t>
      </w:r>
      <w:r>
        <w:rPr>
          <w:rFonts w:hint="eastAsia" w:ascii="宋体" w:hAnsi="宋体" w:eastAsia="宋体" w:cs="宋体"/>
          <w:color w:val="auto"/>
          <w:sz w:val="21"/>
          <w:szCs w:val="20"/>
          <w:highlight w:val="none"/>
          <w:lang w:val="en-US" w:eastAsia="zh-CN"/>
        </w:rPr>
        <w:t>，属于</w:t>
      </w:r>
      <w:r>
        <w:rPr>
          <w:rFonts w:hint="eastAsia" w:ascii="宋体" w:hAnsi="宋体" w:eastAsia="宋体" w:cs="宋体"/>
          <w:color w:val="auto"/>
          <w:sz w:val="21"/>
          <w:szCs w:val="20"/>
          <w:highlight w:val="none"/>
          <w:u w:val="single"/>
          <w:lang w:val="en-US" w:eastAsia="zh-CN"/>
        </w:rPr>
        <w:t xml:space="preserve"> （采购文件中明确的所属行业） </w:t>
      </w:r>
      <w:r>
        <w:rPr>
          <w:rFonts w:hint="eastAsia" w:ascii="宋体" w:hAnsi="宋体" w:eastAsia="宋体" w:cs="宋体"/>
          <w:color w:val="auto"/>
          <w:sz w:val="21"/>
          <w:szCs w:val="20"/>
          <w:highlight w:val="none"/>
          <w:lang w:val="en-US" w:eastAsia="zh-CN"/>
        </w:rPr>
        <w:t>；承建（承接）企业为</w:t>
      </w:r>
      <w:r>
        <w:rPr>
          <w:rFonts w:hint="eastAsia" w:ascii="宋体" w:hAnsi="宋体" w:eastAsia="宋体" w:cs="宋体"/>
          <w:color w:val="auto"/>
          <w:sz w:val="21"/>
          <w:szCs w:val="20"/>
          <w:highlight w:val="none"/>
          <w:u w:val="single"/>
          <w:lang w:val="en-US" w:eastAsia="zh-CN"/>
        </w:rPr>
        <w:t>（企业名称）</w:t>
      </w:r>
      <w:r>
        <w:rPr>
          <w:rFonts w:hint="eastAsia" w:ascii="宋体" w:hAnsi="宋体" w:eastAsia="宋体" w:cs="宋体"/>
          <w:color w:val="auto"/>
          <w:sz w:val="21"/>
          <w:szCs w:val="20"/>
          <w:highlight w:val="none"/>
          <w:lang w:val="en-US" w:eastAsia="zh-CN"/>
        </w:rPr>
        <w:t>，从业人员</w:t>
      </w:r>
      <w:r>
        <w:rPr>
          <w:rFonts w:hint="eastAsia" w:ascii="宋体" w:hAnsi="宋体" w:eastAsia="宋体" w:cs="宋体"/>
          <w:color w:val="auto"/>
          <w:sz w:val="21"/>
          <w:szCs w:val="20"/>
          <w:highlight w:val="none"/>
          <w:u w:val="single"/>
          <w:lang w:val="en-US" w:eastAsia="zh-CN"/>
        </w:rPr>
        <w:t xml:space="preserve">     </w:t>
      </w:r>
      <w:r>
        <w:rPr>
          <w:rFonts w:hint="eastAsia" w:ascii="宋体" w:hAnsi="宋体" w:eastAsia="宋体" w:cs="宋体"/>
          <w:color w:val="auto"/>
          <w:sz w:val="21"/>
          <w:szCs w:val="20"/>
          <w:highlight w:val="none"/>
          <w:lang w:val="en-US" w:eastAsia="zh-CN"/>
        </w:rPr>
        <w:t>人，营业收入为</w:t>
      </w:r>
      <w:r>
        <w:rPr>
          <w:rFonts w:hint="eastAsia" w:ascii="宋体" w:hAnsi="宋体" w:eastAsia="宋体" w:cs="宋体"/>
          <w:color w:val="auto"/>
          <w:sz w:val="21"/>
          <w:szCs w:val="20"/>
          <w:highlight w:val="none"/>
          <w:u w:val="single"/>
          <w:lang w:val="en-US" w:eastAsia="zh-CN"/>
        </w:rPr>
        <w:t xml:space="preserve">    </w:t>
      </w:r>
      <w:r>
        <w:rPr>
          <w:rFonts w:hint="eastAsia" w:ascii="宋体" w:hAnsi="宋体" w:eastAsia="宋体" w:cs="宋体"/>
          <w:color w:val="auto"/>
          <w:sz w:val="21"/>
          <w:szCs w:val="20"/>
          <w:highlight w:val="none"/>
          <w:lang w:val="en-US" w:eastAsia="zh-CN"/>
        </w:rPr>
        <w:t>万元，资产总额为</w:t>
      </w:r>
      <w:r>
        <w:rPr>
          <w:rFonts w:hint="eastAsia" w:ascii="宋体" w:hAnsi="宋体" w:eastAsia="宋体" w:cs="宋体"/>
          <w:color w:val="auto"/>
          <w:sz w:val="21"/>
          <w:szCs w:val="20"/>
          <w:highlight w:val="none"/>
          <w:u w:val="single"/>
          <w:lang w:val="en-US" w:eastAsia="zh-CN"/>
        </w:rPr>
        <w:t xml:space="preserve">     </w:t>
      </w:r>
      <w:r>
        <w:rPr>
          <w:rFonts w:hint="eastAsia" w:ascii="宋体" w:hAnsi="宋体" w:eastAsia="宋体" w:cs="宋体"/>
          <w:color w:val="auto"/>
          <w:sz w:val="21"/>
          <w:szCs w:val="20"/>
          <w:highlight w:val="none"/>
          <w:lang w:val="en-US" w:eastAsia="zh-CN"/>
        </w:rPr>
        <w:t xml:space="preserve"> 万元，属于</w:t>
      </w:r>
      <w:r>
        <w:rPr>
          <w:rFonts w:hint="eastAsia" w:ascii="宋体" w:hAnsi="宋体" w:eastAsia="宋体" w:cs="宋体"/>
          <w:color w:val="auto"/>
          <w:sz w:val="21"/>
          <w:szCs w:val="20"/>
          <w:highlight w:val="none"/>
          <w:u w:val="single"/>
          <w:lang w:val="en-US" w:eastAsia="zh-CN"/>
        </w:rPr>
        <w:t>（中型企业、小型企业、微型企业）</w:t>
      </w:r>
      <w:r>
        <w:rPr>
          <w:rFonts w:hint="eastAsia" w:ascii="宋体" w:hAnsi="宋体" w:eastAsia="宋体" w:cs="宋体"/>
          <w:color w:val="auto"/>
          <w:sz w:val="21"/>
          <w:szCs w:val="20"/>
          <w:highlight w:val="none"/>
          <w:lang w:val="en-US" w:eastAsia="zh-CN"/>
        </w:rPr>
        <w:t>。</w:t>
      </w:r>
    </w:p>
    <w:p w14:paraId="37D8C030">
      <w:pPr>
        <w:keepNext w:val="0"/>
        <w:keepLines w:val="0"/>
        <w:pageBreakBefore w:val="0"/>
        <w:widowControl/>
        <w:kinsoku/>
        <w:wordWrap/>
        <w:overflowPunct/>
        <w:topLinePunct w:val="0"/>
        <w:autoSpaceDE/>
        <w:autoSpaceDN/>
        <w:bidi w:val="0"/>
        <w:adjustRightInd/>
        <w:snapToGrid/>
        <w:spacing w:line="480" w:lineRule="auto"/>
        <w:ind w:left="0" w:leftChars="0" w:right="0" w:firstLine="420" w:firstLineChars="200"/>
        <w:jc w:val="left"/>
        <w:textAlignment w:val="auto"/>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w:t>
      </w:r>
    </w:p>
    <w:p w14:paraId="04D5B4F8">
      <w:pPr>
        <w:pStyle w:val="8"/>
        <w:keepNext w:val="0"/>
        <w:keepLines w:val="0"/>
        <w:pageBreakBefore w:val="0"/>
        <w:kinsoku/>
        <w:wordWrap/>
        <w:overflowPunct/>
        <w:topLinePunct w:val="0"/>
        <w:autoSpaceDE/>
        <w:autoSpaceDN/>
        <w:bidi w:val="0"/>
        <w:adjustRightInd/>
        <w:snapToGrid/>
        <w:spacing w:before="108" w:line="480" w:lineRule="auto"/>
        <w:ind w:left="0" w:leftChars="0" w:right="417"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以上企业，不属于大企业的分支机构，不存在控股股东为大企业的情形，也不存在与大企业的负责人为同一人的情形。</w:t>
      </w:r>
    </w:p>
    <w:p w14:paraId="7E8F0533">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s="宋体"/>
          <w:color w:val="auto"/>
          <w:highlight w:val="none"/>
        </w:rPr>
      </w:pPr>
      <w:r>
        <w:rPr>
          <w:rFonts w:hint="eastAsia" w:ascii="宋体" w:hAnsi="宋体" w:eastAsia="宋体" w:cs="宋体"/>
          <w:color w:val="auto"/>
          <w:kern w:val="2"/>
          <w:sz w:val="21"/>
          <w:szCs w:val="21"/>
          <w:highlight w:val="none"/>
          <w:lang w:val="en-US" w:eastAsia="zh-CN" w:bidi="ar-SA"/>
        </w:rPr>
        <w:t>本企业对上述声明内容的真实性负责。如有虚假，将依法承担相应责任</w:t>
      </w:r>
      <w:r>
        <w:rPr>
          <w:rFonts w:hint="eastAsia" w:ascii="宋体" w:hAnsi="宋体" w:eastAsia="宋体" w:cs="宋体"/>
          <w:color w:val="auto"/>
          <w:sz w:val="21"/>
          <w:szCs w:val="21"/>
          <w:highlight w:val="none"/>
          <w:lang w:val="en-US" w:eastAsia="zh-CN"/>
        </w:rPr>
        <w:t>。</w:t>
      </w:r>
    </w:p>
    <w:p w14:paraId="2E3A28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0" w:firstLine="420" w:firstLineChars="0"/>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企业名称（电子签章）：</w:t>
      </w:r>
      <w:r>
        <w:rPr>
          <w:rFonts w:hint="eastAsia" w:ascii="宋体" w:hAnsi="宋体" w:eastAsia="宋体" w:cs="宋体"/>
          <w:color w:val="auto"/>
          <w:kern w:val="2"/>
          <w:sz w:val="21"/>
          <w:szCs w:val="21"/>
          <w:highlight w:val="none"/>
          <w:u w:val="single"/>
          <w:lang w:val="en-US" w:eastAsia="zh-CN" w:bidi="ar-SA"/>
        </w:rPr>
        <w:t xml:space="preserve">               </w:t>
      </w:r>
    </w:p>
    <w:p w14:paraId="62BEB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0" w:firstLine="420" w:firstLineChars="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SA"/>
        </w:rPr>
        <w:t>日期：   年   月   日</w:t>
      </w:r>
    </w:p>
    <w:p w14:paraId="4E5FF9BD">
      <w:pPr>
        <w:spacing w:line="360" w:lineRule="auto"/>
        <w:ind w:firstLine="420" w:firstLineChars="200"/>
        <w:rPr>
          <w:rFonts w:hint="eastAsia" w:ascii="宋体" w:hAnsi="宋体" w:eastAsia="宋体" w:cs="宋体"/>
          <w:color w:val="auto"/>
          <w:sz w:val="21"/>
          <w:szCs w:val="21"/>
          <w:highlight w:val="none"/>
        </w:rPr>
      </w:pPr>
    </w:p>
    <w:p w14:paraId="121F74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符合中小企业划分标准（见工业和信息化部国家统计局国家发展和改革委员会财政部《关于印发中小企业划型标准规定的通知》（工信部联企业〔2011〕300号)）；</w:t>
      </w:r>
    </w:p>
    <w:p w14:paraId="0BFCBC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本办法所称中小企业划分标准，是指国务院有关部门根据企业从业人员、营业收入、资产总额等指标制定的中小企业划型标准。</w:t>
      </w:r>
    </w:p>
    <w:p w14:paraId="075DD8B2">
      <w:pPr>
        <w:wordWrap/>
        <w:adjustRightInd/>
        <w:snapToGrid/>
        <w:spacing w:line="48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注：从业人员、营业收入、资产总额填报上一年度数据，无上一年度数据的新成立企业可不填报</w:t>
      </w:r>
      <w:r>
        <w:rPr>
          <w:rFonts w:hint="eastAsia" w:ascii="宋体" w:hAnsi="宋体" w:eastAsia="宋体" w:cs="宋体"/>
          <w:color w:val="auto"/>
          <w:kern w:val="2"/>
          <w:sz w:val="21"/>
          <w:szCs w:val="21"/>
          <w:highlight w:val="none"/>
        </w:rPr>
        <w:t>。</w:t>
      </w:r>
    </w:p>
    <w:p w14:paraId="54FA5AAB">
      <w:pPr>
        <w:rPr>
          <w:rFonts w:hint="eastAsia" w:ascii="宋体" w:hAnsi="宋体" w:eastAsia="宋体" w:cs="宋体"/>
          <w:b/>
          <w:bCs/>
          <w:color w:val="auto"/>
          <w:sz w:val="28"/>
          <w:szCs w:val="28"/>
          <w:highlight w:val="none"/>
        </w:rPr>
      </w:pPr>
      <w:bookmarkStart w:id="766" w:name="_Toc30700"/>
      <w:bookmarkStart w:id="767" w:name="_Toc27749"/>
      <w:r>
        <w:rPr>
          <w:rFonts w:hint="eastAsia" w:ascii="宋体" w:hAnsi="宋体" w:eastAsia="宋体" w:cs="宋体"/>
          <w:b/>
          <w:bCs/>
          <w:color w:val="auto"/>
          <w:sz w:val="28"/>
          <w:szCs w:val="28"/>
          <w:highlight w:val="none"/>
        </w:rPr>
        <w:br w:type="page"/>
      </w:r>
    </w:p>
    <w:p w14:paraId="18BD8E37">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大中小微型企业划分标准</w:t>
      </w:r>
      <w:bookmarkEnd w:id="766"/>
      <w:bookmarkEnd w:id="767"/>
    </w:p>
    <w:tbl>
      <w:tblPr>
        <w:tblStyle w:val="22"/>
        <w:tblW w:w="9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093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618E6719">
            <w:pPr>
              <w:widowControl/>
              <w:spacing w:line="24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7C18A270">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08F9A067">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计量</w:t>
            </w:r>
          </w:p>
          <w:p w14:paraId="620F1EF9">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3134E82B">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1AD077F0">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51859EB4">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小型</w:t>
            </w:r>
          </w:p>
        </w:tc>
        <w:tc>
          <w:tcPr>
            <w:tcW w:w="992" w:type="dxa"/>
            <w:tcBorders>
              <w:top w:val="single" w:color="auto" w:sz="4" w:space="0"/>
              <w:left w:val="nil"/>
              <w:bottom w:val="single" w:color="auto" w:sz="4" w:space="0"/>
              <w:right w:val="nil"/>
            </w:tcBorders>
            <w:vAlign w:val="center"/>
          </w:tcPr>
          <w:p w14:paraId="0643608D">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微型</w:t>
            </w:r>
          </w:p>
        </w:tc>
      </w:tr>
      <w:tr w14:paraId="1A4A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5FC40056">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农、林、牧、渔业</w:t>
            </w:r>
          </w:p>
        </w:tc>
        <w:tc>
          <w:tcPr>
            <w:tcW w:w="1369" w:type="dxa"/>
            <w:tcBorders>
              <w:top w:val="nil"/>
              <w:left w:val="nil"/>
              <w:bottom w:val="single" w:color="auto" w:sz="4" w:space="0"/>
              <w:right w:val="single" w:color="auto" w:sz="4" w:space="0"/>
            </w:tcBorders>
            <w:vAlign w:val="center"/>
          </w:tcPr>
          <w:p w14:paraId="28B8258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07BC84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1FA6D27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w:t>
            </w:r>
          </w:p>
        </w:tc>
        <w:tc>
          <w:tcPr>
            <w:tcW w:w="1701" w:type="dxa"/>
            <w:tcBorders>
              <w:top w:val="nil"/>
              <w:left w:val="nil"/>
              <w:bottom w:val="single" w:color="auto" w:sz="4" w:space="0"/>
              <w:right w:val="single" w:color="auto" w:sz="4" w:space="0"/>
            </w:tcBorders>
            <w:vAlign w:val="center"/>
          </w:tcPr>
          <w:p w14:paraId="1B05A09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14:paraId="156339B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50≤Y＜500</w:t>
            </w:r>
          </w:p>
        </w:tc>
        <w:tc>
          <w:tcPr>
            <w:tcW w:w="992" w:type="dxa"/>
            <w:tcBorders>
              <w:top w:val="nil"/>
              <w:left w:val="nil"/>
              <w:bottom w:val="single" w:color="auto" w:sz="4" w:space="0"/>
              <w:right w:val="nil"/>
            </w:tcBorders>
            <w:vAlign w:val="center"/>
          </w:tcPr>
          <w:p w14:paraId="5BC8601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14:paraId="6742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45FB2F6">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工业 *</w:t>
            </w:r>
          </w:p>
        </w:tc>
        <w:tc>
          <w:tcPr>
            <w:tcW w:w="1369" w:type="dxa"/>
            <w:tcBorders>
              <w:top w:val="nil"/>
              <w:left w:val="nil"/>
              <w:bottom w:val="nil"/>
              <w:right w:val="single" w:color="auto" w:sz="4" w:space="0"/>
            </w:tcBorders>
            <w:vAlign w:val="center"/>
          </w:tcPr>
          <w:p w14:paraId="3CAB041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3E2F3FE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937FEB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30BBDAE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58BEDE3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20≤X＜300</w:t>
            </w:r>
          </w:p>
        </w:tc>
        <w:tc>
          <w:tcPr>
            <w:tcW w:w="992" w:type="dxa"/>
            <w:tcBorders>
              <w:top w:val="nil"/>
              <w:left w:val="nil"/>
              <w:bottom w:val="nil"/>
              <w:right w:val="nil"/>
            </w:tcBorders>
            <w:vAlign w:val="center"/>
          </w:tcPr>
          <w:p w14:paraId="67B207D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359D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2A9FD65">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624017E7">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08252C6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79CA384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Y≥40000</w:t>
            </w:r>
          </w:p>
        </w:tc>
        <w:tc>
          <w:tcPr>
            <w:tcW w:w="1701" w:type="dxa"/>
            <w:tcBorders>
              <w:top w:val="nil"/>
              <w:left w:val="nil"/>
              <w:bottom w:val="single" w:color="auto" w:sz="4" w:space="0"/>
              <w:right w:val="single" w:color="auto" w:sz="4" w:space="0"/>
            </w:tcBorders>
            <w:vAlign w:val="center"/>
          </w:tcPr>
          <w:p w14:paraId="237F820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2000≤Y＜40000</w:t>
            </w:r>
          </w:p>
        </w:tc>
        <w:tc>
          <w:tcPr>
            <w:tcW w:w="1426" w:type="dxa"/>
            <w:tcBorders>
              <w:top w:val="nil"/>
              <w:left w:val="nil"/>
              <w:bottom w:val="single" w:color="auto" w:sz="4" w:space="0"/>
              <w:right w:val="single" w:color="auto" w:sz="4" w:space="0"/>
            </w:tcBorders>
            <w:vAlign w:val="center"/>
          </w:tcPr>
          <w:p w14:paraId="6D60971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300≤Y＜2000</w:t>
            </w:r>
          </w:p>
        </w:tc>
        <w:tc>
          <w:tcPr>
            <w:tcW w:w="992" w:type="dxa"/>
            <w:tcBorders>
              <w:top w:val="nil"/>
              <w:left w:val="nil"/>
              <w:bottom w:val="single" w:color="auto" w:sz="4" w:space="0"/>
              <w:right w:val="nil"/>
            </w:tcBorders>
            <w:vAlign w:val="center"/>
          </w:tcPr>
          <w:p w14:paraId="5E3B258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14:paraId="4B95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811A504">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建筑业</w:t>
            </w:r>
          </w:p>
        </w:tc>
        <w:tc>
          <w:tcPr>
            <w:tcW w:w="1369" w:type="dxa"/>
            <w:tcBorders>
              <w:top w:val="nil"/>
              <w:left w:val="nil"/>
              <w:bottom w:val="nil"/>
              <w:right w:val="single" w:color="auto" w:sz="4" w:space="0"/>
            </w:tcBorders>
            <w:vAlign w:val="center"/>
          </w:tcPr>
          <w:p w14:paraId="1A266FB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nil"/>
              <w:right w:val="single" w:color="auto" w:sz="4" w:space="0"/>
            </w:tcBorders>
            <w:vAlign w:val="center"/>
          </w:tcPr>
          <w:p w14:paraId="4C0316F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nil"/>
              <w:right w:val="single" w:color="auto" w:sz="4" w:space="0"/>
            </w:tcBorders>
            <w:vAlign w:val="center"/>
          </w:tcPr>
          <w:p w14:paraId="3EF469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Y≥80000</w:t>
            </w:r>
          </w:p>
        </w:tc>
        <w:tc>
          <w:tcPr>
            <w:tcW w:w="1701" w:type="dxa"/>
            <w:tcBorders>
              <w:top w:val="nil"/>
              <w:left w:val="nil"/>
              <w:bottom w:val="nil"/>
              <w:right w:val="single" w:color="auto" w:sz="4" w:space="0"/>
            </w:tcBorders>
            <w:vAlign w:val="center"/>
          </w:tcPr>
          <w:p w14:paraId="7204747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6000≤Y＜80000</w:t>
            </w:r>
          </w:p>
        </w:tc>
        <w:tc>
          <w:tcPr>
            <w:tcW w:w="1426" w:type="dxa"/>
            <w:tcBorders>
              <w:top w:val="nil"/>
              <w:left w:val="nil"/>
              <w:bottom w:val="nil"/>
              <w:right w:val="single" w:color="auto" w:sz="4" w:space="0"/>
            </w:tcBorders>
            <w:vAlign w:val="center"/>
          </w:tcPr>
          <w:p w14:paraId="409F6F4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300≤Y＜6000</w:t>
            </w:r>
          </w:p>
        </w:tc>
        <w:tc>
          <w:tcPr>
            <w:tcW w:w="992" w:type="dxa"/>
            <w:tcBorders>
              <w:top w:val="nil"/>
              <w:left w:val="nil"/>
              <w:bottom w:val="nil"/>
              <w:right w:val="nil"/>
            </w:tcBorders>
            <w:vAlign w:val="center"/>
          </w:tcPr>
          <w:p w14:paraId="496EA0A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14:paraId="0215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7CF260">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647D879">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709" w:type="dxa"/>
            <w:tcBorders>
              <w:top w:val="nil"/>
              <w:left w:val="nil"/>
              <w:bottom w:val="single" w:color="auto" w:sz="4" w:space="0"/>
              <w:right w:val="single" w:color="auto" w:sz="4" w:space="0"/>
            </w:tcBorders>
            <w:vAlign w:val="center"/>
          </w:tcPr>
          <w:p w14:paraId="0FA2D2E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4157A7E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Z≥80000</w:t>
            </w:r>
          </w:p>
        </w:tc>
        <w:tc>
          <w:tcPr>
            <w:tcW w:w="1701" w:type="dxa"/>
            <w:tcBorders>
              <w:top w:val="nil"/>
              <w:left w:val="nil"/>
              <w:bottom w:val="single" w:color="auto" w:sz="4" w:space="0"/>
              <w:right w:val="single" w:color="auto" w:sz="4" w:space="0"/>
            </w:tcBorders>
            <w:vAlign w:val="center"/>
          </w:tcPr>
          <w:p w14:paraId="447C860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5000≤Z＜80000</w:t>
            </w:r>
          </w:p>
        </w:tc>
        <w:tc>
          <w:tcPr>
            <w:tcW w:w="1426" w:type="dxa"/>
            <w:tcBorders>
              <w:top w:val="nil"/>
              <w:left w:val="nil"/>
              <w:bottom w:val="single" w:color="auto" w:sz="4" w:space="0"/>
              <w:right w:val="single" w:color="auto" w:sz="4" w:space="0"/>
            </w:tcBorders>
            <w:vAlign w:val="center"/>
          </w:tcPr>
          <w:p w14:paraId="665F575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300≤Z＜5000</w:t>
            </w:r>
          </w:p>
        </w:tc>
        <w:tc>
          <w:tcPr>
            <w:tcW w:w="992" w:type="dxa"/>
            <w:tcBorders>
              <w:top w:val="nil"/>
              <w:left w:val="nil"/>
              <w:bottom w:val="single" w:color="auto" w:sz="4" w:space="0"/>
              <w:right w:val="nil"/>
            </w:tcBorders>
            <w:vAlign w:val="center"/>
          </w:tcPr>
          <w:p w14:paraId="27F13A5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Z＜300</w:t>
            </w:r>
          </w:p>
        </w:tc>
      </w:tr>
      <w:tr w14:paraId="7437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6695FB9">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批发业</w:t>
            </w:r>
          </w:p>
        </w:tc>
        <w:tc>
          <w:tcPr>
            <w:tcW w:w="1369" w:type="dxa"/>
            <w:tcBorders>
              <w:top w:val="nil"/>
              <w:left w:val="nil"/>
              <w:bottom w:val="nil"/>
              <w:right w:val="single" w:color="auto" w:sz="4" w:space="0"/>
            </w:tcBorders>
            <w:vAlign w:val="center"/>
          </w:tcPr>
          <w:p w14:paraId="76F4CF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0030946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33F12CF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w:t>
            </w:r>
          </w:p>
        </w:tc>
        <w:tc>
          <w:tcPr>
            <w:tcW w:w="1701" w:type="dxa"/>
            <w:tcBorders>
              <w:top w:val="nil"/>
              <w:left w:val="nil"/>
              <w:bottom w:val="nil"/>
              <w:right w:val="single" w:color="auto" w:sz="4" w:space="0"/>
            </w:tcBorders>
            <w:vAlign w:val="center"/>
          </w:tcPr>
          <w:p w14:paraId="7656D38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20≤X＜200</w:t>
            </w:r>
          </w:p>
        </w:tc>
        <w:tc>
          <w:tcPr>
            <w:tcW w:w="1426" w:type="dxa"/>
            <w:tcBorders>
              <w:top w:val="nil"/>
              <w:left w:val="nil"/>
              <w:bottom w:val="nil"/>
              <w:right w:val="single" w:color="auto" w:sz="4" w:space="0"/>
            </w:tcBorders>
            <w:vAlign w:val="center"/>
          </w:tcPr>
          <w:p w14:paraId="79F51D5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5≤X＜20</w:t>
            </w:r>
          </w:p>
        </w:tc>
        <w:tc>
          <w:tcPr>
            <w:tcW w:w="992" w:type="dxa"/>
            <w:tcBorders>
              <w:top w:val="nil"/>
              <w:left w:val="nil"/>
              <w:bottom w:val="nil"/>
              <w:right w:val="nil"/>
            </w:tcBorders>
            <w:vAlign w:val="center"/>
          </w:tcPr>
          <w:p w14:paraId="1F6F93A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X＜5</w:t>
            </w:r>
          </w:p>
        </w:tc>
      </w:tr>
      <w:tr w14:paraId="1D7E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1CF768F">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28882BA">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CC4E5E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2D1D17F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Y≥40000</w:t>
            </w:r>
          </w:p>
        </w:tc>
        <w:tc>
          <w:tcPr>
            <w:tcW w:w="1701" w:type="dxa"/>
            <w:tcBorders>
              <w:top w:val="nil"/>
              <w:left w:val="nil"/>
              <w:bottom w:val="single" w:color="auto" w:sz="4" w:space="0"/>
              <w:right w:val="single" w:color="auto" w:sz="4" w:space="0"/>
            </w:tcBorders>
            <w:vAlign w:val="center"/>
          </w:tcPr>
          <w:p w14:paraId="60AABEC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5000≤Y＜40000</w:t>
            </w:r>
          </w:p>
        </w:tc>
        <w:tc>
          <w:tcPr>
            <w:tcW w:w="1426" w:type="dxa"/>
            <w:tcBorders>
              <w:top w:val="nil"/>
              <w:left w:val="nil"/>
              <w:bottom w:val="single" w:color="auto" w:sz="4" w:space="0"/>
              <w:right w:val="single" w:color="auto" w:sz="4" w:space="0"/>
            </w:tcBorders>
            <w:vAlign w:val="center"/>
          </w:tcPr>
          <w:p w14:paraId="465166E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992" w:type="dxa"/>
            <w:tcBorders>
              <w:top w:val="nil"/>
              <w:left w:val="nil"/>
              <w:bottom w:val="single" w:color="auto" w:sz="4" w:space="0"/>
              <w:right w:val="nil"/>
            </w:tcBorders>
            <w:vAlign w:val="center"/>
          </w:tcPr>
          <w:p w14:paraId="1ECA25B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w:t>
            </w:r>
          </w:p>
        </w:tc>
      </w:tr>
      <w:tr w14:paraId="3F06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4894EB2">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零售业</w:t>
            </w:r>
          </w:p>
        </w:tc>
        <w:tc>
          <w:tcPr>
            <w:tcW w:w="1369" w:type="dxa"/>
            <w:tcBorders>
              <w:top w:val="nil"/>
              <w:left w:val="nil"/>
              <w:bottom w:val="nil"/>
              <w:right w:val="single" w:color="auto" w:sz="4" w:space="0"/>
            </w:tcBorders>
            <w:vAlign w:val="center"/>
          </w:tcPr>
          <w:p w14:paraId="0C4FBF5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22B376F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347F76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1A8DDBD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50≤X＜300</w:t>
            </w:r>
          </w:p>
        </w:tc>
        <w:tc>
          <w:tcPr>
            <w:tcW w:w="1426" w:type="dxa"/>
            <w:tcBorders>
              <w:top w:val="nil"/>
              <w:left w:val="nil"/>
              <w:bottom w:val="nil"/>
              <w:right w:val="single" w:color="auto" w:sz="4" w:space="0"/>
            </w:tcBorders>
            <w:vAlign w:val="center"/>
          </w:tcPr>
          <w:p w14:paraId="3655687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10≤X＜50 </w:t>
            </w:r>
          </w:p>
        </w:tc>
        <w:tc>
          <w:tcPr>
            <w:tcW w:w="992" w:type="dxa"/>
            <w:tcBorders>
              <w:top w:val="nil"/>
              <w:left w:val="nil"/>
              <w:bottom w:val="nil"/>
              <w:right w:val="nil"/>
            </w:tcBorders>
            <w:vAlign w:val="center"/>
          </w:tcPr>
          <w:p w14:paraId="738B49D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0F3F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2EFFED">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0AF9F0DE">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0A98F7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53FAEC3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w:t>
            </w:r>
          </w:p>
        </w:tc>
        <w:tc>
          <w:tcPr>
            <w:tcW w:w="1701" w:type="dxa"/>
            <w:tcBorders>
              <w:top w:val="nil"/>
              <w:left w:val="nil"/>
              <w:bottom w:val="single" w:color="auto" w:sz="4" w:space="0"/>
              <w:right w:val="single" w:color="auto" w:sz="4" w:space="0"/>
            </w:tcBorders>
            <w:vAlign w:val="center"/>
          </w:tcPr>
          <w:p w14:paraId="553FAC6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14:paraId="51EAC7B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100≤Y＜500 </w:t>
            </w:r>
          </w:p>
        </w:tc>
        <w:tc>
          <w:tcPr>
            <w:tcW w:w="992" w:type="dxa"/>
            <w:tcBorders>
              <w:top w:val="nil"/>
              <w:left w:val="nil"/>
              <w:bottom w:val="single" w:color="auto" w:sz="4" w:space="0"/>
              <w:right w:val="nil"/>
            </w:tcBorders>
            <w:vAlign w:val="center"/>
          </w:tcPr>
          <w:p w14:paraId="1F8C83C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62E6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DD40F12">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交通运输业 *</w:t>
            </w:r>
          </w:p>
        </w:tc>
        <w:tc>
          <w:tcPr>
            <w:tcW w:w="1369" w:type="dxa"/>
            <w:tcBorders>
              <w:top w:val="nil"/>
              <w:left w:val="nil"/>
              <w:bottom w:val="nil"/>
              <w:right w:val="single" w:color="auto" w:sz="4" w:space="0"/>
            </w:tcBorders>
            <w:vAlign w:val="center"/>
          </w:tcPr>
          <w:p w14:paraId="1841502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0BC3512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4E87F0F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2FD3F92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248381C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20≤X＜300</w:t>
            </w:r>
          </w:p>
        </w:tc>
        <w:tc>
          <w:tcPr>
            <w:tcW w:w="992" w:type="dxa"/>
            <w:tcBorders>
              <w:top w:val="nil"/>
              <w:left w:val="nil"/>
              <w:bottom w:val="nil"/>
              <w:right w:val="nil"/>
            </w:tcBorders>
            <w:vAlign w:val="center"/>
          </w:tcPr>
          <w:p w14:paraId="4718A22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0A01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D704E29">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3F466D6">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4EEF937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1A5FBE8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701" w:type="dxa"/>
            <w:tcBorders>
              <w:top w:val="nil"/>
              <w:left w:val="nil"/>
              <w:bottom w:val="single" w:color="auto" w:sz="4" w:space="0"/>
              <w:right w:val="single" w:color="auto" w:sz="4" w:space="0"/>
            </w:tcBorders>
            <w:vAlign w:val="center"/>
          </w:tcPr>
          <w:p w14:paraId="48FC41F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3000≤Y＜30000</w:t>
            </w:r>
          </w:p>
        </w:tc>
        <w:tc>
          <w:tcPr>
            <w:tcW w:w="1426" w:type="dxa"/>
            <w:tcBorders>
              <w:top w:val="nil"/>
              <w:left w:val="nil"/>
              <w:bottom w:val="single" w:color="auto" w:sz="4" w:space="0"/>
              <w:right w:val="single" w:color="auto" w:sz="4" w:space="0"/>
            </w:tcBorders>
            <w:vAlign w:val="center"/>
          </w:tcPr>
          <w:p w14:paraId="38486C5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200≤Y＜3000</w:t>
            </w:r>
          </w:p>
        </w:tc>
        <w:tc>
          <w:tcPr>
            <w:tcW w:w="992" w:type="dxa"/>
            <w:tcBorders>
              <w:top w:val="nil"/>
              <w:left w:val="nil"/>
              <w:bottom w:val="single" w:color="auto" w:sz="4" w:space="0"/>
              <w:right w:val="nil"/>
            </w:tcBorders>
            <w:vAlign w:val="center"/>
          </w:tcPr>
          <w:p w14:paraId="5C110F2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w:t>
            </w:r>
          </w:p>
        </w:tc>
      </w:tr>
      <w:tr w14:paraId="262B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FA8AF96">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仓储业*</w:t>
            </w:r>
          </w:p>
        </w:tc>
        <w:tc>
          <w:tcPr>
            <w:tcW w:w="1369" w:type="dxa"/>
            <w:tcBorders>
              <w:top w:val="nil"/>
              <w:left w:val="nil"/>
              <w:bottom w:val="nil"/>
              <w:right w:val="single" w:color="auto" w:sz="4" w:space="0"/>
            </w:tcBorders>
            <w:vAlign w:val="center"/>
          </w:tcPr>
          <w:p w14:paraId="1C2305B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0D8D10B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0F7E367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w:t>
            </w:r>
          </w:p>
        </w:tc>
        <w:tc>
          <w:tcPr>
            <w:tcW w:w="1701" w:type="dxa"/>
            <w:tcBorders>
              <w:top w:val="nil"/>
              <w:left w:val="nil"/>
              <w:bottom w:val="nil"/>
              <w:right w:val="single" w:color="auto" w:sz="4" w:space="0"/>
            </w:tcBorders>
            <w:vAlign w:val="center"/>
          </w:tcPr>
          <w:p w14:paraId="6992D0BD">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w:t>
            </w:r>
          </w:p>
        </w:tc>
        <w:tc>
          <w:tcPr>
            <w:tcW w:w="1426" w:type="dxa"/>
            <w:tcBorders>
              <w:top w:val="nil"/>
              <w:left w:val="nil"/>
              <w:bottom w:val="nil"/>
              <w:right w:val="single" w:color="auto" w:sz="4" w:space="0"/>
            </w:tcBorders>
            <w:vAlign w:val="center"/>
          </w:tcPr>
          <w:p w14:paraId="754CA8D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20≤X＜100</w:t>
            </w:r>
          </w:p>
        </w:tc>
        <w:tc>
          <w:tcPr>
            <w:tcW w:w="992" w:type="dxa"/>
            <w:tcBorders>
              <w:top w:val="nil"/>
              <w:left w:val="nil"/>
              <w:bottom w:val="nil"/>
              <w:right w:val="nil"/>
            </w:tcBorders>
            <w:vAlign w:val="center"/>
          </w:tcPr>
          <w:p w14:paraId="2F220D0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6386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B73100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39ECFEFD">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16C58C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626E341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701" w:type="dxa"/>
            <w:tcBorders>
              <w:top w:val="nil"/>
              <w:left w:val="nil"/>
              <w:bottom w:val="single" w:color="auto" w:sz="4" w:space="0"/>
              <w:right w:val="single" w:color="auto" w:sz="4" w:space="0"/>
            </w:tcBorders>
            <w:vAlign w:val="center"/>
          </w:tcPr>
          <w:p w14:paraId="4384300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1000≤Y＜30000</w:t>
            </w:r>
          </w:p>
        </w:tc>
        <w:tc>
          <w:tcPr>
            <w:tcW w:w="1426" w:type="dxa"/>
            <w:tcBorders>
              <w:top w:val="nil"/>
              <w:left w:val="nil"/>
              <w:bottom w:val="single" w:color="auto" w:sz="4" w:space="0"/>
              <w:right w:val="single" w:color="auto" w:sz="4" w:space="0"/>
            </w:tcBorders>
            <w:vAlign w:val="center"/>
          </w:tcPr>
          <w:p w14:paraId="6F92206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100≤Y＜1000</w:t>
            </w:r>
          </w:p>
        </w:tc>
        <w:tc>
          <w:tcPr>
            <w:tcW w:w="992" w:type="dxa"/>
            <w:tcBorders>
              <w:top w:val="nil"/>
              <w:left w:val="nil"/>
              <w:bottom w:val="single" w:color="auto" w:sz="4" w:space="0"/>
              <w:right w:val="nil"/>
            </w:tcBorders>
            <w:vAlign w:val="center"/>
          </w:tcPr>
          <w:p w14:paraId="0DFF1E5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0C2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4A08645">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邮政业</w:t>
            </w:r>
          </w:p>
        </w:tc>
        <w:tc>
          <w:tcPr>
            <w:tcW w:w="1369" w:type="dxa"/>
            <w:tcBorders>
              <w:top w:val="nil"/>
              <w:left w:val="nil"/>
              <w:bottom w:val="nil"/>
              <w:right w:val="single" w:color="auto" w:sz="4" w:space="0"/>
            </w:tcBorders>
            <w:vAlign w:val="center"/>
          </w:tcPr>
          <w:p w14:paraId="5017792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31C024F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179330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2553FE5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381F905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20≤X＜300</w:t>
            </w:r>
          </w:p>
        </w:tc>
        <w:tc>
          <w:tcPr>
            <w:tcW w:w="992" w:type="dxa"/>
            <w:tcBorders>
              <w:top w:val="nil"/>
              <w:left w:val="nil"/>
              <w:bottom w:val="nil"/>
              <w:right w:val="nil"/>
            </w:tcBorders>
            <w:vAlign w:val="center"/>
          </w:tcPr>
          <w:p w14:paraId="5F33778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14:paraId="61CA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D79FAC">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02D2864C">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1FC3828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78381D9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1701" w:type="dxa"/>
            <w:tcBorders>
              <w:top w:val="nil"/>
              <w:left w:val="nil"/>
              <w:bottom w:val="single" w:color="auto" w:sz="4" w:space="0"/>
              <w:right w:val="single" w:color="auto" w:sz="4" w:space="0"/>
            </w:tcBorders>
            <w:vAlign w:val="center"/>
          </w:tcPr>
          <w:p w14:paraId="2F9CD95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2000≤Y＜30000</w:t>
            </w:r>
          </w:p>
        </w:tc>
        <w:tc>
          <w:tcPr>
            <w:tcW w:w="1426" w:type="dxa"/>
            <w:tcBorders>
              <w:top w:val="nil"/>
              <w:left w:val="nil"/>
              <w:bottom w:val="single" w:color="auto" w:sz="4" w:space="0"/>
              <w:right w:val="single" w:color="auto" w:sz="4" w:space="0"/>
            </w:tcBorders>
            <w:vAlign w:val="center"/>
          </w:tcPr>
          <w:p w14:paraId="22F8534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100≤Y＜2000</w:t>
            </w:r>
          </w:p>
        </w:tc>
        <w:tc>
          <w:tcPr>
            <w:tcW w:w="992" w:type="dxa"/>
            <w:tcBorders>
              <w:top w:val="nil"/>
              <w:left w:val="nil"/>
              <w:bottom w:val="single" w:color="auto" w:sz="4" w:space="0"/>
              <w:right w:val="nil"/>
            </w:tcBorders>
            <w:vAlign w:val="center"/>
          </w:tcPr>
          <w:p w14:paraId="5B99E08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4CFE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3FFC62D">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住宿业</w:t>
            </w:r>
          </w:p>
        </w:tc>
        <w:tc>
          <w:tcPr>
            <w:tcW w:w="1369" w:type="dxa"/>
            <w:tcBorders>
              <w:top w:val="nil"/>
              <w:left w:val="nil"/>
              <w:bottom w:val="nil"/>
              <w:right w:val="single" w:color="auto" w:sz="4" w:space="0"/>
            </w:tcBorders>
            <w:vAlign w:val="center"/>
          </w:tcPr>
          <w:p w14:paraId="4F119E8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67C4FA9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2910806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7A516F03">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5123013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29A373B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0734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3E94AC">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74BD67F5">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3F1806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6F00680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701" w:type="dxa"/>
            <w:tcBorders>
              <w:top w:val="nil"/>
              <w:left w:val="nil"/>
              <w:bottom w:val="single" w:color="auto" w:sz="4" w:space="0"/>
              <w:right w:val="single" w:color="auto" w:sz="4" w:space="0"/>
            </w:tcBorders>
            <w:vAlign w:val="center"/>
          </w:tcPr>
          <w:p w14:paraId="5463F72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426" w:type="dxa"/>
            <w:tcBorders>
              <w:top w:val="nil"/>
              <w:left w:val="nil"/>
              <w:bottom w:val="single" w:color="auto" w:sz="4" w:space="0"/>
              <w:right w:val="single" w:color="auto" w:sz="4" w:space="0"/>
            </w:tcBorders>
            <w:vAlign w:val="center"/>
          </w:tcPr>
          <w:p w14:paraId="22EE990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100≤Y＜2000</w:t>
            </w:r>
          </w:p>
        </w:tc>
        <w:tc>
          <w:tcPr>
            <w:tcW w:w="992" w:type="dxa"/>
            <w:tcBorders>
              <w:top w:val="nil"/>
              <w:left w:val="nil"/>
              <w:bottom w:val="single" w:color="auto" w:sz="4" w:space="0"/>
              <w:right w:val="nil"/>
            </w:tcBorders>
            <w:vAlign w:val="center"/>
          </w:tcPr>
          <w:p w14:paraId="6968848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6FE6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99F62DE">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餐饮业</w:t>
            </w:r>
          </w:p>
        </w:tc>
        <w:tc>
          <w:tcPr>
            <w:tcW w:w="1369" w:type="dxa"/>
            <w:tcBorders>
              <w:top w:val="nil"/>
              <w:left w:val="nil"/>
              <w:bottom w:val="nil"/>
              <w:right w:val="single" w:color="auto" w:sz="4" w:space="0"/>
            </w:tcBorders>
            <w:vAlign w:val="center"/>
          </w:tcPr>
          <w:p w14:paraId="37B929D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10B44BF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4822FA6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60B0B338">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523A5806">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59B5788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3293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C80D20F">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54356CE3">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72E1C90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0159792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701" w:type="dxa"/>
            <w:tcBorders>
              <w:top w:val="nil"/>
              <w:left w:val="nil"/>
              <w:bottom w:val="single" w:color="auto" w:sz="4" w:space="0"/>
              <w:right w:val="single" w:color="auto" w:sz="4" w:space="0"/>
            </w:tcBorders>
            <w:vAlign w:val="center"/>
          </w:tcPr>
          <w:p w14:paraId="42D4CD4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426" w:type="dxa"/>
            <w:tcBorders>
              <w:top w:val="nil"/>
              <w:left w:val="nil"/>
              <w:bottom w:val="single" w:color="auto" w:sz="4" w:space="0"/>
              <w:right w:val="single" w:color="auto" w:sz="4" w:space="0"/>
            </w:tcBorders>
            <w:vAlign w:val="center"/>
          </w:tcPr>
          <w:p w14:paraId="1DA6B752">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100≤Y＜2000</w:t>
            </w:r>
          </w:p>
        </w:tc>
        <w:tc>
          <w:tcPr>
            <w:tcW w:w="992" w:type="dxa"/>
            <w:tcBorders>
              <w:top w:val="nil"/>
              <w:left w:val="nil"/>
              <w:bottom w:val="single" w:color="auto" w:sz="4" w:space="0"/>
              <w:right w:val="nil"/>
            </w:tcBorders>
            <w:vAlign w:val="center"/>
          </w:tcPr>
          <w:p w14:paraId="4BDFD65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7517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8238E4C">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信息传输业 *</w:t>
            </w:r>
          </w:p>
        </w:tc>
        <w:tc>
          <w:tcPr>
            <w:tcW w:w="1369" w:type="dxa"/>
            <w:tcBorders>
              <w:top w:val="nil"/>
              <w:left w:val="nil"/>
              <w:bottom w:val="nil"/>
              <w:right w:val="single" w:color="auto" w:sz="4" w:space="0"/>
            </w:tcBorders>
            <w:vAlign w:val="center"/>
          </w:tcPr>
          <w:p w14:paraId="0AB5C80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7CBD89E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1BD59D3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X≥2000</w:t>
            </w:r>
          </w:p>
        </w:tc>
        <w:tc>
          <w:tcPr>
            <w:tcW w:w="1701" w:type="dxa"/>
            <w:tcBorders>
              <w:top w:val="nil"/>
              <w:left w:val="nil"/>
              <w:bottom w:val="nil"/>
              <w:right w:val="single" w:color="auto" w:sz="4" w:space="0"/>
            </w:tcBorders>
            <w:vAlign w:val="center"/>
          </w:tcPr>
          <w:p w14:paraId="08D6A3E7">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100≤X＜2000</w:t>
            </w:r>
          </w:p>
        </w:tc>
        <w:tc>
          <w:tcPr>
            <w:tcW w:w="1426" w:type="dxa"/>
            <w:tcBorders>
              <w:top w:val="nil"/>
              <w:left w:val="nil"/>
              <w:bottom w:val="nil"/>
              <w:right w:val="single" w:color="auto" w:sz="4" w:space="0"/>
            </w:tcBorders>
            <w:vAlign w:val="center"/>
          </w:tcPr>
          <w:p w14:paraId="4D60019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737333B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55DD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6781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150FB3C3">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60D9176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45575BC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Y≥100000</w:t>
            </w:r>
          </w:p>
        </w:tc>
        <w:tc>
          <w:tcPr>
            <w:tcW w:w="1701" w:type="dxa"/>
            <w:tcBorders>
              <w:top w:val="nil"/>
              <w:left w:val="nil"/>
              <w:bottom w:val="single" w:color="auto" w:sz="4" w:space="0"/>
              <w:right w:val="single" w:color="auto" w:sz="4" w:space="0"/>
            </w:tcBorders>
            <w:vAlign w:val="center"/>
          </w:tcPr>
          <w:p w14:paraId="4A60AAF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1000≤Y＜100000</w:t>
            </w:r>
          </w:p>
        </w:tc>
        <w:tc>
          <w:tcPr>
            <w:tcW w:w="1426" w:type="dxa"/>
            <w:tcBorders>
              <w:top w:val="nil"/>
              <w:left w:val="nil"/>
              <w:bottom w:val="single" w:color="auto" w:sz="4" w:space="0"/>
              <w:right w:val="single" w:color="auto" w:sz="4" w:space="0"/>
            </w:tcBorders>
            <w:vAlign w:val="center"/>
          </w:tcPr>
          <w:p w14:paraId="382D0EA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100≤Y＜1000</w:t>
            </w:r>
          </w:p>
        </w:tc>
        <w:tc>
          <w:tcPr>
            <w:tcW w:w="992" w:type="dxa"/>
            <w:tcBorders>
              <w:top w:val="nil"/>
              <w:left w:val="nil"/>
              <w:bottom w:val="single" w:color="auto" w:sz="4" w:space="0"/>
              <w:right w:val="nil"/>
            </w:tcBorders>
            <w:vAlign w:val="center"/>
          </w:tcPr>
          <w:p w14:paraId="3F37906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5FE6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2ED57CA4">
            <w:pPr>
              <w:widowControl/>
              <w:spacing w:line="240" w:lineRule="exact"/>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软件和信息技术服</w:t>
            </w:r>
            <w:r>
              <w:rPr>
                <w:rFonts w:hint="eastAsia" w:ascii="宋体" w:hAnsi="宋体" w:eastAsia="宋体" w:cs="宋体"/>
                <w:color w:val="auto"/>
                <w:sz w:val="18"/>
                <w:szCs w:val="18"/>
                <w:highlight w:val="none"/>
              </w:rPr>
              <w:t>务业</w:t>
            </w:r>
          </w:p>
        </w:tc>
        <w:tc>
          <w:tcPr>
            <w:tcW w:w="1369" w:type="dxa"/>
            <w:tcBorders>
              <w:top w:val="nil"/>
              <w:left w:val="nil"/>
              <w:bottom w:val="nil"/>
              <w:right w:val="single" w:color="auto" w:sz="4" w:space="0"/>
            </w:tcBorders>
            <w:vAlign w:val="center"/>
          </w:tcPr>
          <w:p w14:paraId="4693C45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7E6DAA0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5A5B42D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01E4259C">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72854ED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78195EE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2B95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72F0DCE7">
            <w:pPr>
              <w:widowControl/>
              <w:rPr>
                <w:rFonts w:hint="eastAsia" w:ascii="宋体" w:hAnsi="宋体" w:eastAsia="宋体" w:cs="宋体"/>
                <w:color w:val="auto"/>
                <w:spacing w:val="-12"/>
                <w:sz w:val="18"/>
                <w:szCs w:val="18"/>
                <w:highlight w:val="none"/>
              </w:rPr>
            </w:pPr>
          </w:p>
        </w:tc>
        <w:tc>
          <w:tcPr>
            <w:tcW w:w="1369" w:type="dxa"/>
            <w:tcBorders>
              <w:top w:val="nil"/>
              <w:left w:val="nil"/>
              <w:bottom w:val="single" w:color="auto" w:sz="4" w:space="0"/>
              <w:right w:val="single" w:color="auto" w:sz="4" w:space="0"/>
            </w:tcBorders>
            <w:vAlign w:val="center"/>
          </w:tcPr>
          <w:p w14:paraId="0333127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B4B283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79C8DEC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1701" w:type="dxa"/>
            <w:tcBorders>
              <w:top w:val="nil"/>
              <w:left w:val="nil"/>
              <w:bottom w:val="single" w:color="auto" w:sz="4" w:space="0"/>
              <w:right w:val="single" w:color="auto" w:sz="4" w:space="0"/>
            </w:tcBorders>
            <w:vAlign w:val="center"/>
          </w:tcPr>
          <w:p w14:paraId="2202085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w:t>
            </w:r>
          </w:p>
        </w:tc>
        <w:tc>
          <w:tcPr>
            <w:tcW w:w="1426" w:type="dxa"/>
            <w:tcBorders>
              <w:top w:val="nil"/>
              <w:left w:val="nil"/>
              <w:bottom w:val="single" w:color="auto" w:sz="4" w:space="0"/>
              <w:right w:val="single" w:color="auto" w:sz="4" w:space="0"/>
            </w:tcBorders>
            <w:vAlign w:val="center"/>
          </w:tcPr>
          <w:p w14:paraId="775226C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50≤Y＜1000</w:t>
            </w:r>
          </w:p>
        </w:tc>
        <w:tc>
          <w:tcPr>
            <w:tcW w:w="992" w:type="dxa"/>
            <w:tcBorders>
              <w:top w:val="nil"/>
              <w:left w:val="nil"/>
              <w:bottom w:val="single" w:color="auto" w:sz="4" w:space="0"/>
              <w:right w:val="nil"/>
            </w:tcBorders>
            <w:vAlign w:val="center"/>
          </w:tcPr>
          <w:p w14:paraId="3266679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14:paraId="0AE2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6DC24043">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房地产开发经营</w:t>
            </w:r>
          </w:p>
        </w:tc>
        <w:tc>
          <w:tcPr>
            <w:tcW w:w="1369" w:type="dxa"/>
            <w:tcBorders>
              <w:top w:val="nil"/>
              <w:left w:val="nil"/>
              <w:bottom w:val="nil"/>
              <w:right w:val="single" w:color="auto" w:sz="4" w:space="0"/>
            </w:tcBorders>
            <w:vAlign w:val="center"/>
          </w:tcPr>
          <w:p w14:paraId="2C10860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nil"/>
              <w:right w:val="single" w:color="auto" w:sz="4" w:space="0"/>
            </w:tcBorders>
            <w:vAlign w:val="center"/>
          </w:tcPr>
          <w:p w14:paraId="601DC8D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nil"/>
              <w:right w:val="single" w:color="auto" w:sz="4" w:space="0"/>
            </w:tcBorders>
            <w:vAlign w:val="center"/>
          </w:tcPr>
          <w:p w14:paraId="5121213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Y≥200000</w:t>
            </w:r>
          </w:p>
        </w:tc>
        <w:tc>
          <w:tcPr>
            <w:tcW w:w="1701" w:type="dxa"/>
            <w:tcBorders>
              <w:top w:val="nil"/>
              <w:left w:val="nil"/>
              <w:bottom w:val="nil"/>
              <w:right w:val="single" w:color="auto" w:sz="4" w:space="0"/>
            </w:tcBorders>
            <w:vAlign w:val="center"/>
          </w:tcPr>
          <w:p w14:paraId="126B680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1000≤Y＜200000</w:t>
            </w:r>
          </w:p>
        </w:tc>
        <w:tc>
          <w:tcPr>
            <w:tcW w:w="1426" w:type="dxa"/>
            <w:tcBorders>
              <w:top w:val="nil"/>
              <w:left w:val="nil"/>
              <w:bottom w:val="nil"/>
              <w:right w:val="single" w:color="auto" w:sz="4" w:space="0"/>
            </w:tcBorders>
            <w:vAlign w:val="center"/>
          </w:tcPr>
          <w:p w14:paraId="01C61C7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100≤Y＜1000</w:t>
            </w:r>
          </w:p>
        </w:tc>
        <w:tc>
          <w:tcPr>
            <w:tcW w:w="992" w:type="dxa"/>
            <w:tcBorders>
              <w:top w:val="nil"/>
              <w:left w:val="nil"/>
              <w:bottom w:val="nil"/>
              <w:right w:val="nil"/>
            </w:tcBorders>
            <w:vAlign w:val="center"/>
          </w:tcPr>
          <w:p w14:paraId="26E2BF2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14:paraId="33B3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59E124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7BB9458D">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709" w:type="dxa"/>
            <w:tcBorders>
              <w:top w:val="nil"/>
              <w:left w:val="nil"/>
              <w:bottom w:val="single" w:color="auto" w:sz="4" w:space="0"/>
              <w:right w:val="single" w:color="auto" w:sz="4" w:space="0"/>
            </w:tcBorders>
            <w:vAlign w:val="center"/>
          </w:tcPr>
          <w:p w14:paraId="7EE0544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0327A65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Z≥10000</w:t>
            </w:r>
          </w:p>
        </w:tc>
        <w:tc>
          <w:tcPr>
            <w:tcW w:w="1701" w:type="dxa"/>
            <w:tcBorders>
              <w:top w:val="nil"/>
              <w:left w:val="nil"/>
              <w:bottom w:val="single" w:color="auto" w:sz="4" w:space="0"/>
              <w:right w:val="single" w:color="auto" w:sz="4" w:space="0"/>
            </w:tcBorders>
            <w:vAlign w:val="center"/>
          </w:tcPr>
          <w:p w14:paraId="77810A8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5000≤Z＜10000</w:t>
            </w:r>
          </w:p>
        </w:tc>
        <w:tc>
          <w:tcPr>
            <w:tcW w:w="1426" w:type="dxa"/>
            <w:tcBorders>
              <w:top w:val="nil"/>
              <w:left w:val="nil"/>
              <w:bottom w:val="single" w:color="auto" w:sz="4" w:space="0"/>
              <w:right w:val="single" w:color="auto" w:sz="4" w:space="0"/>
            </w:tcBorders>
            <w:vAlign w:val="center"/>
          </w:tcPr>
          <w:p w14:paraId="7FCA8FD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2000≤Z＜5000   </w:t>
            </w:r>
          </w:p>
        </w:tc>
        <w:tc>
          <w:tcPr>
            <w:tcW w:w="992" w:type="dxa"/>
            <w:tcBorders>
              <w:top w:val="nil"/>
              <w:left w:val="nil"/>
              <w:bottom w:val="single" w:color="auto" w:sz="4" w:space="0"/>
              <w:right w:val="nil"/>
            </w:tcBorders>
            <w:vAlign w:val="center"/>
          </w:tcPr>
          <w:p w14:paraId="7D71739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Z＜2000</w:t>
            </w:r>
          </w:p>
        </w:tc>
      </w:tr>
      <w:tr w14:paraId="250B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043B801D">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物业管理</w:t>
            </w:r>
          </w:p>
        </w:tc>
        <w:tc>
          <w:tcPr>
            <w:tcW w:w="1369" w:type="dxa"/>
            <w:tcBorders>
              <w:top w:val="nil"/>
              <w:left w:val="nil"/>
              <w:bottom w:val="nil"/>
              <w:right w:val="single" w:color="auto" w:sz="4" w:space="0"/>
            </w:tcBorders>
            <w:vAlign w:val="center"/>
          </w:tcPr>
          <w:p w14:paraId="2D297B1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479528F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5417ECE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1701" w:type="dxa"/>
            <w:tcBorders>
              <w:top w:val="nil"/>
              <w:left w:val="nil"/>
              <w:bottom w:val="nil"/>
              <w:right w:val="single" w:color="auto" w:sz="4" w:space="0"/>
            </w:tcBorders>
            <w:vAlign w:val="center"/>
          </w:tcPr>
          <w:p w14:paraId="2EB610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426" w:type="dxa"/>
            <w:tcBorders>
              <w:top w:val="nil"/>
              <w:left w:val="nil"/>
              <w:bottom w:val="nil"/>
              <w:right w:val="single" w:color="auto" w:sz="4" w:space="0"/>
            </w:tcBorders>
            <w:vAlign w:val="center"/>
          </w:tcPr>
          <w:p w14:paraId="50FE5BB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992" w:type="dxa"/>
            <w:tcBorders>
              <w:top w:val="nil"/>
              <w:left w:val="nil"/>
              <w:bottom w:val="nil"/>
              <w:right w:val="nil"/>
            </w:tcBorders>
            <w:vAlign w:val="center"/>
          </w:tcPr>
          <w:p w14:paraId="2AA6599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w:t>
            </w:r>
          </w:p>
        </w:tc>
      </w:tr>
      <w:tr w14:paraId="72C3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1BFFBD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34B08B18">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709" w:type="dxa"/>
            <w:tcBorders>
              <w:top w:val="nil"/>
              <w:left w:val="nil"/>
              <w:bottom w:val="single" w:color="auto" w:sz="4" w:space="0"/>
              <w:right w:val="single" w:color="auto" w:sz="4" w:space="0"/>
            </w:tcBorders>
            <w:vAlign w:val="center"/>
          </w:tcPr>
          <w:p w14:paraId="2961D74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40C7031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Y≥5000</w:t>
            </w:r>
          </w:p>
        </w:tc>
        <w:tc>
          <w:tcPr>
            <w:tcW w:w="1701" w:type="dxa"/>
            <w:tcBorders>
              <w:top w:val="nil"/>
              <w:left w:val="nil"/>
              <w:bottom w:val="single" w:color="auto" w:sz="4" w:space="0"/>
              <w:right w:val="single" w:color="auto" w:sz="4" w:space="0"/>
            </w:tcBorders>
            <w:vAlign w:val="center"/>
          </w:tcPr>
          <w:p w14:paraId="277C5593">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1000≤Y＜5000 </w:t>
            </w:r>
          </w:p>
        </w:tc>
        <w:tc>
          <w:tcPr>
            <w:tcW w:w="1426" w:type="dxa"/>
            <w:tcBorders>
              <w:top w:val="nil"/>
              <w:left w:val="nil"/>
              <w:bottom w:val="single" w:color="auto" w:sz="4" w:space="0"/>
              <w:right w:val="single" w:color="auto" w:sz="4" w:space="0"/>
            </w:tcBorders>
            <w:vAlign w:val="center"/>
          </w:tcPr>
          <w:p w14:paraId="5A4F095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500≤Y＜1000</w:t>
            </w:r>
          </w:p>
        </w:tc>
        <w:tc>
          <w:tcPr>
            <w:tcW w:w="992" w:type="dxa"/>
            <w:tcBorders>
              <w:top w:val="nil"/>
              <w:left w:val="nil"/>
              <w:bottom w:val="single" w:color="auto" w:sz="4" w:space="0"/>
              <w:right w:val="nil"/>
            </w:tcBorders>
            <w:vAlign w:val="center"/>
          </w:tcPr>
          <w:p w14:paraId="603F87D9">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w:t>
            </w:r>
          </w:p>
        </w:tc>
      </w:tr>
      <w:tr w14:paraId="5E6C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76B8DB69">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租赁和商务服务业</w:t>
            </w:r>
          </w:p>
        </w:tc>
        <w:tc>
          <w:tcPr>
            <w:tcW w:w="1369" w:type="dxa"/>
            <w:tcBorders>
              <w:top w:val="nil"/>
              <w:left w:val="nil"/>
              <w:bottom w:val="nil"/>
              <w:right w:val="single" w:color="auto" w:sz="4" w:space="0"/>
            </w:tcBorders>
            <w:vAlign w:val="center"/>
          </w:tcPr>
          <w:p w14:paraId="55307E9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nil"/>
              <w:right w:val="single" w:color="auto" w:sz="4" w:space="0"/>
            </w:tcBorders>
            <w:vAlign w:val="center"/>
          </w:tcPr>
          <w:p w14:paraId="45CE61A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nil"/>
              <w:right w:val="single" w:color="auto" w:sz="4" w:space="0"/>
            </w:tcBorders>
            <w:vAlign w:val="center"/>
          </w:tcPr>
          <w:p w14:paraId="7BA3DE2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nil"/>
              <w:right w:val="single" w:color="auto" w:sz="4" w:space="0"/>
            </w:tcBorders>
            <w:vAlign w:val="center"/>
          </w:tcPr>
          <w:p w14:paraId="70CDBABD">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nil"/>
              <w:right w:val="single" w:color="auto" w:sz="4" w:space="0"/>
            </w:tcBorders>
            <w:vAlign w:val="center"/>
          </w:tcPr>
          <w:p w14:paraId="6B3EB994">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nil"/>
              <w:right w:val="nil"/>
            </w:tcBorders>
            <w:vAlign w:val="center"/>
          </w:tcPr>
          <w:p w14:paraId="1CA522C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14:paraId="278D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5627926">
            <w:pPr>
              <w:widowControl/>
              <w:rPr>
                <w:rFonts w:hint="eastAsia" w:ascii="宋体" w:hAnsi="宋体" w:eastAsia="宋体" w:cs="宋体"/>
                <w:color w:val="auto"/>
                <w:sz w:val="18"/>
                <w:szCs w:val="18"/>
                <w:highlight w:val="none"/>
              </w:rPr>
            </w:pPr>
          </w:p>
        </w:tc>
        <w:tc>
          <w:tcPr>
            <w:tcW w:w="1369" w:type="dxa"/>
            <w:tcBorders>
              <w:top w:val="nil"/>
              <w:left w:val="nil"/>
              <w:bottom w:val="single" w:color="auto" w:sz="4" w:space="0"/>
              <w:right w:val="single" w:color="auto" w:sz="4" w:space="0"/>
            </w:tcBorders>
            <w:vAlign w:val="center"/>
          </w:tcPr>
          <w:p w14:paraId="252ED8F2">
            <w:pPr>
              <w:widowControl/>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709" w:type="dxa"/>
            <w:tcBorders>
              <w:top w:val="nil"/>
              <w:left w:val="nil"/>
              <w:bottom w:val="single" w:color="auto" w:sz="4" w:space="0"/>
              <w:right w:val="single" w:color="auto" w:sz="4" w:space="0"/>
            </w:tcBorders>
            <w:vAlign w:val="center"/>
          </w:tcPr>
          <w:p w14:paraId="2FFD20A3">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125" w:type="dxa"/>
            <w:tcBorders>
              <w:top w:val="nil"/>
              <w:left w:val="nil"/>
              <w:bottom w:val="single" w:color="auto" w:sz="4" w:space="0"/>
              <w:right w:val="single" w:color="auto" w:sz="4" w:space="0"/>
            </w:tcBorders>
            <w:vAlign w:val="center"/>
          </w:tcPr>
          <w:p w14:paraId="562C1701">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Z≥120000</w:t>
            </w:r>
          </w:p>
        </w:tc>
        <w:tc>
          <w:tcPr>
            <w:tcW w:w="1701" w:type="dxa"/>
            <w:tcBorders>
              <w:top w:val="nil"/>
              <w:left w:val="nil"/>
              <w:bottom w:val="single" w:color="auto" w:sz="4" w:space="0"/>
              <w:right w:val="single" w:color="auto" w:sz="4" w:space="0"/>
            </w:tcBorders>
            <w:vAlign w:val="center"/>
          </w:tcPr>
          <w:p w14:paraId="4E0D11D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8000≤Z＜120000</w:t>
            </w:r>
          </w:p>
        </w:tc>
        <w:tc>
          <w:tcPr>
            <w:tcW w:w="1426" w:type="dxa"/>
            <w:tcBorders>
              <w:top w:val="nil"/>
              <w:left w:val="nil"/>
              <w:bottom w:val="single" w:color="auto" w:sz="4" w:space="0"/>
              <w:right w:val="single" w:color="auto" w:sz="4" w:space="0"/>
            </w:tcBorders>
            <w:vAlign w:val="center"/>
          </w:tcPr>
          <w:p w14:paraId="1AB097C8">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100≤Z＜8000</w:t>
            </w:r>
          </w:p>
        </w:tc>
        <w:tc>
          <w:tcPr>
            <w:tcW w:w="992" w:type="dxa"/>
            <w:tcBorders>
              <w:top w:val="nil"/>
              <w:left w:val="nil"/>
              <w:bottom w:val="single" w:color="auto" w:sz="4" w:space="0"/>
              <w:right w:val="nil"/>
            </w:tcBorders>
            <w:vAlign w:val="center"/>
          </w:tcPr>
          <w:p w14:paraId="4DD2D9E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w:t>
            </w:r>
          </w:p>
        </w:tc>
      </w:tr>
      <w:tr w14:paraId="51910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15B9DD29">
            <w:pPr>
              <w:widowControl/>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其他未列明行业 *</w:t>
            </w:r>
          </w:p>
        </w:tc>
        <w:tc>
          <w:tcPr>
            <w:tcW w:w="1369" w:type="dxa"/>
            <w:tcBorders>
              <w:top w:val="nil"/>
              <w:left w:val="nil"/>
              <w:bottom w:val="single" w:color="auto" w:sz="4" w:space="0"/>
              <w:right w:val="single" w:color="auto" w:sz="4" w:space="0"/>
            </w:tcBorders>
            <w:vAlign w:val="center"/>
          </w:tcPr>
          <w:p w14:paraId="0628FDB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709" w:type="dxa"/>
            <w:tcBorders>
              <w:top w:val="nil"/>
              <w:left w:val="nil"/>
              <w:bottom w:val="single" w:color="auto" w:sz="4" w:space="0"/>
              <w:right w:val="single" w:color="auto" w:sz="4" w:space="0"/>
            </w:tcBorders>
            <w:vAlign w:val="center"/>
          </w:tcPr>
          <w:p w14:paraId="15C69F0D">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125" w:type="dxa"/>
            <w:tcBorders>
              <w:top w:val="nil"/>
              <w:left w:val="nil"/>
              <w:bottom w:val="single" w:color="auto" w:sz="4" w:space="0"/>
              <w:right w:val="single" w:color="auto" w:sz="4" w:space="0"/>
            </w:tcBorders>
            <w:vAlign w:val="center"/>
          </w:tcPr>
          <w:p w14:paraId="6B95D65E">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1701" w:type="dxa"/>
            <w:tcBorders>
              <w:top w:val="nil"/>
              <w:left w:val="nil"/>
              <w:bottom w:val="single" w:color="auto" w:sz="4" w:space="0"/>
              <w:right w:val="single" w:color="auto" w:sz="4" w:space="0"/>
            </w:tcBorders>
            <w:vAlign w:val="center"/>
          </w:tcPr>
          <w:p w14:paraId="462A07AF">
            <w:pPr>
              <w:widowControl/>
              <w:ind w:left="-4" w:leftChars="-51" w:hanging="108" w:hangingChars="6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100≤X＜300 </w:t>
            </w:r>
          </w:p>
        </w:tc>
        <w:tc>
          <w:tcPr>
            <w:tcW w:w="1426" w:type="dxa"/>
            <w:tcBorders>
              <w:top w:val="nil"/>
              <w:left w:val="nil"/>
              <w:bottom w:val="single" w:color="auto" w:sz="4" w:space="0"/>
              <w:right w:val="single" w:color="auto" w:sz="4" w:space="0"/>
            </w:tcBorders>
            <w:vAlign w:val="center"/>
          </w:tcPr>
          <w:p w14:paraId="36028EC5">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10≤X＜100</w:t>
            </w:r>
          </w:p>
        </w:tc>
        <w:tc>
          <w:tcPr>
            <w:tcW w:w="992" w:type="dxa"/>
            <w:tcBorders>
              <w:top w:val="nil"/>
              <w:left w:val="nil"/>
              <w:bottom w:val="single" w:color="auto" w:sz="4" w:space="0"/>
              <w:right w:val="nil"/>
            </w:tcBorders>
            <w:vAlign w:val="center"/>
          </w:tcPr>
          <w:p w14:paraId="454B59AC">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bl>
    <w:p w14:paraId="1C49AFCA">
      <w:pPr>
        <w:adjustRightInd w:val="0"/>
        <w:snapToGrid w:val="0"/>
        <w:spacing w:line="360" w:lineRule="auto"/>
        <w:ind w:right="110" w:right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1FDFF23">
      <w:pPr>
        <w:adjustRightInd w:val="0"/>
        <w:snapToGrid w:val="0"/>
        <w:spacing w:line="360" w:lineRule="auto"/>
        <w:ind w:right="110" w:rightChars="5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1.大型、中型和小型企业须同时满足所列指标的下限，否则下划一档；微型企业只须满足所列指标中的一项即可。</w:t>
      </w:r>
    </w:p>
    <w:p w14:paraId="1BF331AB">
      <w:pPr>
        <w:adjustRightInd w:val="0"/>
        <w:snapToGrid w:val="0"/>
        <w:spacing w:line="360" w:lineRule="auto"/>
        <w:ind w:right="110" w:rightChars="50"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FCCA7E">
      <w:pPr>
        <w:adjustRightInd w:val="0"/>
        <w:snapToGrid w:val="0"/>
        <w:spacing w:line="360" w:lineRule="auto"/>
        <w:ind w:right="110" w:rightChars="50" w:firstLine="44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7D0FB48">
      <w:pPr>
        <w:adjustRightInd w:val="0"/>
        <w:snapToGrid w:val="0"/>
        <w:spacing w:line="360" w:lineRule="auto"/>
        <w:ind w:right="110" w:rightChars="50" w:firstLine="440" w:firstLineChars="200"/>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2"/>
          <w:szCs w:val="21"/>
          <w:highlight w:val="none"/>
        </w:rPr>
        <w:br w:type="page"/>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残疾人福利性单位声明函</w:t>
      </w:r>
    </w:p>
    <w:p w14:paraId="7BE7C517">
      <w:pPr>
        <w:widowControl w:val="0"/>
        <w:tabs>
          <w:tab w:val="left" w:pos="840"/>
        </w:tabs>
        <w:wordWrap/>
        <w:adjustRightInd/>
        <w:snapToGrid/>
        <w:spacing w:line="48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（属于残疾人福利性单位的填写，不属于的无需填写此项内容）</w:t>
      </w:r>
    </w:p>
    <w:p w14:paraId="44C83242">
      <w:pPr>
        <w:widowControl w:val="0"/>
        <w:tabs>
          <w:tab w:val="left" w:pos="840"/>
        </w:tabs>
        <w:wordWrap/>
        <w:adjustRightInd/>
        <w:snapToGrid/>
        <w:spacing w:line="48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D237E5">
      <w:pPr>
        <w:widowControl w:val="0"/>
        <w:tabs>
          <w:tab w:val="left" w:pos="840"/>
        </w:tabs>
        <w:wordWrap/>
        <w:adjustRightInd/>
        <w:snapToGrid/>
        <w:spacing w:line="48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2C17F18E">
      <w:pPr>
        <w:widowControl w:val="0"/>
        <w:tabs>
          <w:tab w:val="left" w:pos="840"/>
        </w:tabs>
        <w:wordWrap/>
        <w:adjustRightInd/>
        <w:snapToGrid/>
        <w:spacing w:line="480" w:lineRule="auto"/>
        <w:jc w:val="left"/>
        <w:textAlignment w:val="auto"/>
        <w:rPr>
          <w:rFonts w:hint="eastAsia" w:ascii="宋体" w:hAnsi="宋体" w:eastAsia="宋体" w:cs="宋体"/>
          <w:color w:val="auto"/>
          <w:sz w:val="21"/>
          <w:szCs w:val="21"/>
          <w:highlight w:val="none"/>
        </w:rPr>
      </w:pPr>
    </w:p>
    <w:p w14:paraId="2D403165">
      <w:pPr>
        <w:widowControl w:val="0"/>
        <w:wordWrap/>
        <w:adjustRightInd/>
        <w:snapToGrid/>
        <w:spacing w:line="48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1"/>
          <w:sz w:val="21"/>
          <w:szCs w:val="21"/>
          <w:highlight w:val="none"/>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kern w:val="1"/>
          <w:sz w:val="21"/>
          <w:szCs w:val="21"/>
          <w:highlight w:val="none"/>
        </w:rPr>
        <w:t>）</w:t>
      </w:r>
    </w:p>
    <w:p w14:paraId="02C586E4">
      <w:pPr>
        <w:widowControl w:val="0"/>
        <w:numPr>
          <w:ilvl w:val="0"/>
          <w:numId w:val="0"/>
        </w:numPr>
        <w:wordWrap/>
        <w:adjustRightInd/>
        <w:snapToGrid/>
        <w:spacing w:line="48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期：</w:t>
      </w:r>
    </w:p>
    <w:p w14:paraId="2F43A70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25835DA">
      <w:pPr>
        <w:numPr>
          <w:ilvl w:val="0"/>
          <w:numId w:val="15"/>
        </w:numPr>
        <w:spacing w:before="72" w:line="360" w:lineRule="auto"/>
        <w:jc w:val="center"/>
        <w:outlineLvl w:val="6"/>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监狱企业证明文件</w:t>
      </w:r>
    </w:p>
    <w:p w14:paraId="28621BCB">
      <w:pPr>
        <w:numPr>
          <w:ilvl w:val="0"/>
          <w:numId w:val="0"/>
        </w:numPr>
        <w:spacing w:before="72" w:line="360" w:lineRule="auto"/>
        <w:ind w:firstLine="210" w:firstLineChars="100"/>
        <w:jc w:val="center"/>
        <w:outlineLvl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(如有可提供，如无不需提供)</w:t>
      </w:r>
    </w:p>
    <w:p w14:paraId="690C1F2E">
      <w:pPr>
        <w:spacing w:line="359" w:lineRule="auto"/>
        <w:rPr>
          <w:rFonts w:hint="eastAsia" w:ascii="宋体" w:hAnsi="宋体" w:eastAsia="宋体" w:cs="宋体"/>
          <w:color w:val="auto"/>
          <w:sz w:val="21"/>
          <w:szCs w:val="21"/>
          <w:highlight w:val="none"/>
        </w:rPr>
      </w:pPr>
    </w:p>
    <w:p w14:paraId="0EACB74D">
      <w:p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由供应商提供由省级以上监狱管理局、戒毒管理局（含新疆生产建设兵团）出具的属于监狱企业的证明文件。</w:t>
      </w:r>
    </w:p>
    <w:p w14:paraId="30A9F7B4">
      <w:pPr>
        <w:pStyle w:val="31"/>
        <w:rPr>
          <w:rFonts w:hint="eastAsia" w:ascii="宋体" w:hAnsi="宋体" w:eastAsia="宋体" w:cs="宋体"/>
          <w:color w:val="auto"/>
          <w:highlight w:val="none"/>
          <w:lang w:val="en-US" w:eastAsia="zh-CN"/>
        </w:rPr>
      </w:pPr>
    </w:p>
    <w:p w14:paraId="6F223DBC">
      <w:pPr>
        <w:spacing w:line="360" w:lineRule="auto"/>
        <w:jc w:val="center"/>
        <w:rPr>
          <w:rStyle w:val="32"/>
          <w:rFonts w:hint="eastAsia" w:ascii="宋体" w:hAnsi="宋体" w:eastAsia="宋体" w:cs="宋体"/>
          <w:color w:val="auto"/>
          <w:highlight w:val="none"/>
        </w:rPr>
      </w:pPr>
    </w:p>
    <w:bookmarkEnd w:id="765"/>
    <w:p w14:paraId="32943D1A">
      <w:pPr>
        <w:numPr>
          <w:ilvl w:val="0"/>
          <w:numId w:val="0"/>
        </w:numPr>
        <w:jc w:val="center"/>
        <w:rPr>
          <w:rFonts w:hint="eastAsia" w:ascii="宋体" w:hAnsi="宋体" w:eastAsia="宋体" w:cs="宋体"/>
          <w:b/>
          <w:bCs/>
          <w:color w:val="auto"/>
          <w:kern w:val="0"/>
          <w:sz w:val="32"/>
          <w:szCs w:val="32"/>
          <w:highlight w:val="none"/>
          <w:u w:val="none"/>
        </w:rPr>
      </w:pPr>
      <w:r>
        <w:rPr>
          <w:rFonts w:hint="eastAsia" w:ascii="宋体" w:hAnsi="宋体" w:eastAsia="宋体" w:cs="宋体"/>
          <w:b/>
          <w:bCs/>
          <w:color w:val="auto"/>
          <w:kern w:val="0"/>
          <w:sz w:val="32"/>
          <w:szCs w:val="32"/>
          <w:highlight w:val="none"/>
          <w:lang w:eastAsia="zh-CN"/>
        </w:rPr>
        <w:br w:type="page"/>
      </w:r>
      <w:bookmarkStart w:id="768" w:name="_Toc23539"/>
      <w:bookmarkStart w:id="769" w:name="_Toc27371"/>
      <w:bookmarkStart w:id="770" w:name="_Toc7541"/>
      <w:bookmarkStart w:id="771" w:name="_Toc278"/>
      <w:bookmarkStart w:id="772" w:name="_Toc15927"/>
      <w:bookmarkStart w:id="773" w:name="_Toc4105"/>
      <w:bookmarkStart w:id="774" w:name="_Toc10839"/>
      <w:bookmarkStart w:id="775" w:name="_Toc11004"/>
      <w:bookmarkStart w:id="776" w:name="_Toc19616"/>
      <w:bookmarkStart w:id="777" w:name="_Toc9968"/>
      <w:bookmarkStart w:id="778" w:name="_Toc31638"/>
      <w:r>
        <w:rPr>
          <w:rStyle w:val="32"/>
          <w:rFonts w:hint="eastAsia" w:hAnsi="宋体" w:cs="宋体"/>
          <w:color w:val="auto"/>
          <w:highlight w:val="none"/>
          <w:lang w:val="en-US" w:eastAsia="zh-CN"/>
        </w:rPr>
        <w:t>九</w:t>
      </w:r>
      <w:r>
        <w:rPr>
          <w:rStyle w:val="32"/>
          <w:rFonts w:hint="eastAsia" w:ascii="宋体" w:hAnsi="宋体" w:eastAsia="宋体" w:cs="宋体"/>
          <w:color w:val="auto"/>
          <w:highlight w:val="none"/>
          <w:lang w:val="en-US" w:eastAsia="zh-CN"/>
        </w:rPr>
        <w:t>、二次（最终）报价</w:t>
      </w:r>
      <w:bookmarkEnd w:id="768"/>
      <w:bookmarkEnd w:id="769"/>
      <w:bookmarkEnd w:id="770"/>
      <w:bookmarkEnd w:id="771"/>
      <w:bookmarkEnd w:id="772"/>
      <w:bookmarkEnd w:id="773"/>
      <w:bookmarkEnd w:id="774"/>
      <w:bookmarkEnd w:id="775"/>
      <w:bookmarkEnd w:id="776"/>
      <w:bookmarkEnd w:id="777"/>
      <w:bookmarkEnd w:id="778"/>
    </w:p>
    <w:p w14:paraId="54100ED3">
      <w:pPr>
        <w:numPr>
          <w:ilvl w:val="0"/>
          <w:numId w:val="0"/>
        </w:numPr>
        <w:rPr>
          <w:rFonts w:hint="eastAsia" w:ascii="宋体" w:hAnsi="宋体" w:eastAsia="宋体" w:cs="宋体"/>
          <w:color w:val="auto"/>
          <w:highlight w:val="none"/>
          <w:u w:val="none"/>
          <w:lang w:eastAsia="zh-CN"/>
        </w:rPr>
      </w:pPr>
    </w:p>
    <w:p w14:paraId="2E0CF0D9">
      <w:pPr>
        <w:numPr>
          <w:ilvl w:val="0"/>
          <w:numId w:val="0"/>
        </w:numPr>
        <w:rPr>
          <w:rFonts w:hint="eastAsia" w:ascii="宋体" w:hAnsi="宋体" w:eastAsia="宋体" w:cs="宋体"/>
          <w:color w:val="auto"/>
          <w:highlight w:val="none"/>
          <w:u w:val="none"/>
          <w:lang w:eastAsia="zh-CN"/>
        </w:rPr>
      </w:pPr>
    </w:p>
    <w:p w14:paraId="0B5BDF0C">
      <w:pPr>
        <w:numPr>
          <w:ilvl w:val="0"/>
          <w:numId w:val="0"/>
        </w:numPr>
        <w:rPr>
          <w:rFonts w:hint="eastAsia" w:ascii="宋体" w:hAnsi="宋体" w:eastAsia="宋体" w:cs="宋体"/>
          <w:color w:val="auto"/>
          <w:highlight w:val="none"/>
          <w:u w:val="none"/>
          <w:lang w:eastAsia="zh-CN"/>
        </w:rPr>
      </w:pPr>
    </w:p>
    <w:p w14:paraId="0ED710AA">
      <w:pPr>
        <w:numPr>
          <w:ilvl w:val="0"/>
          <w:numId w:val="0"/>
        </w:numPr>
        <w:ind w:firstLine="562" w:firstLineChars="200"/>
        <w:rPr>
          <w:rFonts w:hint="eastAsia"/>
          <w:color w:val="auto"/>
          <w:highlight w:val="none"/>
          <w:lang w:val="en-US" w:eastAsia="zh-CN"/>
        </w:rPr>
      </w:pPr>
      <w:r>
        <w:rPr>
          <w:rFonts w:hint="eastAsia" w:ascii="宋体" w:hAnsi="宋体" w:eastAsia="宋体" w:cs="宋体"/>
          <w:b/>
          <w:bCs/>
          <w:color w:val="auto"/>
          <w:sz w:val="28"/>
          <w:szCs w:val="28"/>
          <w:highlight w:val="none"/>
          <w:u w:val="none"/>
          <w:lang w:eastAsia="zh-CN"/>
        </w:rPr>
        <w:t>注：各供应商应在开标会议结束之后保持在线状态，等候二次（最终）报价通知。二次（最终）报价在荥阳市公共资源交易中心系统中使用“企业</w:t>
      </w:r>
      <w:r>
        <w:rPr>
          <w:rFonts w:hint="eastAsia" w:ascii="宋体" w:hAnsi="宋体" w:eastAsia="宋体" w:cs="宋体"/>
          <w:b/>
          <w:bCs/>
          <w:color w:val="auto"/>
          <w:sz w:val="28"/>
          <w:szCs w:val="28"/>
          <w:highlight w:val="none"/>
          <w:u w:val="none"/>
          <w:lang w:val="en-US" w:eastAsia="zh-CN"/>
        </w:rPr>
        <w:t>CA认证证书</w:t>
      </w:r>
      <w:r>
        <w:rPr>
          <w:rFonts w:hint="eastAsia" w:ascii="宋体" w:hAnsi="宋体" w:eastAsia="宋体" w:cs="宋体"/>
          <w:b/>
          <w:bCs/>
          <w:color w:val="auto"/>
          <w:sz w:val="28"/>
          <w:szCs w:val="28"/>
          <w:highlight w:val="none"/>
          <w:u w:val="none"/>
          <w:lang w:eastAsia="zh-CN"/>
        </w:rPr>
        <w:t>”进行报价。</w:t>
      </w:r>
    </w:p>
    <w:p w14:paraId="06A6D190">
      <w:pPr>
        <w:pStyle w:val="6"/>
        <w:jc w:val="both"/>
        <w:rPr>
          <w:rFonts w:hint="default"/>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A04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AED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94498">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C94498">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A0E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2D84F"/>
    <w:multiLevelType w:val="singleLevel"/>
    <w:tmpl w:val="8AA2D84F"/>
    <w:lvl w:ilvl="0" w:tentative="0">
      <w:start w:val="1"/>
      <w:numFmt w:val="decimal"/>
      <w:suff w:val="nothing"/>
      <w:lvlText w:val="（%1）"/>
      <w:lvlJc w:val="left"/>
    </w:lvl>
  </w:abstractNum>
  <w:abstractNum w:abstractNumId="1">
    <w:nsid w:val="B466EA81"/>
    <w:multiLevelType w:val="singleLevel"/>
    <w:tmpl w:val="B466EA81"/>
    <w:lvl w:ilvl="0" w:tentative="0">
      <w:start w:val="1"/>
      <w:numFmt w:val="decimal"/>
      <w:suff w:val="nothing"/>
      <w:lvlText w:val="%1、"/>
      <w:lvlJc w:val="left"/>
    </w:lvl>
  </w:abstractNum>
  <w:abstractNum w:abstractNumId="2">
    <w:nsid w:val="BB027A88"/>
    <w:multiLevelType w:val="singleLevel"/>
    <w:tmpl w:val="BB027A88"/>
    <w:lvl w:ilvl="0" w:tentative="0">
      <w:start w:val="1"/>
      <w:numFmt w:val="decimal"/>
      <w:suff w:val="nothing"/>
      <w:lvlText w:val="（%1）"/>
      <w:lvlJc w:val="left"/>
    </w:lvl>
  </w:abstractNum>
  <w:abstractNum w:abstractNumId="3">
    <w:nsid w:val="E9A0FBBE"/>
    <w:multiLevelType w:val="singleLevel"/>
    <w:tmpl w:val="E9A0FBBE"/>
    <w:lvl w:ilvl="0" w:tentative="0">
      <w:start w:val="1"/>
      <w:numFmt w:val="chineseCountingThousand"/>
      <w:suff w:val="space"/>
      <w:lvlText w:val="第%1条 "/>
      <w:lvlJc w:val="left"/>
      <w:pPr>
        <w:ind w:left="85" w:hanging="85"/>
      </w:pPr>
      <w:rPr>
        <w:rFonts w:hint="eastAsia"/>
        <w:b/>
      </w:rPr>
    </w:lvl>
  </w:abstractNum>
  <w:abstractNum w:abstractNumId="4">
    <w:nsid w:val="EA162CD8"/>
    <w:multiLevelType w:val="singleLevel"/>
    <w:tmpl w:val="EA162CD8"/>
    <w:lvl w:ilvl="0" w:tentative="0">
      <w:start w:val="1"/>
      <w:numFmt w:val="decimal"/>
      <w:suff w:val="space"/>
      <w:lvlText w:val="%1."/>
      <w:lvlJc w:val="left"/>
      <w:pPr>
        <w:ind w:left="885" w:hanging="28"/>
      </w:pPr>
      <w:rPr>
        <w:rFonts w:hint="default"/>
        <w:b/>
      </w:rPr>
    </w:lvl>
  </w:abstractNum>
  <w:abstractNum w:abstractNumId="5">
    <w:nsid w:val="EF311382"/>
    <w:multiLevelType w:val="singleLevel"/>
    <w:tmpl w:val="EF311382"/>
    <w:lvl w:ilvl="0" w:tentative="0">
      <w:start w:val="1"/>
      <w:numFmt w:val="decimal"/>
      <w:suff w:val="nothing"/>
      <w:lvlText w:val="（%1）"/>
      <w:lvlJc w:val="left"/>
    </w:lvl>
  </w:abstractNum>
  <w:abstractNum w:abstractNumId="6">
    <w:nsid w:val="F24D5636"/>
    <w:multiLevelType w:val="singleLevel"/>
    <w:tmpl w:val="F24D5636"/>
    <w:lvl w:ilvl="0" w:tentative="0">
      <w:start w:val="5"/>
      <w:numFmt w:val="chineseCounting"/>
      <w:suff w:val="nothing"/>
      <w:lvlText w:val="%1、"/>
      <w:lvlJc w:val="left"/>
      <w:rPr>
        <w:rFonts w:hint="eastAsia"/>
      </w:rPr>
    </w:lvl>
  </w:abstractNum>
  <w:abstractNum w:abstractNumId="7">
    <w:nsid w:val="F6E35440"/>
    <w:multiLevelType w:val="singleLevel"/>
    <w:tmpl w:val="F6E35440"/>
    <w:lvl w:ilvl="0" w:tentative="0">
      <w:start w:val="1"/>
      <w:numFmt w:val="decimal"/>
      <w:suff w:val="nothing"/>
      <w:lvlText w:val="（%1）"/>
      <w:lvlJc w:val="left"/>
    </w:lvl>
  </w:abstractNum>
  <w:abstractNum w:abstractNumId="8">
    <w:nsid w:val="00000013"/>
    <w:multiLevelType w:val="singleLevel"/>
    <w:tmpl w:val="00000013"/>
    <w:lvl w:ilvl="0" w:tentative="0">
      <w:start w:val="3"/>
      <w:numFmt w:val="chineseCounting"/>
      <w:suff w:val="nothing"/>
      <w:lvlText w:val="（%1）"/>
      <w:lvlJc w:val="left"/>
      <w:rPr>
        <w:rFonts w:hint="eastAsia"/>
      </w:rPr>
    </w:lvl>
  </w:abstractNum>
  <w:abstractNum w:abstractNumId="9">
    <w:nsid w:val="00000024"/>
    <w:multiLevelType w:val="multilevel"/>
    <w:tmpl w:val="00000024"/>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109467B"/>
    <w:multiLevelType w:val="singleLevel"/>
    <w:tmpl w:val="2109467B"/>
    <w:lvl w:ilvl="0" w:tentative="0">
      <w:start w:val="1"/>
      <w:numFmt w:val="decimal"/>
      <w:suff w:val="nothing"/>
      <w:lvlText w:val="（%1）"/>
      <w:lvlJc w:val="left"/>
    </w:lvl>
  </w:abstractNum>
  <w:abstractNum w:abstractNumId="11">
    <w:nsid w:val="2C9B93E3"/>
    <w:multiLevelType w:val="singleLevel"/>
    <w:tmpl w:val="2C9B93E3"/>
    <w:lvl w:ilvl="0" w:tentative="0">
      <w:start w:val="5"/>
      <w:numFmt w:val="chineseCounting"/>
      <w:suff w:val="space"/>
      <w:lvlText w:val="第%1章"/>
      <w:lvlJc w:val="left"/>
      <w:rPr>
        <w:rFonts w:hint="eastAsia"/>
      </w:rPr>
    </w:lvl>
  </w:abstractNum>
  <w:abstractNum w:abstractNumId="12">
    <w:nsid w:val="500BF0CC"/>
    <w:multiLevelType w:val="singleLevel"/>
    <w:tmpl w:val="500BF0CC"/>
    <w:lvl w:ilvl="0" w:tentative="0">
      <w:start w:val="2"/>
      <w:numFmt w:val="decimal"/>
      <w:suff w:val="nothing"/>
      <w:lvlText w:val="%1、"/>
      <w:lvlJc w:val="left"/>
    </w:lvl>
  </w:abstractNum>
  <w:abstractNum w:abstractNumId="13">
    <w:nsid w:val="6278619E"/>
    <w:multiLevelType w:val="multilevel"/>
    <w:tmpl w:val="6278619E"/>
    <w:lvl w:ilvl="0" w:tentative="0">
      <w:start w:val="3"/>
      <w:numFmt w:val="decimal"/>
      <w:lvlText w:val="%1"/>
      <w:lvlJc w:val="left"/>
      <w:pPr>
        <w:ind w:left="600" w:hanging="600"/>
      </w:pPr>
      <w:rPr>
        <w:rFonts w:hint="default"/>
      </w:rPr>
    </w:lvl>
    <w:lvl w:ilvl="1" w:tentative="0">
      <w:start w:val="1"/>
      <w:numFmt w:val="decimal"/>
      <w:lvlText w:val="%1.%2"/>
      <w:lvlJc w:val="left"/>
      <w:pPr>
        <w:ind w:left="840" w:hanging="60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14">
    <w:nsid w:val="6B3F3BFD"/>
    <w:multiLevelType w:val="singleLevel"/>
    <w:tmpl w:val="6B3F3BFD"/>
    <w:lvl w:ilvl="0" w:tentative="0">
      <w:start w:val="1"/>
      <w:numFmt w:val="decimal"/>
      <w:suff w:val="nothing"/>
      <w:lvlText w:val="（%1）"/>
      <w:lvlJc w:val="left"/>
    </w:lvl>
  </w:abstractNum>
  <w:num w:numId="1">
    <w:abstractNumId w:val="6"/>
  </w:num>
  <w:num w:numId="2">
    <w:abstractNumId w:val="13"/>
  </w:num>
  <w:num w:numId="3">
    <w:abstractNumId w:val="2"/>
  </w:num>
  <w:num w:numId="4">
    <w:abstractNumId w:val="12"/>
  </w:num>
  <w:num w:numId="5">
    <w:abstractNumId w:val="7"/>
  </w:num>
  <w:num w:numId="6">
    <w:abstractNumId w:val="5"/>
  </w:num>
  <w:num w:numId="7">
    <w:abstractNumId w:val="0"/>
  </w:num>
  <w:num w:numId="8">
    <w:abstractNumId w:val="14"/>
  </w:num>
  <w:num w:numId="9">
    <w:abstractNumId w:val="10"/>
  </w:num>
  <w:num w:numId="10">
    <w:abstractNumId w:val="3"/>
  </w:num>
  <w:num w:numId="11">
    <w:abstractNumId w:val="4"/>
  </w:num>
  <w:num w:numId="12">
    <w:abstractNumId w:val="11"/>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E3079"/>
    <w:rsid w:val="06550156"/>
    <w:rsid w:val="133F22F3"/>
    <w:rsid w:val="198E4342"/>
    <w:rsid w:val="1E9A169A"/>
    <w:rsid w:val="224D11D6"/>
    <w:rsid w:val="3F021D6E"/>
    <w:rsid w:val="3F9125B8"/>
    <w:rsid w:val="528E3079"/>
    <w:rsid w:val="55B738FC"/>
    <w:rsid w:val="5791138C"/>
    <w:rsid w:val="7BFA36DF"/>
    <w:rsid w:val="7F67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宋体" w:hAnsi="Times New Roman" w:eastAsia="宋体" w:cs="宋体"/>
      <w:sz w:val="22"/>
      <w:szCs w:val="22"/>
      <w:lang w:val="en-US" w:eastAsia="zh-CN" w:bidi="ar-SA"/>
    </w:rPr>
  </w:style>
  <w:style w:type="paragraph" w:styleId="2">
    <w:name w:val="heading 1"/>
    <w:basedOn w:val="1"/>
    <w:next w:val="1"/>
    <w:qFormat/>
    <w:uiPriority w:val="0"/>
    <w:pPr>
      <w:keepNext/>
      <w:keepLines/>
      <w:spacing w:line="360" w:lineRule="auto"/>
      <w:outlineLvl w:val="0"/>
    </w:pPr>
    <w:rPr>
      <w:rFonts w:eastAsia="宋体"/>
      <w:b/>
      <w:bCs/>
      <w:kern w:val="44"/>
      <w:sz w:val="32"/>
      <w:szCs w:val="44"/>
      <w:lang w:val="en-US" w:eastAsia="zh-CN" w:bidi="ar-SA"/>
    </w:rPr>
  </w:style>
  <w:style w:type="paragraph" w:styleId="3">
    <w:name w:val="heading 2"/>
    <w:basedOn w:val="1"/>
    <w:next w:val="1"/>
    <w:link w:val="32"/>
    <w:qFormat/>
    <w:uiPriority w:val="0"/>
    <w:pPr>
      <w:keepNext/>
      <w:keepLines/>
      <w:spacing w:before="260" w:beforeLines="0" w:after="260" w:afterLines="0" w:line="415"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jc w:val="center"/>
    </w:pPr>
    <w:rPr>
      <w:color w:val="000000"/>
      <w:sz w:val="32"/>
    </w:rPr>
  </w:style>
  <w:style w:type="paragraph" w:styleId="7">
    <w:name w:val="annotation text"/>
    <w:basedOn w:val="1"/>
    <w:qFormat/>
    <w:uiPriority w:val="0"/>
    <w:pPr>
      <w:spacing w:line="240" w:lineRule="auto"/>
      <w:jc w:val="left"/>
    </w:pPr>
    <w:rPr>
      <w:sz w:val="21"/>
      <w:szCs w:val="20"/>
    </w:rPr>
  </w:style>
  <w:style w:type="paragraph" w:styleId="8">
    <w:name w:val="Body Text"/>
    <w:basedOn w:val="1"/>
    <w:next w:val="9"/>
    <w:unhideWhenUsed/>
    <w:qFormat/>
    <w:uiPriority w:val="1"/>
    <w:rPr>
      <w:rFonts w:hint="eastAsia"/>
      <w:sz w:val="21"/>
      <w:szCs w:val="21"/>
    </w:rPr>
  </w:style>
  <w:style w:type="paragraph" w:styleId="9">
    <w:name w:val="Body Text 2"/>
    <w:basedOn w:val="1"/>
    <w:next w:val="8"/>
    <w:qFormat/>
    <w:uiPriority w:val="0"/>
    <w:pPr>
      <w:spacing w:after="120" w:line="480" w:lineRule="auto"/>
    </w:pPr>
    <w:rPr>
      <w:rFonts w:ascii="Times New Roman" w:eastAsia="宋体"/>
    </w:rPr>
  </w:style>
  <w:style w:type="paragraph" w:styleId="10">
    <w:name w:val="Body Text Indent"/>
    <w:basedOn w:val="1"/>
    <w:qFormat/>
    <w:uiPriority w:val="0"/>
    <w:pPr>
      <w:spacing w:after="120" w:afterLines="0"/>
      <w:ind w:left="420" w:leftChars="200"/>
    </w:pPr>
    <w:rPr>
      <w:kern w:val="2"/>
      <w:sz w:val="21"/>
      <w:szCs w:val="2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cs="Courier New"/>
      <w:kern w:val="2"/>
      <w:sz w:val="21"/>
      <w:szCs w:val="21"/>
    </w:rPr>
  </w:style>
  <w:style w:type="paragraph" w:styleId="13">
    <w:name w:val="Body Text Indent 2"/>
    <w:basedOn w:val="1"/>
    <w:qFormat/>
    <w:uiPriority w:val="0"/>
    <w:pPr>
      <w:spacing w:line="240" w:lineRule="auto"/>
      <w:ind w:firstLine="630"/>
    </w:pPr>
    <w:rPr>
      <w:rFonts w:ascii="宋体" w:hAnsi="等线" w:eastAsia="等线"/>
      <w:kern w:val="0"/>
      <w:sz w:val="32"/>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uiPriority w:val="0"/>
    <w:pPr>
      <w:ind w:left="420" w:leftChars="200"/>
    </w:p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9">
    <w:name w:val="Body Text First Indent"/>
    <w:basedOn w:val="8"/>
    <w:qFormat/>
    <w:uiPriority w:val="0"/>
    <w:pPr>
      <w:spacing w:after="120" w:afterLines="0"/>
      <w:ind w:firstLine="420"/>
    </w:pPr>
    <w:rPr>
      <w:rFonts w:ascii="Times New Roman" w:hAnsi="Times New Roman" w:eastAsia="宋体" w:cs="Times New Roman"/>
    </w:rPr>
  </w:style>
  <w:style w:type="paragraph" w:styleId="20">
    <w:name w:val="Body Text First Indent 2"/>
    <w:basedOn w:val="10"/>
    <w:next w:val="21"/>
    <w:qFormat/>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21">
    <w:name w:val="样式 正文首行缩进 2 + Arial"/>
    <w:basedOn w:val="1"/>
    <w:next w:val="1"/>
    <w:autoRedefine/>
    <w:qFormat/>
    <w:uiPriority w:val="0"/>
    <w:pPr>
      <w:spacing w:after="120" w:line="320" w:lineRule="atLeast"/>
      <w:ind w:firstLine="200" w:firstLineChars="200"/>
    </w:pPr>
    <w:rPr>
      <w:rFonts w:ascii="Arial" w:hAnsi="Arial"/>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p"/>
    <w:basedOn w:val="1"/>
    <w:autoRedefine/>
    <w:qFormat/>
    <w:uiPriority w:val="0"/>
    <w:pPr>
      <w:widowControl/>
      <w:spacing w:line="432" w:lineRule="auto"/>
      <w:jc w:val="left"/>
    </w:pPr>
    <w:rPr>
      <w:rFonts w:ascii="宋体" w:hAnsi="宋体" w:cs="宋体"/>
      <w:kern w:val="0"/>
      <w:sz w:val="24"/>
    </w:rPr>
  </w:style>
  <w:style w:type="paragraph" w:customStyle="1" w:styleId="26">
    <w:name w:val="稻壳合同样式 1级"/>
    <w:basedOn w:val="1"/>
    <w:qFormat/>
    <w:uiPriority w:val="0"/>
    <w:pPr>
      <w:spacing w:line="400" w:lineRule="exact"/>
      <w:jc w:val="both"/>
      <w:outlineLvl w:val="0"/>
    </w:pPr>
    <w:rPr>
      <w:rFonts w:hint="eastAsia" w:ascii="仿宋" w:eastAsia="仿宋" w:cs="仿宋"/>
      <w:sz w:val="30"/>
    </w:rPr>
  </w:style>
  <w:style w:type="paragraph" w:customStyle="1" w:styleId="27">
    <w:name w:val="稻壳合同样式 3级"/>
    <w:basedOn w:val="1"/>
    <w:qFormat/>
    <w:uiPriority w:val="0"/>
    <w:pPr>
      <w:spacing w:line="400" w:lineRule="exact"/>
      <w:ind w:firstLine="914" w:firstLineChars="207"/>
      <w:jc w:val="both"/>
      <w:outlineLvl w:val="2"/>
    </w:pPr>
    <w:rPr>
      <w:rFonts w:hint="eastAsia" w:ascii="仿宋" w:eastAsia="仿宋" w:cs="仿宋"/>
      <w:sz w:val="30"/>
    </w:rPr>
  </w:style>
  <w:style w:type="paragraph" w:customStyle="1" w:styleId="28">
    <w:name w:val="稻壳合同样式 4级"/>
    <w:basedOn w:val="1"/>
    <w:qFormat/>
    <w:uiPriority w:val="0"/>
    <w:pPr>
      <w:spacing w:line="400" w:lineRule="exact"/>
      <w:ind w:firstLine="883" w:firstLineChars="200"/>
      <w:jc w:val="both"/>
      <w:outlineLvl w:val="3"/>
    </w:pPr>
    <w:rPr>
      <w:rFonts w:hint="eastAsia" w:ascii="仿宋" w:eastAsia="仿宋" w:cs="仿宋"/>
      <w:sz w:val="30"/>
    </w:rPr>
  </w:style>
  <w:style w:type="paragraph" w:customStyle="1" w:styleId="29">
    <w:name w:val="Table Paragraph"/>
    <w:basedOn w:val="1"/>
    <w:autoRedefine/>
    <w:unhideWhenUsed/>
    <w:qFormat/>
    <w:uiPriority w:val="1"/>
    <w:rPr>
      <w:rFonts w:hint="eastAsia"/>
      <w:sz w:val="24"/>
      <w:szCs w:val="24"/>
    </w:rPr>
  </w:style>
  <w:style w:type="character" w:customStyle="1" w:styleId="30">
    <w:name w:val="标题 3 Char"/>
    <w:link w:val="4"/>
    <w:autoRedefine/>
    <w:semiHidden/>
    <w:qFormat/>
    <w:uiPriority w:val="0"/>
    <w:rPr>
      <w:b/>
      <w:bCs/>
      <w:sz w:val="24"/>
      <w:szCs w:val="32"/>
    </w:rPr>
  </w:style>
  <w:style w:type="paragraph" w:customStyle="1" w:styleId="31">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32">
    <w:name w:val="标题 2 Char"/>
    <w:link w:val="3"/>
    <w:autoRedefine/>
    <w:qFormat/>
    <w:uiPriority w:val="0"/>
    <w:rPr>
      <w:rFonts w:ascii="Arial" w:hAnsi="Arial" w:eastAsia="黑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13567</Words>
  <Characters>14603</Characters>
  <Lines>0</Lines>
  <Paragraphs>0</Paragraphs>
  <TotalTime>35</TotalTime>
  <ScaleCrop>false</ScaleCrop>
  <LinksUpToDate>false</LinksUpToDate>
  <CharactersWithSpaces>15065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2025-03-12T02:57:00Z</dcterms:created>
  <dc:creator>琳</dc:creator>
  <cp:lastModifiedBy>琳</cp:lastModifiedBy>
  <dcterms:modified xsi:type="dcterms:W3CDTF">2025-04-01T02:51:40Z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20F8435028384F15B3A216D18A180483_11</vt:lpwstr>
  </property>
  <property fmtid="{D5CDD505-2E9C-101B-9397-08002B2CF9AE}" pid="4" name="KSOTemplateDocerSaveRecord">
    <vt:lpwstr>eyJoZGlkIjoiMzJjZWQxNDQyMDczY2JmMGViYTUwYzJhYTUyZmVjMzkiLCJ1c2VySWQiOiIzNjI2Njg1MzQifQ==</vt:lpwstr>
  </property>
</Properties>
</file>