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55FF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44"/>
          <w:szCs w:val="44"/>
          <w:highlight w:val="none"/>
          <w:lang w:val="en-US" w:eastAsia="zh-CN"/>
        </w:rPr>
      </w:pPr>
    </w:p>
    <w:p w14:paraId="36D1F3F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44"/>
          <w:szCs w:val="44"/>
          <w:highlight w:val="none"/>
          <w:lang w:val="en-US" w:eastAsia="zh-CN"/>
        </w:rPr>
      </w:pPr>
    </w:p>
    <w:p w14:paraId="749214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44"/>
          <w:szCs w:val="44"/>
          <w:highlight w:val="none"/>
          <w:lang w:val="en-US" w:eastAsia="zh-CN"/>
        </w:rPr>
      </w:pPr>
      <w:r>
        <w:rPr>
          <w:rFonts w:hint="eastAsia" w:ascii="宋体" w:hAnsi="宋体" w:eastAsia="宋体" w:cs="宋体"/>
          <w:b/>
          <w:sz w:val="44"/>
          <w:szCs w:val="44"/>
          <w:highlight w:val="none"/>
          <w:lang w:val="en-US" w:eastAsia="zh-CN"/>
        </w:rPr>
        <w:t>荥阳市林业局城郊生态廊道养护项目</w:t>
      </w:r>
    </w:p>
    <w:p w14:paraId="1C997F2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44"/>
          <w:szCs w:val="44"/>
          <w:highlight w:val="none"/>
          <w:lang w:val="en-US" w:eastAsia="zh-CN"/>
        </w:rPr>
      </w:pPr>
      <w:r>
        <w:rPr>
          <w:rFonts w:hint="eastAsia" w:ascii="宋体" w:hAnsi="宋体" w:eastAsia="宋体" w:cs="宋体"/>
          <w:b/>
          <w:sz w:val="44"/>
          <w:szCs w:val="44"/>
          <w:highlight w:val="none"/>
          <w:lang w:val="en-US" w:eastAsia="zh-CN"/>
        </w:rPr>
        <w:t>一至八标段</w:t>
      </w:r>
    </w:p>
    <w:p w14:paraId="60CDF445">
      <w:pPr>
        <w:pageBreakBefore w:val="0"/>
        <w:widowControl w:val="0"/>
        <w:tabs>
          <w:tab w:val="center" w:pos="4819"/>
          <w:tab w:val="left" w:pos="7905"/>
        </w:tabs>
        <w:kinsoku/>
        <w:wordWrap/>
        <w:overflowPunct/>
        <w:topLinePunct w:val="0"/>
        <w:bidi w:val="0"/>
        <w:adjustRightInd w:val="0"/>
        <w:snapToGrid w:val="0"/>
        <w:spacing w:line="360" w:lineRule="auto"/>
        <w:textAlignment w:val="auto"/>
        <w:rPr>
          <w:rFonts w:hint="eastAsia" w:ascii="宋体" w:hAnsi="宋体" w:eastAsia="宋体" w:cs="宋体"/>
          <w:b/>
          <w:sz w:val="40"/>
          <w:szCs w:val="40"/>
          <w:highlight w:val="none"/>
        </w:rPr>
      </w:pPr>
    </w:p>
    <w:p w14:paraId="0E1D8619">
      <w:pPr>
        <w:pageBreakBefore w:val="0"/>
        <w:widowControl w:val="0"/>
        <w:tabs>
          <w:tab w:val="center" w:pos="4819"/>
          <w:tab w:val="left" w:pos="7905"/>
        </w:tabs>
        <w:kinsoku/>
        <w:wordWrap/>
        <w:overflowPunct/>
        <w:topLinePunct w:val="0"/>
        <w:bidi w:val="0"/>
        <w:adjustRightInd w:val="0"/>
        <w:snapToGrid w:val="0"/>
        <w:spacing w:line="360" w:lineRule="auto"/>
        <w:jc w:val="center"/>
        <w:textAlignment w:val="auto"/>
        <w:rPr>
          <w:rFonts w:hint="eastAsia" w:ascii="宋体" w:hAnsi="宋体" w:eastAsia="宋体" w:cs="宋体"/>
          <w:b/>
          <w:sz w:val="40"/>
          <w:szCs w:val="40"/>
          <w:highlight w:val="none"/>
        </w:rPr>
      </w:pPr>
    </w:p>
    <w:p w14:paraId="7B22452B">
      <w:pPr>
        <w:pStyle w:val="26"/>
        <w:rPr>
          <w:rFonts w:hint="eastAsia" w:ascii="宋体" w:hAnsi="宋体" w:eastAsia="宋体" w:cs="宋体"/>
          <w:highlight w:val="none"/>
        </w:rPr>
      </w:pPr>
    </w:p>
    <w:p w14:paraId="6412F95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96"/>
          <w:szCs w:val="96"/>
          <w:highlight w:val="none"/>
        </w:rPr>
      </w:pPr>
      <w:r>
        <w:rPr>
          <w:rFonts w:hint="eastAsia" w:ascii="宋体" w:hAnsi="宋体" w:eastAsia="宋体" w:cs="宋体"/>
          <w:b/>
          <w:bCs/>
          <w:sz w:val="96"/>
          <w:szCs w:val="96"/>
          <w:highlight w:val="none"/>
        </w:rPr>
        <w:t>招标文件</w:t>
      </w:r>
    </w:p>
    <w:p w14:paraId="5924AFE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sz w:val="28"/>
          <w:szCs w:val="28"/>
          <w:highlight w:val="none"/>
          <w:lang w:val="en-US" w:eastAsia="zh-CN"/>
        </w:rPr>
      </w:pPr>
      <w:r>
        <w:rPr>
          <w:rFonts w:hint="eastAsia" w:ascii="宋体" w:hAnsi="宋体" w:eastAsia="宋体" w:cs="宋体"/>
          <w:b/>
          <w:sz w:val="28"/>
          <w:szCs w:val="28"/>
          <w:highlight w:val="none"/>
        </w:rPr>
        <w:t>项目编号：</w:t>
      </w:r>
      <w:r>
        <w:rPr>
          <w:rFonts w:hint="eastAsia" w:ascii="宋体" w:hAnsi="宋体" w:eastAsia="宋体" w:cs="宋体"/>
          <w:b/>
          <w:sz w:val="28"/>
          <w:szCs w:val="28"/>
          <w:highlight w:val="none"/>
          <w:lang w:eastAsia="zh-CN"/>
        </w:rPr>
        <w:t>荥财公开-202</w:t>
      </w:r>
      <w:r>
        <w:rPr>
          <w:rFonts w:hint="eastAsia" w:ascii="宋体" w:hAnsi="宋体" w:cs="宋体"/>
          <w:b/>
          <w:sz w:val="28"/>
          <w:szCs w:val="28"/>
          <w:highlight w:val="none"/>
          <w:lang w:val="en-US" w:eastAsia="zh-CN"/>
        </w:rPr>
        <w:t>5-13</w:t>
      </w:r>
    </w:p>
    <w:p w14:paraId="68B64DE5">
      <w:pPr>
        <w:pageBreakBefore w:val="0"/>
        <w:widowControl w:val="0"/>
        <w:kinsoku/>
        <w:wordWrap/>
        <w:overflowPunct/>
        <w:topLinePunct w:val="0"/>
        <w:bidi w:val="0"/>
        <w:spacing w:line="360" w:lineRule="auto"/>
        <w:textAlignment w:val="auto"/>
        <w:rPr>
          <w:rFonts w:hint="eastAsia" w:ascii="宋体" w:hAnsi="宋体" w:eastAsia="宋体" w:cs="宋体"/>
          <w:sz w:val="21"/>
          <w:szCs w:val="18"/>
          <w:highlight w:val="none"/>
        </w:rPr>
      </w:pPr>
    </w:p>
    <w:p w14:paraId="5BE24C78">
      <w:pPr>
        <w:keepNext w:val="0"/>
        <w:keepLines w:val="0"/>
        <w:pageBreakBefore w:val="0"/>
        <w:widowControl w:val="0"/>
        <w:kinsoku/>
        <w:wordWrap/>
        <w:overflowPunct/>
        <w:topLinePunct w:val="0"/>
        <w:autoSpaceDE/>
        <w:autoSpaceDN/>
        <w:bidi w:val="0"/>
        <w:adjustRightInd/>
        <w:spacing w:line="360" w:lineRule="auto"/>
        <w:ind w:left="420" w:leftChars="0" w:firstLine="420" w:firstLineChars="0"/>
        <w:jc w:val="both"/>
        <w:textAlignment w:val="auto"/>
        <w:rPr>
          <w:rFonts w:hint="eastAsia" w:ascii="宋体" w:hAnsi="宋体" w:eastAsia="宋体" w:cs="宋体"/>
          <w:b/>
          <w:sz w:val="32"/>
          <w:szCs w:val="32"/>
          <w:highlight w:val="none"/>
        </w:rPr>
      </w:pPr>
    </w:p>
    <w:p w14:paraId="1EA59F02">
      <w:pPr>
        <w:keepNext w:val="0"/>
        <w:keepLines w:val="0"/>
        <w:pageBreakBefore w:val="0"/>
        <w:widowControl w:val="0"/>
        <w:kinsoku/>
        <w:wordWrap/>
        <w:overflowPunct/>
        <w:topLinePunct w:val="0"/>
        <w:autoSpaceDE/>
        <w:autoSpaceDN/>
        <w:bidi w:val="0"/>
        <w:adjustRightInd/>
        <w:spacing w:line="360" w:lineRule="auto"/>
        <w:ind w:left="420" w:leftChars="0" w:firstLine="420" w:firstLineChars="0"/>
        <w:jc w:val="both"/>
        <w:textAlignment w:val="auto"/>
        <w:rPr>
          <w:rFonts w:hint="eastAsia" w:ascii="宋体" w:hAnsi="宋体" w:eastAsia="宋体" w:cs="宋体"/>
          <w:b/>
          <w:sz w:val="32"/>
          <w:szCs w:val="32"/>
          <w:highlight w:val="none"/>
        </w:rPr>
      </w:pPr>
    </w:p>
    <w:p w14:paraId="0DBAC731">
      <w:pPr>
        <w:pStyle w:val="3"/>
        <w:pageBreakBefore w:val="0"/>
        <w:widowControl w:val="0"/>
        <w:kinsoku/>
        <w:wordWrap/>
        <w:overflowPunct/>
        <w:topLinePunct w:val="0"/>
        <w:bidi w:val="0"/>
        <w:spacing w:line="360" w:lineRule="auto"/>
        <w:textAlignment w:val="auto"/>
        <w:rPr>
          <w:rFonts w:hint="eastAsia" w:ascii="宋体" w:hAnsi="宋体" w:eastAsia="宋体" w:cs="宋体"/>
          <w:b/>
          <w:sz w:val="32"/>
          <w:szCs w:val="32"/>
          <w:highlight w:val="none"/>
        </w:rPr>
      </w:pPr>
    </w:p>
    <w:p w14:paraId="7A79758E">
      <w:pPr>
        <w:pageBreakBefore w:val="0"/>
        <w:widowControl w:val="0"/>
        <w:kinsoku/>
        <w:wordWrap/>
        <w:overflowPunct/>
        <w:topLinePunct w:val="0"/>
        <w:bidi w:val="0"/>
        <w:spacing w:line="360" w:lineRule="auto"/>
        <w:textAlignment w:val="auto"/>
        <w:rPr>
          <w:rFonts w:hint="eastAsia" w:ascii="宋体" w:hAnsi="宋体" w:eastAsia="宋体" w:cs="宋体"/>
          <w:b/>
          <w:sz w:val="32"/>
          <w:szCs w:val="32"/>
          <w:highlight w:val="none"/>
        </w:rPr>
      </w:pPr>
    </w:p>
    <w:p w14:paraId="5DD58C77">
      <w:pPr>
        <w:pStyle w:val="3"/>
        <w:pageBreakBefore w:val="0"/>
        <w:widowControl w:val="0"/>
        <w:kinsoku/>
        <w:wordWrap/>
        <w:overflowPunct/>
        <w:topLinePunct w:val="0"/>
        <w:bidi w:val="0"/>
        <w:spacing w:line="360" w:lineRule="auto"/>
        <w:textAlignment w:val="auto"/>
        <w:rPr>
          <w:rFonts w:hint="eastAsia" w:ascii="宋体" w:hAnsi="宋体" w:eastAsia="宋体" w:cs="宋体"/>
          <w:highlight w:val="none"/>
        </w:rPr>
      </w:pPr>
    </w:p>
    <w:p w14:paraId="18D43456">
      <w:pPr>
        <w:keepNext w:val="0"/>
        <w:keepLines w:val="0"/>
        <w:pageBreakBefore w:val="0"/>
        <w:widowControl w:val="0"/>
        <w:kinsoku/>
        <w:wordWrap/>
        <w:overflowPunct/>
        <w:topLinePunct w:val="0"/>
        <w:autoSpaceDE/>
        <w:autoSpaceDN/>
        <w:bidi w:val="0"/>
        <w:adjustRightInd/>
        <w:spacing w:line="360" w:lineRule="auto"/>
        <w:ind w:left="420" w:leftChars="0" w:firstLine="420" w:firstLineChars="0"/>
        <w:jc w:val="both"/>
        <w:textAlignment w:val="auto"/>
        <w:rPr>
          <w:rFonts w:hint="eastAsia" w:ascii="宋体" w:hAnsi="宋体" w:eastAsia="宋体" w:cs="宋体"/>
          <w:b/>
          <w:sz w:val="32"/>
          <w:szCs w:val="32"/>
          <w:highlight w:val="none"/>
        </w:rPr>
      </w:pPr>
      <w:r>
        <w:rPr>
          <w:rFonts w:hint="eastAsia" w:ascii="宋体" w:hAnsi="宋体" w:eastAsia="宋体" w:cs="宋体"/>
          <w:b/>
          <w:sz w:val="32"/>
          <w:szCs w:val="32"/>
          <w:highlight w:val="none"/>
        </w:rPr>
        <w:t>采   购   人：</w:t>
      </w:r>
      <w:r>
        <w:rPr>
          <w:rFonts w:hint="eastAsia" w:ascii="宋体" w:hAnsi="宋体" w:eastAsia="宋体" w:cs="宋体"/>
          <w:b/>
          <w:sz w:val="32"/>
          <w:szCs w:val="32"/>
          <w:highlight w:val="none"/>
          <w:lang w:val="en-US" w:eastAsia="zh-CN"/>
        </w:rPr>
        <w:t>荥阳市林业局</w:t>
      </w:r>
    </w:p>
    <w:p w14:paraId="3EEFB5F9">
      <w:pPr>
        <w:keepNext w:val="0"/>
        <w:keepLines w:val="0"/>
        <w:pageBreakBefore w:val="0"/>
        <w:widowControl w:val="0"/>
        <w:kinsoku/>
        <w:wordWrap/>
        <w:overflowPunct/>
        <w:topLinePunct w:val="0"/>
        <w:autoSpaceDE/>
        <w:autoSpaceDN/>
        <w:bidi w:val="0"/>
        <w:adjustRightInd/>
        <w:spacing w:line="360" w:lineRule="auto"/>
        <w:ind w:left="420" w:leftChars="0" w:firstLine="420" w:firstLineChars="0"/>
        <w:jc w:val="both"/>
        <w:textAlignment w:val="auto"/>
        <w:rPr>
          <w:rFonts w:hint="eastAsia" w:ascii="宋体" w:hAnsi="宋体" w:eastAsia="宋体" w:cs="宋体"/>
          <w:b/>
          <w:sz w:val="32"/>
          <w:szCs w:val="32"/>
          <w:highlight w:val="none"/>
          <w:lang w:eastAsia="zh-CN"/>
        </w:rPr>
      </w:pPr>
      <w:r>
        <w:rPr>
          <w:rFonts w:hint="eastAsia" w:ascii="宋体" w:hAnsi="宋体" w:eastAsia="宋体" w:cs="宋体"/>
          <w:b/>
          <w:sz w:val="32"/>
          <w:szCs w:val="32"/>
          <w:highlight w:val="none"/>
        </w:rPr>
        <w:t>采购代理机构：</w:t>
      </w:r>
      <w:bookmarkStart w:id="0" w:name="_Toc23740"/>
      <w:bookmarkStart w:id="1" w:name="_Toc5900"/>
      <w:r>
        <w:rPr>
          <w:rFonts w:hint="eastAsia" w:ascii="宋体" w:hAnsi="宋体" w:eastAsia="宋体" w:cs="宋体"/>
          <w:b/>
          <w:sz w:val="32"/>
          <w:szCs w:val="32"/>
          <w:highlight w:val="none"/>
          <w:lang w:val="en-US" w:eastAsia="zh-CN"/>
        </w:rPr>
        <w:t>河南保利招标咨询有限公司</w:t>
      </w:r>
      <w:bookmarkEnd w:id="0"/>
      <w:bookmarkEnd w:id="1"/>
    </w:p>
    <w:p w14:paraId="16AE12F5">
      <w:pPr>
        <w:keepNext w:val="0"/>
        <w:keepLines w:val="0"/>
        <w:pageBreakBefore w:val="0"/>
        <w:widowControl w:val="0"/>
        <w:kinsoku/>
        <w:wordWrap/>
        <w:overflowPunct/>
        <w:topLinePunct w:val="0"/>
        <w:autoSpaceDE/>
        <w:autoSpaceDN/>
        <w:bidi w:val="0"/>
        <w:adjustRightInd/>
        <w:spacing w:line="360" w:lineRule="auto"/>
        <w:ind w:left="420" w:leftChars="0" w:firstLine="420" w:firstLineChars="0"/>
        <w:jc w:val="both"/>
        <w:textAlignment w:val="auto"/>
        <w:rPr>
          <w:rFonts w:hint="eastAsia" w:ascii="宋体" w:hAnsi="宋体" w:eastAsia="宋体" w:cs="宋体"/>
          <w:b/>
          <w:sz w:val="32"/>
          <w:szCs w:val="32"/>
          <w:highlight w:val="none"/>
        </w:rPr>
      </w:pPr>
      <w:r>
        <w:rPr>
          <w:rFonts w:hint="eastAsia" w:ascii="宋体" w:hAnsi="宋体" w:eastAsia="宋体" w:cs="宋体"/>
          <w:b/>
          <w:sz w:val="32"/>
          <w:szCs w:val="32"/>
          <w:highlight w:val="none"/>
        </w:rPr>
        <w:t>日        期：</w:t>
      </w:r>
      <w:r>
        <w:rPr>
          <w:rFonts w:hint="eastAsia" w:ascii="宋体" w:hAnsi="宋体" w:cs="宋体"/>
          <w:b/>
          <w:sz w:val="32"/>
          <w:szCs w:val="32"/>
          <w:highlight w:val="none"/>
          <w:lang w:eastAsia="zh-CN"/>
        </w:rPr>
        <w:t>二〇</w:t>
      </w:r>
      <w:r>
        <w:rPr>
          <w:rFonts w:hint="eastAsia" w:ascii="宋体" w:hAnsi="宋体" w:eastAsia="宋体" w:cs="宋体"/>
          <w:b/>
          <w:sz w:val="32"/>
          <w:szCs w:val="32"/>
          <w:highlight w:val="none"/>
        </w:rPr>
        <w:t>二</w:t>
      </w:r>
      <w:r>
        <w:rPr>
          <w:rFonts w:hint="eastAsia" w:ascii="宋体" w:hAnsi="宋体" w:cs="宋体"/>
          <w:b/>
          <w:sz w:val="32"/>
          <w:szCs w:val="32"/>
          <w:highlight w:val="none"/>
          <w:lang w:val="en-US" w:eastAsia="zh-CN"/>
        </w:rPr>
        <w:t>五</w:t>
      </w:r>
      <w:r>
        <w:rPr>
          <w:rFonts w:hint="eastAsia" w:ascii="宋体" w:hAnsi="宋体" w:eastAsia="宋体" w:cs="宋体"/>
          <w:b/>
          <w:sz w:val="32"/>
          <w:szCs w:val="32"/>
          <w:highlight w:val="none"/>
        </w:rPr>
        <w:t>年</w:t>
      </w:r>
      <w:r>
        <w:rPr>
          <w:rFonts w:hint="eastAsia" w:ascii="宋体" w:hAnsi="宋体" w:cs="宋体"/>
          <w:b/>
          <w:sz w:val="32"/>
          <w:szCs w:val="32"/>
          <w:highlight w:val="none"/>
          <w:lang w:val="en-US" w:eastAsia="zh-CN"/>
        </w:rPr>
        <w:t>七</w:t>
      </w:r>
      <w:r>
        <w:rPr>
          <w:rFonts w:hint="eastAsia" w:ascii="宋体" w:hAnsi="宋体" w:eastAsia="宋体" w:cs="宋体"/>
          <w:b/>
          <w:sz w:val="32"/>
          <w:szCs w:val="32"/>
          <w:highlight w:val="none"/>
        </w:rPr>
        <w:t>月</w:t>
      </w:r>
    </w:p>
    <w:p w14:paraId="11DA23DE">
      <w:pPr>
        <w:keepNext w:val="0"/>
        <w:keepLines w:val="0"/>
        <w:pageBreakBefore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ascii="宋体" w:hAnsi="宋体" w:eastAsia="宋体" w:cs="Times New Roman"/>
          <w:b/>
          <w:bCs/>
          <w:kern w:val="2"/>
          <w:sz w:val="28"/>
          <w:szCs w:val="28"/>
          <w:highlight w:val="none"/>
          <w:lang w:val="en-US" w:eastAsia="zh-CN" w:bidi="ar-SA"/>
        </w:rPr>
        <w:sectPr>
          <w:pgSz w:w="11906" w:h="16838"/>
          <w:pgMar w:top="1304" w:right="1588" w:bottom="1304" w:left="1588" w:header="851" w:footer="992" w:gutter="0"/>
          <w:pgNumType w:fmt="decimal" w:start="1"/>
          <w:cols w:space="425" w:num="1"/>
          <w:docGrid w:type="lines" w:linePitch="312" w:charSpace="0"/>
        </w:sectPr>
      </w:pPr>
    </w:p>
    <w:p w14:paraId="212CF347">
      <w:pPr>
        <w:keepNext w:val="0"/>
        <w:keepLines w:val="0"/>
        <w:pageBreakBefore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ascii="宋体" w:hAnsi="宋体" w:eastAsia="宋体" w:cs="Times New Roman"/>
          <w:b/>
          <w:bCs/>
          <w:kern w:val="2"/>
          <w:sz w:val="28"/>
          <w:szCs w:val="28"/>
          <w:highlight w:val="none"/>
          <w:lang w:val="en-US" w:eastAsia="zh-CN" w:bidi="ar-SA"/>
        </w:rPr>
      </w:pPr>
    </w:p>
    <w:sdt>
      <w:sdtPr>
        <w:rPr>
          <w:rFonts w:ascii="宋体" w:hAnsi="宋体" w:eastAsia="宋体" w:cs="Times New Roman"/>
          <w:b/>
          <w:bCs/>
          <w:kern w:val="2"/>
          <w:sz w:val="28"/>
          <w:szCs w:val="28"/>
          <w:highlight w:val="none"/>
          <w:lang w:val="en-US" w:eastAsia="zh-CN" w:bidi="ar-SA"/>
        </w:rPr>
        <w:id w:val="147476581"/>
        <w15:color w:val="DBDBDB"/>
        <w:docPartObj>
          <w:docPartGallery w:val="Table of Contents"/>
          <w:docPartUnique/>
        </w:docPartObj>
      </w:sdtPr>
      <w:sdtEndPr>
        <w:rPr>
          <w:rFonts w:ascii="宋体" w:hAnsi="宋体" w:eastAsia="宋体" w:cs="Times New Roman"/>
          <w:b/>
          <w:bCs/>
          <w:kern w:val="2"/>
          <w:sz w:val="24"/>
          <w:szCs w:val="24"/>
          <w:highlight w:val="none"/>
          <w:lang w:val="en-US" w:eastAsia="zh-CN" w:bidi="ar-SA"/>
        </w:rPr>
      </w:sdtEndPr>
      <w:sdtContent>
        <w:p w14:paraId="6B17EE76">
          <w:pPr>
            <w:keepNext w:val="0"/>
            <w:keepLines w:val="0"/>
            <w:pageBreakBefore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b/>
              <w:bCs/>
              <w:sz w:val="28"/>
              <w:szCs w:val="28"/>
              <w:highlight w:val="none"/>
            </w:rPr>
          </w:pPr>
          <w:r>
            <w:rPr>
              <w:rFonts w:ascii="宋体" w:hAnsi="宋体" w:eastAsia="宋体"/>
              <w:b/>
              <w:bCs/>
              <w:sz w:val="28"/>
              <w:szCs w:val="28"/>
              <w:highlight w:val="none"/>
            </w:rPr>
            <w:t>目</w:t>
          </w:r>
          <w:r>
            <w:rPr>
              <w:rFonts w:hint="eastAsia" w:ascii="宋体" w:hAnsi="宋体" w:eastAsia="宋体"/>
              <w:b/>
              <w:bCs/>
              <w:sz w:val="28"/>
              <w:szCs w:val="28"/>
              <w:highlight w:val="none"/>
              <w:lang w:val="en-US" w:eastAsia="zh-CN"/>
            </w:rPr>
            <w:t xml:space="preserve"> </w:t>
          </w:r>
          <w:r>
            <w:rPr>
              <w:rFonts w:ascii="宋体" w:hAnsi="宋体" w:eastAsia="宋体"/>
              <w:b/>
              <w:bCs/>
              <w:sz w:val="28"/>
              <w:szCs w:val="28"/>
              <w:highlight w:val="none"/>
            </w:rPr>
            <w:t>录</w:t>
          </w:r>
        </w:p>
        <w:p w14:paraId="16139F28">
          <w:pPr>
            <w:pStyle w:val="16"/>
            <w:tabs>
              <w:tab w:val="right" w:leader="dot" w:pos="8730"/>
            </w:tabs>
            <w:spacing w:line="360" w:lineRule="auto"/>
            <w:rPr>
              <w:sz w:val="24"/>
              <w:szCs w:val="24"/>
              <w:highlight w:val="none"/>
            </w:rPr>
          </w:pPr>
          <w:r>
            <w:rPr>
              <w:sz w:val="24"/>
              <w:szCs w:val="24"/>
              <w:highlight w:val="none"/>
            </w:rPr>
            <w:fldChar w:fldCharType="begin"/>
          </w:r>
          <w:r>
            <w:rPr>
              <w:sz w:val="24"/>
              <w:szCs w:val="24"/>
              <w:highlight w:val="none"/>
            </w:rPr>
            <w:instrText xml:space="preserve">TOC \o "1-3" \h \u </w:instrText>
          </w:r>
          <w:r>
            <w:rPr>
              <w:sz w:val="24"/>
              <w:szCs w:val="24"/>
              <w:highlight w:val="none"/>
            </w:rPr>
            <w:fldChar w:fldCharType="separate"/>
          </w:r>
          <w:r>
            <w:rPr>
              <w:sz w:val="24"/>
              <w:szCs w:val="24"/>
              <w:highlight w:val="none"/>
            </w:rPr>
            <w:fldChar w:fldCharType="begin"/>
          </w:r>
          <w:r>
            <w:rPr>
              <w:sz w:val="24"/>
              <w:szCs w:val="24"/>
              <w:highlight w:val="none"/>
            </w:rPr>
            <w:instrText xml:space="preserve"> HYPERLINK \l _Toc16523 </w:instrText>
          </w:r>
          <w:r>
            <w:rPr>
              <w:sz w:val="24"/>
              <w:szCs w:val="24"/>
              <w:highlight w:val="none"/>
            </w:rPr>
            <w:fldChar w:fldCharType="separate"/>
          </w:r>
          <w:r>
            <w:rPr>
              <w:rFonts w:hint="eastAsia" w:ascii="宋体" w:hAnsi="宋体" w:eastAsia="宋体" w:cs="宋体"/>
              <w:sz w:val="24"/>
              <w:szCs w:val="24"/>
              <w:highlight w:val="none"/>
              <w:lang w:val="en-US" w:eastAsia="zh-CN"/>
            </w:rPr>
            <w:t xml:space="preserve">第一章 </w:t>
          </w:r>
          <w:r>
            <w:rPr>
              <w:rFonts w:hint="eastAsia" w:ascii="宋体" w:hAnsi="宋体" w:eastAsia="宋体" w:cs="宋体"/>
              <w:sz w:val="24"/>
              <w:szCs w:val="24"/>
              <w:highlight w:val="none"/>
            </w:rPr>
            <w:t>招标公告</w:t>
          </w:r>
          <w:r>
            <w:rPr>
              <w:sz w:val="24"/>
              <w:szCs w:val="24"/>
              <w:highlight w:val="none"/>
            </w:rPr>
            <w:tab/>
          </w:r>
          <w:r>
            <w:rPr>
              <w:sz w:val="24"/>
              <w:szCs w:val="24"/>
              <w:highlight w:val="none"/>
            </w:rPr>
            <w:fldChar w:fldCharType="begin"/>
          </w:r>
          <w:r>
            <w:rPr>
              <w:sz w:val="24"/>
              <w:szCs w:val="24"/>
              <w:highlight w:val="none"/>
            </w:rPr>
            <w:instrText xml:space="preserve"> PAGEREF _Toc16523 \h </w:instrText>
          </w:r>
          <w:r>
            <w:rPr>
              <w:sz w:val="24"/>
              <w:szCs w:val="24"/>
              <w:highlight w:val="none"/>
            </w:rPr>
            <w:fldChar w:fldCharType="separate"/>
          </w:r>
          <w:r>
            <w:rPr>
              <w:sz w:val="24"/>
              <w:szCs w:val="24"/>
              <w:highlight w:val="none"/>
            </w:rPr>
            <w:t>2</w:t>
          </w:r>
          <w:r>
            <w:rPr>
              <w:sz w:val="24"/>
              <w:szCs w:val="24"/>
              <w:highlight w:val="none"/>
            </w:rPr>
            <w:fldChar w:fldCharType="end"/>
          </w:r>
          <w:r>
            <w:rPr>
              <w:sz w:val="24"/>
              <w:szCs w:val="24"/>
              <w:highlight w:val="none"/>
            </w:rPr>
            <w:fldChar w:fldCharType="end"/>
          </w:r>
        </w:p>
        <w:p w14:paraId="70B753AA">
          <w:pPr>
            <w:pStyle w:val="16"/>
            <w:tabs>
              <w:tab w:val="right" w:leader="dot" w:pos="8730"/>
            </w:tabs>
            <w:spacing w:line="360" w:lineRule="auto"/>
            <w:rPr>
              <w:sz w:val="24"/>
              <w:szCs w:val="24"/>
              <w:highlight w:val="none"/>
            </w:rPr>
          </w:pPr>
          <w:r>
            <w:rPr>
              <w:sz w:val="24"/>
              <w:szCs w:val="24"/>
              <w:highlight w:val="none"/>
            </w:rPr>
            <w:fldChar w:fldCharType="begin"/>
          </w:r>
          <w:r>
            <w:rPr>
              <w:sz w:val="24"/>
              <w:szCs w:val="24"/>
              <w:highlight w:val="none"/>
            </w:rPr>
            <w:instrText xml:space="preserve"> HYPERLINK \l _Toc16540 </w:instrText>
          </w:r>
          <w:r>
            <w:rPr>
              <w:sz w:val="24"/>
              <w:szCs w:val="24"/>
              <w:highlight w:val="none"/>
            </w:rPr>
            <w:fldChar w:fldCharType="separate"/>
          </w:r>
          <w:r>
            <w:rPr>
              <w:rFonts w:hint="eastAsia" w:ascii="宋体" w:hAnsi="宋体" w:eastAsia="宋体" w:cs="宋体"/>
              <w:sz w:val="24"/>
              <w:szCs w:val="24"/>
              <w:highlight w:val="none"/>
            </w:rPr>
            <w:t xml:space="preserve">第二章 </w:t>
          </w:r>
          <w:r>
            <w:rPr>
              <w:rFonts w:hint="eastAsia" w:ascii="宋体" w:hAnsi="宋体" w:cs="宋体"/>
              <w:sz w:val="24"/>
              <w:szCs w:val="24"/>
              <w:highlight w:val="none"/>
              <w:lang w:eastAsia="zh-CN"/>
            </w:rPr>
            <w:t>供应商</w:t>
          </w:r>
          <w:r>
            <w:rPr>
              <w:rFonts w:hint="eastAsia" w:ascii="宋体" w:hAnsi="宋体" w:eastAsia="宋体" w:cs="宋体"/>
              <w:sz w:val="24"/>
              <w:szCs w:val="24"/>
              <w:highlight w:val="none"/>
            </w:rPr>
            <w:t>须知</w:t>
          </w:r>
          <w:r>
            <w:rPr>
              <w:sz w:val="24"/>
              <w:szCs w:val="24"/>
              <w:highlight w:val="none"/>
            </w:rPr>
            <w:tab/>
          </w:r>
          <w:r>
            <w:rPr>
              <w:sz w:val="24"/>
              <w:szCs w:val="24"/>
              <w:highlight w:val="none"/>
            </w:rPr>
            <w:fldChar w:fldCharType="begin"/>
          </w:r>
          <w:r>
            <w:rPr>
              <w:sz w:val="24"/>
              <w:szCs w:val="24"/>
              <w:highlight w:val="none"/>
            </w:rPr>
            <w:instrText xml:space="preserve"> PAGEREF _Toc16540 \h </w:instrText>
          </w:r>
          <w:r>
            <w:rPr>
              <w:sz w:val="24"/>
              <w:szCs w:val="24"/>
              <w:highlight w:val="none"/>
            </w:rPr>
            <w:fldChar w:fldCharType="separate"/>
          </w:r>
          <w:r>
            <w:rPr>
              <w:sz w:val="24"/>
              <w:szCs w:val="24"/>
              <w:highlight w:val="none"/>
            </w:rPr>
            <w:t>7</w:t>
          </w:r>
          <w:r>
            <w:rPr>
              <w:sz w:val="24"/>
              <w:szCs w:val="24"/>
              <w:highlight w:val="none"/>
            </w:rPr>
            <w:fldChar w:fldCharType="end"/>
          </w:r>
          <w:r>
            <w:rPr>
              <w:sz w:val="24"/>
              <w:szCs w:val="24"/>
              <w:highlight w:val="none"/>
            </w:rPr>
            <w:fldChar w:fldCharType="end"/>
          </w:r>
        </w:p>
        <w:p w14:paraId="69DC242A">
          <w:pPr>
            <w:pStyle w:val="16"/>
            <w:tabs>
              <w:tab w:val="right" w:leader="dot" w:pos="8730"/>
            </w:tabs>
            <w:spacing w:line="360" w:lineRule="auto"/>
            <w:rPr>
              <w:sz w:val="24"/>
              <w:szCs w:val="24"/>
              <w:highlight w:val="none"/>
            </w:rPr>
          </w:pPr>
          <w:r>
            <w:rPr>
              <w:sz w:val="24"/>
              <w:szCs w:val="24"/>
              <w:highlight w:val="none"/>
            </w:rPr>
            <w:fldChar w:fldCharType="begin"/>
          </w:r>
          <w:r>
            <w:rPr>
              <w:sz w:val="24"/>
              <w:szCs w:val="24"/>
              <w:highlight w:val="none"/>
            </w:rPr>
            <w:instrText xml:space="preserve"> HYPERLINK \l _Toc12621 </w:instrText>
          </w:r>
          <w:r>
            <w:rPr>
              <w:sz w:val="24"/>
              <w:szCs w:val="24"/>
              <w:highlight w:val="none"/>
            </w:rPr>
            <w:fldChar w:fldCharType="separate"/>
          </w:r>
          <w:r>
            <w:rPr>
              <w:rFonts w:hint="eastAsia" w:ascii="宋体" w:hAnsi="宋体" w:eastAsia="宋体" w:cs="宋体"/>
              <w:sz w:val="24"/>
              <w:szCs w:val="24"/>
              <w:highlight w:val="none"/>
            </w:rPr>
            <w:t>第三章 评标</w:t>
          </w:r>
          <w:r>
            <w:rPr>
              <w:rFonts w:hint="eastAsia" w:ascii="宋体" w:hAnsi="宋体" w:eastAsia="宋体" w:cs="宋体"/>
              <w:sz w:val="24"/>
              <w:szCs w:val="24"/>
              <w:highlight w:val="none"/>
              <w:lang w:val="en-US" w:eastAsia="zh-CN"/>
            </w:rPr>
            <w:t>办法</w:t>
          </w:r>
          <w:r>
            <w:rPr>
              <w:rFonts w:hint="eastAsia" w:ascii="宋体" w:hAnsi="宋体" w:eastAsia="宋体" w:cs="宋体"/>
              <w:sz w:val="24"/>
              <w:szCs w:val="24"/>
              <w:highlight w:val="none"/>
            </w:rPr>
            <w:t>（综合评分法）</w:t>
          </w:r>
          <w:r>
            <w:rPr>
              <w:sz w:val="24"/>
              <w:szCs w:val="24"/>
              <w:highlight w:val="none"/>
            </w:rPr>
            <w:tab/>
          </w:r>
          <w:r>
            <w:rPr>
              <w:sz w:val="24"/>
              <w:szCs w:val="24"/>
              <w:highlight w:val="none"/>
            </w:rPr>
            <w:fldChar w:fldCharType="begin"/>
          </w:r>
          <w:r>
            <w:rPr>
              <w:sz w:val="24"/>
              <w:szCs w:val="24"/>
              <w:highlight w:val="none"/>
            </w:rPr>
            <w:instrText xml:space="preserve"> PAGEREF _Toc12621 \h </w:instrText>
          </w:r>
          <w:r>
            <w:rPr>
              <w:sz w:val="24"/>
              <w:szCs w:val="24"/>
              <w:highlight w:val="none"/>
            </w:rPr>
            <w:fldChar w:fldCharType="separate"/>
          </w:r>
          <w:r>
            <w:rPr>
              <w:sz w:val="24"/>
              <w:szCs w:val="24"/>
              <w:highlight w:val="none"/>
            </w:rPr>
            <w:t>22</w:t>
          </w:r>
          <w:r>
            <w:rPr>
              <w:sz w:val="24"/>
              <w:szCs w:val="24"/>
              <w:highlight w:val="none"/>
            </w:rPr>
            <w:fldChar w:fldCharType="end"/>
          </w:r>
          <w:r>
            <w:rPr>
              <w:sz w:val="24"/>
              <w:szCs w:val="24"/>
              <w:highlight w:val="none"/>
            </w:rPr>
            <w:fldChar w:fldCharType="end"/>
          </w:r>
        </w:p>
        <w:p w14:paraId="16C98A77">
          <w:pPr>
            <w:pStyle w:val="16"/>
            <w:tabs>
              <w:tab w:val="right" w:leader="dot" w:pos="8730"/>
            </w:tabs>
            <w:spacing w:line="360" w:lineRule="auto"/>
            <w:rPr>
              <w:sz w:val="24"/>
              <w:szCs w:val="24"/>
              <w:highlight w:val="none"/>
            </w:rPr>
          </w:pPr>
          <w:r>
            <w:rPr>
              <w:sz w:val="24"/>
              <w:szCs w:val="24"/>
              <w:highlight w:val="none"/>
            </w:rPr>
            <w:fldChar w:fldCharType="begin"/>
          </w:r>
          <w:r>
            <w:rPr>
              <w:sz w:val="24"/>
              <w:szCs w:val="24"/>
              <w:highlight w:val="none"/>
            </w:rPr>
            <w:instrText xml:space="preserve"> HYPERLINK \l _Toc19837 </w:instrText>
          </w:r>
          <w:r>
            <w:rPr>
              <w:sz w:val="24"/>
              <w:szCs w:val="24"/>
              <w:highlight w:val="none"/>
            </w:rPr>
            <w:fldChar w:fldCharType="separate"/>
          </w:r>
          <w:r>
            <w:rPr>
              <w:rFonts w:hint="eastAsia" w:ascii="宋体" w:hAnsi="宋体" w:eastAsia="宋体" w:cs="宋体"/>
              <w:sz w:val="24"/>
              <w:szCs w:val="24"/>
              <w:highlight w:val="none"/>
              <w:lang w:val="en-US" w:eastAsia="zh-CN"/>
            </w:rPr>
            <w:t>第四章 合同条款及格式</w:t>
          </w:r>
          <w:r>
            <w:rPr>
              <w:sz w:val="24"/>
              <w:szCs w:val="24"/>
              <w:highlight w:val="none"/>
            </w:rPr>
            <w:tab/>
          </w:r>
          <w:r>
            <w:rPr>
              <w:sz w:val="24"/>
              <w:szCs w:val="24"/>
              <w:highlight w:val="none"/>
            </w:rPr>
            <w:fldChar w:fldCharType="begin"/>
          </w:r>
          <w:r>
            <w:rPr>
              <w:sz w:val="24"/>
              <w:szCs w:val="24"/>
              <w:highlight w:val="none"/>
            </w:rPr>
            <w:instrText xml:space="preserve"> PAGEREF _Toc19837 \h </w:instrText>
          </w:r>
          <w:r>
            <w:rPr>
              <w:sz w:val="24"/>
              <w:szCs w:val="24"/>
              <w:highlight w:val="none"/>
            </w:rPr>
            <w:fldChar w:fldCharType="separate"/>
          </w:r>
          <w:r>
            <w:rPr>
              <w:sz w:val="24"/>
              <w:szCs w:val="24"/>
              <w:highlight w:val="none"/>
            </w:rPr>
            <w:t>30</w:t>
          </w:r>
          <w:r>
            <w:rPr>
              <w:sz w:val="24"/>
              <w:szCs w:val="24"/>
              <w:highlight w:val="none"/>
            </w:rPr>
            <w:fldChar w:fldCharType="end"/>
          </w:r>
          <w:r>
            <w:rPr>
              <w:sz w:val="24"/>
              <w:szCs w:val="24"/>
              <w:highlight w:val="none"/>
            </w:rPr>
            <w:fldChar w:fldCharType="end"/>
          </w:r>
        </w:p>
        <w:p w14:paraId="40F8B85D">
          <w:pPr>
            <w:pStyle w:val="16"/>
            <w:tabs>
              <w:tab w:val="right" w:leader="dot" w:pos="8730"/>
            </w:tabs>
            <w:spacing w:line="360" w:lineRule="auto"/>
            <w:rPr>
              <w:sz w:val="24"/>
              <w:szCs w:val="24"/>
              <w:highlight w:val="none"/>
            </w:rPr>
          </w:pPr>
          <w:r>
            <w:rPr>
              <w:sz w:val="24"/>
              <w:szCs w:val="24"/>
              <w:highlight w:val="none"/>
            </w:rPr>
            <w:fldChar w:fldCharType="begin"/>
          </w:r>
          <w:r>
            <w:rPr>
              <w:sz w:val="24"/>
              <w:szCs w:val="24"/>
              <w:highlight w:val="none"/>
            </w:rPr>
            <w:instrText xml:space="preserve"> HYPERLINK \l _Toc23375 </w:instrText>
          </w:r>
          <w:r>
            <w:rPr>
              <w:sz w:val="24"/>
              <w:szCs w:val="24"/>
              <w:highlight w:val="none"/>
            </w:rPr>
            <w:fldChar w:fldCharType="separate"/>
          </w:r>
          <w:r>
            <w:rPr>
              <w:rFonts w:hint="eastAsia" w:ascii="宋体" w:hAnsi="宋体" w:cs="宋体"/>
              <w:sz w:val="24"/>
              <w:szCs w:val="24"/>
              <w:highlight w:val="none"/>
              <w:lang w:val="en-US" w:eastAsia="zh-CN"/>
            </w:rPr>
            <w:t xml:space="preserve">第五章 </w:t>
          </w:r>
          <w:r>
            <w:rPr>
              <w:rFonts w:hint="eastAsia" w:ascii="宋体" w:hAnsi="宋体" w:eastAsia="宋体" w:cs="宋体"/>
              <w:sz w:val="24"/>
              <w:szCs w:val="24"/>
              <w:highlight w:val="none"/>
              <w:lang w:val="en-US" w:eastAsia="zh-CN"/>
            </w:rPr>
            <w:t>服务需求</w:t>
          </w:r>
          <w:r>
            <w:rPr>
              <w:sz w:val="24"/>
              <w:szCs w:val="24"/>
              <w:highlight w:val="none"/>
            </w:rPr>
            <w:tab/>
          </w:r>
          <w:r>
            <w:rPr>
              <w:sz w:val="24"/>
              <w:szCs w:val="24"/>
              <w:highlight w:val="none"/>
            </w:rPr>
            <w:fldChar w:fldCharType="begin"/>
          </w:r>
          <w:r>
            <w:rPr>
              <w:sz w:val="24"/>
              <w:szCs w:val="24"/>
              <w:highlight w:val="none"/>
            </w:rPr>
            <w:instrText xml:space="preserve"> PAGEREF _Toc23375 \h </w:instrText>
          </w:r>
          <w:r>
            <w:rPr>
              <w:sz w:val="24"/>
              <w:szCs w:val="24"/>
              <w:highlight w:val="none"/>
            </w:rPr>
            <w:fldChar w:fldCharType="separate"/>
          </w:r>
          <w:r>
            <w:rPr>
              <w:sz w:val="24"/>
              <w:szCs w:val="24"/>
              <w:highlight w:val="none"/>
            </w:rPr>
            <w:t>37</w:t>
          </w:r>
          <w:r>
            <w:rPr>
              <w:sz w:val="24"/>
              <w:szCs w:val="24"/>
              <w:highlight w:val="none"/>
            </w:rPr>
            <w:fldChar w:fldCharType="end"/>
          </w:r>
          <w:r>
            <w:rPr>
              <w:sz w:val="24"/>
              <w:szCs w:val="24"/>
              <w:highlight w:val="none"/>
            </w:rPr>
            <w:fldChar w:fldCharType="end"/>
          </w:r>
        </w:p>
        <w:p w14:paraId="22453568">
          <w:pPr>
            <w:pStyle w:val="16"/>
            <w:tabs>
              <w:tab w:val="right" w:leader="dot" w:pos="8730"/>
            </w:tabs>
            <w:spacing w:line="360" w:lineRule="auto"/>
            <w:rPr>
              <w:sz w:val="24"/>
              <w:szCs w:val="24"/>
              <w:highlight w:val="none"/>
            </w:rPr>
          </w:pPr>
          <w:r>
            <w:rPr>
              <w:sz w:val="24"/>
              <w:szCs w:val="24"/>
              <w:highlight w:val="none"/>
            </w:rPr>
            <w:fldChar w:fldCharType="begin"/>
          </w:r>
          <w:r>
            <w:rPr>
              <w:sz w:val="24"/>
              <w:szCs w:val="24"/>
              <w:highlight w:val="none"/>
            </w:rPr>
            <w:instrText xml:space="preserve"> HYPERLINK \l _Toc2138 </w:instrText>
          </w:r>
          <w:r>
            <w:rPr>
              <w:sz w:val="24"/>
              <w:szCs w:val="24"/>
              <w:highlight w:val="none"/>
            </w:rPr>
            <w:fldChar w:fldCharType="separate"/>
          </w:r>
          <w:r>
            <w:rPr>
              <w:rFonts w:hint="eastAsia" w:ascii="宋体" w:hAnsi="宋体" w:eastAsia="宋体" w:cs="宋体"/>
              <w:sz w:val="24"/>
              <w:szCs w:val="24"/>
              <w:highlight w:val="none"/>
            </w:rPr>
            <w:t>第六章 投标文件格式</w:t>
          </w:r>
          <w:r>
            <w:rPr>
              <w:sz w:val="24"/>
              <w:szCs w:val="24"/>
              <w:highlight w:val="none"/>
            </w:rPr>
            <w:tab/>
          </w:r>
          <w:r>
            <w:rPr>
              <w:sz w:val="24"/>
              <w:szCs w:val="24"/>
              <w:highlight w:val="none"/>
            </w:rPr>
            <w:fldChar w:fldCharType="begin"/>
          </w:r>
          <w:r>
            <w:rPr>
              <w:sz w:val="24"/>
              <w:szCs w:val="24"/>
              <w:highlight w:val="none"/>
            </w:rPr>
            <w:instrText xml:space="preserve"> PAGEREF _Toc2138 \h </w:instrText>
          </w:r>
          <w:r>
            <w:rPr>
              <w:sz w:val="24"/>
              <w:szCs w:val="24"/>
              <w:highlight w:val="none"/>
            </w:rPr>
            <w:fldChar w:fldCharType="separate"/>
          </w:r>
          <w:r>
            <w:rPr>
              <w:sz w:val="24"/>
              <w:szCs w:val="24"/>
              <w:highlight w:val="none"/>
            </w:rPr>
            <w:t>40</w:t>
          </w:r>
          <w:r>
            <w:rPr>
              <w:sz w:val="24"/>
              <w:szCs w:val="24"/>
              <w:highlight w:val="none"/>
            </w:rPr>
            <w:fldChar w:fldCharType="end"/>
          </w:r>
          <w:r>
            <w:rPr>
              <w:sz w:val="24"/>
              <w:szCs w:val="24"/>
              <w:highlight w:val="none"/>
            </w:rPr>
            <w:fldChar w:fldCharType="end"/>
          </w:r>
        </w:p>
        <w:p w14:paraId="3D3F4678">
          <w:pPr>
            <w:pStyle w:val="17"/>
            <w:tabs>
              <w:tab w:val="right" w:leader="dot" w:pos="8730"/>
            </w:tabs>
            <w:spacing w:line="360" w:lineRule="auto"/>
            <w:rPr>
              <w:sz w:val="24"/>
              <w:szCs w:val="24"/>
              <w:highlight w:val="none"/>
            </w:rPr>
          </w:pPr>
          <w:r>
            <w:rPr>
              <w:sz w:val="24"/>
              <w:szCs w:val="24"/>
              <w:highlight w:val="none"/>
            </w:rPr>
            <w:fldChar w:fldCharType="begin"/>
          </w:r>
          <w:r>
            <w:rPr>
              <w:sz w:val="24"/>
              <w:szCs w:val="24"/>
              <w:highlight w:val="none"/>
            </w:rPr>
            <w:instrText xml:space="preserve"> HYPERLINK \l _Toc3489 </w:instrText>
          </w:r>
          <w:r>
            <w:rPr>
              <w:sz w:val="24"/>
              <w:szCs w:val="24"/>
              <w:highlight w:val="none"/>
            </w:rPr>
            <w:fldChar w:fldCharType="separate"/>
          </w:r>
          <w:r>
            <w:rPr>
              <w:rFonts w:hint="eastAsia" w:ascii="宋体" w:hAnsi="宋体" w:eastAsia="宋体" w:cs="宋体"/>
              <w:sz w:val="24"/>
              <w:szCs w:val="24"/>
              <w:highlight w:val="none"/>
              <w:lang w:val="en-US" w:eastAsia="zh-CN"/>
            </w:rPr>
            <w:t>一、投标函及投标函附录</w:t>
          </w:r>
          <w:r>
            <w:rPr>
              <w:sz w:val="24"/>
              <w:szCs w:val="24"/>
              <w:highlight w:val="none"/>
            </w:rPr>
            <w:tab/>
          </w:r>
          <w:r>
            <w:rPr>
              <w:sz w:val="24"/>
              <w:szCs w:val="24"/>
              <w:highlight w:val="none"/>
            </w:rPr>
            <w:fldChar w:fldCharType="begin"/>
          </w:r>
          <w:r>
            <w:rPr>
              <w:sz w:val="24"/>
              <w:szCs w:val="24"/>
              <w:highlight w:val="none"/>
            </w:rPr>
            <w:instrText xml:space="preserve"> PAGEREF _Toc3489 \h </w:instrText>
          </w:r>
          <w:r>
            <w:rPr>
              <w:sz w:val="24"/>
              <w:szCs w:val="24"/>
              <w:highlight w:val="none"/>
            </w:rPr>
            <w:fldChar w:fldCharType="separate"/>
          </w:r>
          <w:r>
            <w:rPr>
              <w:sz w:val="24"/>
              <w:szCs w:val="24"/>
              <w:highlight w:val="none"/>
            </w:rPr>
            <w:t>42</w:t>
          </w:r>
          <w:r>
            <w:rPr>
              <w:sz w:val="24"/>
              <w:szCs w:val="24"/>
              <w:highlight w:val="none"/>
            </w:rPr>
            <w:fldChar w:fldCharType="end"/>
          </w:r>
          <w:r>
            <w:rPr>
              <w:sz w:val="24"/>
              <w:szCs w:val="24"/>
              <w:highlight w:val="none"/>
            </w:rPr>
            <w:fldChar w:fldCharType="end"/>
          </w:r>
        </w:p>
        <w:p w14:paraId="32C0CCBB">
          <w:pPr>
            <w:pStyle w:val="17"/>
            <w:tabs>
              <w:tab w:val="right" w:leader="dot" w:pos="8730"/>
            </w:tabs>
            <w:spacing w:line="360" w:lineRule="auto"/>
            <w:rPr>
              <w:sz w:val="24"/>
              <w:szCs w:val="24"/>
              <w:highlight w:val="none"/>
            </w:rPr>
          </w:pPr>
          <w:r>
            <w:rPr>
              <w:sz w:val="24"/>
              <w:szCs w:val="24"/>
              <w:highlight w:val="none"/>
            </w:rPr>
            <w:fldChar w:fldCharType="begin"/>
          </w:r>
          <w:r>
            <w:rPr>
              <w:sz w:val="24"/>
              <w:szCs w:val="24"/>
              <w:highlight w:val="none"/>
            </w:rPr>
            <w:instrText xml:space="preserve"> HYPERLINK \l _Toc5390 </w:instrText>
          </w:r>
          <w:r>
            <w:rPr>
              <w:sz w:val="24"/>
              <w:szCs w:val="24"/>
              <w:highlight w:val="none"/>
            </w:rPr>
            <w:fldChar w:fldCharType="separate"/>
          </w:r>
          <w:r>
            <w:rPr>
              <w:rFonts w:hint="eastAsia" w:ascii="宋体" w:hAnsi="宋体" w:eastAsia="宋体" w:cs="宋体"/>
              <w:sz w:val="24"/>
              <w:szCs w:val="24"/>
              <w:highlight w:val="none"/>
            </w:rPr>
            <w:t>二、法定代表人身份证明</w:t>
          </w:r>
          <w:r>
            <w:rPr>
              <w:sz w:val="24"/>
              <w:szCs w:val="24"/>
              <w:highlight w:val="none"/>
            </w:rPr>
            <w:tab/>
          </w:r>
          <w:r>
            <w:rPr>
              <w:sz w:val="24"/>
              <w:szCs w:val="24"/>
              <w:highlight w:val="none"/>
            </w:rPr>
            <w:fldChar w:fldCharType="begin"/>
          </w:r>
          <w:r>
            <w:rPr>
              <w:sz w:val="24"/>
              <w:szCs w:val="24"/>
              <w:highlight w:val="none"/>
            </w:rPr>
            <w:instrText xml:space="preserve"> PAGEREF _Toc5390 \h </w:instrText>
          </w:r>
          <w:r>
            <w:rPr>
              <w:sz w:val="24"/>
              <w:szCs w:val="24"/>
              <w:highlight w:val="none"/>
            </w:rPr>
            <w:fldChar w:fldCharType="separate"/>
          </w:r>
          <w:r>
            <w:rPr>
              <w:sz w:val="24"/>
              <w:szCs w:val="24"/>
              <w:highlight w:val="none"/>
            </w:rPr>
            <w:t>44</w:t>
          </w:r>
          <w:r>
            <w:rPr>
              <w:sz w:val="24"/>
              <w:szCs w:val="24"/>
              <w:highlight w:val="none"/>
            </w:rPr>
            <w:fldChar w:fldCharType="end"/>
          </w:r>
          <w:r>
            <w:rPr>
              <w:sz w:val="24"/>
              <w:szCs w:val="24"/>
              <w:highlight w:val="none"/>
            </w:rPr>
            <w:fldChar w:fldCharType="end"/>
          </w:r>
        </w:p>
        <w:p w14:paraId="6432927A">
          <w:pPr>
            <w:pStyle w:val="17"/>
            <w:tabs>
              <w:tab w:val="right" w:leader="dot" w:pos="8730"/>
            </w:tabs>
            <w:spacing w:line="360" w:lineRule="auto"/>
            <w:rPr>
              <w:sz w:val="24"/>
              <w:szCs w:val="24"/>
              <w:highlight w:val="none"/>
            </w:rPr>
          </w:pPr>
          <w:r>
            <w:rPr>
              <w:sz w:val="24"/>
              <w:szCs w:val="24"/>
              <w:highlight w:val="none"/>
            </w:rPr>
            <w:fldChar w:fldCharType="begin"/>
          </w:r>
          <w:r>
            <w:rPr>
              <w:sz w:val="24"/>
              <w:szCs w:val="24"/>
              <w:highlight w:val="none"/>
            </w:rPr>
            <w:instrText xml:space="preserve"> HYPERLINK \l _Toc24415 </w:instrText>
          </w:r>
          <w:r>
            <w:rPr>
              <w:sz w:val="24"/>
              <w:szCs w:val="24"/>
              <w:highlight w:val="none"/>
            </w:rPr>
            <w:fldChar w:fldCharType="separate"/>
          </w:r>
          <w:r>
            <w:rPr>
              <w:rFonts w:hint="eastAsia" w:ascii="宋体" w:hAnsi="宋体" w:eastAsia="宋体" w:cs="宋体"/>
              <w:sz w:val="24"/>
              <w:szCs w:val="24"/>
              <w:highlight w:val="none"/>
              <w:lang w:val="en-US" w:eastAsia="zh-CN"/>
            </w:rPr>
            <w:t>三、</w:t>
          </w:r>
          <w:r>
            <w:rPr>
              <w:rFonts w:hint="eastAsia" w:ascii="宋体" w:hAnsi="宋体" w:eastAsia="宋体" w:cs="宋体"/>
              <w:sz w:val="24"/>
              <w:szCs w:val="24"/>
              <w:highlight w:val="none"/>
            </w:rPr>
            <w:t>授权委托书</w:t>
          </w:r>
          <w:r>
            <w:rPr>
              <w:sz w:val="24"/>
              <w:szCs w:val="24"/>
              <w:highlight w:val="none"/>
            </w:rPr>
            <w:tab/>
          </w:r>
          <w:r>
            <w:rPr>
              <w:sz w:val="24"/>
              <w:szCs w:val="24"/>
              <w:highlight w:val="none"/>
            </w:rPr>
            <w:fldChar w:fldCharType="begin"/>
          </w:r>
          <w:r>
            <w:rPr>
              <w:sz w:val="24"/>
              <w:szCs w:val="24"/>
              <w:highlight w:val="none"/>
            </w:rPr>
            <w:instrText xml:space="preserve"> PAGEREF _Toc24415 \h </w:instrText>
          </w:r>
          <w:r>
            <w:rPr>
              <w:sz w:val="24"/>
              <w:szCs w:val="24"/>
              <w:highlight w:val="none"/>
            </w:rPr>
            <w:fldChar w:fldCharType="separate"/>
          </w:r>
          <w:r>
            <w:rPr>
              <w:sz w:val="24"/>
              <w:szCs w:val="24"/>
              <w:highlight w:val="none"/>
            </w:rPr>
            <w:t>45</w:t>
          </w:r>
          <w:r>
            <w:rPr>
              <w:sz w:val="24"/>
              <w:szCs w:val="24"/>
              <w:highlight w:val="none"/>
            </w:rPr>
            <w:fldChar w:fldCharType="end"/>
          </w:r>
          <w:r>
            <w:rPr>
              <w:sz w:val="24"/>
              <w:szCs w:val="24"/>
              <w:highlight w:val="none"/>
            </w:rPr>
            <w:fldChar w:fldCharType="end"/>
          </w:r>
        </w:p>
        <w:p w14:paraId="6A0BC6D0">
          <w:pPr>
            <w:pStyle w:val="17"/>
            <w:tabs>
              <w:tab w:val="right" w:leader="dot" w:pos="8730"/>
            </w:tabs>
            <w:spacing w:line="360" w:lineRule="auto"/>
            <w:rPr>
              <w:sz w:val="24"/>
              <w:szCs w:val="24"/>
              <w:highlight w:val="none"/>
            </w:rPr>
          </w:pPr>
          <w:r>
            <w:rPr>
              <w:sz w:val="24"/>
              <w:szCs w:val="24"/>
              <w:highlight w:val="none"/>
            </w:rPr>
            <w:fldChar w:fldCharType="begin"/>
          </w:r>
          <w:r>
            <w:rPr>
              <w:sz w:val="24"/>
              <w:szCs w:val="24"/>
              <w:highlight w:val="none"/>
            </w:rPr>
            <w:instrText xml:space="preserve"> HYPERLINK \l _Toc22339 </w:instrText>
          </w:r>
          <w:r>
            <w:rPr>
              <w:sz w:val="24"/>
              <w:szCs w:val="24"/>
              <w:highlight w:val="none"/>
            </w:rPr>
            <w:fldChar w:fldCharType="separate"/>
          </w:r>
          <w:r>
            <w:rPr>
              <w:rFonts w:hint="eastAsia" w:ascii="宋体" w:hAnsi="宋体" w:eastAsia="宋体" w:cs="宋体"/>
              <w:sz w:val="24"/>
              <w:szCs w:val="24"/>
              <w:highlight w:val="none"/>
              <w:lang w:val="en-US" w:eastAsia="zh-CN"/>
            </w:rPr>
            <w:t>四、资格审查资料</w:t>
          </w:r>
          <w:r>
            <w:rPr>
              <w:sz w:val="24"/>
              <w:szCs w:val="24"/>
              <w:highlight w:val="none"/>
            </w:rPr>
            <w:tab/>
          </w:r>
          <w:r>
            <w:rPr>
              <w:sz w:val="24"/>
              <w:szCs w:val="24"/>
              <w:highlight w:val="none"/>
            </w:rPr>
            <w:fldChar w:fldCharType="begin"/>
          </w:r>
          <w:r>
            <w:rPr>
              <w:sz w:val="24"/>
              <w:szCs w:val="24"/>
              <w:highlight w:val="none"/>
            </w:rPr>
            <w:instrText xml:space="preserve"> PAGEREF _Toc22339 \h </w:instrText>
          </w:r>
          <w:r>
            <w:rPr>
              <w:sz w:val="24"/>
              <w:szCs w:val="24"/>
              <w:highlight w:val="none"/>
            </w:rPr>
            <w:fldChar w:fldCharType="separate"/>
          </w:r>
          <w:r>
            <w:rPr>
              <w:sz w:val="24"/>
              <w:szCs w:val="24"/>
              <w:highlight w:val="none"/>
            </w:rPr>
            <w:t>46</w:t>
          </w:r>
          <w:r>
            <w:rPr>
              <w:sz w:val="24"/>
              <w:szCs w:val="24"/>
              <w:highlight w:val="none"/>
            </w:rPr>
            <w:fldChar w:fldCharType="end"/>
          </w:r>
          <w:r>
            <w:rPr>
              <w:sz w:val="24"/>
              <w:szCs w:val="24"/>
              <w:highlight w:val="none"/>
            </w:rPr>
            <w:fldChar w:fldCharType="end"/>
          </w:r>
        </w:p>
        <w:p w14:paraId="08DF0DA9">
          <w:pPr>
            <w:pStyle w:val="17"/>
            <w:tabs>
              <w:tab w:val="right" w:leader="dot" w:pos="8730"/>
            </w:tabs>
            <w:spacing w:line="360" w:lineRule="auto"/>
            <w:rPr>
              <w:sz w:val="24"/>
              <w:szCs w:val="24"/>
              <w:highlight w:val="none"/>
            </w:rPr>
          </w:pPr>
          <w:r>
            <w:rPr>
              <w:sz w:val="24"/>
              <w:szCs w:val="24"/>
              <w:highlight w:val="none"/>
            </w:rPr>
            <w:fldChar w:fldCharType="begin"/>
          </w:r>
          <w:r>
            <w:rPr>
              <w:sz w:val="24"/>
              <w:szCs w:val="24"/>
              <w:highlight w:val="none"/>
            </w:rPr>
            <w:instrText xml:space="preserve"> HYPERLINK \l _Toc27042 </w:instrText>
          </w:r>
          <w:r>
            <w:rPr>
              <w:sz w:val="24"/>
              <w:szCs w:val="24"/>
              <w:highlight w:val="none"/>
            </w:rPr>
            <w:fldChar w:fldCharType="separate"/>
          </w:r>
          <w:r>
            <w:rPr>
              <w:rFonts w:hint="eastAsia" w:ascii="宋体" w:hAnsi="宋体" w:eastAsia="宋体" w:cs="宋体"/>
              <w:sz w:val="24"/>
              <w:szCs w:val="24"/>
              <w:highlight w:val="none"/>
              <w:lang w:val="en-US" w:eastAsia="zh-CN"/>
            </w:rPr>
            <w:t>五、服务方案</w:t>
          </w:r>
          <w:r>
            <w:rPr>
              <w:sz w:val="24"/>
              <w:szCs w:val="24"/>
              <w:highlight w:val="none"/>
            </w:rPr>
            <w:tab/>
          </w:r>
          <w:r>
            <w:rPr>
              <w:sz w:val="24"/>
              <w:szCs w:val="24"/>
              <w:highlight w:val="none"/>
            </w:rPr>
            <w:fldChar w:fldCharType="begin"/>
          </w:r>
          <w:r>
            <w:rPr>
              <w:sz w:val="24"/>
              <w:szCs w:val="24"/>
              <w:highlight w:val="none"/>
            </w:rPr>
            <w:instrText xml:space="preserve"> PAGEREF _Toc27042 \h </w:instrText>
          </w:r>
          <w:r>
            <w:rPr>
              <w:sz w:val="24"/>
              <w:szCs w:val="24"/>
              <w:highlight w:val="none"/>
            </w:rPr>
            <w:fldChar w:fldCharType="separate"/>
          </w:r>
          <w:r>
            <w:rPr>
              <w:sz w:val="24"/>
              <w:szCs w:val="24"/>
              <w:highlight w:val="none"/>
            </w:rPr>
            <w:t>47</w:t>
          </w:r>
          <w:r>
            <w:rPr>
              <w:sz w:val="24"/>
              <w:szCs w:val="24"/>
              <w:highlight w:val="none"/>
            </w:rPr>
            <w:fldChar w:fldCharType="end"/>
          </w:r>
          <w:r>
            <w:rPr>
              <w:sz w:val="24"/>
              <w:szCs w:val="24"/>
              <w:highlight w:val="none"/>
            </w:rPr>
            <w:fldChar w:fldCharType="end"/>
          </w:r>
        </w:p>
        <w:p w14:paraId="13FB15B8">
          <w:pPr>
            <w:pStyle w:val="17"/>
            <w:tabs>
              <w:tab w:val="right" w:leader="dot" w:pos="8730"/>
            </w:tabs>
            <w:spacing w:line="360" w:lineRule="auto"/>
            <w:rPr>
              <w:sz w:val="24"/>
              <w:szCs w:val="24"/>
              <w:highlight w:val="none"/>
            </w:rPr>
          </w:pPr>
          <w:r>
            <w:rPr>
              <w:sz w:val="24"/>
              <w:szCs w:val="24"/>
              <w:highlight w:val="none"/>
            </w:rPr>
            <w:fldChar w:fldCharType="begin"/>
          </w:r>
          <w:r>
            <w:rPr>
              <w:sz w:val="24"/>
              <w:szCs w:val="24"/>
              <w:highlight w:val="none"/>
            </w:rPr>
            <w:instrText xml:space="preserve"> HYPERLINK \l _Toc3725 </w:instrText>
          </w:r>
          <w:r>
            <w:rPr>
              <w:sz w:val="24"/>
              <w:szCs w:val="24"/>
              <w:highlight w:val="none"/>
            </w:rPr>
            <w:fldChar w:fldCharType="separate"/>
          </w:r>
          <w:r>
            <w:rPr>
              <w:rFonts w:hint="eastAsia" w:ascii="宋体" w:hAnsi="宋体" w:eastAsia="宋体" w:cs="宋体"/>
              <w:sz w:val="24"/>
              <w:szCs w:val="24"/>
              <w:highlight w:val="none"/>
              <w:lang w:val="en-US" w:eastAsia="zh-CN"/>
            </w:rPr>
            <w:t>六、服务业绩</w:t>
          </w:r>
          <w:r>
            <w:rPr>
              <w:sz w:val="24"/>
              <w:szCs w:val="24"/>
              <w:highlight w:val="none"/>
            </w:rPr>
            <w:tab/>
          </w:r>
          <w:r>
            <w:rPr>
              <w:sz w:val="24"/>
              <w:szCs w:val="24"/>
              <w:highlight w:val="none"/>
            </w:rPr>
            <w:fldChar w:fldCharType="begin"/>
          </w:r>
          <w:r>
            <w:rPr>
              <w:sz w:val="24"/>
              <w:szCs w:val="24"/>
              <w:highlight w:val="none"/>
            </w:rPr>
            <w:instrText xml:space="preserve"> PAGEREF _Toc3725 \h </w:instrText>
          </w:r>
          <w:r>
            <w:rPr>
              <w:sz w:val="24"/>
              <w:szCs w:val="24"/>
              <w:highlight w:val="none"/>
            </w:rPr>
            <w:fldChar w:fldCharType="separate"/>
          </w:r>
          <w:r>
            <w:rPr>
              <w:sz w:val="24"/>
              <w:szCs w:val="24"/>
              <w:highlight w:val="none"/>
            </w:rPr>
            <w:t>48</w:t>
          </w:r>
          <w:r>
            <w:rPr>
              <w:sz w:val="24"/>
              <w:szCs w:val="24"/>
              <w:highlight w:val="none"/>
            </w:rPr>
            <w:fldChar w:fldCharType="end"/>
          </w:r>
          <w:r>
            <w:rPr>
              <w:sz w:val="24"/>
              <w:szCs w:val="24"/>
              <w:highlight w:val="none"/>
            </w:rPr>
            <w:fldChar w:fldCharType="end"/>
          </w:r>
        </w:p>
        <w:p w14:paraId="783E3684">
          <w:pPr>
            <w:pStyle w:val="17"/>
            <w:tabs>
              <w:tab w:val="right" w:leader="dot" w:pos="8730"/>
            </w:tabs>
            <w:spacing w:line="360" w:lineRule="auto"/>
            <w:rPr>
              <w:sz w:val="24"/>
              <w:szCs w:val="24"/>
              <w:highlight w:val="none"/>
            </w:rPr>
          </w:pPr>
          <w:r>
            <w:rPr>
              <w:sz w:val="24"/>
              <w:szCs w:val="24"/>
              <w:highlight w:val="none"/>
            </w:rPr>
            <w:fldChar w:fldCharType="begin"/>
          </w:r>
          <w:r>
            <w:rPr>
              <w:sz w:val="24"/>
              <w:szCs w:val="24"/>
              <w:highlight w:val="none"/>
            </w:rPr>
            <w:instrText xml:space="preserve"> HYPERLINK \l _Toc4663 </w:instrText>
          </w:r>
          <w:r>
            <w:rPr>
              <w:sz w:val="24"/>
              <w:szCs w:val="24"/>
              <w:highlight w:val="none"/>
            </w:rPr>
            <w:fldChar w:fldCharType="separate"/>
          </w:r>
          <w:r>
            <w:rPr>
              <w:rFonts w:hint="eastAsia" w:ascii="宋体" w:hAnsi="宋体" w:eastAsia="宋体" w:cs="宋体"/>
              <w:sz w:val="24"/>
              <w:szCs w:val="24"/>
              <w:highlight w:val="none"/>
              <w:lang w:val="en-US" w:eastAsia="zh-CN"/>
            </w:rPr>
            <w:t>七、供应商认为有必要的其他资料</w:t>
          </w:r>
          <w:r>
            <w:rPr>
              <w:sz w:val="24"/>
              <w:szCs w:val="24"/>
              <w:highlight w:val="none"/>
            </w:rPr>
            <w:tab/>
          </w:r>
          <w:r>
            <w:rPr>
              <w:sz w:val="24"/>
              <w:szCs w:val="24"/>
              <w:highlight w:val="none"/>
            </w:rPr>
            <w:fldChar w:fldCharType="begin"/>
          </w:r>
          <w:r>
            <w:rPr>
              <w:sz w:val="24"/>
              <w:szCs w:val="24"/>
              <w:highlight w:val="none"/>
            </w:rPr>
            <w:instrText xml:space="preserve"> PAGEREF _Toc4663 \h </w:instrText>
          </w:r>
          <w:r>
            <w:rPr>
              <w:sz w:val="24"/>
              <w:szCs w:val="24"/>
              <w:highlight w:val="none"/>
            </w:rPr>
            <w:fldChar w:fldCharType="separate"/>
          </w:r>
          <w:r>
            <w:rPr>
              <w:sz w:val="24"/>
              <w:szCs w:val="24"/>
              <w:highlight w:val="none"/>
            </w:rPr>
            <w:t>49</w:t>
          </w:r>
          <w:r>
            <w:rPr>
              <w:sz w:val="24"/>
              <w:szCs w:val="24"/>
              <w:highlight w:val="none"/>
            </w:rPr>
            <w:fldChar w:fldCharType="end"/>
          </w:r>
          <w:r>
            <w:rPr>
              <w:sz w:val="24"/>
              <w:szCs w:val="24"/>
              <w:highlight w:val="none"/>
            </w:rPr>
            <w:fldChar w:fldCharType="end"/>
          </w:r>
        </w:p>
        <w:p w14:paraId="03859ECD">
          <w:pPr>
            <w:pStyle w:val="17"/>
            <w:tabs>
              <w:tab w:val="right" w:leader="dot" w:pos="8730"/>
            </w:tabs>
            <w:spacing w:line="360" w:lineRule="auto"/>
            <w:rPr>
              <w:sz w:val="24"/>
              <w:szCs w:val="24"/>
              <w:highlight w:val="none"/>
            </w:rPr>
          </w:pPr>
          <w:r>
            <w:rPr>
              <w:sz w:val="24"/>
              <w:szCs w:val="24"/>
              <w:highlight w:val="none"/>
            </w:rPr>
            <w:fldChar w:fldCharType="begin"/>
          </w:r>
          <w:r>
            <w:rPr>
              <w:sz w:val="24"/>
              <w:szCs w:val="24"/>
              <w:highlight w:val="none"/>
            </w:rPr>
            <w:instrText xml:space="preserve"> HYPERLINK \l _Toc16369 </w:instrText>
          </w:r>
          <w:r>
            <w:rPr>
              <w:sz w:val="24"/>
              <w:szCs w:val="24"/>
              <w:highlight w:val="none"/>
            </w:rPr>
            <w:fldChar w:fldCharType="separate"/>
          </w:r>
          <w:r>
            <w:rPr>
              <w:rFonts w:hint="eastAsia" w:ascii="宋体" w:hAnsi="宋体" w:eastAsia="宋体" w:cs="宋体"/>
              <w:sz w:val="24"/>
              <w:szCs w:val="24"/>
              <w:highlight w:val="none"/>
              <w:lang w:val="en-US" w:eastAsia="zh-CN"/>
            </w:rPr>
            <w:t>八、享受政府采购政策扶持的证明材料</w:t>
          </w:r>
          <w:r>
            <w:rPr>
              <w:sz w:val="24"/>
              <w:szCs w:val="24"/>
              <w:highlight w:val="none"/>
            </w:rPr>
            <w:tab/>
          </w:r>
          <w:r>
            <w:rPr>
              <w:sz w:val="24"/>
              <w:szCs w:val="24"/>
              <w:highlight w:val="none"/>
            </w:rPr>
            <w:fldChar w:fldCharType="begin"/>
          </w:r>
          <w:r>
            <w:rPr>
              <w:sz w:val="24"/>
              <w:szCs w:val="24"/>
              <w:highlight w:val="none"/>
            </w:rPr>
            <w:instrText xml:space="preserve"> PAGEREF _Toc16369 \h </w:instrText>
          </w:r>
          <w:r>
            <w:rPr>
              <w:sz w:val="24"/>
              <w:szCs w:val="24"/>
              <w:highlight w:val="none"/>
            </w:rPr>
            <w:fldChar w:fldCharType="separate"/>
          </w:r>
          <w:r>
            <w:rPr>
              <w:sz w:val="24"/>
              <w:szCs w:val="24"/>
              <w:highlight w:val="none"/>
            </w:rPr>
            <w:t>52</w:t>
          </w:r>
          <w:r>
            <w:rPr>
              <w:sz w:val="24"/>
              <w:szCs w:val="24"/>
              <w:highlight w:val="none"/>
            </w:rPr>
            <w:fldChar w:fldCharType="end"/>
          </w:r>
          <w:r>
            <w:rPr>
              <w:sz w:val="24"/>
              <w:szCs w:val="24"/>
              <w:highlight w:val="none"/>
            </w:rPr>
            <w:fldChar w:fldCharType="end"/>
          </w:r>
        </w:p>
        <w:p w14:paraId="6F15DA88">
          <w:pPr>
            <w:keepNext w:val="0"/>
            <w:keepLines w:val="0"/>
            <w:pageBreakBefore w:val="0"/>
            <w:kinsoku/>
            <w:wordWrap/>
            <w:overflowPunct/>
            <w:topLinePunct w:val="0"/>
            <w:autoSpaceDE/>
            <w:autoSpaceDN/>
            <w:bidi w:val="0"/>
            <w:adjustRightInd/>
            <w:snapToGrid/>
            <w:spacing w:line="360" w:lineRule="auto"/>
            <w:textAlignment w:val="auto"/>
            <w:rPr>
              <w:sz w:val="24"/>
              <w:szCs w:val="24"/>
              <w:highlight w:val="none"/>
            </w:rPr>
          </w:pPr>
          <w:r>
            <w:rPr>
              <w:sz w:val="24"/>
              <w:szCs w:val="24"/>
              <w:highlight w:val="none"/>
            </w:rPr>
            <w:fldChar w:fldCharType="end"/>
          </w:r>
        </w:p>
      </w:sdtContent>
    </w:sdt>
    <w:p w14:paraId="6C2EA5EC">
      <w:pPr>
        <w:rPr>
          <w:highlight w:val="none"/>
        </w:rPr>
      </w:pPr>
    </w:p>
    <w:p w14:paraId="0F7B8260">
      <w:pPr>
        <w:rPr>
          <w:highlight w:val="none"/>
        </w:rPr>
      </w:pPr>
      <w:r>
        <w:rPr>
          <w:highlight w:val="none"/>
        </w:rPr>
        <w:br w:type="page"/>
      </w:r>
    </w:p>
    <w:p w14:paraId="625080F5">
      <w:pPr>
        <w:pStyle w:val="2"/>
        <w:bidi w:val="0"/>
        <w:jc w:val="center"/>
        <w:rPr>
          <w:rFonts w:hint="eastAsia" w:ascii="宋体" w:hAnsi="宋体" w:eastAsia="宋体" w:cs="宋体"/>
          <w:highlight w:val="none"/>
        </w:rPr>
      </w:pPr>
      <w:bookmarkStart w:id="2" w:name="_Toc16523"/>
      <w:bookmarkStart w:id="3" w:name="_Toc345178445"/>
      <w:bookmarkStart w:id="4" w:name="_Hlk64536696"/>
      <w:bookmarkStart w:id="5" w:name="_Toc3598"/>
      <w:bookmarkStart w:id="6" w:name="_Toc184635052"/>
      <w:bookmarkStart w:id="7" w:name="_Toc371"/>
      <w:bookmarkStart w:id="8" w:name="_Toc667"/>
      <w:r>
        <w:rPr>
          <w:rFonts w:hint="eastAsia" w:ascii="宋体" w:hAnsi="宋体" w:eastAsia="宋体" w:cs="宋体"/>
          <w:highlight w:val="none"/>
          <w:lang w:val="en-US" w:eastAsia="zh-CN"/>
        </w:rPr>
        <w:t xml:space="preserve">第一章 </w:t>
      </w:r>
      <w:r>
        <w:rPr>
          <w:rFonts w:hint="eastAsia" w:ascii="宋体" w:hAnsi="宋体" w:eastAsia="宋体" w:cs="宋体"/>
          <w:highlight w:val="none"/>
        </w:rPr>
        <w:t>招标公告</w:t>
      </w:r>
      <w:bookmarkEnd w:id="2"/>
      <w:bookmarkEnd w:id="3"/>
      <w:bookmarkEnd w:id="4"/>
      <w:bookmarkEnd w:id="5"/>
      <w:bookmarkEnd w:id="6"/>
      <w:bookmarkEnd w:id="7"/>
      <w:bookmarkEnd w:id="8"/>
      <w:bookmarkStart w:id="9" w:name="OLE_LINK1"/>
      <w:bookmarkStart w:id="10" w:name="_Toc38808734"/>
    </w:p>
    <w:bookmarkEnd w:id="9"/>
    <w:bookmarkEnd w:id="10"/>
    <w:p w14:paraId="4230C862">
      <w:pPr>
        <w:pageBreakBefore w:val="0"/>
        <w:widowControl/>
        <w:kinsoku/>
        <w:wordWrap/>
        <w:overflowPunct/>
        <w:topLinePunct w:val="0"/>
        <w:autoSpaceDN w:val="0"/>
        <w:bidi w:val="0"/>
        <w:adjustRightInd/>
        <w:snapToGrid/>
        <w:spacing w:line="360" w:lineRule="auto"/>
        <w:ind w:firstLine="562" w:firstLineChars="200"/>
        <w:jc w:val="center"/>
        <w:rPr>
          <w:rFonts w:hint="eastAsia" w:ascii="宋体" w:hAnsi="宋体" w:eastAsia="宋体" w:cs="宋体"/>
          <w:b/>
          <w:bCs/>
          <w:color w:val="000000"/>
          <w:kern w:val="0"/>
          <w:sz w:val="28"/>
          <w:szCs w:val="28"/>
          <w:highlight w:val="none"/>
          <w:lang w:val="en-US" w:eastAsia="zh-CN"/>
        </w:rPr>
      </w:pPr>
      <w:r>
        <w:rPr>
          <w:rFonts w:hint="eastAsia" w:ascii="宋体" w:hAnsi="宋体" w:cs="宋体"/>
          <w:b/>
          <w:bCs/>
          <w:color w:val="000000"/>
          <w:kern w:val="0"/>
          <w:sz w:val="28"/>
          <w:szCs w:val="28"/>
          <w:highlight w:val="none"/>
          <w:lang w:val="en-US" w:eastAsia="zh-CN"/>
        </w:rPr>
        <w:t>荥阳市林业局城郊生态廊道养护项目-公开</w:t>
      </w:r>
      <w:r>
        <w:rPr>
          <w:rFonts w:hint="eastAsia" w:ascii="宋体" w:hAnsi="宋体" w:eastAsia="宋体" w:cs="宋体"/>
          <w:b/>
          <w:bCs/>
          <w:color w:val="000000"/>
          <w:kern w:val="0"/>
          <w:sz w:val="28"/>
          <w:szCs w:val="28"/>
          <w:highlight w:val="none"/>
          <w:lang w:val="en-US" w:eastAsia="zh-CN"/>
        </w:rPr>
        <w:t>招标公告</w:t>
      </w:r>
    </w:p>
    <w:p w14:paraId="336CD9E8">
      <w:pPr>
        <w:pageBreakBefore w:val="0"/>
        <w:widowControl/>
        <w:kinsoku/>
        <w:wordWrap/>
        <w:overflowPunct/>
        <w:topLinePunct w:val="0"/>
        <w:autoSpaceDN w:val="0"/>
        <w:bidi w:val="0"/>
        <w:adjustRightInd/>
        <w:snapToGrid/>
        <w:spacing w:line="360" w:lineRule="auto"/>
        <w:rPr>
          <w:rFonts w:hint="eastAsia" w:ascii="宋体" w:hAnsi="宋体" w:eastAsia="宋体" w:cs="宋体"/>
          <w:b/>
          <w:bCs/>
          <w:color w:val="000000"/>
          <w:kern w:val="0"/>
          <w:szCs w:val="21"/>
          <w:highlight w:val="none"/>
        </w:rPr>
      </w:pPr>
      <w:r>
        <w:rPr>
          <w:rFonts w:hint="eastAsia" w:ascii="宋体" w:hAnsi="宋体" w:eastAsia="宋体" w:cs="宋体"/>
          <w:b/>
          <w:bCs/>
          <w:color w:val="000000"/>
          <w:kern w:val="0"/>
          <w:szCs w:val="21"/>
          <w:highlight w:val="none"/>
        </w:rPr>
        <w:t>项目概况</w:t>
      </w:r>
    </w:p>
    <w:p w14:paraId="13595A94">
      <w:pPr>
        <w:pageBreakBefore w:val="0"/>
        <w:widowControl/>
        <w:kinsoku/>
        <w:wordWrap/>
        <w:overflowPunct/>
        <w:topLinePunct w:val="0"/>
        <w:bidi w:val="0"/>
        <w:adjustRightInd/>
        <w:snapToGrid/>
        <w:spacing w:line="360" w:lineRule="auto"/>
        <w:ind w:firstLine="422" w:firstLineChars="200"/>
        <w:rPr>
          <w:rFonts w:hint="eastAsia" w:ascii="宋体" w:hAnsi="宋体" w:eastAsia="宋体" w:cs="宋体"/>
          <w:kern w:val="0"/>
          <w:szCs w:val="21"/>
          <w:highlight w:val="none"/>
        </w:rPr>
      </w:pPr>
      <w:r>
        <w:rPr>
          <w:rFonts w:hint="eastAsia" w:ascii="宋体" w:hAnsi="宋体" w:eastAsia="宋体" w:cs="宋体"/>
          <w:b/>
          <w:bCs/>
          <w:i w:val="0"/>
          <w:iCs w:val="0"/>
          <w:color w:val="000000"/>
          <w:sz w:val="21"/>
          <w:szCs w:val="21"/>
          <w:highlight w:val="none"/>
          <w:u w:val="single"/>
          <w:lang w:val="en-US" w:eastAsia="zh-CN"/>
        </w:rPr>
        <w:t>荥阳市林业局城郊生态廊道养护项目</w:t>
      </w:r>
      <w:r>
        <w:rPr>
          <w:rFonts w:hint="eastAsia" w:ascii="宋体" w:hAnsi="宋体" w:eastAsia="宋体" w:cs="宋体"/>
          <w:b w:val="0"/>
          <w:bCs w:val="0"/>
          <w:i w:val="0"/>
          <w:iCs w:val="0"/>
          <w:color w:val="000000"/>
          <w:sz w:val="21"/>
          <w:szCs w:val="21"/>
          <w:highlight w:val="none"/>
          <w:u w:val="none"/>
          <w:lang w:val="en-US" w:eastAsia="zh-CN"/>
        </w:rPr>
        <w:t>招标项目的潜在投标人应</w:t>
      </w:r>
      <w:r>
        <w:rPr>
          <w:rFonts w:hint="eastAsia" w:ascii="宋体" w:hAnsi="宋体" w:eastAsia="宋体" w:cs="宋体"/>
          <w:b w:val="0"/>
          <w:bCs w:val="0"/>
          <w:i w:val="0"/>
          <w:iCs w:val="0"/>
          <w:color w:val="000000"/>
          <w:sz w:val="21"/>
          <w:szCs w:val="21"/>
          <w:highlight w:val="none"/>
          <w:u w:val="none"/>
        </w:rPr>
        <w:t>在</w:t>
      </w:r>
      <w:r>
        <w:rPr>
          <w:rFonts w:hint="eastAsia" w:ascii="宋体" w:hAnsi="宋体" w:eastAsia="宋体" w:cs="宋体"/>
          <w:b/>
          <w:bCs/>
          <w:i w:val="0"/>
          <w:iCs w:val="0"/>
          <w:color w:val="000000"/>
          <w:sz w:val="21"/>
          <w:szCs w:val="21"/>
          <w:highlight w:val="none"/>
          <w:u w:val="single"/>
        </w:rPr>
        <w:t>荥阳市公共资源交易平台</w:t>
      </w:r>
      <w:r>
        <w:rPr>
          <w:rFonts w:hint="eastAsia" w:ascii="宋体" w:hAnsi="宋体" w:cs="宋体"/>
          <w:b/>
          <w:bCs/>
          <w:i w:val="0"/>
          <w:iCs w:val="0"/>
          <w:color w:val="000000"/>
          <w:sz w:val="21"/>
          <w:szCs w:val="21"/>
          <w:highlight w:val="none"/>
          <w:u w:val="single"/>
          <w:lang w:eastAsia="zh-CN"/>
        </w:rPr>
        <w:t>。</w:t>
      </w:r>
      <w:r>
        <w:rPr>
          <w:rFonts w:hint="eastAsia" w:ascii="宋体" w:hAnsi="宋体" w:eastAsia="宋体" w:cs="宋体"/>
          <w:b w:val="0"/>
          <w:bCs w:val="0"/>
          <w:i w:val="0"/>
          <w:iCs w:val="0"/>
          <w:color w:val="000000"/>
          <w:sz w:val="21"/>
          <w:szCs w:val="21"/>
          <w:highlight w:val="none"/>
        </w:rPr>
        <w:t>获取招标文件，并于</w:t>
      </w:r>
      <w:r>
        <w:rPr>
          <w:rFonts w:hint="eastAsia" w:ascii="宋体" w:hAnsi="宋体" w:eastAsia="宋体" w:cs="宋体"/>
          <w:b/>
          <w:bCs/>
          <w:i w:val="0"/>
          <w:iCs w:val="0"/>
          <w:color w:val="000000"/>
          <w:sz w:val="21"/>
          <w:szCs w:val="21"/>
          <w:highlight w:val="none"/>
          <w:u w:val="single"/>
        </w:rPr>
        <w:t>202</w:t>
      </w:r>
      <w:r>
        <w:rPr>
          <w:rFonts w:hint="eastAsia" w:ascii="宋体" w:hAnsi="宋体" w:cs="宋体"/>
          <w:b/>
          <w:bCs/>
          <w:i w:val="0"/>
          <w:iCs w:val="0"/>
          <w:color w:val="000000"/>
          <w:sz w:val="21"/>
          <w:szCs w:val="21"/>
          <w:highlight w:val="none"/>
          <w:u w:val="single"/>
          <w:lang w:val="en-US" w:eastAsia="zh-CN"/>
        </w:rPr>
        <w:t>5</w:t>
      </w:r>
      <w:r>
        <w:rPr>
          <w:rFonts w:hint="eastAsia" w:ascii="宋体" w:hAnsi="宋体" w:eastAsia="宋体" w:cs="宋体"/>
          <w:b/>
          <w:bCs/>
          <w:i w:val="0"/>
          <w:iCs w:val="0"/>
          <w:color w:val="000000"/>
          <w:sz w:val="21"/>
          <w:szCs w:val="21"/>
          <w:highlight w:val="none"/>
          <w:u w:val="single"/>
        </w:rPr>
        <w:t>年</w:t>
      </w:r>
      <w:r>
        <w:rPr>
          <w:rFonts w:hint="eastAsia" w:ascii="宋体" w:hAnsi="宋体" w:cs="宋体"/>
          <w:b/>
          <w:bCs/>
          <w:i w:val="0"/>
          <w:iCs w:val="0"/>
          <w:color w:val="000000"/>
          <w:sz w:val="21"/>
          <w:szCs w:val="21"/>
          <w:highlight w:val="none"/>
          <w:u w:val="single"/>
          <w:lang w:val="en-US" w:eastAsia="zh-CN"/>
        </w:rPr>
        <w:t>08</w:t>
      </w:r>
      <w:r>
        <w:rPr>
          <w:rFonts w:hint="eastAsia" w:ascii="宋体" w:hAnsi="宋体" w:eastAsia="宋体" w:cs="宋体"/>
          <w:b/>
          <w:bCs/>
          <w:i w:val="0"/>
          <w:iCs w:val="0"/>
          <w:color w:val="000000"/>
          <w:sz w:val="21"/>
          <w:szCs w:val="21"/>
          <w:highlight w:val="none"/>
          <w:u w:val="single"/>
        </w:rPr>
        <w:t>月</w:t>
      </w:r>
      <w:r>
        <w:rPr>
          <w:rFonts w:hint="eastAsia" w:ascii="宋体" w:hAnsi="宋体" w:cs="宋体"/>
          <w:b/>
          <w:bCs/>
          <w:i w:val="0"/>
          <w:iCs w:val="0"/>
          <w:color w:val="000000"/>
          <w:sz w:val="21"/>
          <w:szCs w:val="21"/>
          <w:highlight w:val="none"/>
          <w:u w:val="single"/>
          <w:lang w:val="en-US" w:eastAsia="zh-CN"/>
        </w:rPr>
        <w:t>20</w:t>
      </w:r>
      <w:r>
        <w:rPr>
          <w:rFonts w:hint="eastAsia" w:ascii="宋体" w:hAnsi="宋体" w:eastAsia="宋体" w:cs="宋体"/>
          <w:b/>
          <w:bCs/>
          <w:i w:val="0"/>
          <w:iCs w:val="0"/>
          <w:color w:val="000000"/>
          <w:sz w:val="21"/>
          <w:szCs w:val="21"/>
          <w:highlight w:val="none"/>
          <w:u w:val="single"/>
        </w:rPr>
        <w:t>日09时</w:t>
      </w:r>
      <w:r>
        <w:rPr>
          <w:rFonts w:hint="eastAsia" w:ascii="宋体" w:hAnsi="宋体" w:cs="宋体"/>
          <w:b/>
          <w:bCs/>
          <w:i w:val="0"/>
          <w:iCs w:val="0"/>
          <w:color w:val="000000"/>
          <w:sz w:val="21"/>
          <w:szCs w:val="21"/>
          <w:highlight w:val="none"/>
          <w:u w:val="single"/>
          <w:lang w:val="en-US" w:eastAsia="zh-CN"/>
        </w:rPr>
        <w:t>3</w:t>
      </w:r>
      <w:r>
        <w:rPr>
          <w:rFonts w:hint="eastAsia" w:ascii="宋体" w:hAnsi="宋体" w:eastAsia="宋体" w:cs="宋体"/>
          <w:b/>
          <w:bCs/>
          <w:i w:val="0"/>
          <w:iCs w:val="0"/>
          <w:color w:val="000000"/>
          <w:sz w:val="21"/>
          <w:szCs w:val="21"/>
          <w:highlight w:val="none"/>
          <w:u w:val="single"/>
        </w:rPr>
        <w:t>0分</w:t>
      </w:r>
      <w:r>
        <w:rPr>
          <w:rFonts w:hint="eastAsia" w:ascii="宋体" w:hAnsi="宋体" w:eastAsia="宋体" w:cs="宋体"/>
          <w:b w:val="0"/>
          <w:bCs w:val="0"/>
          <w:i w:val="0"/>
          <w:iCs w:val="0"/>
          <w:color w:val="000000"/>
          <w:sz w:val="21"/>
          <w:szCs w:val="21"/>
          <w:highlight w:val="none"/>
        </w:rPr>
        <w:t>（北京时间）前递交投标文件</w:t>
      </w:r>
      <w:r>
        <w:rPr>
          <w:rFonts w:hint="eastAsia" w:ascii="宋体" w:hAnsi="宋体" w:eastAsia="宋体" w:cs="宋体"/>
          <w:kern w:val="0"/>
          <w:szCs w:val="21"/>
          <w:highlight w:val="none"/>
        </w:rPr>
        <w:t>。</w:t>
      </w:r>
    </w:p>
    <w:p w14:paraId="45388FFB">
      <w:pPr>
        <w:pageBreakBefore w:val="0"/>
        <w:widowControl/>
        <w:kinsoku/>
        <w:wordWrap/>
        <w:overflowPunct/>
        <w:topLinePunct w:val="0"/>
        <w:bidi w:val="0"/>
        <w:adjustRightInd/>
        <w:snapToGrid/>
        <w:spacing w:line="360" w:lineRule="auto"/>
        <w:rPr>
          <w:rFonts w:hint="eastAsia" w:ascii="宋体" w:hAnsi="宋体" w:eastAsia="宋体" w:cs="宋体"/>
          <w:b/>
          <w:bCs/>
          <w:color w:val="000000"/>
          <w:kern w:val="0"/>
          <w:szCs w:val="21"/>
          <w:highlight w:val="none"/>
        </w:rPr>
      </w:pPr>
      <w:r>
        <w:rPr>
          <w:rFonts w:hint="eastAsia" w:ascii="宋体" w:hAnsi="宋体" w:eastAsia="宋体" w:cs="宋体"/>
          <w:b/>
          <w:bCs/>
          <w:color w:val="000000"/>
          <w:kern w:val="0"/>
          <w:szCs w:val="21"/>
          <w:highlight w:val="none"/>
        </w:rPr>
        <w:t>一、项目基本情况</w:t>
      </w:r>
    </w:p>
    <w:p w14:paraId="3A9AB16D">
      <w:pPr>
        <w:pageBreakBefore w:val="0"/>
        <w:widowControl/>
        <w:kinsoku/>
        <w:wordWrap/>
        <w:overflowPunct/>
        <w:topLinePunct w:val="0"/>
        <w:bidi w:val="0"/>
        <w:adjustRightInd/>
        <w:snapToGrid/>
        <w:spacing w:line="360" w:lineRule="auto"/>
        <w:ind w:firstLine="420" w:firstLineChars="200"/>
        <w:jc w:val="left"/>
        <w:rPr>
          <w:rFonts w:hint="default" w:ascii="宋体" w:hAnsi="宋体" w:eastAsia="宋体" w:cs="宋体"/>
          <w:kern w:val="0"/>
          <w:szCs w:val="21"/>
          <w:highlight w:val="none"/>
          <w:lang w:val="en-US" w:eastAsia="zh-CN"/>
        </w:rPr>
      </w:pPr>
      <w:r>
        <w:rPr>
          <w:rFonts w:hint="eastAsia" w:ascii="宋体" w:hAnsi="宋体" w:eastAsia="宋体" w:cs="宋体"/>
          <w:kern w:val="0"/>
          <w:szCs w:val="21"/>
          <w:highlight w:val="none"/>
        </w:rPr>
        <w:t>1</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项目编号：</w:t>
      </w:r>
      <w:r>
        <w:rPr>
          <w:rFonts w:hint="eastAsia" w:ascii="宋体" w:hAnsi="宋体" w:eastAsia="宋体" w:cs="宋体"/>
          <w:kern w:val="0"/>
          <w:szCs w:val="21"/>
          <w:highlight w:val="none"/>
          <w:lang w:eastAsia="zh-CN"/>
        </w:rPr>
        <w:t>荥财公开-202</w:t>
      </w:r>
      <w:r>
        <w:rPr>
          <w:rFonts w:hint="eastAsia" w:ascii="宋体" w:hAnsi="宋体" w:cs="宋体"/>
          <w:kern w:val="0"/>
          <w:szCs w:val="21"/>
          <w:highlight w:val="none"/>
          <w:lang w:val="en-US" w:eastAsia="zh-CN"/>
        </w:rPr>
        <w:t>5-13</w:t>
      </w:r>
    </w:p>
    <w:p w14:paraId="47018014">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2</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项目名称：</w:t>
      </w:r>
      <w:r>
        <w:rPr>
          <w:rFonts w:hint="eastAsia" w:ascii="宋体" w:hAnsi="宋体" w:eastAsia="宋体" w:cs="宋体"/>
          <w:kern w:val="0"/>
          <w:szCs w:val="21"/>
          <w:highlight w:val="none"/>
          <w:lang w:val="en-US" w:eastAsia="zh-CN"/>
        </w:rPr>
        <w:t>荥阳市林业局城郊生态廊道养护项目</w:t>
      </w:r>
    </w:p>
    <w:p w14:paraId="22442A9D">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3</w:t>
      </w:r>
      <w:r>
        <w:rPr>
          <w:rFonts w:hint="eastAsia" w:ascii="宋体" w:hAnsi="宋体" w:eastAsia="宋体" w:cs="宋体"/>
          <w:szCs w:val="21"/>
          <w:highlight w:val="none"/>
          <w:lang w:eastAsia="zh-CN"/>
        </w:rPr>
        <w:t>、</w:t>
      </w:r>
      <w:r>
        <w:rPr>
          <w:rFonts w:hint="eastAsia" w:ascii="宋体" w:hAnsi="宋体" w:eastAsia="宋体" w:cs="宋体"/>
          <w:szCs w:val="21"/>
          <w:highlight w:val="none"/>
        </w:rPr>
        <w:t>采购方式：公开招标</w:t>
      </w:r>
    </w:p>
    <w:p w14:paraId="31626051">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4</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预算金额：</w:t>
      </w:r>
      <w:r>
        <w:rPr>
          <w:rFonts w:hint="eastAsia" w:ascii="宋体" w:hAnsi="宋体" w:cs="宋体"/>
          <w:kern w:val="0"/>
          <w:szCs w:val="21"/>
          <w:highlight w:val="none"/>
          <w:lang w:val="en-US" w:eastAsia="zh-CN"/>
        </w:rPr>
        <w:t>5231</w:t>
      </w:r>
      <w:r>
        <w:rPr>
          <w:rFonts w:hint="eastAsia" w:ascii="宋体" w:hAnsi="宋体" w:eastAsia="宋体" w:cs="宋体"/>
          <w:kern w:val="0"/>
          <w:szCs w:val="21"/>
          <w:highlight w:val="none"/>
          <w:lang w:val="en-US" w:eastAsia="zh-CN"/>
        </w:rPr>
        <w:t>000.00</w:t>
      </w:r>
      <w:r>
        <w:rPr>
          <w:rFonts w:hint="eastAsia" w:ascii="宋体" w:hAnsi="宋体" w:eastAsia="宋体" w:cs="宋体"/>
          <w:kern w:val="0"/>
          <w:szCs w:val="21"/>
          <w:highlight w:val="none"/>
        </w:rPr>
        <w:t xml:space="preserve">元 </w:t>
      </w:r>
    </w:p>
    <w:p w14:paraId="7CF86150">
      <w:pPr>
        <w:pageBreakBefore w:val="0"/>
        <w:widowControl/>
        <w:kinsoku/>
        <w:wordWrap/>
        <w:overflowPunct/>
        <w:topLinePunct w:val="0"/>
        <w:bidi w:val="0"/>
        <w:adjustRightInd/>
        <w:snapToGrid/>
        <w:spacing w:line="360" w:lineRule="auto"/>
        <w:ind w:firstLine="840" w:firstLineChars="400"/>
        <w:rPr>
          <w:rFonts w:hint="eastAsia" w:ascii="宋体" w:hAnsi="宋体" w:eastAsia="宋体" w:cs="宋体"/>
          <w:kern w:val="0"/>
          <w:szCs w:val="21"/>
          <w:highlight w:val="none"/>
        </w:rPr>
      </w:pPr>
      <w:r>
        <w:rPr>
          <w:rFonts w:hint="eastAsia" w:ascii="宋体" w:hAnsi="宋体" w:eastAsia="宋体" w:cs="宋体"/>
          <w:kern w:val="0"/>
          <w:szCs w:val="21"/>
          <w:highlight w:val="none"/>
        </w:rPr>
        <w:t>最高限价：</w:t>
      </w:r>
      <w:r>
        <w:rPr>
          <w:rFonts w:hint="eastAsia" w:ascii="宋体" w:hAnsi="宋体" w:eastAsia="宋体" w:cs="宋体"/>
          <w:kern w:val="0"/>
          <w:szCs w:val="21"/>
          <w:highlight w:val="none"/>
          <w:lang w:val="en-US" w:eastAsia="zh-CN"/>
        </w:rPr>
        <w:t>5231000.00</w:t>
      </w:r>
      <w:r>
        <w:rPr>
          <w:rFonts w:hint="eastAsia" w:ascii="宋体" w:hAnsi="宋体" w:eastAsia="宋体" w:cs="宋体"/>
          <w:kern w:val="0"/>
          <w:szCs w:val="21"/>
          <w:highlight w:val="none"/>
        </w:rPr>
        <w:t>元</w:t>
      </w:r>
    </w:p>
    <w:tbl>
      <w:tblPr>
        <w:tblStyle w:val="20"/>
        <w:tblpPr w:leftFromText="180" w:rightFromText="180" w:vertAnchor="text" w:tblpXSpec="center" w:tblpY="1"/>
        <w:tblOverlap w:val="never"/>
        <w:tblW w:w="9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4"/>
        <w:gridCol w:w="1460"/>
        <w:gridCol w:w="2546"/>
        <w:gridCol w:w="1251"/>
        <w:gridCol w:w="1317"/>
        <w:gridCol w:w="1078"/>
        <w:gridCol w:w="1740"/>
      </w:tblGrid>
      <w:tr w14:paraId="2DE18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544" w:type="dxa"/>
            <w:noWrap w:val="0"/>
            <w:vAlign w:val="center"/>
          </w:tcPr>
          <w:p w14:paraId="434A2A05">
            <w:pPr>
              <w:pageBreakBefore w:val="0"/>
              <w:kinsoku/>
              <w:wordWrap/>
              <w:overflowPunct/>
              <w:topLinePunct w:val="0"/>
              <w:autoSpaceDE w:val="0"/>
              <w:autoSpaceDN w:val="0"/>
              <w:bidi w:val="0"/>
              <w:adjustRightInd/>
              <w:snapToGrid/>
              <w:spacing w:after="120"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1460" w:type="dxa"/>
            <w:noWrap w:val="0"/>
            <w:vAlign w:val="center"/>
          </w:tcPr>
          <w:p w14:paraId="0104A037">
            <w:pPr>
              <w:pageBreakBefore w:val="0"/>
              <w:kinsoku/>
              <w:wordWrap/>
              <w:overflowPunct/>
              <w:topLinePunct w:val="0"/>
              <w:autoSpaceDE w:val="0"/>
              <w:autoSpaceDN w:val="0"/>
              <w:bidi w:val="0"/>
              <w:adjustRightInd/>
              <w:snapToGrid/>
              <w:spacing w:after="120"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包号</w:t>
            </w:r>
          </w:p>
        </w:tc>
        <w:tc>
          <w:tcPr>
            <w:tcW w:w="2546" w:type="dxa"/>
            <w:noWrap w:val="0"/>
            <w:vAlign w:val="center"/>
          </w:tcPr>
          <w:p w14:paraId="73D9690C">
            <w:pPr>
              <w:pageBreakBefore w:val="0"/>
              <w:kinsoku/>
              <w:wordWrap/>
              <w:overflowPunct/>
              <w:topLinePunct w:val="0"/>
              <w:autoSpaceDE w:val="0"/>
              <w:autoSpaceDN w:val="0"/>
              <w:bidi w:val="0"/>
              <w:adjustRightInd/>
              <w:snapToGrid/>
              <w:spacing w:after="120"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包名称</w:t>
            </w:r>
          </w:p>
        </w:tc>
        <w:tc>
          <w:tcPr>
            <w:tcW w:w="1251" w:type="dxa"/>
            <w:noWrap w:val="0"/>
            <w:vAlign w:val="center"/>
          </w:tcPr>
          <w:p w14:paraId="1B90A4B4">
            <w:pPr>
              <w:pageBreakBefore w:val="0"/>
              <w:kinsoku/>
              <w:wordWrap/>
              <w:overflowPunct/>
              <w:topLinePunct w:val="0"/>
              <w:autoSpaceDE w:val="0"/>
              <w:autoSpaceDN w:val="0"/>
              <w:bidi w:val="0"/>
              <w:adjustRightInd/>
              <w:snapToGrid/>
              <w:spacing w:after="120" w:line="360" w:lineRule="auto"/>
              <w:jc w:val="center"/>
              <w:rPr>
                <w:rFonts w:hint="eastAsia" w:ascii="宋体" w:hAnsi="宋体" w:eastAsia="宋体" w:cs="宋体"/>
                <w:szCs w:val="21"/>
                <w:highlight w:val="none"/>
                <w:lang w:eastAsia="zh-CN"/>
              </w:rPr>
            </w:pPr>
            <w:r>
              <w:rPr>
                <w:rFonts w:hint="eastAsia" w:ascii="宋体" w:hAnsi="宋体" w:eastAsia="宋体" w:cs="宋体"/>
                <w:szCs w:val="21"/>
                <w:highlight w:val="none"/>
              </w:rPr>
              <w:t>包预算</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元</w:t>
            </w:r>
            <w:r>
              <w:rPr>
                <w:rFonts w:hint="eastAsia" w:ascii="宋体" w:hAnsi="宋体" w:eastAsia="宋体" w:cs="宋体"/>
                <w:szCs w:val="21"/>
                <w:highlight w:val="none"/>
                <w:lang w:eastAsia="zh-CN"/>
              </w:rPr>
              <w:t>）</w:t>
            </w:r>
          </w:p>
        </w:tc>
        <w:tc>
          <w:tcPr>
            <w:tcW w:w="1317" w:type="dxa"/>
            <w:noWrap w:val="0"/>
            <w:vAlign w:val="center"/>
          </w:tcPr>
          <w:p w14:paraId="7D2CACA9">
            <w:pPr>
              <w:pageBreakBefore w:val="0"/>
              <w:kinsoku/>
              <w:wordWrap/>
              <w:overflowPunct/>
              <w:topLinePunct w:val="0"/>
              <w:autoSpaceDE w:val="0"/>
              <w:autoSpaceDN w:val="0"/>
              <w:bidi w:val="0"/>
              <w:adjustRightInd/>
              <w:snapToGrid/>
              <w:spacing w:after="120" w:line="36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包最高限价</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元</w:t>
            </w:r>
            <w:r>
              <w:rPr>
                <w:rFonts w:hint="eastAsia" w:ascii="宋体" w:hAnsi="宋体" w:eastAsia="宋体" w:cs="宋体"/>
                <w:szCs w:val="21"/>
                <w:highlight w:val="none"/>
                <w:lang w:eastAsia="zh-CN"/>
              </w:rPr>
              <w:t>）</w:t>
            </w:r>
          </w:p>
        </w:tc>
        <w:tc>
          <w:tcPr>
            <w:tcW w:w="1078" w:type="dxa"/>
            <w:noWrap w:val="0"/>
            <w:vAlign w:val="center"/>
          </w:tcPr>
          <w:p w14:paraId="6B9049DE">
            <w:pPr>
              <w:pageBreakBefore w:val="0"/>
              <w:kinsoku/>
              <w:wordWrap/>
              <w:overflowPunct/>
              <w:topLinePunct w:val="0"/>
              <w:autoSpaceDE w:val="0"/>
              <w:autoSpaceDN w:val="0"/>
              <w:bidi w:val="0"/>
              <w:adjustRightInd/>
              <w:snapToGrid/>
              <w:spacing w:after="120"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是否专门面向中小企业</w:t>
            </w:r>
          </w:p>
        </w:tc>
        <w:tc>
          <w:tcPr>
            <w:tcW w:w="1740" w:type="dxa"/>
            <w:noWrap w:val="0"/>
            <w:vAlign w:val="center"/>
          </w:tcPr>
          <w:p w14:paraId="113FF0F9">
            <w:pPr>
              <w:pageBreakBefore w:val="0"/>
              <w:kinsoku/>
              <w:wordWrap/>
              <w:overflowPunct/>
              <w:topLinePunct w:val="0"/>
              <w:autoSpaceDE w:val="0"/>
              <w:autoSpaceDN w:val="0"/>
              <w:bidi w:val="0"/>
              <w:adjustRightInd/>
              <w:snapToGrid/>
              <w:spacing w:after="120" w:line="360" w:lineRule="auto"/>
              <w:jc w:val="center"/>
              <w:rPr>
                <w:rFonts w:hint="eastAsia" w:ascii="宋体" w:hAnsi="宋体" w:eastAsia="宋体" w:cs="宋体"/>
                <w:szCs w:val="21"/>
                <w:highlight w:val="none"/>
              </w:rPr>
            </w:pPr>
            <w:r>
              <w:rPr>
                <w:rFonts w:hint="eastAsia" w:ascii="宋体" w:hAnsi="宋体" w:eastAsia="宋体" w:cs="宋体"/>
                <w:szCs w:val="21"/>
                <w:highlight w:val="none"/>
                <w:lang w:eastAsia="zh-CN"/>
              </w:rPr>
              <w:t>采购预留金额（</w:t>
            </w:r>
            <w:r>
              <w:rPr>
                <w:rFonts w:hint="eastAsia" w:ascii="宋体" w:hAnsi="宋体" w:eastAsia="宋体" w:cs="宋体"/>
                <w:szCs w:val="21"/>
                <w:highlight w:val="none"/>
                <w:lang w:val="en-US" w:eastAsia="zh-CN"/>
              </w:rPr>
              <w:t>元</w:t>
            </w:r>
            <w:r>
              <w:rPr>
                <w:rFonts w:hint="eastAsia" w:ascii="宋体" w:hAnsi="宋体" w:eastAsia="宋体" w:cs="宋体"/>
                <w:szCs w:val="21"/>
                <w:highlight w:val="none"/>
                <w:lang w:eastAsia="zh-CN"/>
              </w:rPr>
              <w:t>）</w:t>
            </w:r>
          </w:p>
        </w:tc>
      </w:tr>
      <w:tr w14:paraId="53EF6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544" w:type="dxa"/>
            <w:noWrap w:val="0"/>
            <w:vAlign w:val="center"/>
          </w:tcPr>
          <w:p w14:paraId="73A12436">
            <w:pPr>
              <w:pageBreakBefore w:val="0"/>
              <w:kinsoku/>
              <w:wordWrap/>
              <w:overflowPunct/>
              <w:topLinePunct w:val="0"/>
              <w:autoSpaceDE w:val="0"/>
              <w:autoSpaceDN w:val="0"/>
              <w:bidi w:val="0"/>
              <w:adjustRightInd/>
              <w:snapToGrid/>
              <w:spacing w:after="120" w:line="360" w:lineRule="auto"/>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w:t>
            </w:r>
          </w:p>
        </w:tc>
        <w:tc>
          <w:tcPr>
            <w:tcW w:w="1460" w:type="dxa"/>
            <w:noWrap w:val="0"/>
            <w:vAlign w:val="center"/>
          </w:tcPr>
          <w:p w14:paraId="57D21053">
            <w:pPr>
              <w:pageBreakBefore w:val="0"/>
              <w:kinsoku/>
              <w:wordWrap/>
              <w:overflowPunct/>
              <w:topLinePunct w:val="0"/>
              <w:autoSpaceDE w:val="0"/>
              <w:autoSpaceDN w:val="0"/>
              <w:bidi w:val="0"/>
              <w:adjustRightInd/>
              <w:snapToGrid/>
              <w:spacing w:after="120" w:line="360" w:lineRule="auto"/>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荥财公开-2025-13-1</w:t>
            </w:r>
          </w:p>
        </w:tc>
        <w:tc>
          <w:tcPr>
            <w:tcW w:w="2546" w:type="dxa"/>
            <w:noWrap w:val="0"/>
            <w:vAlign w:val="center"/>
          </w:tcPr>
          <w:p w14:paraId="7C390441">
            <w:pPr>
              <w:pageBreakBefore w:val="0"/>
              <w:widowControl/>
              <w:kinsoku/>
              <w:wordWrap/>
              <w:overflowPunct/>
              <w:topLinePunct w:val="0"/>
              <w:bidi w:val="0"/>
              <w:adjustRightInd/>
              <w:snapToGrid/>
              <w:spacing w:line="360" w:lineRule="auto"/>
              <w:jc w:val="center"/>
              <w:textAlignment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荥阳市林业局城郊生态廊道养护项目一标段</w:t>
            </w:r>
          </w:p>
        </w:tc>
        <w:tc>
          <w:tcPr>
            <w:tcW w:w="1251" w:type="dxa"/>
            <w:noWrap w:val="0"/>
            <w:vAlign w:val="center"/>
          </w:tcPr>
          <w:p w14:paraId="0974092E">
            <w:pPr>
              <w:pageBreakBefore w:val="0"/>
              <w:widowControl/>
              <w:kinsoku/>
              <w:wordWrap/>
              <w:overflowPunct/>
              <w:topLinePunct w:val="0"/>
              <w:bidi w:val="0"/>
              <w:adjustRightInd/>
              <w:snapToGrid/>
              <w:spacing w:line="360" w:lineRule="auto"/>
              <w:jc w:val="center"/>
              <w:textAlignment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632000.00</w:t>
            </w:r>
          </w:p>
        </w:tc>
        <w:tc>
          <w:tcPr>
            <w:tcW w:w="1317" w:type="dxa"/>
            <w:noWrap w:val="0"/>
            <w:vAlign w:val="center"/>
          </w:tcPr>
          <w:p w14:paraId="2355FDA4">
            <w:pPr>
              <w:pageBreakBefore w:val="0"/>
              <w:widowControl/>
              <w:kinsoku/>
              <w:wordWrap/>
              <w:overflowPunct/>
              <w:topLinePunct w:val="0"/>
              <w:bidi w:val="0"/>
              <w:adjustRightInd/>
              <w:snapToGrid/>
              <w:spacing w:line="360" w:lineRule="auto"/>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632000.00</w:t>
            </w:r>
          </w:p>
        </w:tc>
        <w:tc>
          <w:tcPr>
            <w:tcW w:w="1078" w:type="dxa"/>
            <w:noWrap w:val="0"/>
            <w:vAlign w:val="center"/>
          </w:tcPr>
          <w:p w14:paraId="4F26C40E">
            <w:pPr>
              <w:pageBreakBefore w:val="0"/>
              <w:widowControl/>
              <w:kinsoku/>
              <w:wordWrap/>
              <w:overflowPunct/>
              <w:topLinePunct w:val="0"/>
              <w:bidi w:val="0"/>
              <w:adjustRightInd/>
              <w:snapToGrid/>
              <w:spacing w:line="360" w:lineRule="auto"/>
              <w:jc w:val="center"/>
              <w:textAlignment w:val="center"/>
              <w:rPr>
                <w:rFonts w:hint="default" w:ascii="宋体" w:hAnsi="宋体" w:cs="宋体"/>
                <w:szCs w:val="21"/>
                <w:highlight w:val="none"/>
                <w:lang w:val="en-US" w:eastAsia="zh-CN"/>
              </w:rPr>
            </w:pPr>
            <w:r>
              <w:rPr>
                <w:rFonts w:hint="eastAsia" w:ascii="宋体" w:hAnsi="宋体" w:cs="宋体"/>
                <w:szCs w:val="21"/>
                <w:highlight w:val="none"/>
                <w:lang w:val="en-US" w:eastAsia="zh-CN"/>
              </w:rPr>
              <w:t>是</w:t>
            </w:r>
          </w:p>
        </w:tc>
        <w:tc>
          <w:tcPr>
            <w:tcW w:w="1740" w:type="dxa"/>
            <w:noWrap w:val="0"/>
            <w:vAlign w:val="center"/>
          </w:tcPr>
          <w:p w14:paraId="3D06F815">
            <w:pPr>
              <w:pageBreakBefore w:val="0"/>
              <w:widowControl/>
              <w:kinsoku/>
              <w:wordWrap/>
              <w:overflowPunct/>
              <w:topLinePunct w:val="0"/>
              <w:bidi w:val="0"/>
              <w:adjustRightInd/>
              <w:snapToGrid/>
              <w:spacing w:line="360" w:lineRule="auto"/>
              <w:jc w:val="center"/>
              <w:textAlignment w:val="center"/>
              <w:rPr>
                <w:rFonts w:hint="eastAsia" w:ascii="宋体" w:hAnsi="宋体" w:eastAsia="宋体" w:cs="宋体"/>
                <w:szCs w:val="21"/>
                <w:highlight w:val="none"/>
                <w:lang w:val="en-US"/>
              </w:rPr>
            </w:pPr>
            <w:r>
              <w:rPr>
                <w:rFonts w:hint="eastAsia" w:ascii="宋体" w:hAnsi="宋体" w:eastAsia="宋体" w:cs="宋体"/>
                <w:szCs w:val="21"/>
                <w:highlight w:val="none"/>
                <w:lang w:val="en-US" w:eastAsia="zh-CN"/>
              </w:rPr>
              <w:t>632000.00</w:t>
            </w:r>
            <w:r>
              <w:rPr>
                <w:rFonts w:hint="eastAsia" w:ascii="宋体" w:hAnsi="宋体" w:eastAsia="宋体" w:cs="宋体"/>
                <w:szCs w:val="21"/>
                <w:highlight w:val="none"/>
                <w:lang w:val="en-US"/>
              </w:rPr>
              <w:t>，其中小微企业采购金额：</w:t>
            </w:r>
            <w:r>
              <w:rPr>
                <w:rFonts w:hint="eastAsia" w:ascii="宋体" w:hAnsi="宋体" w:eastAsia="宋体" w:cs="宋体"/>
                <w:szCs w:val="21"/>
                <w:highlight w:val="none"/>
                <w:lang w:val="en-US" w:eastAsia="zh-CN"/>
              </w:rPr>
              <w:t>632000.00</w:t>
            </w:r>
          </w:p>
        </w:tc>
      </w:tr>
      <w:tr w14:paraId="405CB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544" w:type="dxa"/>
            <w:noWrap w:val="0"/>
            <w:vAlign w:val="center"/>
          </w:tcPr>
          <w:p w14:paraId="7495E905">
            <w:pPr>
              <w:pageBreakBefore w:val="0"/>
              <w:kinsoku/>
              <w:wordWrap/>
              <w:overflowPunct/>
              <w:topLinePunct w:val="0"/>
              <w:autoSpaceDE w:val="0"/>
              <w:autoSpaceDN w:val="0"/>
              <w:bidi w:val="0"/>
              <w:adjustRightInd/>
              <w:snapToGrid/>
              <w:spacing w:after="120"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2</w:t>
            </w:r>
          </w:p>
        </w:tc>
        <w:tc>
          <w:tcPr>
            <w:tcW w:w="1460" w:type="dxa"/>
            <w:noWrap w:val="0"/>
            <w:vAlign w:val="center"/>
          </w:tcPr>
          <w:p w14:paraId="5DE112DB">
            <w:pPr>
              <w:pageBreakBefore w:val="0"/>
              <w:kinsoku/>
              <w:wordWrap/>
              <w:overflowPunct/>
              <w:topLinePunct w:val="0"/>
              <w:autoSpaceDE w:val="0"/>
              <w:autoSpaceDN w:val="0"/>
              <w:bidi w:val="0"/>
              <w:adjustRightInd/>
              <w:snapToGrid/>
              <w:spacing w:after="120" w:line="360" w:lineRule="auto"/>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荥财公开-2025-13-2</w:t>
            </w:r>
          </w:p>
        </w:tc>
        <w:tc>
          <w:tcPr>
            <w:tcW w:w="2546" w:type="dxa"/>
            <w:noWrap w:val="0"/>
            <w:vAlign w:val="center"/>
          </w:tcPr>
          <w:p w14:paraId="16BDE924">
            <w:pPr>
              <w:pageBreakBefore w:val="0"/>
              <w:widowControl/>
              <w:kinsoku/>
              <w:wordWrap/>
              <w:overflowPunct/>
              <w:topLinePunct w:val="0"/>
              <w:bidi w:val="0"/>
              <w:adjustRightInd/>
              <w:snapToGrid/>
              <w:spacing w:line="360" w:lineRule="auto"/>
              <w:jc w:val="center"/>
              <w:textAlignment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荥阳市林业局城郊生态廊道养护项目二标段</w:t>
            </w:r>
          </w:p>
        </w:tc>
        <w:tc>
          <w:tcPr>
            <w:tcW w:w="1251" w:type="dxa"/>
            <w:noWrap w:val="0"/>
            <w:vAlign w:val="center"/>
          </w:tcPr>
          <w:p w14:paraId="3FB80ABC">
            <w:pPr>
              <w:pageBreakBefore w:val="0"/>
              <w:widowControl/>
              <w:kinsoku/>
              <w:wordWrap/>
              <w:overflowPunct/>
              <w:topLinePunct w:val="0"/>
              <w:bidi w:val="0"/>
              <w:adjustRightInd/>
              <w:snapToGrid/>
              <w:spacing w:line="360" w:lineRule="auto"/>
              <w:jc w:val="center"/>
              <w:textAlignment w:val="center"/>
              <w:rPr>
                <w:rFonts w:hint="default" w:ascii="宋体" w:hAnsi="宋体" w:eastAsia="宋体" w:cs="宋体"/>
                <w:szCs w:val="21"/>
                <w:highlight w:val="none"/>
                <w:lang w:val="en-US" w:eastAsia="zh-CN"/>
              </w:rPr>
            </w:pPr>
            <w:r>
              <w:rPr>
                <w:rFonts w:hint="default" w:ascii="宋体" w:hAnsi="宋体" w:eastAsia="宋体" w:cs="宋体"/>
                <w:szCs w:val="21"/>
                <w:highlight w:val="none"/>
                <w:lang w:val="en-US" w:eastAsia="zh-CN"/>
              </w:rPr>
              <w:t>6240</w:t>
            </w:r>
            <w:r>
              <w:rPr>
                <w:rFonts w:hint="eastAsia" w:ascii="宋体" w:hAnsi="宋体" w:cs="宋体"/>
                <w:szCs w:val="21"/>
                <w:highlight w:val="none"/>
                <w:lang w:val="en-US" w:eastAsia="zh-CN"/>
              </w:rPr>
              <w:t>00.00</w:t>
            </w:r>
          </w:p>
        </w:tc>
        <w:tc>
          <w:tcPr>
            <w:tcW w:w="1317" w:type="dxa"/>
            <w:noWrap w:val="0"/>
            <w:vAlign w:val="center"/>
          </w:tcPr>
          <w:p w14:paraId="6092B9EF">
            <w:pPr>
              <w:pageBreakBefore w:val="0"/>
              <w:widowControl/>
              <w:kinsoku/>
              <w:wordWrap/>
              <w:overflowPunct/>
              <w:topLinePunct w:val="0"/>
              <w:bidi w:val="0"/>
              <w:adjustRightInd/>
              <w:snapToGrid/>
              <w:spacing w:line="360" w:lineRule="auto"/>
              <w:jc w:val="center"/>
              <w:textAlignment w:val="center"/>
              <w:rPr>
                <w:rFonts w:hint="eastAsia" w:ascii="宋体" w:hAnsi="宋体" w:eastAsia="宋体" w:cs="宋体"/>
                <w:kern w:val="2"/>
                <w:sz w:val="21"/>
                <w:szCs w:val="21"/>
                <w:highlight w:val="none"/>
                <w:lang w:val="en-US" w:eastAsia="zh-CN" w:bidi="ar-SA"/>
              </w:rPr>
            </w:pPr>
            <w:r>
              <w:rPr>
                <w:rFonts w:hint="default" w:ascii="宋体" w:hAnsi="宋体" w:eastAsia="宋体" w:cs="宋体"/>
                <w:szCs w:val="21"/>
                <w:highlight w:val="none"/>
                <w:lang w:val="en-US" w:eastAsia="zh-CN"/>
              </w:rPr>
              <w:t>6240</w:t>
            </w:r>
            <w:r>
              <w:rPr>
                <w:rFonts w:hint="eastAsia" w:ascii="宋体" w:hAnsi="宋体" w:cs="宋体"/>
                <w:szCs w:val="21"/>
                <w:highlight w:val="none"/>
                <w:lang w:val="en-US" w:eastAsia="zh-CN"/>
              </w:rPr>
              <w:t>00.00</w:t>
            </w:r>
          </w:p>
        </w:tc>
        <w:tc>
          <w:tcPr>
            <w:tcW w:w="1078" w:type="dxa"/>
            <w:noWrap w:val="0"/>
            <w:vAlign w:val="center"/>
          </w:tcPr>
          <w:p w14:paraId="15931686">
            <w:pPr>
              <w:pageBreakBefore w:val="0"/>
              <w:widowControl/>
              <w:kinsoku/>
              <w:wordWrap/>
              <w:overflowPunct/>
              <w:topLinePunct w:val="0"/>
              <w:bidi w:val="0"/>
              <w:adjustRightInd/>
              <w:snapToGrid/>
              <w:spacing w:line="360" w:lineRule="auto"/>
              <w:jc w:val="center"/>
              <w:textAlignment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是</w:t>
            </w:r>
          </w:p>
        </w:tc>
        <w:tc>
          <w:tcPr>
            <w:tcW w:w="1740" w:type="dxa"/>
            <w:noWrap w:val="0"/>
            <w:vAlign w:val="center"/>
          </w:tcPr>
          <w:p w14:paraId="70CE8682">
            <w:pPr>
              <w:pageBreakBefore w:val="0"/>
              <w:widowControl/>
              <w:kinsoku/>
              <w:wordWrap/>
              <w:overflowPunct/>
              <w:topLinePunct w:val="0"/>
              <w:bidi w:val="0"/>
              <w:adjustRightInd/>
              <w:snapToGrid/>
              <w:spacing w:line="360" w:lineRule="auto"/>
              <w:jc w:val="center"/>
              <w:textAlignment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624000.00，其中小微企业采购金额：624000.00</w:t>
            </w:r>
          </w:p>
        </w:tc>
      </w:tr>
      <w:tr w14:paraId="3BBB5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544" w:type="dxa"/>
            <w:noWrap w:val="0"/>
            <w:vAlign w:val="center"/>
          </w:tcPr>
          <w:p w14:paraId="5913348D">
            <w:pPr>
              <w:pageBreakBefore w:val="0"/>
              <w:kinsoku/>
              <w:wordWrap/>
              <w:overflowPunct/>
              <w:topLinePunct w:val="0"/>
              <w:autoSpaceDE w:val="0"/>
              <w:autoSpaceDN w:val="0"/>
              <w:bidi w:val="0"/>
              <w:adjustRightInd/>
              <w:snapToGrid/>
              <w:spacing w:after="120"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3</w:t>
            </w:r>
          </w:p>
        </w:tc>
        <w:tc>
          <w:tcPr>
            <w:tcW w:w="1460" w:type="dxa"/>
            <w:noWrap w:val="0"/>
            <w:vAlign w:val="center"/>
          </w:tcPr>
          <w:p w14:paraId="1FD3637C">
            <w:pPr>
              <w:pageBreakBefore w:val="0"/>
              <w:kinsoku/>
              <w:wordWrap/>
              <w:overflowPunct/>
              <w:topLinePunct w:val="0"/>
              <w:autoSpaceDE w:val="0"/>
              <w:autoSpaceDN w:val="0"/>
              <w:bidi w:val="0"/>
              <w:adjustRightInd/>
              <w:snapToGrid/>
              <w:spacing w:after="120" w:line="360" w:lineRule="auto"/>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荥财公开-2025-13-3</w:t>
            </w:r>
          </w:p>
        </w:tc>
        <w:tc>
          <w:tcPr>
            <w:tcW w:w="2546" w:type="dxa"/>
            <w:noWrap w:val="0"/>
            <w:vAlign w:val="center"/>
          </w:tcPr>
          <w:p w14:paraId="3E71CBC4">
            <w:pPr>
              <w:pageBreakBefore w:val="0"/>
              <w:widowControl/>
              <w:kinsoku/>
              <w:wordWrap/>
              <w:overflowPunct/>
              <w:topLinePunct w:val="0"/>
              <w:bidi w:val="0"/>
              <w:adjustRightInd/>
              <w:snapToGrid/>
              <w:spacing w:line="360" w:lineRule="auto"/>
              <w:jc w:val="center"/>
              <w:textAlignment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荥阳市林业局城郊生态廊道养护项目三标段</w:t>
            </w:r>
          </w:p>
        </w:tc>
        <w:tc>
          <w:tcPr>
            <w:tcW w:w="1251" w:type="dxa"/>
            <w:noWrap w:val="0"/>
            <w:vAlign w:val="center"/>
          </w:tcPr>
          <w:p w14:paraId="26DA99F7">
            <w:pPr>
              <w:pageBreakBefore w:val="0"/>
              <w:widowControl/>
              <w:kinsoku/>
              <w:wordWrap/>
              <w:overflowPunct/>
              <w:topLinePunct w:val="0"/>
              <w:bidi w:val="0"/>
              <w:adjustRightInd/>
              <w:snapToGrid/>
              <w:spacing w:line="360" w:lineRule="auto"/>
              <w:jc w:val="center"/>
              <w:textAlignment w:val="center"/>
              <w:rPr>
                <w:rFonts w:hint="default" w:ascii="宋体" w:hAnsi="宋体" w:eastAsia="宋体" w:cs="宋体"/>
                <w:szCs w:val="21"/>
                <w:highlight w:val="none"/>
                <w:lang w:val="en-US" w:eastAsia="zh-CN"/>
              </w:rPr>
            </w:pPr>
            <w:r>
              <w:rPr>
                <w:rFonts w:hint="default" w:ascii="宋体" w:hAnsi="宋体" w:eastAsia="宋体" w:cs="宋体"/>
                <w:szCs w:val="21"/>
                <w:highlight w:val="none"/>
                <w:lang w:val="en-US" w:eastAsia="zh-CN"/>
              </w:rPr>
              <w:t>624000.00</w:t>
            </w:r>
          </w:p>
        </w:tc>
        <w:tc>
          <w:tcPr>
            <w:tcW w:w="1317" w:type="dxa"/>
            <w:noWrap w:val="0"/>
            <w:vAlign w:val="center"/>
          </w:tcPr>
          <w:p w14:paraId="4D67A913">
            <w:pPr>
              <w:pageBreakBefore w:val="0"/>
              <w:widowControl/>
              <w:kinsoku/>
              <w:wordWrap/>
              <w:overflowPunct/>
              <w:topLinePunct w:val="0"/>
              <w:bidi w:val="0"/>
              <w:adjustRightInd/>
              <w:snapToGrid/>
              <w:spacing w:line="360" w:lineRule="auto"/>
              <w:jc w:val="center"/>
              <w:textAlignment w:val="center"/>
              <w:rPr>
                <w:rFonts w:hint="eastAsia" w:ascii="宋体" w:hAnsi="宋体" w:eastAsia="宋体" w:cs="宋体"/>
                <w:kern w:val="2"/>
                <w:sz w:val="21"/>
                <w:szCs w:val="21"/>
                <w:highlight w:val="none"/>
                <w:lang w:val="en-US" w:eastAsia="zh-CN" w:bidi="ar-SA"/>
              </w:rPr>
            </w:pPr>
            <w:r>
              <w:rPr>
                <w:rFonts w:hint="default" w:ascii="宋体" w:hAnsi="宋体" w:eastAsia="宋体" w:cs="宋体"/>
                <w:szCs w:val="21"/>
                <w:highlight w:val="none"/>
                <w:lang w:val="en-US" w:eastAsia="zh-CN"/>
              </w:rPr>
              <w:t>624000.00</w:t>
            </w:r>
          </w:p>
        </w:tc>
        <w:tc>
          <w:tcPr>
            <w:tcW w:w="1078" w:type="dxa"/>
            <w:noWrap w:val="0"/>
            <w:vAlign w:val="center"/>
          </w:tcPr>
          <w:p w14:paraId="4A4FF4D2">
            <w:pPr>
              <w:pageBreakBefore w:val="0"/>
              <w:widowControl/>
              <w:kinsoku/>
              <w:wordWrap/>
              <w:overflowPunct/>
              <w:topLinePunct w:val="0"/>
              <w:bidi w:val="0"/>
              <w:adjustRightInd/>
              <w:snapToGrid/>
              <w:spacing w:line="360" w:lineRule="auto"/>
              <w:jc w:val="center"/>
              <w:textAlignment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是</w:t>
            </w:r>
          </w:p>
        </w:tc>
        <w:tc>
          <w:tcPr>
            <w:tcW w:w="1740" w:type="dxa"/>
            <w:noWrap w:val="0"/>
            <w:vAlign w:val="center"/>
          </w:tcPr>
          <w:p w14:paraId="1E604D1C">
            <w:pPr>
              <w:pageBreakBefore w:val="0"/>
              <w:widowControl/>
              <w:kinsoku/>
              <w:wordWrap/>
              <w:overflowPunct/>
              <w:topLinePunct w:val="0"/>
              <w:bidi w:val="0"/>
              <w:adjustRightInd/>
              <w:snapToGrid/>
              <w:spacing w:line="360" w:lineRule="auto"/>
              <w:jc w:val="center"/>
              <w:textAlignment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624000.00，其中小微企业采购金额：624000.00</w:t>
            </w:r>
          </w:p>
        </w:tc>
      </w:tr>
      <w:tr w14:paraId="700F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jc w:val="center"/>
        </w:trPr>
        <w:tc>
          <w:tcPr>
            <w:tcW w:w="544" w:type="dxa"/>
            <w:noWrap w:val="0"/>
            <w:vAlign w:val="center"/>
          </w:tcPr>
          <w:p w14:paraId="05027274">
            <w:pPr>
              <w:pageBreakBefore w:val="0"/>
              <w:kinsoku/>
              <w:wordWrap/>
              <w:overflowPunct/>
              <w:topLinePunct w:val="0"/>
              <w:autoSpaceDE w:val="0"/>
              <w:autoSpaceDN w:val="0"/>
              <w:bidi w:val="0"/>
              <w:adjustRightInd/>
              <w:snapToGrid/>
              <w:spacing w:after="120"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4</w:t>
            </w:r>
          </w:p>
        </w:tc>
        <w:tc>
          <w:tcPr>
            <w:tcW w:w="1460" w:type="dxa"/>
            <w:noWrap w:val="0"/>
            <w:vAlign w:val="center"/>
          </w:tcPr>
          <w:p w14:paraId="4E769D1A">
            <w:pPr>
              <w:pageBreakBefore w:val="0"/>
              <w:kinsoku/>
              <w:wordWrap/>
              <w:overflowPunct/>
              <w:topLinePunct w:val="0"/>
              <w:autoSpaceDE w:val="0"/>
              <w:autoSpaceDN w:val="0"/>
              <w:bidi w:val="0"/>
              <w:adjustRightInd/>
              <w:snapToGrid/>
              <w:spacing w:after="120" w:line="360" w:lineRule="auto"/>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荥财公开-2025-13-4</w:t>
            </w:r>
          </w:p>
        </w:tc>
        <w:tc>
          <w:tcPr>
            <w:tcW w:w="2546" w:type="dxa"/>
            <w:noWrap w:val="0"/>
            <w:vAlign w:val="center"/>
          </w:tcPr>
          <w:p w14:paraId="1E3713D6">
            <w:pPr>
              <w:pageBreakBefore w:val="0"/>
              <w:widowControl/>
              <w:kinsoku/>
              <w:wordWrap/>
              <w:overflowPunct/>
              <w:topLinePunct w:val="0"/>
              <w:bidi w:val="0"/>
              <w:adjustRightInd/>
              <w:snapToGrid/>
              <w:spacing w:line="360" w:lineRule="auto"/>
              <w:jc w:val="center"/>
              <w:textAlignment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荥阳市林业局城郊生态廊道养护项目四标段</w:t>
            </w:r>
          </w:p>
        </w:tc>
        <w:tc>
          <w:tcPr>
            <w:tcW w:w="1251" w:type="dxa"/>
            <w:noWrap w:val="0"/>
            <w:vAlign w:val="center"/>
          </w:tcPr>
          <w:p w14:paraId="65498EFC">
            <w:pPr>
              <w:pageBreakBefore w:val="0"/>
              <w:widowControl/>
              <w:kinsoku/>
              <w:wordWrap/>
              <w:overflowPunct/>
              <w:topLinePunct w:val="0"/>
              <w:bidi w:val="0"/>
              <w:adjustRightInd/>
              <w:snapToGrid/>
              <w:spacing w:line="360" w:lineRule="auto"/>
              <w:jc w:val="center"/>
              <w:textAlignment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288000.00</w:t>
            </w:r>
          </w:p>
        </w:tc>
        <w:tc>
          <w:tcPr>
            <w:tcW w:w="1317" w:type="dxa"/>
            <w:noWrap w:val="0"/>
            <w:vAlign w:val="center"/>
          </w:tcPr>
          <w:p w14:paraId="6C2AF742">
            <w:pPr>
              <w:pageBreakBefore w:val="0"/>
              <w:widowControl/>
              <w:kinsoku/>
              <w:wordWrap/>
              <w:overflowPunct/>
              <w:topLinePunct w:val="0"/>
              <w:bidi w:val="0"/>
              <w:adjustRightInd/>
              <w:snapToGrid/>
              <w:spacing w:line="360" w:lineRule="auto"/>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288000.00</w:t>
            </w:r>
          </w:p>
        </w:tc>
        <w:tc>
          <w:tcPr>
            <w:tcW w:w="1078" w:type="dxa"/>
            <w:noWrap w:val="0"/>
            <w:vAlign w:val="center"/>
          </w:tcPr>
          <w:p w14:paraId="21AF9FBA">
            <w:pPr>
              <w:pageBreakBefore w:val="0"/>
              <w:widowControl/>
              <w:kinsoku/>
              <w:wordWrap/>
              <w:overflowPunct/>
              <w:topLinePunct w:val="0"/>
              <w:bidi w:val="0"/>
              <w:adjustRightInd/>
              <w:snapToGrid/>
              <w:spacing w:line="360" w:lineRule="auto"/>
              <w:jc w:val="center"/>
              <w:textAlignment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是</w:t>
            </w:r>
          </w:p>
        </w:tc>
        <w:tc>
          <w:tcPr>
            <w:tcW w:w="1740" w:type="dxa"/>
            <w:noWrap w:val="0"/>
            <w:vAlign w:val="center"/>
          </w:tcPr>
          <w:p w14:paraId="42619C5A">
            <w:pPr>
              <w:pageBreakBefore w:val="0"/>
              <w:widowControl/>
              <w:kinsoku/>
              <w:wordWrap/>
              <w:overflowPunct/>
              <w:topLinePunct w:val="0"/>
              <w:bidi w:val="0"/>
              <w:adjustRightInd/>
              <w:snapToGrid/>
              <w:spacing w:line="360" w:lineRule="auto"/>
              <w:jc w:val="center"/>
              <w:textAlignment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288000.00，其中小微企业采购金额：288000.00</w:t>
            </w:r>
          </w:p>
        </w:tc>
      </w:tr>
      <w:tr w14:paraId="05FA3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jc w:val="center"/>
        </w:trPr>
        <w:tc>
          <w:tcPr>
            <w:tcW w:w="544" w:type="dxa"/>
            <w:noWrap w:val="0"/>
            <w:vAlign w:val="center"/>
          </w:tcPr>
          <w:p w14:paraId="09CB3085">
            <w:pPr>
              <w:pageBreakBefore w:val="0"/>
              <w:kinsoku/>
              <w:wordWrap/>
              <w:overflowPunct/>
              <w:topLinePunct w:val="0"/>
              <w:autoSpaceDE w:val="0"/>
              <w:autoSpaceDN w:val="0"/>
              <w:bidi w:val="0"/>
              <w:adjustRightInd/>
              <w:snapToGrid/>
              <w:spacing w:after="120" w:line="360" w:lineRule="auto"/>
              <w:jc w:val="center"/>
              <w:rPr>
                <w:rFonts w:hint="default" w:ascii="宋体" w:hAnsi="宋体" w:cs="宋体"/>
                <w:szCs w:val="21"/>
                <w:highlight w:val="none"/>
                <w:lang w:val="en-US" w:eastAsia="zh-CN"/>
              </w:rPr>
            </w:pPr>
            <w:r>
              <w:rPr>
                <w:rFonts w:hint="eastAsia" w:ascii="宋体" w:hAnsi="宋体" w:cs="宋体"/>
                <w:szCs w:val="21"/>
                <w:highlight w:val="none"/>
                <w:lang w:val="en-US" w:eastAsia="zh-CN"/>
              </w:rPr>
              <w:t>5</w:t>
            </w:r>
          </w:p>
        </w:tc>
        <w:tc>
          <w:tcPr>
            <w:tcW w:w="1460" w:type="dxa"/>
            <w:noWrap w:val="0"/>
            <w:vAlign w:val="center"/>
          </w:tcPr>
          <w:p w14:paraId="7B1D39B0">
            <w:pPr>
              <w:pageBreakBefore w:val="0"/>
              <w:kinsoku/>
              <w:wordWrap/>
              <w:overflowPunct/>
              <w:topLinePunct w:val="0"/>
              <w:autoSpaceDE w:val="0"/>
              <w:autoSpaceDN w:val="0"/>
              <w:bidi w:val="0"/>
              <w:adjustRightInd/>
              <w:snapToGrid/>
              <w:spacing w:after="120"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荥财公开-2025-13-5</w:t>
            </w:r>
          </w:p>
        </w:tc>
        <w:tc>
          <w:tcPr>
            <w:tcW w:w="2546" w:type="dxa"/>
            <w:noWrap w:val="0"/>
            <w:vAlign w:val="center"/>
          </w:tcPr>
          <w:p w14:paraId="778FA523">
            <w:pPr>
              <w:pageBreakBefore w:val="0"/>
              <w:widowControl/>
              <w:kinsoku/>
              <w:wordWrap/>
              <w:overflowPunct/>
              <w:topLinePunct w:val="0"/>
              <w:bidi w:val="0"/>
              <w:adjustRightInd/>
              <w:snapToGrid/>
              <w:spacing w:line="360" w:lineRule="auto"/>
              <w:jc w:val="center"/>
              <w:textAlignment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荥阳市林业局城郊生态廊道养护项目五标段</w:t>
            </w:r>
          </w:p>
        </w:tc>
        <w:tc>
          <w:tcPr>
            <w:tcW w:w="1251" w:type="dxa"/>
            <w:noWrap w:val="0"/>
            <w:vAlign w:val="center"/>
          </w:tcPr>
          <w:p w14:paraId="498E2692">
            <w:pPr>
              <w:pageBreakBefore w:val="0"/>
              <w:widowControl/>
              <w:kinsoku/>
              <w:wordWrap/>
              <w:overflowPunct/>
              <w:topLinePunct w:val="0"/>
              <w:bidi w:val="0"/>
              <w:adjustRightInd/>
              <w:snapToGrid/>
              <w:spacing w:line="360" w:lineRule="auto"/>
              <w:jc w:val="center"/>
              <w:textAlignment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891000.00</w:t>
            </w:r>
          </w:p>
        </w:tc>
        <w:tc>
          <w:tcPr>
            <w:tcW w:w="1317" w:type="dxa"/>
            <w:noWrap w:val="0"/>
            <w:vAlign w:val="center"/>
          </w:tcPr>
          <w:p w14:paraId="004DAB73">
            <w:pPr>
              <w:pageBreakBefore w:val="0"/>
              <w:widowControl/>
              <w:kinsoku/>
              <w:wordWrap/>
              <w:overflowPunct/>
              <w:topLinePunct w:val="0"/>
              <w:bidi w:val="0"/>
              <w:adjustRightInd/>
              <w:snapToGrid/>
              <w:spacing w:line="360" w:lineRule="auto"/>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891000.00</w:t>
            </w:r>
          </w:p>
        </w:tc>
        <w:tc>
          <w:tcPr>
            <w:tcW w:w="1078" w:type="dxa"/>
            <w:noWrap w:val="0"/>
            <w:vAlign w:val="center"/>
          </w:tcPr>
          <w:p w14:paraId="03620B44">
            <w:pPr>
              <w:pageBreakBefore w:val="0"/>
              <w:widowControl/>
              <w:kinsoku/>
              <w:wordWrap/>
              <w:overflowPunct/>
              <w:topLinePunct w:val="0"/>
              <w:bidi w:val="0"/>
              <w:adjustRightInd/>
              <w:snapToGrid/>
              <w:spacing w:line="360" w:lineRule="auto"/>
              <w:jc w:val="center"/>
              <w:textAlignment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是</w:t>
            </w:r>
          </w:p>
        </w:tc>
        <w:tc>
          <w:tcPr>
            <w:tcW w:w="1740" w:type="dxa"/>
            <w:noWrap w:val="0"/>
            <w:vAlign w:val="center"/>
          </w:tcPr>
          <w:p w14:paraId="1E303C15">
            <w:pPr>
              <w:pageBreakBefore w:val="0"/>
              <w:widowControl/>
              <w:kinsoku/>
              <w:wordWrap/>
              <w:overflowPunct/>
              <w:topLinePunct w:val="0"/>
              <w:bidi w:val="0"/>
              <w:adjustRightInd/>
              <w:snapToGrid/>
              <w:spacing w:line="360" w:lineRule="auto"/>
              <w:jc w:val="center"/>
              <w:textAlignment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rPr>
              <w:t>891000.00，其中小微企业采购金额：891000.00</w:t>
            </w:r>
          </w:p>
        </w:tc>
      </w:tr>
      <w:tr w14:paraId="03D87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jc w:val="center"/>
        </w:trPr>
        <w:tc>
          <w:tcPr>
            <w:tcW w:w="544" w:type="dxa"/>
            <w:noWrap w:val="0"/>
            <w:vAlign w:val="center"/>
          </w:tcPr>
          <w:p w14:paraId="0D29424E">
            <w:pPr>
              <w:pageBreakBefore w:val="0"/>
              <w:kinsoku/>
              <w:wordWrap/>
              <w:overflowPunct/>
              <w:topLinePunct w:val="0"/>
              <w:autoSpaceDE w:val="0"/>
              <w:autoSpaceDN w:val="0"/>
              <w:bidi w:val="0"/>
              <w:adjustRightInd/>
              <w:snapToGrid/>
              <w:spacing w:after="120" w:line="360" w:lineRule="auto"/>
              <w:jc w:val="center"/>
              <w:rPr>
                <w:rFonts w:hint="default" w:ascii="宋体" w:hAnsi="宋体" w:cs="宋体"/>
                <w:szCs w:val="21"/>
                <w:highlight w:val="none"/>
                <w:lang w:val="en-US" w:eastAsia="zh-CN"/>
              </w:rPr>
            </w:pPr>
            <w:r>
              <w:rPr>
                <w:rFonts w:hint="eastAsia" w:ascii="宋体" w:hAnsi="宋体" w:cs="宋体"/>
                <w:szCs w:val="21"/>
                <w:highlight w:val="none"/>
                <w:lang w:val="en-US" w:eastAsia="zh-CN"/>
              </w:rPr>
              <w:t>6</w:t>
            </w:r>
          </w:p>
        </w:tc>
        <w:tc>
          <w:tcPr>
            <w:tcW w:w="1460" w:type="dxa"/>
            <w:noWrap w:val="0"/>
            <w:vAlign w:val="center"/>
          </w:tcPr>
          <w:p w14:paraId="39EF89EC">
            <w:pPr>
              <w:pageBreakBefore w:val="0"/>
              <w:kinsoku/>
              <w:wordWrap/>
              <w:overflowPunct/>
              <w:topLinePunct w:val="0"/>
              <w:autoSpaceDE w:val="0"/>
              <w:autoSpaceDN w:val="0"/>
              <w:bidi w:val="0"/>
              <w:adjustRightInd/>
              <w:snapToGrid/>
              <w:spacing w:after="120"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荥财公开-2025-13-6</w:t>
            </w:r>
          </w:p>
        </w:tc>
        <w:tc>
          <w:tcPr>
            <w:tcW w:w="2546" w:type="dxa"/>
            <w:noWrap w:val="0"/>
            <w:vAlign w:val="center"/>
          </w:tcPr>
          <w:p w14:paraId="3296468E">
            <w:pPr>
              <w:pageBreakBefore w:val="0"/>
              <w:widowControl/>
              <w:kinsoku/>
              <w:wordWrap/>
              <w:overflowPunct/>
              <w:topLinePunct w:val="0"/>
              <w:bidi w:val="0"/>
              <w:adjustRightInd/>
              <w:snapToGrid/>
              <w:spacing w:line="360" w:lineRule="auto"/>
              <w:jc w:val="center"/>
              <w:textAlignment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荥阳市林业局城郊生态廊道养护项目六标段</w:t>
            </w:r>
          </w:p>
        </w:tc>
        <w:tc>
          <w:tcPr>
            <w:tcW w:w="1251" w:type="dxa"/>
            <w:noWrap w:val="0"/>
            <w:vAlign w:val="center"/>
          </w:tcPr>
          <w:p w14:paraId="144DBCF0">
            <w:pPr>
              <w:pageBreakBefore w:val="0"/>
              <w:widowControl/>
              <w:kinsoku/>
              <w:wordWrap/>
              <w:overflowPunct/>
              <w:topLinePunct w:val="0"/>
              <w:bidi w:val="0"/>
              <w:adjustRightInd/>
              <w:snapToGrid/>
              <w:spacing w:line="360" w:lineRule="auto"/>
              <w:jc w:val="center"/>
              <w:textAlignment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900000.00</w:t>
            </w:r>
          </w:p>
        </w:tc>
        <w:tc>
          <w:tcPr>
            <w:tcW w:w="1317" w:type="dxa"/>
            <w:noWrap w:val="0"/>
            <w:vAlign w:val="center"/>
          </w:tcPr>
          <w:p w14:paraId="20B73C55">
            <w:pPr>
              <w:pageBreakBefore w:val="0"/>
              <w:widowControl/>
              <w:kinsoku/>
              <w:wordWrap/>
              <w:overflowPunct/>
              <w:topLinePunct w:val="0"/>
              <w:bidi w:val="0"/>
              <w:adjustRightInd/>
              <w:snapToGrid/>
              <w:spacing w:line="360" w:lineRule="auto"/>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900000.00</w:t>
            </w:r>
          </w:p>
        </w:tc>
        <w:tc>
          <w:tcPr>
            <w:tcW w:w="1078" w:type="dxa"/>
            <w:noWrap w:val="0"/>
            <w:vAlign w:val="center"/>
          </w:tcPr>
          <w:p w14:paraId="033A7D63">
            <w:pPr>
              <w:pageBreakBefore w:val="0"/>
              <w:widowControl/>
              <w:kinsoku/>
              <w:wordWrap/>
              <w:overflowPunct/>
              <w:topLinePunct w:val="0"/>
              <w:bidi w:val="0"/>
              <w:adjustRightInd/>
              <w:snapToGrid/>
              <w:spacing w:line="360" w:lineRule="auto"/>
              <w:jc w:val="center"/>
              <w:textAlignment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是</w:t>
            </w:r>
          </w:p>
        </w:tc>
        <w:tc>
          <w:tcPr>
            <w:tcW w:w="1740" w:type="dxa"/>
            <w:noWrap w:val="0"/>
            <w:vAlign w:val="center"/>
          </w:tcPr>
          <w:p w14:paraId="457029D1">
            <w:pPr>
              <w:pageBreakBefore w:val="0"/>
              <w:widowControl/>
              <w:kinsoku/>
              <w:wordWrap/>
              <w:overflowPunct/>
              <w:topLinePunct w:val="0"/>
              <w:bidi w:val="0"/>
              <w:adjustRightInd/>
              <w:snapToGrid/>
              <w:spacing w:line="360" w:lineRule="auto"/>
              <w:jc w:val="center"/>
              <w:textAlignment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900000.00，其中小微企业采购金额：900000.00</w:t>
            </w:r>
          </w:p>
        </w:tc>
      </w:tr>
      <w:tr w14:paraId="029F2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jc w:val="center"/>
        </w:trPr>
        <w:tc>
          <w:tcPr>
            <w:tcW w:w="544" w:type="dxa"/>
            <w:noWrap w:val="0"/>
            <w:vAlign w:val="center"/>
          </w:tcPr>
          <w:p w14:paraId="4A2BA10B">
            <w:pPr>
              <w:pageBreakBefore w:val="0"/>
              <w:kinsoku/>
              <w:wordWrap/>
              <w:overflowPunct/>
              <w:topLinePunct w:val="0"/>
              <w:autoSpaceDE w:val="0"/>
              <w:autoSpaceDN w:val="0"/>
              <w:bidi w:val="0"/>
              <w:adjustRightInd/>
              <w:snapToGrid/>
              <w:spacing w:after="120" w:line="360" w:lineRule="auto"/>
              <w:jc w:val="center"/>
              <w:rPr>
                <w:rFonts w:hint="default" w:ascii="宋体" w:hAnsi="宋体" w:cs="宋体"/>
                <w:szCs w:val="21"/>
                <w:highlight w:val="none"/>
                <w:lang w:val="en-US" w:eastAsia="zh-CN"/>
              </w:rPr>
            </w:pPr>
            <w:r>
              <w:rPr>
                <w:rFonts w:hint="eastAsia" w:ascii="宋体" w:hAnsi="宋体" w:cs="宋体"/>
                <w:szCs w:val="21"/>
                <w:highlight w:val="none"/>
                <w:lang w:val="en-US" w:eastAsia="zh-CN"/>
              </w:rPr>
              <w:t>7</w:t>
            </w:r>
          </w:p>
        </w:tc>
        <w:tc>
          <w:tcPr>
            <w:tcW w:w="1460" w:type="dxa"/>
            <w:noWrap w:val="0"/>
            <w:vAlign w:val="center"/>
          </w:tcPr>
          <w:p w14:paraId="3145F1B5">
            <w:pPr>
              <w:pageBreakBefore w:val="0"/>
              <w:kinsoku/>
              <w:wordWrap/>
              <w:overflowPunct/>
              <w:topLinePunct w:val="0"/>
              <w:autoSpaceDE w:val="0"/>
              <w:autoSpaceDN w:val="0"/>
              <w:bidi w:val="0"/>
              <w:adjustRightInd/>
              <w:snapToGrid/>
              <w:spacing w:after="120"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荥财公开-2025-13-7</w:t>
            </w:r>
          </w:p>
        </w:tc>
        <w:tc>
          <w:tcPr>
            <w:tcW w:w="2546" w:type="dxa"/>
            <w:noWrap w:val="0"/>
            <w:vAlign w:val="center"/>
          </w:tcPr>
          <w:p w14:paraId="2D300682">
            <w:pPr>
              <w:pageBreakBefore w:val="0"/>
              <w:widowControl/>
              <w:kinsoku/>
              <w:wordWrap/>
              <w:overflowPunct/>
              <w:topLinePunct w:val="0"/>
              <w:bidi w:val="0"/>
              <w:adjustRightInd/>
              <w:snapToGrid/>
              <w:spacing w:line="360" w:lineRule="auto"/>
              <w:jc w:val="center"/>
              <w:textAlignment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荥阳市林业局城郊生态廊道养护项目七标段</w:t>
            </w:r>
          </w:p>
        </w:tc>
        <w:tc>
          <w:tcPr>
            <w:tcW w:w="1251" w:type="dxa"/>
            <w:noWrap w:val="0"/>
            <w:vAlign w:val="center"/>
          </w:tcPr>
          <w:p w14:paraId="42553D37">
            <w:pPr>
              <w:pageBreakBefore w:val="0"/>
              <w:widowControl/>
              <w:kinsoku/>
              <w:wordWrap/>
              <w:overflowPunct/>
              <w:topLinePunct w:val="0"/>
              <w:bidi w:val="0"/>
              <w:adjustRightInd/>
              <w:snapToGrid/>
              <w:spacing w:line="360" w:lineRule="auto"/>
              <w:jc w:val="center"/>
              <w:textAlignment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900000.00</w:t>
            </w:r>
          </w:p>
        </w:tc>
        <w:tc>
          <w:tcPr>
            <w:tcW w:w="1317" w:type="dxa"/>
            <w:noWrap w:val="0"/>
            <w:vAlign w:val="center"/>
          </w:tcPr>
          <w:p w14:paraId="48A56D7F">
            <w:pPr>
              <w:pageBreakBefore w:val="0"/>
              <w:widowControl/>
              <w:kinsoku/>
              <w:wordWrap/>
              <w:overflowPunct/>
              <w:topLinePunct w:val="0"/>
              <w:bidi w:val="0"/>
              <w:adjustRightInd/>
              <w:snapToGrid/>
              <w:spacing w:line="360" w:lineRule="auto"/>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900000.00</w:t>
            </w:r>
          </w:p>
        </w:tc>
        <w:tc>
          <w:tcPr>
            <w:tcW w:w="1078" w:type="dxa"/>
            <w:noWrap w:val="0"/>
            <w:vAlign w:val="center"/>
          </w:tcPr>
          <w:p w14:paraId="2E0794B3">
            <w:pPr>
              <w:pageBreakBefore w:val="0"/>
              <w:widowControl/>
              <w:kinsoku/>
              <w:wordWrap/>
              <w:overflowPunct/>
              <w:topLinePunct w:val="0"/>
              <w:bidi w:val="0"/>
              <w:adjustRightInd/>
              <w:snapToGrid/>
              <w:spacing w:line="360" w:lineRule="auto"/>
              <w:jc w:val="center"/>
              <w:textAlignment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是</w:t>
            </w:r>
          </w:p>
        </w:tc>
        <w:tc>
          <w:tcPr>
            <w:tcW w:w="1740" w:type="dxa"/>
            <w:noWrap w:val="0"/>
            <w:vAlign w:val="center"/>
          </w:tcPr>
          <w:p w14:paraId="08C25D03">
            <w:pPr>
              <w:pageBreakBefore w:val="0"/>
              <w:widowControl/>
              <w:kinsoku/>
              <w:wordWrap/>
              <w:overflowPunct/>
              <w:topLinePunct w:val="0"/>
              <w:bidi w:val="0"/>
              <w:adjustRightInd/>
              <w:snapToGrid/>
              <w:spacing w:line="360" w:lineRule="auto"/>
              <w:jc w:val="center"/>
              <w:textAlignment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900000.00，其中小微企业采购金额：900000.00</w:t>
            </w:r>
          </w:p>
        </w:tc>
      </w:tr>
      <w:tr w14:paraId="24461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jc w:val="center"/>
        </w:trPr>
        <w:tc>
          <w:tcPr>
            <w:tcW w:w="544" w:type="dxa"/>
            <w:noWrap w:val="0"/>
            <w:vAlign w:val="center"/>
          </w:tcPr>
          <w:p w14:paraId="37E893BD">
            <w:pPr>
              <w:pageBreakBefore w:val="0"/>
              <w:kinsoku/>
              <w:wordWrap/>
              <w:overflowPunct/>
              <w:topLinePunct w:val="0"/>
              <w:autoSpaceDE w:val="0"/>
              <w:autoSpaceDN w:val="0"/>
              <w:bidi w:val="0"/>
              <w:adjustRightInd/>
              <w:snapToGrid/>
              <w:spacing w:after="120" w:line="360" w:lineRule="auto"/>
              <w:jc w:val="center"/>
              <w:rPr>
                <w:rFonts w:hint="default" w:ascii="宋体" w:hAnsi="宋体" w:cs="宋体"/>
                <w:szCs w:val="21"/>
                <w:highlight w:val="none"/>
                <w:lang w:val="en-US" w:eastAsia="zh-CN"/>
              </w:rPr>
            </w:pPr>
            <w:r>
              <w:rPr>
                <w:rFonts w:hint="eastAsia" w:ascii="宋体" w:hAnsi="宋体" w:cs="宋体"/>
                <w:szCs w:val="21"/>
                <w:highlight w:val="none"/>
                <w:lang w:val="en-US" w:eastAsia="zh-CN"/>
              </w:rPr>
              <w:t>8</w:t>
            </w:r>
          </w:p>
        </w:tc>
        <w:tc>
          <w:tcPr>
            <w:tcW w:w="1460" w:type="dxa"/>
            <w:noWrap w:val="0"/>
            <w:vAlign w:val="center"/>
          </w:tcPr>
          <w:p w14:paraId="3922B06D">
            <w:pPr>
              <w:pageBreakBefore w:val="0"/>
              <w:kinsoku/>
              <w:wordWrap/>
              <w:overflowPunct/>
              <w:topLinePunct w:val="0"/>
              <w:autoSpaceDE w:val="0"/>
              <w:autoSpaceDN w:val="0"/>
              <w:bidi w:val="0"/>
              <w:adjustRightInd/>
              <w:snapToGrid/>
              <w:spacing w:after="120"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荥财公开-2025-13-8</w:t>
            </w:r>
          </w:p>
        </w:tc>
        <w:tc>
          <w:tcPr>
            <w:tcW w:w="2546" w:type="dxa"/>
            <w:noWrap w:val="0"/>
            <w:vAlign w:val="center"/>
          </w:tcPr>
          <w:p w14:paraId="5E411DB9">
            <w:pPr>
              <w:pageBreakBefore w:val="0"/>
              <w:widowControl/>
              <w:kinsoku/>
              <w:wordWrap/>
              <w:overflowPunct/>
              <w:topLinePunct w:val="0"/>
              <w:bidi w:val="0"/>
              <w:adjustRightInd/>
              <w:snapToGrid/>
              <w:spacing w:line="360" w:lineRule="auto"/>
              <w:jc w:val="center"/>
              <w:textAlignment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荥阳市林业局城郊生态廊道养护项目八标段</w:t>
            </w:r>
          </w:p>
        </w:tc>
        <w:tc>
          <w:tcPr>
            <w:tcW w:w="1251" w:type="dxa"/>
            <w:noWrap w:val="0"/>
            <w:vAlign w:val="center"/>
          </w:tcPr>
          <w:p w14:paraId="4F8A134D">
            <w:pPr>
              <w:pageBreakBefore w:val="0"/>
              <w:widowControl/>
              <w:kinsoku/>
              <w:wordWrap/>
              <w:overflowPunct/>
              <w:topLinePunct w:val="0"/>
              <w:bidi w:val="0"/>
              <w:adjustRightInd/>
              <w:snapToGrid/>
              <w:spacing w:line="360" w:lineRule="auto"/>
              <w:jc w:val="center"/>
              <w:textAlignment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372000.00</w:t>
            </w:r>
          </w:p>
        </w:tc>
        <w:tc>
          <w:tcPr>
            <w:tcW w:w="1317" w:type="dxa"/>
            <w:noWrap w:val="0"/>
            <w:vAlign w:val="center"/>
          </w:tcPr>
          <w:p w14:paraId="66DE2110">
            <w:pPr>
              <w:pageBreakBefore w:val="0"/>
              <w:widowControl/>
              <w:kinsoku/>
              <w:wordWrap/>
              <w:overflowPunct/>
              <w:topLinePunct w:val="0"/>
              <w:bidi w:val="0"/>
              <w:adjustRightInd/>
              <w:snapToGrid/>
              <w:spacing w:line="360" w:lineRule="auto"/>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372000.00</w:t>
            </w:r>
          </w:p>
        </w:tc>
        <w:tc>
          <w:tcPr>
            <w:tcW w:w="1078" w:type="dxa"/>
            <w:noWrap w:val="0"/>
            <w:vAlign w:val="center"/>
          </w:tcPr>
          <w:p w14:paraId="39B46456">
            <w:pPr>
              <w:pageBreakBefore w:val="0"/>
              <w:widowControl/>
              <w:kinsoku/>
              <w:wordWrap/>
              <w:overflowPunct/>
              <w:topLinePunct w:val="0"/>
              <w:bidi w:val="0"/>
              <w:adjustRightInd/>
              <w:snapToGrid/>
              <w:spacing w:line="360" w:lineRule="auto"/>
              <w:jc w:val="center"/>
              <w:textAlignment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是</w:t>
            </w:r>
          </w:p>
        </w:tc>
        <w:tc>
          <w:tcPr>
            <w:tcW w:w="1740" w:type="dxa"/>
            <w:noWrap w:val="0"/>
            <w:vAlign w:val="center"/>
          </w:tcPr>
          <w:p w14:paraId="342DEFE3">
            <w:pPr>
              <w:pageBreakBefore w:val="0"/>
              <w:widowControl/>
              <w:kinsoku/>
              <w:wordWrap/>
              <w:overflowPunct/>
              <w:topLinePunct w:val="0"/>
              <w:bidi w:val="0"/>
              <w:adjustRightInd/>
              <w:snapToGrid/>
              <w:spacing w:line="360" w:lineRule="auto"/>
              <w:jc w:val="center"/>
              <w:textAlignment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372000.00，其中小微企业采购金额：372000.00</w:t>
            </w:r>
          </w:p>
        </w:tc>
      </w:tr>
    </w:tbl>
    <w:p w14:paraId="46DDE392">
      <w:pPr>
        <w:pageBreakBefore w:val="0"/>
        <w:kinsoku/>
        <w:wordWrap/>
        <w:overflowPunct/>
        <w:topLinePunct w:val="0"/>
        <w:autoSpaceDE w:val="0"/>
        <w:autoSpaceDN w:val="0"/>
        <w:bidi w:val="0"/>
        <w:adjustRightInd/>
        <w:snapToGrid/>
        <w:spacing w:after="120"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采购需求：（包括但不限于标的的名称、数量、简要技术需求或服务要求等）</w:t>
      </w:r>
    </w:p>
    <w:p w14:paraId="47B2A313">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5.1采购内容:本项目为荥阳市林业局城郊生态廊道养护项目，其廊道长度约74.35公里，管护绿化面积约为312.5万平方米。本项目共划分</w:t>
      </w:r>
      <w:r>
        <w:rPr>
          <w:rFonts w:hint="eastAsia" w:ascii="宋体" w:hAnsi="宋体" w:cs="宋体"/>
          <w:szCs w:val="21"/>
          <w:highlight w:val="none"/>
          <w:lang w:val="en-US" w:eastAsia="zh-CN"/>
        </w:rPr>
        <w:t>八</w:t>
      </w:r>
      <w:r>
        <w:rPr>
          <w:rFonts w:hint="eastAsia" w:ascii="宋体" w:hAnsi="宋体" w:eastAsia="宋体" w:cs="宋体"/>
          <w:szCs w:val="21"/>
          <w:highlight w:val="none"/>
          <w:lang w:val="en-US" w:eastAsia="zh-CN"/>
        </w:rPr>
        <w:t>个标段：</w:t>
      </w:r>
    </w:p>
    <w:p w14:paraId="50944979">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一标段：2015年沿黄快速通道（桩号1-2）生态廊道建设项目</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廊道长度约12.30公里，两侧绿化宽度各18米，需管护绿化面积约42.133万平方米；</w:t>
      </w:r>
    </w:p>
    <w:p w14:paraId="201BE2C4">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二标段：2015年沿黄快速通道（桩号2-3）生态廊道建设项目</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廊道长度约12.20公里，两侧绿化宽度各18米，需管护绿化面积约41.60万平方米；</w:t>
      </w:r>
    </w:p>
    <w:p w14:paraId="2F0FAB0D">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三标段：2015年沿黄快速通道（桩号3-4）生态廊道建设项目</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廊道长度约12.20公里，两侧绿化宽度各18米，需管护绿化面积约41.60万平方米；</w:t>
      </w:r>
    </w:p>
    <w:p w14:paraId="455AD320">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四标段：2015年荥阳市石化北路生态廊道建设项目</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廊道长度约3.3公里，两侧绿化宽度各30米，需管护绿化面积约19.20万平方米；</w:t>
      </w:r>
    </w:p>
    <w:p w14:paraId="6FC07AE7">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五标段：2015年荥阳市环翠峪旅游大道生态廊道建设项目</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廊道长度约14.85公里，两侧绿化宽度各3-30米，需管护绿化面积约59.40万平方米；</w:t>
      </w:r>
    </w:p>
    <w:p w14:paraId="50CC2348">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六标段：2018年荥阳市G234（郑上路至黄河大桥引桥南端桩号1-2）生态廊道建设项目</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廊道长度约7.25公里，两侧绿化宽度各10-50米，需管护绿化面积约45万平方米；</w:t>
      </w:r>
    </w:p>
    <w:p w14:paraId="4B3943DB">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七标段：2018年荥阳市G234（郑上路至黄河大桥引桥南端，桩号2-3）生态廊道建设项目</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廊道长度约7.25公里，两侧绿化宽度各10-50米，需管护绿化面积约45万平方米；</w:t>
      </w:r>
    </w:p>
    <w:p w14:paraId="493E5911">
      <w:pPr>
        <w:pageBreakBefore w:val="0"/>
        <w:widowControl/>
        <w:kinsoku/>
        <w:wordWrap/>
        <w:overflowPunct/>
        <w:topLinePunct w:val="0"/>
        <w:bidi w:val="0"/>
        <w:adjustRightInd/>
        <w:snapToGrid/>
        <w:spacing w:line="360" w:lineRule="auto"/>
        <w:ind w:firstLine="420" w:firstLineChars="200"/>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八标段：2020年X036（枯河桥—沿黄快速通道）生态廊道建设项目：廊道长度约5公里，两侧绿化宽度各30米，需管护绿化面积约18.6</w:t>
      </w:r>
      <w:r>
        <w:rPr>
          <w:rFonts w:hint="eastAsia" w:ascii="宋体" w:hAnsi="宋体" w:cs="宋体"/>
          <w:szCs w:val="21"/>
          <w:highlight w:val="none"/>
          <w:lang w:val="en-US" w:eastAsia="zh-CN"/>
        </w:rPr>
        <w:t>0</w:t>
      </w:r>
      <w:r>
        <w:rPr>
          <w:rFonts w:hint="eastAsia" w:ascii="宋体" w:hAnsi="宋体" w:eastAsia="宋体" w:cs="宋体"/>
          <w:szCs w:val="21"/>
          <w:highlight w:val="none"/>
          <w:lang w:val="en-US" w:eastAsia="zh-CN"/>
        </w:rPr>
        <w:t>万平方米。</w:t>
      </w:r>
    </w:p>
    <w:p w14:paraId="5B9FC9B9">
      <w:pPr>
        <w:pageBreakBefore w:val="0"/>
        <w:kinsoku/>
        <w:wordWrap/>
        <w:overflowPunct/>
        <w:topLinePunct w:val="0"/>
        <w:bidi w:val="0"/>
        <w:adjustRightInd/>
        <w:snapToGrid/>
        <w:spacing w:line="360" w:lineRule="auto"/>
        <w:ind w:left="210" w:firstLine="210" w:firstLineChars="100"/>
        <w:jc w:val="left"/>
        <w:rPr>
          <w:rFonts w:hint="eastAsia" w:ascii="宋体" w:hAnsi="宋体" w:eastAsia="宋体" w:cs="宋体"/>
          <w:szCs w:val="21"/>
          <w:highlight w:val="none"/>
        </w:rPr>
      </w:pPr>
      <w:r>
        <w:rPr>
          <w:rFonts w:hint="eastAsia" w:ascii="宋体" w:hAnsi="宋体" w:eastAsia="宋体" w:cs="宋体"/>
          <w:szCs w:val="21"/>
          <w:highlight w:val="none"/>
        </w:rPr>
        <w:t>5.2</w:t>
      </w:r>
      <w:r>
        <w:rPr>
          <w:rFonts w:hint="eastAsia" w:ascii="宋体" w:hAnsi="宋体" w:eastAsia="宋体" w:cs="宋体"/>
          <w:szCs w:val="21"/>
          <w:highlight w:val="none"/>
          <w:lang w:val="en-US" w:eastAsia="zh-CN"/>
        </w:rPr>
        <w:t>服务期限</w:t>
      </w:r>
      <w:r>
        <w:rPr>
          <w:rFonts w:hint="eastAsia" w:ascii="宋体" w:hAnsi="宋体" w:eastAsia="宋体" w:cs="宋体"/>
          <w:szCs w:val="21"/>
          <w:highlight w:val="none"/>
        </w:rPr>
        <w:t>：</w:t>
      </w:r>
      <w:r>
        <w:rPr>
          <w:rFonts w:hint="eastAsia" w:ascii="宋体" w:hAnsi="宋体" w:cs="宋体"/>
          <w:szCs w:val="21"/>
          <w:highlight w:val="none"/>
          <w:lang w:val="en-US" w:eastAsia="zh-CN"/>
        </w:rPr>
        <w:t>一年/标段</w:t>
      </w:r>
      <w:r>
        <w:rPr>
          <w:rFonts w:hint="eastAsia" w:ascii="宋体" w:hAnsi="宋体" w:eastAsia="宋体" w:cs="宋体"/>
          <w:szCs w:val="21"/>
          <w:highlight w:val="none"/>
        </w:rPr>
        <w:t>；</w:t>
      </w:r>
    </w:p>
    <w:p w14:paraId="66FF79C6">
      <w:pPr>
        <w:pageBreakBefore w:val="0"/>
        <w:kinsoku/>
        <w:wordWrap/>
        <w:overflowPunct/>
        <w:topLinePunct w:val="0"/>
        <w:bidi w:val="0"/>
        <w:adjustRightInd/>
        <w:snapToGrid/>
        <w:spacing w:line="360" w:lineRule="auto"/>
        <w:ind w:left="210" w:firstLine="210" w:firstLineChars="100"/>
        <w:jc w:val="left"/>
        <w:rPr>
          <w:rFonts w:hint="eastAsia" w:ascii="宋体" w:hAnsi="宋体" w:eastAsia="宋体" w:cs="宋体"/>
          <w:szCs w:val="21"/>
          <w:highlight w:val="none"/>
        </w:rPr>
      </w:pPr>
      <w:r>
        <w:rPr>
          <w:rFonts w:hint="eastAsia" w:ascii="宋体" w:hAnsi="宋体" w:eastAsia="宋体" w:cs="宋体"/>
          <w:szCs w:val="21"/>
          <w:highlight w:val="none"/>
        </w:rPr>
        <w:t>5.3质量要求：符合国家、行业相关规范，满足采购人要求；</w:t>
      </w:r>
    </w:p>
    <w:p w14:paraId="07BA178A">
      <w:pPr>
        <w:pageBreakBefore w:val="0"/>
        <w:widowControl/>
        <w:kinsoku/>
        <w:wordWrap/>
        <w:overflowPunct/>
        <w:topLinePunct w:val="0"/>
        <w:autoSpaceDN w:val="0"/>
        <w:bidi w:val="0"/>
        <w:adjustRightInd/>
        <w:snapToGrid/>
        <w:spacing w:line="360" w:lineRule="auto"/>
        <w:ind w:firstLine="420" w:firstLineChars="200"/>
        <w:rPr>
          <w:rFonts w:hint="eastAsia"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lang w:val="en-US" w:eastAsia="zh-CN"/>
        </w:rPr>
        <w:t>6、合同履行期限：同服务期限</w:t>
      </w:r>
    </w:p>
    <w:p w14:paraId="4F74082A">
      <w:pPr>
        <w:pageBreakBefore w:val="0"/>
        <w:widowControl/>
        <w:kinsoku/>
        <w:wordWrap/>
        <w:overflowPunct/>
        <w:topLinePunct w:val="0"/>
        <w:autoSpaceDN w:val="0"/>
        <w:bidi w:val="0"/>
        <w:adjustRightInd/>
        <w:snapToGrid/>
        <w:spacing w:line="360" w:lineRule="auto"/>
        <w:ind w:firstLine="420" w:firstLineChars="200"/>
        <w:rPr>
          <w:rFonts w:hint="eastAsia"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lang w:val="en-US" w:eastAsia="zh-CN"/>
        </w:rPr>
        <w:t>7、本项目是否接受联合体投标：否</w:t>
      </w:r>
    </w:p>
    <w:p w14:paraId="661458AD">
      <w:pPr>
        <w:pageBreakBefore w:val="0"/>
        <w:widowControl/>
        <w:kinsoku/>
        <w:wordWrap/>
        <w:overflowPunct/>
        <w:topLinePunct w:val="0"/>
        <w:autoSpaceDN w:val="0"/>
        <w:bidi w:val="0"/>
        <w:adjustRightInd/>
        <w:snapToGrid/>
        <w:spacing w:line="360" w:lineRule="auto"/>
        <w:ind w:firstLine="420" w:firstLineChars="200"/>
        <w:rPr>
          <w:rFonts w:hint="eastAsia"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lang w:val="en-US" w:eastAsia="zh-CN"/>
        </w:rPr>
        <w:t>8、是否接受进口产品：否</w:t>
      </w:r>
    </w:p>
    <w:p w14:paraId="25AC0A8A">
      <w:pPr>
        <w:pageBreakBefore w:val="0"/>
        <w:widowControl/>
        <w:kinsoku/>
        <w:wordWrap/>
        <w:overflowPunct/>
        <w:topLinePunct w:val="0"/>
        <w:autoSpaceDN w:val="0"/>
        <w:bidi w:val="0"/>
        <w:adjustRightInd/>
        <w:snapToGrid/>
        <w:spacing w:line="360" w:lineRule="auto"/>
        <w:ind w:firstLine="420" w:firstLineChars="200"/>
        <w:rPr>
          <w:rFonts w:hint="eastAsia"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lang w:val="en-US" w:eastAsia="zh-CN"/>
        </w:rPr>
        <w:t>9、是否专门面向中小企业：</w:t>
      </w:r>
      <w:r>
        <w:rPr>
          <w:rFonts w:hint="eastAsia" w:ascii="宋体" w:hAnsi="宋体" w:cs="宋体"/>
          <w:color w:val="000000"/>
          <w:kern w:val="0"/>
          <w:szCs w:val="21"/>
          <w:highlight w:val="none"/>
          <w:lang w:val="en-US" w:eastAsia="zh-CN"/>
        </w:rPr>
        <w:t>是</w:t>
      </w:r>
    </w:p>
    <w:p w14:paraId="5EA78267">
      <w:pPr>
        <w:pageBreakBefore w:val="0"/>
        <w:widowControl/>
        <w:kinsoku/>
        <w:wordWrap/>
        <w:overflowPunct/>
        <w:topLinePunct w:val="0"/>
        <w:bidi w:val="0"/>
        <w:adjustRightInd/>
        <w:snapToGrid/>
        <w:spacing w:line="360" w:lineRule="auto"/>
        <w:rPr>
          <w:rFonts w:hint="eastAsia" w:ascii="宋体" w:hAnsi="宋体" w:eastAsia="宋体" w:cs="宋体"/>
          <w:b/>
          <w:bCs/>
          <w:color w:val="000000"/>
          <w:kern w:val="0"/>
          <w:szCs w:val="21"/>
          <w:highlight w:val="none"/>
        </w:rPr>
      </w:pPr>
      <w:r>
        <w:rPr>
          <w:rFonts w:hint="eastAsia" w:ascii="宋体" w:hAnsi="宋体" w:eastAsia="宋体" w:cs="宋体"/>
          <w:b/>
          <w:bCs/>
          <w:color w:val="000000"/>
          <w:kern w:val="0"/>
          <w:szCs w:val="21"/>
          <w:highlight w:val="none"/>
        </w:rPr>
        <w:t>二、申请人的资格要求</w:t>
      </w:r>
    </w:p>
    <w:p w14:paraId="7E4230D4">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1、满足《中华人民共和国政府采购法》第二十二条规定</w:t>
      </w:r>
      <w:r>
        <w:rPr>
          <w:rFonts w:hint="eastAsia" w:ascii="宋体" w:hAnsi="宋体" w:eastAsia="宋体" w:cs="宋体"/>
          <w:kern w:val="0"/>
          <w:szCs w:val="21"/>
          <w:highlight w:val="none"/>
          <w:lang w:eastAsia="zh-CN"/>
        </w:rPr>
        <w:t>；</w:t>
      </w:r>
    </w:p>
    <w:p w14:paraId="50593E71">
      <w:pPr>
        <w:pageBreakBefore w:val="0"/>
        <w:widowControl/>
        <w:kinsoku/>
        <w:wordWrap/>
        <w:overflowPunct/>
        <w:topLinePunct w:val="0"/>
        <w:bidi w:val="0"/>
        <w:adjustRightInd/>
        <w:snapToGrid/>
        <w:spacing w:line="360" w:lineRule="auto"/>
        <w:ind w:firstLine="420" w:firstLineChars="200"/>
        <w:rPr>
          <w:rFonts w:hint="eastAsia" w:eastAsia="宋体"/>
          <w:highlight w:val="none"/>
          <w:lang w:eastAsia="zh-CN"/>
        </w:rPr>
      </w:pPr>
      <w:r>
        <w:rPr>
          <w:rFonts w:hint="eastAsia" w:ascii="宋体" w:hAnsi="宋体" w:eastAsia="宋体" w:cs="宋体"/>
          <w:kern w:val="0"/>
          <w:szCs w:val="21"/>
          <w:highlight w:val="none"/>
        </w:rPr>
        <w:t>2、落实政府采购政策满足的资格要求</w:t>
      </w:r>
      <w:r>
        <w:rPr>
          <w:rFonts w:hint="eastAsia" w:ascii="宋体" w:hAnsi="宋体" w:eastAsia="宋体" w:cs="宋体"/>
          <w:color w:val="auto"/>
          <w:kern w:val="0"/>
          <w:szCs w:val="21"/>
          <w:highlight w:val="none"/>
        </w:rPr>
        <w:t>：本项目属于专门面向中小企业采购的项目。供应商应为中小微企业（监狱企业、残疾人福利性企业视同小微企业），须提供《中小企业声明函》或残疾人福利性单位声明函或监狱企业证明材料</w:t>
      </w:r>
      <w:r>
        <w:rPr>
          <w:rFonts w:hint="eastAsia" w:ascii="宋体" w:hAnsi="宋体" w:eastAsia="宋体" w:cs="宋体"/>
          <w:color w:val="auto"/>
          <w:kern w:val="0"/>
          <w:szCs w:val="21"/>
          <w:highlight w:val="none"/>
          <w:lang w:eastAsia="zh-CN"/>
        </w:rPr>
        <w:t>；</w:t>
      </w:r>
    </w:p>
    <w:p w14:paraId="4B48D6C8">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3、本项目的特定资格要求</w:t>
      </w:r>
    </w:p>
    <w:p w14:paraId="1EB8F3F0">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b w:val="0"/>
          <w:bCs w:val="0"/>
          <w:kern w:val="0"/>
          <w:szCs w:val="21"/>
          <w:highlight w:val="none"/>
          <w:lang w:eastAsia="zh-CN"/>
        </w:rPr>
      </w:pPr>
      <w:r>
        <w:rPr>
          <w:rFonts w:hint="eastAsia" w:ascii="宋体" w:hAnsi="宋体" w:eastAsia="宋体" w:cs="宋体"/>
          <w:b w:val="0"/>
          <w:bCs w:val="0"/>
          <w:kern w:val="0"/>
          <w:szCs w:val="21"/>
          <w:highlight w:val="none"/>
        </w:rPr>
        <w:t>3.1</w:t>
      </w:r>
      <w:r>
        <w:rPr>
          <w:rFonts w:hint="eastAsia" w:ascii="宋体" w:hAnsi="宋体" w:eastAsia="宋体" w:cs="宋体"/>
          <w:b w:val="0"/>
          <w:bCs w:val="0"/>
          <w:kern w:val="0"/>
          <w:szCs w:val="21"/>
          <w:highlight w:val="none"/>
          <w:lang w:val="en-US" w:eastAsia="zh-CN"/>
        </w:rPr>
        <w:t>供应商须具有有效的营业执照</w:t>
      </w:r>
      <w:r>
        <w:rPr>
          <w:rFonts w:hint="eastAsia" w:ascii="宋体" w:hAnsi="宋体" w:cs="宋体"/>
          <w:b w:val="0"/>
          <w:bCs w:val="0"/>
          <w:kern w:val="0"/>
          <w:szCs w:val="21"/>
          <w:highlight w:val="none"/>
          <w:lang w:val="en-US" w:eastAsia="zh-CN"/>
        </w:rPr>
        <w:t>；</w:t>
      </w:r>
    </w:p>
    <w:p w14:paraId="272454DF">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kern w:val="0"/>
          <w:szCs w:val="21"/>
          <w:highlight w:val="none"/>
        </w:rPr>
      </w:pPr>
      <w:r>
        <w:rPr>
          <w:rFonts w:hint="eastAsia" w:ascii="宋体" w:hAnsi="宋体" w:cs="宋体"/>
          <w:kern w:val="0"/>
          <w:szCs w:val="21"/>
          <w:highlight w:val="none"/>
          <w:lang w:val="en-US" w:eastAsia="zh-CN"/>
        </w:rPr>
        <w:t>3.2</w:t>
      </w:r>
      <w:r>
        <w:rPr>
          <w:rFonts w:hint="eastAsia" w:ascii="宋体" w:hAnsi="宋体" w:eastAsia="宋体" w:cs="宋体"/>
          <w:kern w:val="0"/>
          <w:szCs w:val="21"/>
          <w:highlight w:val="none"/>
        </w:rPr>
        <w:t>根据《财政部关于在政府采购活动中查询及使用信用记录有关问题的通知》(财库[2016]125号)和豫财购【2016】15号的规定，对列入失信被执行人、重大税收违法失信主体、政府采购严重违法失信行为记录名单的供应商，拒绝参与本项目政府采购活动；通过“中国执行信息公开网”（zxgk.court.gov.cn）查询被列入失信被执行人、“信用中国”网站（www.creditchina.gov.cn）查询重大税收违法失信主体、“中国政府采购网”（www.ccgp.gov.cn）查询政府采购严重违法失信行为记录名单），提供加盖单位公章的查询网页截图（截图内容要完整清晰）。</w:t>
      </w:r>
      <w:r>
        <w:rPr>
          <w:highlight w:val="none"/>
        </w:rPr>
        <w:t>注：采购代理机构在开标当天将对所有参与本项目投标的供应商的信用情况进行查询、打印留存。若在开标当天查询到供应商有相关负面信息的，则该供应商不能通过资格性审查。</w:t>
      </w:r>
    </w:p>
    <w:p w14:paraId="4C9286A8">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3.</w:t>
      </w:r>
      <w:r>
        <w:rPr>
          <w:rFonts w:hint="eastAsia" w:ascii="宋体" w:hAnsi="宋体" w:cs="宋体"/>
          <w:kern w:val="0"/>
          <w:szCs w:val="21"/>
          <w:highlight w:val="none"/>
          <w:lang w:val="en-US" w:eastAsia="zh-CN"/>
        </w:rPr>
        <w:t>3</w:t>
      </w:r>
      <w:r>
        <w:rPr>
          <w:rFonts w:hint="eastAsia" w:ascii="宋体" w:hAnsi="宋体" w:eastAsia="宋体" w:cs="宋体"/>
          <w:kern w:val="0"/>
          <w:szCs w:val="21"/>
          <w:highlight w:val="none"/>
          <w:lang w:val="en-US" w:eastAsia="zh-CN"/>
        </w:rPr>
        <w:t>单位负责人为同一人或存在直接控股、管理关系的不同供应商，不得参加同一合同项下的政府采购活动；需提供“国家企业信用信息公示系统”中公示的公司信息、股东（或投资人）信息的网页截图（或提供单位负责人与其他供应商不为同一人或者存在直接控股、管理关系的承诺书）</w:t>
      </w:r>
    </w:p>
    <w:p w14:paraId="40D6E827">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bCs/>
          <w:szCs w:val="21"/>
          <w:highlight w:val="none"/>
        </w:rPr>
      </w:pPr>
      <w:r>
        <w:rPr>
          <w:rFonts w:hint="eastAsia" w:ascii="宋体" w:hAnsi="宋体" w:eastAsia="宋体" w:cs="宋体"/>
          <w:kern w:val="0"/>
          <w:szCs w:val="21"/>
          <w:highlight w:val="none"/>
        </w:rPr>
        <w:t>3.</w:t>
      </w:r>
      <w:r>
        <w:rPr>
          <w:rFonts w:hint="eastAsia" w:ascii="宋体" w:hAnsi="宋体" w:cs="宋体"/>
          <w:kern w:val="0"/>
          <w:szCs w:val="21"/>
          <w:highlight w:val="none"/>
          <w:lang w:val="en-US" w:eastAsia="zh-CN"/>
        </w:rPr>
        <w:t>4</w:t>
      </w:r>
      <w:r>
        <w:rPr>
          <w:rFonts w:hint="eastAsia" w:ascii="宋体" w:hAnsi="宋体" w:eastAsia="宋体" w:cs="宋体"/>
          <w:kern w:val="0"/>
          <w:szCs w:val="21"/>
          <w:highlight w:val="none"/>
        </w:rPr>
        <w:t>为采购项目提供整体设计、规范编制或者项目管理、监理、检测等服务的</w:t>
      </w:r>
      <w:r>
        <w:rPr>
          <w:rFonts w:hint="eastAsia" w:ascii="宋体" w:hAnsi="宋体" w:cs="宋体"/>
          <w:kern w:val="0"/>
          <w:szCs w:val="21"/>
          <w:highlight w:val="none"/>
          <w:lang w:eastAsia="zh-CN"/>
        </w:rPr>
        <w:t>供应商</w:t>
      </w:r>
      <w:r>
        <w:rPr>
          <w:rFonts w:hint="eastAsia" w:ascii="宋体" w:hAnsi="宋体" w:eastAsia="宋体" w:cs="宋体"/>
          <w:kern w:val="0"/>
          <w:szCs w:val="21"/>
          <w:highlight w:val="none"/>
        </w:rPr>
        <w:t>，不得再参加该采购项目的其他采购活动</w:t>
      </w:r>
      <w:r>
        <w:rPr>
          <w:rFonts w:hint="eastAsia" w:ascii="宋体" w:hAnsi="宋体" w:eastAsia="宋体" w:cs="宋体"/>
          <w:kern w:val="0"/>
          <w:szCs w:val="21"/>
          <w:highlight w:val="none"/>
          <w:lang w:eastAsia="zh-CN"/>
        </w:rPr>
        <w:t>。</w:t>
      </w:r>
      <w:r>
        <w:rPr>
          <w:rFonts w:hint="eastAsia" w:ascii="宋体" w:hAnsi="宋体" w:eastAsia="宋体" w:cs="宋体"/>
          <w:bCs/>
          <w:szCs w:val="21"/>
          <w:highlight w:val="none"/>
        </w:rPr>
        <w:t>（</w:t>
      </w:r>
      <w:r>
        <w:rPr>
          <w:rFonts w:hint="eastAsia" w:ascii="宋体" w:hAnsi="宋体" w:eastAsia="宋体" w:cs="宋体"/>
          <w:bCs/>
          <w:szCs w:val="21"/>
          <w:highlight w:val="none"/>
          <w:lang w:val="en-US" w:eastAsia="zh-CN"/>
        </w:rPr>
        <w:t>提供</w:t>
      </w:r>
      <w:r>
        <w:rPr>
          <w:rFonts w:hint="eastAsia" w:ascii="宋体" w:hAnsi="宋体" w:eastAsia="宋体" w:cs="宋体"/>
          <w:bCs/>
          <w:szCs w:val="21"/>
          <w:highlight w:val="none"/>
        </w:rPr>
        <w:t>承诺书格式自拟）</w:t>
      </w:r>
    </w:p>
    <w:p w14:paraId="0401316B">
      <w:pPr>
        <w:pageBreakBefore w:val="0"/>
        <w:widowControl/>
        <w:kinsoku/>
        <w:wordWrap/>
        <w:overflowPunct/>
        <w:topLinePunct w:val="0"/>
        <w:bidi w:val="0"/>
        <w:adjustRightInd/>
        <w:snapToGrid/>
        <w:spacing w:line="360" w:lineRule="auto"/>
        <w:ind w:firstLine="422" w:firstLineChars="200"/>
        <w:rPr>
          <w:rFonts w:hint="default" w:ascii="宋体" w:hAnsi="宋体" w:eastAsia="宋体" w:cs="宋体"/>
          <w:b/>
          <w:bCs/>
          <w:kern w:val="0"/>
          <w:szCs w:val="21"/>
          <w:highlight w:val="none"/>
          <w:lang w:val="en-US" w:eastAsia="zh-CN"/>
        </w:rPr>
      </w:pPr>
      <w:r>
        <w:rPr>
          <w:rFonts w:hint="eastAsia" w:ascii="宋体" w:hAnsi="宋体" w:cs="宋体"/>
          <w:b/>
          <w:bCs/>
          <w:kern w:val="0"/>
          <w:szCs w:val="21"/>
          <w:highlight w:val="none"/>
          <w:lang w:val="en-US" w:eastAsia="zh-CN"/>
        </w:rPr>
        <w:t>注：各供应商仅允许就本采购项目上述标段中的其中1个标段投标，仅允许中标1个标段。若供应商对多个标段进行投报，其所投标段均按无效投标处理</w:t>
      </w:r>
      <w:r>
        <w:rPr>
          <w:rFonts w:hint="default" w:ascii="宋体" w:hAnsi="宋体" w:eastAsia="宋体" w:cs="宋体"/>
          <w:b/>
          <w:bCs/>
          <w:kern w:val="0"/>
          <w:szCs w:val="21"/>
          <w:highlight w:val="none"/>
          <w:lang w:val="en-US" w:eastAsia="zh-CN"/>
        </w:rPr>
        <w:t>。</w:t>
      </w:r>
    </w:p>
    <w:p w14:paraId="6C2A0F1B">
      <w:pPr>
        <w:pageBreakBefore w:val="0"/>
        <w:widowControl/>
        <w:kinsoku/>
        <w:wordWrap/>
        <w:overflowPunct/>
        <w:topLinePunct w:val="0"/>
        <w:bidi w:val="0"/>
        <w:adjustRightInd/>
        <w:snapToGrid/>
        <w:spacing w:line="360" w:lineRule="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三、获取招标文件</w:t>
      </w:r>
    </w:p>
    <w:p w14:paraId="53D86851">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1、</w:t>
      </w:r>
      <w:r>
        <w:rPr>
          <w:rFonts w:hint="eastAsia" w:ascii="宋体" w:hAnsi="宋体" w:eastAsia="宋体" w:cs="宋体"/>
          <w:kern w:val="0"/>
          <w:szCs w:val="21"/>
          <w:highlight w:val="none"/>
        </w:rPr>
        <w:t>时间：202</w:t>
      </w:r>
      <w:r>
        <w:rPr>
          <w:rFonts w:hint="eastAsia" w:ascii="宋体" w:hAnsi="宋体" w:cs="宋体"/>
          <w:kern w:val="0"/>
          <w:szCs w:val="21"/>
          <w:highlight w:val="none"/>
          <w:lang w:val="en-US" w:eastAsia="zh-CN"/>
        </w:rPr>
        <w:t>5</w:t>
      </w:r>
      <w:r>
        <w:rPr>
          <w:rFonts w:hint="eastAsia" w:ascii="宋体" w:hAnsi="宋体" w:eastAsia="宋体" w:cs="宋体"/>
          <w:kern w:val="0"/>
          <w:szCs w:val="21"/>
          <w:highlight w:val="none"/>
        </w:rPr>
        <w:t>年</w:t>
      </w:r>
      <w:r>
        <w:rPr>
          <w:rFonts w:hint="eastAsia" w:ascii="宋体" w:hAnsi="宋体" w:cs="宋体"/>
          <w:kern w:val="0"/>
          <w:szCs w:val="21"/>
          <w:highlight w:val="none"/>
          <w:lang w:val="en-US" w:eastAsia="zh-CN"/>
        </w:rPr>
        <w:t>07</w:t>
      </w:r>
      <w:r>
        <w:rPr>
          <w:rFonts w:hint="eastAsia" w:ascii="宋体" w:hAnsi="宋体" w:eastAsia="宋体" w:cs="宋体"/>
          <w:kern w:val="0"/>
          <w:szCs w:val="21"/>
          <w:highlight w:val="none"/>
        </w:rPr>
        <w:t>月</w:t>
      </w:r>
      <w:r>
        <w:rPr>
          <w:rFonts w:hint="eastAsia" w:ascii="宋体" w:hAnsi="宋体" w:cs="宋体"/>
          <w:kern w:val="0"/>
          <w:szCs w:val="21"/>
          <w:highlight w:val="none"/>
          <w:lang w:val="en-US" w:eastAsia="zh-CN"/>
        </w:rPr>
        <w:t>29</w:t>
      </w:r>
      <w:r>
        <w:rPr>
          <w:rFonts w:hint="eastAsia" w:ascii="宋体" w:hAnsi="宋体" w:eastAsia="宋体" w:cs="宋体"/>
          <w:kern w:val="0"/>
          <w:szCs w:val="21"/>
          <w:highlight w:val="none"/>
        </w:rPr>
        <w:t>日至20</w:t>
      </w:r>
      <w:r>
        <w:rPr>
          <w:rFonts w:hint="eastAsia" w:ascii="宋体" w:hAnsi="宋体" w:eastAsia="宋体" w:cs="宋体"/>
          <w:kern w:val="0"/>
          <w:szCs w:val="21"/>
          <w:highlight w:val="none"/>
          <w:lang w:val="en-US" w:eastAsia="zh-CN"/>
        </w:rPr>
        <w:t>2</w:t>
      </w:r>
      <w:r>
        <w:rPr>
          <w:rFonts w:hint="eastAsia" w:ascii="宋体" w:hAnsi="宋体" w:cs="宋体"/>
          <w:kern w:val="0"/>
          <w:szCs w:val="21"/>
          <w:highlight w:val="none"/>
          <w:lang w:val="en-US" w:eastAsia="zh-CN"/>
        </w:rPr>
        <w:t>5</w:t>
      </w:r>
      <w:r>
        <w:rPr>
          <w:rFonts w:hint="eastAsia" w:ascii="宋体" w:hAnsi="宋体" w:eastAsia="宋体" w:cs="宋体"/>
          <w:kern w:val="0"/>
          <w:szCs w:val="21"/>
          <w:highlight w:val="none"/>
        </w:rPr>
        <w:t>年</w:t>
      </w:r>
      <w:r>
        <w:rPr>
          <w:rFonts w:hint="eastAsia" w:ascii="宋体" w:hAnsi="宋体" w:cs="宋体"/>
          <w:kern w:val="0"/>
          <w:szCs w:val="21"/>
          <w:highlight w:val="none"/>
          <w:lang w:val="en-US" w:eastAsia="zh-CN"/>
        </w:rPr>
        <w:t>08</w:t>
      </w:r>
      <w:r>
        <w:rPr>
          <w:rFonts w:hint="eastAsia" w:ascii="宋体" w:hAnsi="宋体" w:eastAsia="宋体" w:cs="宋体"/>
          <w:kern w:val="0"/>
          <w:szCs w:val="21"/>
          <w:highlight w:val="none"/>
        </w:rPr>
        <w:t>月</w:t>
      </w:r>
      <w:r>
        <w:rPr>
          <w:rFonts w:hint="eastAsia" w:ascii="宋体" w:hAnsi="宋体" w:cs="宋体"/>
          <w:kern w:val="0"/>
          <w:szCs w:val="21"/>
          <w:highlight w:val="none"/>
          <w:lang w:val="en-US" w:eastAsia="zh-CN"/>
        </w:rPr>
        <w:t>04</w:t>
      </w:r>
      <w:r>
        <w:rPr>
          <w:rFonts w:hint="eastAsia" w:ascii="宋体" w:hAnsi="宋体" w:eastAsia="宋体" w:cs="宋体"/>
          <w:kern w:val="0"/>
          <w:szCs w:val="21"/>
          <w:highlight w:val="none"/>
        </w:rPr>
        <w:t xml:space="preserve">日，每天上午00:00至12:00，下午12:00至23:59（北京时间，法定节假日除外） </w:t>
      </w:r>
    </w:p>
    <w:p w14:paraId="56E9A2D1">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2</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 xml:space="preserve">地点：荥阳市公共资源交易平台。 </w:t>
      </w:r>
    </w:p>
    <w:p w14:paraId="4DCF6BC3">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3</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 xml:space="preserve">方式：凡有意参加投标者，登陆荥阳市公共资源交易中心网站—办事指南—参照《荥阳市公共资源电子交易平台诚信库入库登记指南》《荥阳市公共资源中心交易主体CA数字证书办理服务指南》绑定CA数字证书，填写信息提交系统自动验证。在规定时间下载电子招标文件（具体办理事宜请登陆交易中心网站-办事指南-《投标人操作指南》）。 </w:t>
      </w:r>
    </w:p>
    <w:p w14:paraId="54767C13">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4</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 xml:space="preserve">售价：0元 </w:t>
      </w:r>
    </w:p>
    <w:p w14:paraId="3D8AE895">
      <w:pPr>
        <w:pageBreakBefore w:val="0"/>
        <w:widowControl/>
        <w:kinsoku/>
        <w:wordWrap/>
        <w:overflowPunct/>
        <w:topLinePunct w:val="0"/>
        <w:bidi w:val="0"/>
        <w:adjustRightInd/>
        <w:snapToGrid/>
        <w:spacing w:line="360" w:lineRule="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四、投标截止时间及地点</w:t>
      </w:r>
    </w:p>
    <w:p w14:paraId="30E88475">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1、</w:t>
      </w:r>
      <w:r>
        <w:rPr>
          <w:rFonts w:hint="eastAsia" w:ascii="宋体" w:hAnsi="宋体" w:eastAsia="宋体" w:cs="宋体"/>
          <w:kern w:val="0"/>
          <w:szCs w:val="21"/>
          <w:highlight w:val="none"/>
        </w:rPr>
        <w:t>时间：202</w:t>
      </w:r>
      <w:r>
        <w:rPr>
          <w:rFonts w:hint="eastAsia" w:ascii="宋体" w:hAnsi="宋体" w:eastAsia="宋体" w:cs="宋体"/>
          <w:kern w:val="0"/>
          <w:szCs w:val="21"/>
          <w:highlight w:val="none"/>
          <w:lang w:val="en-US" w:eastAsia="zh-CN"/>
        </w:rPr>
        <w:t>5</w:t>
      </w:r>
      <w:r>
        <w:rPr>
          <w:rFonts w:hint="eastAsia" w:ascii="宋体" w:hAnsi="宋体" w:eastAsia="宋体" w:cs="宋体"/>
          <w:kern w:val="0"/>
          <w:szCs w:val="21"/>
          <w:highlight w:val="none"/>
        </w:rPr>
        <w:t>年</w:t>
      </w:r>
      <w:r>
        <w:rPr>
          <w:rFonts w:hint="eastAsia" w:ascii="宋体" w:hAnsi="宋体" w:eastAsia="宋体" w:cs="宋体"/>
          <w:kern w:val="0"/>
          <w:szCs w:val="21"/>
          <w:highlight w:val="none"/>
          <w:lang w:val="en-US" w:eastAsia="zh-CN"/>
        </w:rPr>
        <w:t>08</w:t>
      </w:r>
      <w:r>
        <w:rPr>
          <w:rFonts w:hint="eastAsia" w:ascii="宋体" w:hAnsi="宋体" w:eastAsia="宋体" w:cs="宋体"/>
          <w:kern w:val="0"/>
          <w:szCs w:val="21"/>
          <w:highlight w:val="none"/>
        </w:rPr>
        <w:t>月</w:t>
      </w:r>
      <w:r>
        <w:rPr>
          <w:rFonts w:hint="eastAsia" w:ascii="宋体" w:hAnsi="宋体" w:eastAsia="宋体" w:cs="宋体"/>
          <w:kern w:val="0"/>
          <w:szCs w:val="21"/>
          <w:highlight w:val="none"/>
          <w:lang w:val="en-US" w:eastAsia="zh-CN"/>
        </w:rPr>
        <w:t>20</w:t>
      </w:r>
      <w:r>
        <w:rPr>
          <w:rFonts w:hint="eastAsia" w:ascii="宋体" w:hAnsi="宋体" w:eastAsia="宋体" w:cs="宋体"/>
          <w:kern w:val="0"/>
          <w:szCs w:val="21"/>
          <w:highlight w:val="none"/>
        </w:rPr>
        <w:t>日09时</w:t>
      </w: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 xml:space="preserve">0分（北京时间） </w:t>
      </w:r>
    </w:p>
    <w:p w14:paraId="6E36588A">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2</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地点：荥阳市公共资源交易平台</w:t>
      </w:r>
    </w:p>
    <w:p w14:paraId="7142CB50">
      <w:pPr>
        <w:pageBreakBefore w:val="0"/>
        <w:widowControl/>
        <w:kinsoku/>
        <w:wordWrap/>
        <w:overflowPunct/>
        <w:topLinePunct w:val="0"/>
        <w:bidi w:val="0"/>
        <w:adjustRightInd/>
        <w:snapToGrid/>
        <w:spacing w:line="360" w:lineRule="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 xml:space="preserve">五、开标时间及地点 </w:t>
      </w:r>
    </w:p>
    <w:p w14:paraId="25CCF224">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1</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时间：202</w:t>
      </w:r>
      <w:r>
        <w:rPr>
          <w:rFonts w:hint="eastAsia" w:ascii="宋体" w:hAnsi="宋体" w:eastAsia="宋体" w:cs="宋体"/>
          <w:kern w:val="0"/>
          <w:szCs w:val="21"/>
          <w:highlight w:val="none"/>
          <w:lang w:val="en-US" w:eastAsia="zh-CN"/>
        </w:rPr>
        <w:t>5</w:t>
      </w:r>
      <w:r>
        <w:rPr>
          <w:rFonts w:hint="eastAsia" w:ascii="宋体" w:hAnsi="宋体" w:eastAsia="宋体" w:cs="宋体"/>
          <w:kern w:val="0"/>
          <w:szCs w:val="21"/>
          <w:highlight w:val="none"/>
        </w:rPr>
        <w:t>年</w:t>
      </w:r>
      <w:r>
        <w:rPr>
          <w:rFonts w:hint="eastAsia" w:ascii="宋体" w:hAnsi="宋体" w:eastAsia="宋体" w:cs="宋体"/>
          <w:kern w:val="0"/>
          <w:szCs w:val="21"/>
          <w:highlight w:val="none"/>
          <w:lang w:val="en-US" w:eastAsia="zh-CN"/>
        </w:rPr>
        <w:t>08</w:t>
      </w:r>
      <w:r>
        <w:rPr>
          <w:rFonts w:hint="eastAsia" w:ascii="宋体" w:hAnsi="宋体" w:eastAsia="宋体" w:cs="宋体"/>
          <w:kern w:val="0"/>
          <w:szCs w:val="21"/>
          <w:highlight w:val="none"/>
        </w:rPr>
        <w:t>月</w:t>
      </w:r>
      <w:r>
        <w:rPr>
          <w:rFonts w:hint="eastAsia" w:ascii="宋体" w:hAnsi="宋体" w:eastAsia="宋体" w:cs="宋体"/>
          <w:kern w:val="0"/>
          <w:szCs w:val="21"/>
          <w:highlight w:val="none"/>
          <w:lang w:val="en-US" w:eastAsia="zh-CN"/>
        </w:rPr>
        <w:t>20</w:t>
      </w:r>
      <w:r>
        <w:rPr>
          <w:rFonts w:hint="eastAsia" w:ascii="宋体" w:hAnsi="宋体" w:eastAsia="宋体" w:cs="宋体"/>
          <w:kern w:val="0"/>
          <w:szCs w:val="21"/>
          <w:highlight w:val="none"/>
        </w:rPr>
        <w:t>日09时</w:t>
      </w: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 xml:space="preserve">0分（北京时间） </w:t>
      </w:r>
    </w:p>
    <w:p w14:paraId="2B4DAEC0">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2、</w:t>
      </w:r>
      <w:r>
        <w:rPr>
          <w:rFonts w:hint="eastAsia" w:ascii="宋体" w:hAnsi="宋体" w:eastAsia="宋体" w:cs="宋体"/>
          <w:kern w:val="0"/>
          <w:szCs w:val="21"/>
          <w:highlight w:val="none"/>
        </w:rPr>
        <w:t>地点：荥阳市公共资源交易中心（荥阳市中原路与飞龙路西北角政务服务中心七楼）第</w:t>
      </w:r>
      <w:r>
        <w:rPr>
          <w:rFonts w:hint="eastAsia" w:ascii="宋体" w:hAnsi="宋体" w:cs="宋体"/>
          <w:kern w:val="0"/>
          <w:szCs w:val="21"/>
          <w:highlight w:val="none"/>
          <w:lang w:val="en-US" w:eastAsia="zh-CN"/>
        </w:rPr>
        <w:t>三</w:t>
      </w:r>
      <w:r>
        <w:rPr>
          <w:rFonts w:hint="eastAsia" w:ascii="宋体" w:hAnsi="宋体" w:eastAsia="宋体" w:cs="宋体"/>
          <w:kern w:val="0"/>
          <w:szCs w:val="21"/>
          <w:highlight w:val="none"/>
        </w:rPr>
        <w:t xml:space="preserve">开标室 </w:t>
      </w:r>
    </w:p>
    <w:p w14:paraId="198F56FA">
      <w:pPr>
        <w:pageBreakBefore w:val="0"/>
        <w:widowControl/>
        <w:kinsoku/>
        <w:wordWrap/>
        <w:overflowPunct/>
        <w:topLinePunct w:val="0"/>
        <w:bidi w:val="0"/>
        <w:adjustRightInd/>
        <w:snapToGrid/>
        <w:spacing w:line="360" w:lineRule="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 xml:space="preserve">六、发布公告的媒介及招标公告期限 </w:t>
      </w:r>
    </w:p>
    <w:p w14:paraId="635A9291">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本次招标公告在《河南省政府采购网》《中国招标投标公共服务平台》《荥阳市政府采购网》《荥阳市公共资源交易中心网站》上发布，招标公告期限为五个工作日。</w:t>
      </w:r>
    </w:p>
    <w:p w14:paraId="257B973A">
      <w:pPr>
        <w:pageBreakBefore w:val="0"/>
        <w:widowControl/>
        <w:kinsoku/>
        <w:wordWrap/>
        <w:overflowPunct/>
        <w:topLinePunct w:val="0"/>
        <w:bidi w:val="0"/>
        <w:adjustRightInd/>
        <w:snapToGrid/>
        <w:spacing w:line="360" w:lineRule="auto"/>
        <w:rPr>
          <w:rFonts w:hint="eastAsia" w:ascii="宋体" w:hAnsi="宋体" w:eastAsia="宋体" w:cs="宋体"/>
          <w:b/>
          <w:bCs/>
          <w:color w:val="000000"/>
          <w:kern w:val="0"/>
          <w:szCs w:val="21"/>
          <w:highlight w:val="none"/>
        </w:rPr>
      </w:pPr>
      <w:r>
        <w:rPr>
          <w:rFonts w:hint="eastAsia" w:ascii="宋体" w:hAnsi="宋体" w:eastAsia="宋体" w:cs="宋体"/>
          <w:b/>
          <w:bCs/>
          <w:color w:val="000000"/>
          <w:kern w:val="0"/>
          <w:szCs w:val="21"/>
          <w:highlight w:val="none"/>
        </w:rPr>
        <w:t>七、其他补充事宜</w:t>
      </w:r>
    </w:p>
    <w:p w14:paraId="7E120353">
      <w:pPr>
        <w:pageBreakBefore w:val="0"/>
        <w:widowControl/>
        <w:kinsoku/>
        <w:wordWrap/>
        <w:overflowPunct/>
        <w:topLinePunct w:val="0"/>
        <w:bidi w:val="0"/>
        <w:adjustRightInd/>
        <w:snapToGrid/>
        <w:spacing w:line="360" w:lineRule="auto"/>
        <w:ind w:firstLine="420"/>
        <w:rPr>
          <w:rFonts w:hint="eastAsia"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lang w:val="en-US" w:eastAsia="zh-CN"/>
        </w:rPr>
        <w:t>1、</w:t>
      </w:r>
      <w:r>
        <w:rPr>
          <w:rFonts w:hint="eastAsia" w:ascii="宋体" w:hAnsi="宋体" w:cs="宋体"/>
          <w:color w:val="000000"/>
          <w:kern w:val="0"/>
          <w:szCs w:val="21"/>
          <w:highlight w:val="none"/>
          <w:lang w:val="en-US" w:eastAsia="zh-CN"/>
        </w:rPr>
        <w:t>投标</w:t>
      </w:r>
      <w:r>
        <w:rPr>
          <w:rFonts w:hint="eastAsia" w:ascii="宋体" w:hAnsi="宋体" w:eastAsia="宋体" w:cs="宋体"/>
          <w:color w:val="000000"/>
          <w:kern w:val="0"/>
          <w:szCs w:val="21"/>
          <w:highlight w:val="none"/>
          <w:lang w:val="en-US" w:eastAsia="zh-CN"/>
        </w:rPr>
        <w:t>文件制作及上传：</w:t>
      </w:r>
    </w:p>
    <w:p w14:paraId="6C6275E1">
      <w:pPr>
        <w:pageBreakBefore w:val="0"/>
        <w:widowControl/>
        <w:kinsoku/>
        <w:wordWrap/>
        <w:overflowPunct/>
        <w:topLinePunct w:val="0"/>
        <w:bidi w:val="0"/>
        <w:adjustRightInd/>
        <w:snapToGrid/>
        <w:spacing w:line="360" w:lineRule="auto"/>
        <w:ind w:firstLine="420"/>
        <w:rPr>
          <w:rFonts w:hint="eastAsia"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lang w:val="en-US" w:eastAsia="zh-CN"/>
        </w:rPr>
        <w:t>1.1、获取</w:t>
      </w:r>
      <w:r>
        <w:rPr>
          <w:rFonts w:hint="eastAsia" w:ascii="宋体" w:hAnsi="宋体" w:cs="宋体"/>
          <w:color w:val="000000"/>
          <w:kern w:val="0"/>
          <w:szCs w:val="21"/>
          <w:highlight w:val="none"/>
          <w:lang w:val="en-US" w:eastAsia="zh-CN"/>
        </w:rPr>
        <w:t>招标</w:t>
      </w:r>
      <w:r>
        <w:rPr>
          <w:rFonts w:hint="eastAsia" w:ascii="宋体" w:hAnsi="宋体" w:eastAsia="宋体" w:cs="宋体"/>
          <w:color w:val="000000"/>
          <w:kern w:val="0"/>
          <w:szCs w:val="21"/>
          <w:highlight w:val="none"/>
          <w:lang w:val="en-US" w:eastAsia="zh-CN"/>
        </w:rPr>
        <w:t>文件后，投标人（供应商）请登陆荥阳市公共资源交易中心网站—下载中心—下载最新版本“</w:t>
      </w:r>
      <w:r>
        <w:rPr>
          <w:rFonts w:hint="eastAsia" w:ascii="宋体" w:hAnsi="宋体" w:cs="宋体"/>
          <w:color w:val="000000"/>
          <w:kern w:val="0"/>
          <w:szCs w:val="21"/>
          <w:highlight w:val="none"/>
          <w:lang w:val="en-US" w:eastAsia="zh-CN"/>
        </w:rPr>
        <w:t>投标</w:t>
      </w:r>
      <w:r>
        <w:rPr>
          <w:rFonts w:hint="eastAsia" w:ascii="宋体" w:hAnsi="宋体" w:eastAsia="宋体" w:cs="宋体"/>
          <w:color w:val="000000"/>
          <w:kern w:val="0"/>
          <w:szCs w:val="21"/>
          <w:highlight w:val="none"/>
          <w:lang w:val="en-US" w:eastAsia="zh-CN"/>
        </w:rPr>
        <w:t>文件制作软件”制作电子响应文件（具体制作手册请查询交易中心网站-办事指南-《</w:t>
      </w:r>
      <w:r>
        <w:rPr>
          <w:rFonts w:hint="eastAsia" w:ascii="宋体" w:hAnsi="宋体" w:cs="宋体"/>
          <w:color w:val="000000"/>
          <w:kern w:val="0"/>
          <w:szCs w:val="21"/>
          <w:highlight w:val="none"/>
          <w:lang w:val="en-US" w:eastAsia="zh-CN"/>
        </w:rPr>
        <w:t>投标</w:t>
      </w:r>
      <w:r>
        <w:rPr>
          <w:rFonts w:hint="eastAsia" w:ascii="宋体" w:hAnsi="宋体" w:eastAsia="宋体" w:cs="宋体"/>
          <w:color w:val="000000"/>
          <w:kern w:val="0"/>
          <w:szCs w:val="21"/>
          <w:highlight w:val="none"/>
          <w:lang w:val="en-US" w:eastAsia="zh-CN"/>
        </w:rPr>
        <w:t>文件制作操作手册》）。</w:t>
      </w:r>
    </w:p>
    <w:p w14:paraId="45DF5550">
      <w:pPr>
        <w:pageBreakBefore w:val="0"/>
        <w:widowControl/>
        <w:kinsoku/>
        <w:wordWrap/>
        <w:overflowPunct/>
        <w:topLinePunct w:val="0"/>
        <w:bidi w:val="0"/>
        <w:adjustRightInd/>
        <w:snapToGrid/>
        <w:spacing w:line="360" w:lineRule="auto"/>
        <w:ind w:firstLine="420"/>
        <w:rPr>
          <w:rFonts w:hint="eastAsia"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lang w:val="en-US" w:eastAsia="zh-CN"/>
        </w:rPr>
        <w:t>1.2、投标人（供应商）须在投标截止时间前登陆荥阳市公共资源交易平台上传加密的电子</w:t>
      </w:r>
      <w:r>
        <w:rPr>
          <w:rFonts w:hint="eastAsia" w:ascii="宋体" w:hAnsi="宋体" w:cs="宋体"/>
          <w:color w:val="000000"/>
          <w:kern w:val="0"/>
          <w:szCs w:val="21"/>
          <w:highlight w:val="none"/>
          <w:lang w:val="en-US" w:eastAsia="zh-CN"/>
        </w:rPr>
        <w:t>投标</w:t>
      </w:r>
      <w:r>
        <w:rPr>
          <w:rFonts w:hint="eastAsia" w:ascii="宋体" w:hAnsi="宋体" w:eastAsia="宋体" w:cs="宋体"/>
          <w:color w:val="000000"/>
          <w:kern w:val="0"/>
          <w:szCs w:val="21"/>
          <w:highlight w:val="none"/>
          <w:lang w:val="en-US" w:eastAsia="zh-CN"/>
        </w:rPr>
        <w:t>文件。</w:t>
      </w:r>
    </w:p>
    <w:p w14:paraId="2823F945">
      <w:pPr>
        <w:pageBreakBefore w:val="0"/>
        <w:widowControl/>
        <w:kinsoku/>
        <w:wordWrap/>
        <w:overflowPunct/>
        <w:topLinePunct w:val="0"/>
        <w:bidi w:val="0"/>
        <w:adjustRightInd/>
        <w:snapToGrid/>
        <w:spacing w:line="360" w:lineRule="auto"/>
        <w:ind w:firstLine="420"/>
        <w:rPr>
          <w:rFonts w:hint="eastAsia"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lang w:val="en-US" w:eastAsia="zh-CN"/>
        </w:rPr>
        <w:t>2、开标：本项目采用“远程不见面”开标方式，投标人（供应商）应当在投标截止时间前登陆荥阳市公共资源交易中心网站首页“不见面开标”进入远程开标大厅，在线准时参加开标活动并进行文件解密、答疑澄清等。具体事宜请查看荥阳市公共资源交易中心网站—办事指南—《荥阳市公共资源交易中心不见面开标大厅操作手册（投标人）》。</w:t>
      </w:r>
    </w:p>
    <w:p w14:paraId="3D9858B2">
      <w:pPr>
        <w:pageBreakBefore w:val="0"/>
        <w:widowControl/>
        <w:kinsoku/>
        <w:wordWrap/>
        <w:overflowPunct/>
        <w:topLinePunct w:val="0"/>
        <w:bidi w:val="0"/>
        <w:adjustRightInd/>
        <w:snapToGrid/>
        <w:spacing w:line="360" w:lineRule="auto"/>
        <w:ind w:firstLine="420"/>
        <w:rPr>
          <w:rFonts w:hint="eastAsia"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lang w:val="en-US" w:eastAsia="zh-CN"/>
        </w:rPr>
        <w:t>3、注意事项：</w:t>
      </w:r>
    </w:p>
    <w:p w14:paraId="6F4B0636">
      <w:pPr>
        <w:pageBreakBefore w:val="0"/>
        <w:widowControl/>
        <w:kinsoku/>
        <w:wordWrap/>
        <w:overflowPunct/>
        <w:topLinePunct w:val="0"/>
        <w:bidi w:val="0"/>
        <w:adjustRightInd/>
        <w:snapToGrid/>
        <w:spacing w:line="360" w:lineRule="auto"/>
        <w:ind w:firstLine="420"/>
        <w:rPr>
          <w:rFonts w:hint="eastAsia"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lang w:val="en-US" w:eastAsia="zh-CN"/>
        </w:rPr>
        <w:t>3.1、请供应商务必按照“荥阳市公共资源交易中心不见面开标大厅操作手册（投标人）”的要求设置参与不见面开标的电脑环境，否则由此可能引起的签到失败、解密失败或无法解密等问题由供应商自行承担。</w:t>
      </w:r>
    </w:p>
    <w:p w14:paraId="730C4BEA">
      <w:pPr>
        <w:pageBreakBefore w:val="0"/>
        <w:widowControl/>
        <w:kinsoku/>
        <w:wordWrap/>
        <w:overflowPunct/>
        <w:topLinePunct w:val="0"/>
        <w:bidi w:val="0"/>
        <w:adjustRightInd/>
        <w:snapToGrid/>
        <w:spacing w:line="360" w:lineRule="auto"/>
        <w:ind w:firstLine="420"/>
        <w:rPr>
          <w:rFonts w:hint="eastAsia"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lang w:val="en-US" w:eastAsia="zh-CN"/>
        </w:rPr>
        <w:t>3.2、所有供应商应提前30分钟，登录开标大厅进行不见面开标准备工作。所有供应商登录开标大厅后，须在投标截止时间前完成签到，其后应一直保持在线状态，保证能准时参加开标大会、响应文件的解密、现场答疑澄清等活动。</w:t>
      </w:r>
    </w:p>
    <w:p w14:paraId="2FC9F271">
      <w:pPr>
        <w:pageBreakBefore w:val="0"/>
        <w:widowControl/>
        <w:kinsoku/>
        <w:wordWrap/>
        <w:overflowPunct/>
        <w:topLinePunct w:val="0"/>
        <w:bidi w:val="0"/>
        <w:adjustRightInd/>
        <w:snapToGrid/>
        <w:spacing w:line="360" w:lineRule="auto"/>
        <w:ind w:firstLine="420"/>
        <w:rPr>
          <w:rFonts w:hint="eastAsia"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lang w:val="en-US" w:eastAsia="zh-CN"/>
        </w:rPr>
        <w:t>3.3、供应商应在解密时间内插入CA锁，输入密码进行解密。如在解密时间内解密失败，可再次解密，供应商应在规定时间内完成解密，否则采购人不予受理。</w:t>
      </w:r>
    </w:p>
    <w:p w14:paraId="26CAFE09">
      <w:pPr>
        <w:pageBreakBefore w:val="0"/>
        <w:widowControl/>
        <w:kinsoku/>
        <w:wordWrap/>
        <w:overflowPunct/>
        <w:topLinePunct w:val="0"/>
        <w:bidi w:val="0"/>
        <w:adjustRightInd/>
        <w:snapToGrid/>
        <w:spacing w:line="360" w:lineRule="auto"/>
        <w:ind w:firstLine="420"/>
        <w:rPr>
          <w:rFonts w:hint="eastAsia"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lang w:val="en-US" w:eastAsia="zh-CN"/>
        </w:rPr>
        <w:t>3.4、逾期上传的或者未上传指定地点的</w:t>
      </w:r>
      <w:r>
        <w:rPr>
          <w:rFonts w:hint="eastAsia" w:ascii="宋体" w:hAnsi="宋体" w:cs="宋体"/>
          <w:color w:val="000000"/>
          <w:kern w:val="0"/>
          <w:szCs w:val="21"/>
          <w:highlight w:val="none"/>
          <w:lang w:val="en-US" w:eastAsia="zh-CN"/>
        </w:rPr>
        <w:t>投标</w:t>
      </w:r>
      <w:r>
        <w:rPr>
          <w:rFonts w:hint="eastAsia" w:ascii="宋体" w:hAnsi="宋体" w:eastAsia="宋体" w:cs="宋体"/>
          <w:color w:val="000000"/>
          <w:kern w:val="0"/>
          <w:szCs w:val="21"/>
          <w:highlight w:val="none"/>
          <w:lang w:val="en-US" w:eastAsia="zh-CN"/>
        </w:rPr>
        <w:t>文件，采购人不予受理。</w:t>
      </w:r>
    </w:p>
    <w:p w14:paraId="3D607561">
      <w:pPr>
        <w:pageBreakBefore w:val="0"/>
        <w:widowControl/>
        <w:kinsoku/>
        <w:wordWrap/>
        <w:overflowPunct/>
        <w:topLinePunct w:val="0"/>
        <w:bidi w:val="0"/>
        <w:adjustRightInd/>
        <w:snapToGrid/>
        <w:spacing w:line="360" w:lineRule="auto"/>
        <w:ind w:firstLine="420"/>
        <w:rPr>
          <w:rFonts w:hint="eastAsia"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lang w:val="en-US" w:eastAsia="zh-CN"/>
        </w:rPr>
        <w:t>3.5、如遇问题，请拨打技术服务单位（国泰新点）电话：4009980000。</w:t>
      </w:r>
    </w:p>
    <w:p w14:paraId="12D891DB">
      <w:pPr>
        <w:pageBreakBefore w:val="0"/>
        <w:widowControl/>
        <w:kinsoku/>
        <w:wordWrap/>
        <w:overflowPunct/>
        <w:topLinePunct w:val="0"/>
        <w:bidi w:val="0"/>
        <w:adjustRightInd/>
        <w:snapToGrid/>
        <w:spacing w:line="360" w:lineRule="auto"/>
        <w:ind w:firstLine="420"/>
        <w:rPr>
          <w:rFonts w:hint="eastAsia"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lang w:val="en-US" w:eastAsia="zh-CN"/>
        </w:rPr>
        <w:t>注：请各供应商密切关注《荥阳市公共资源交易中心网站》，以便及时了解项目最新进展情况。</w:t>
      </w:r>
    </w:p>
    <w:p w14:paraId="4FB26F0E">
      <w:pPr>
        <w:pageBreakBefore w:val="0"/>
        <w:widowControl/>
        <w:kinsoku/>
        <w:wordWrap/>
        <w:overflowPunct/>
        <w:topLinePunct w:val="0"/>
        <w:bidi w:val="0"/>
        <w:adjustRightInd/>
        <w:snapToGrid/>
        <w:spacing w:line="360" w:lineRule="auto"/>
        <w:ind w:firstLine="420"/>
        <w:rPr>
          <w:rFonts w:hint="eastAsia"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lang w:val="en-US" w:eastAsia="zh-CN"/>
        </w:rPr>
        <w:t>4、本次采购招标代理服务费，参考河南省招标投标协会（豫招协[2023]002号）文规定的计费方式，向</w:t>
      </w:r>
      <w:r>
        <w:rPr>
          <w:rFonts w:hint="eastAsia" w:ascii="宋体" w:hAnsi="宋体" w:cs="宋体"/>
          <w:color w:val="000000"/>
          <w:kern w:val="0"/>
          <w:szCs w:val="21"/>
          <w:highlight w:val="none"/>
          <w:lang w:val="en-US" w:eastAsia="zh-CN"/>
        </w:rPr>
        <w:t>中标人</w:t>
      </w:r>
      <w:r>
        <w:rPr>
          <w:rFonts w:hint="eastAsia" w:ascii="宋体" w:hAnsi="宋体" w:eastAsia="宋体" w:cs="宋体"/>
          <w:color w:val="000000"/>
          <w:kern w:val="0"/>
          <w:szCs w:val="21"/>
          <w:highlight w:val="none"/>
          <w:lang w:val="en-US" w:eastAsia="zh-CN"/>
        </w:rPr>
        <w:t>收取代理服务费。</w:t>
      </w:r>
    </w:p>
    <w:p w14:paraId="4F1BF010">
      <w:pPr>
        <w:pageBreakBefore w:val="0"/>
        <w:widowControl/>
        <w:kinsoku/>
        <w:wordWrap/>
        <w:overflowPunct/>
        <w:topLinePunct w:val="0"/>
        <w:bidi w:val="0"/>
        <w:adjustRightInd/>
        <w:snapToGrid/>
        <w:spacing w:line="360" w:lineRule="auto"/>
        <w:ind w:firstLine="420"/>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lang w:val="en-US" w:eastAsia="zh-CN"/>
        </w:rPr>
        <w:t>5、本项目采购监督部门为：荥阳市财政局</w:t>
      </w:r>
      <w:r>
        <w:rPr>
          <w:rFonts w:hint="eastAsia" w:ascii="宋体" w:hAnsi="宋体" w:eastAsia="宋体" w:cs="宋体"/>
          <w:color w:val="000000"/>
          <w:kern w:val="0"/>
          <w:szCs w:val="21"/>
          <w:highlight w:val="none"/>
        </w:rPr>
        <w:t>。</w:t>
      </w:r>
    </w:p>
    <w:p w14:paraId="122F43CA">
      <w:pPr>
        <w:pageBreakBefore w:val="0"/>
        <w:widowControl/>
        <w:kinsoku/>
        <w:wordWrap/>
        <w:overflowPunct/>
        <w:topLinePunct w:val="0"/>
        <w:bidi w:val="0"/>
        <w:adjustRightInd/>
        <w:snapToGrid/>
        <w:spacing w:line="360" w:lineRule="auto"/>
        <w:rPr>
          <w:rFonts w:hint="eastAsia" w:ascii="宋体" w:hAnsi="宋体" w:eastAsia="宋体" w:cs="宋体"/>
          <w:b/>
          <w:bCs/>
          <w:color w:val="000000"/>
          <w:kern w:val="0"/>
          <w:szCs w:val="21"/>
          <w:highlight w:val="none"/>
        </w:rPr>
      </w:pPr>
      <w:r>
        <w:rPr>
          <w:rFonts w:hint="eastAsia" w:ascii="宋体" w:hAnsi="宋体" w:eastAsia="宋体" w:cs="宋体"/>
          <w:b/>
          <w:bCs/>
          <w:color w:val="000000"/>
          <w:kern w:val="0"/>
          <w:szCs w:val="21"/>
          <w:highlight w:val="none"/>
        </w:rPr>
        <w:t>八、对本次招标提出询问，请按以下方式联系</w:t>
      </w:r>
    </w:p>
    <w:p w14:paraId="518CAFF2">
      <w:pPr>
        <w:pageBreakBefore w:val="0"/>
        <w:widowControl/>
        <w:kinsoku/>
        <w:wordWrap/>
        <w:overflowPunct/>
        <w:topLinePunct w:val="0"/>
        <w:bidi w:val="0"/>
        <w:adjustRightInd/>
        <w:snapToGrid/>
        <w:spacing w:line="360" w:lineRule="auto"/>
        <w:ind w:firstLine="525" w:firstLineChars="250"/>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eastAsia="zh-CN"/>
        </w:rPr>
        <w:t>、</w:t>
      </w:r>
      <w:r>
        <w:rPr>
          <w:rFonts w:hint="eastAsia" w:ascii="宋体" w:hAnsi="宋体" w:eastAsia="宋体" w:cs="宋体"/>
          <w:highlight w:val="none"/>
        </w:rPr>
        <w:t xml:space="preserve">采购人信息 </w:t>
      </w:r>
    </w:p>
    <w:p w14:paraId="13971FA8">
      <w:pPr>
        <w:pageBreakBefore w:val="0"/>
        <w:widowControl/>
        <w:kinsoku/>
        <w:wordWrap/>
        <w:overflowPunct/>
        <w:topLinePunct w:val="0"/>
        <w:bidi w:val="0"/>
        <w:adjustRightInd/>
        <w:snapToGrid/>
        <w:spacing w:line="360" w:lineRule="auto"/>
        <w:ind w:firstLine="525" w:firstLineChars="250"/>
        <w:rPr>
          <w:rFonts w:hint="eastAsia" w:ascii="宋体" w:hAnsi="宋体" w:eastAsia="宋体" w:cs="宋体"/>
          <w:highlight w:val="none"/>
          <w:lang w:eastAsia="zh-CN"/>
        </w:rPr>
      </w:pPr>
      <w:r>
        <w:rPr>
          <w:rFonts w:hint="eastAsia" w:ascii="宋体" w:hAnsi="宋体" w:eastAsia="宋体" w:cs="宋体"/>
          <w:highlight w:val="none"/>
        </w:rPr>
        <w:t>名称：</w:t>
      </w:r>
      <w:r>
        <w:rPr>
          <w:rFonts w:hint="eastAsia" w:ascii="宋体" w:hAnsi="宋体" w:eastAsia="宋体" w:cs="宋体"/>
          <w:highlight w:val="none"/>
          <w:lang w:eastAsia="zh-CN"/>
        </w:rPr>
        <w:t>荥阳市</w:t>
      </w:r>
      <w:r>
        <w:rPr>
          <w:rFonts w:hint="eastAsia" w:ascii="宋体" w:hAnsi="宋体" w:eastAsia="宋体" w:cs="宋体"/>
          <w:highlight w:val="none"/>
          <w:lang w:val="en-US" w:eastAsia="zh-CN"/>
        </w:rPr>
        <w:t>林业局</w:t>
      </w:r>
    </w:p>
    <w:p w14:paraId="6177BF05">
      <w:pPr>
        <w:pageBreakBefore w:val="0"/>
        <w:widowControl/>
        <w:kinsoku/>
        <w:wordWrap/>
        <w:overflowPunct/>
        <w:topLinePunct w:val="0"/>
        <w:bidi w:val="0"/>
        <w:adjustRightInd/>
        <w:snapToGrid/>
        <w:spacing w:line="360" w:lineRule="auto"/>
        <w:ind w:firstLine="525" w:firstLineChars="250"/>
        <w:rPr>
          <w:rFonts w:hint="default" w:ascii="宋体" w:hAnsi="宋体" w:eastAsia="宋体" w:cs="宋体"/>
          <w:highlight w:val="none"/>
          <w:lang w:val="en-US" w:eastAsia="zh-CN"/>
        </w:rPr>
      </w:pPr>
      <w:r>
        <w:rPr>
          <w:rFonts w:hint="eastAsia" w:ascii="宋体" w:hAnsi="宋体" w:eastAsia="宋体" w:cs="宋体"/>
          <w:highlight w:val="none"/>
        </w:rPr>
        <w:t>地址：荥阳市惠民路</w:t>
      </w:r>
      <w:r>
        <w:rPr>
          <w:rFonts w:hint="eastAsia" w:ascii="宋体" w:hAnsi="宋体" w:cs="宋体"/>
          <w:highlight w:val="none"/>
          <w:lang w:val="en-US" w:eastAsia="zh-CN"/>
        </w:rPr>
        <w:t>28号</w:t>
      </w:r>
    </w:p>
    <w:p w14:paraId="487B4137">
      <w:pPr>
        <w:pageBreakBefore w:val="0"/>
        <w:widowControl/>
        <w:kinsoku/>
        <w:wordWrap/>
        <w:overflowPunct/>
        <w:topLinePunct w:val="0"/>
        <w:bidi w:val="0"/>
        <w:adjustRightInd/>
        <w:snapToGrid/>
        <w:spacing w:line="360" w:lineRule="auto"/>
        <w:ind w:firstLine="525" w:firstLineChars="250"/>
        <w:rPr>
          <w:rFonts w:hint="default" w:ascii="宋体" w:hAnsi="宋体" w:eastAsia="宋体" w:cs="宋体"/>
          <w:highlight w:val="none"/>
          <w:lang w:val="en-US" w:eastAsia="zh-CN"/>
        </w:rPr>
      </w:pPr>
      <w:r>
        <w:rPr>
          <w:rFonts w:hint="eastAsia" w:ascii="宋体" w:hAnsi="宋体" w:eastAsia="宋体" w:cs="宋体"/>
          <w:highlight w:val="none"/>
        </w:rPr>
        <w:t>联系人：王旭照</w:t>
      </w:r>
    </w:p>
    <w:p w14:paraId="3C997DC6">
      <w:pPr>
        <w:pageBreakBefore w:val="0"/>
        <w:widowControl/>
        <w:kinsoku/>
        <w:wordWrap/>
        <w:overflowPunct/>
        <w:topLinePunct w:val="0"/>
        <w:bidi w:val="0"/>
        <w:adjustRightInd/>
        <w:snapToGrid/>
        <w:spacing w:line="360" w:lineRule="auto"/>
        <w:ind w:firstLine="525" w:firstLineChars="250"/>
        <w:rPr>
          <w:rFonts w:hint="default" w:ascii="宋体" w:hAnsi="宋体" w:eastAsia="宋体" w:cs="宋体"/>
          <w:highlight w:val="none"/>
          <w:lang w:val="en-US" w:eastAsia="zh-CN"/>
        </w:rPr>
      </w:pPr>
      <w:r>
        <w:rPr>
          <w:rFonts w:hint="eastAsia" w:ascii="宋体" w:hAnsi="宋体" w:eastAsia="宋体" w:cs="宋体"/>
          <w:highlight w:val="none"/>
          <w:lang w:val="en-US" w:eastAsia="zh-CN"/>
        </w:rPr>
        <w:t>联系方式</w:t>
      </w:r>
      <w:r>
        <w:rPr>
          <w:rFonts w:hint="eastAsia" w:ascii="宋体" w:hAnsi="宋体" w:eastAsia="宋体" w:cs="宋体"/>
          <w:highlight w:val="none"/>
        </w:rPr>
        <w:t>：0371-852958</w:t>
      </w:r>
      <w:r>
        <w:rPr>
          <w:rFonts w:hint="eastAsia" w:ascii="宋体" w:hAnsi="宋体" w:cs="宋体"/>
          <w:highlight w:val="none"/>
          <w:lang w:val="en-US" w:eastAsia="zh-CN"/>
        </w:rPr>
        <w:t>11</w:t>
      </w:r>
    </w:p>
    <w:p w14:paraId="62CAD9C1">
      <w:pPr>
        <w:pageBreakBefore w:val="0"/>
        <w:widowControl/>
        <w:kinsoku/>
        <w:wordWrap/>
        <w:overflowPunct/>
        <w:topLinePunct w:val="0"/>
        <w:bidi w:val="0"/>
        <w:adjustRightInd/>
        <w:snapToGrid/>
        <w:spacing w:line="360" w:lineRule="auto"/>
        <w:ind w:firstLine="525" w:firstLineChars="250"/>
        <w:rPr>
          <w:rFonts w:hint="eastAsia" w:ascii="宋体" w:hAnsi="宋体" w:eastAsia="宋体" w:cs="宋体"/>
          <w:highlight w:val="none"/>
        </w:rPr>
      </w:pPr>
      <w:r>
        <w:rPr>
          <w:rFonts w:hint="eastAsia" w:ascii="宋体" w:hAnsi="宋体" w:eastAsia="宋体" w:cs="宋体"/>
          <w:highlight w:val="none"/>
          <w:lang w:val="en-US" w:eastAsia="zh-CN"/>
        </w:rPr>
        <w:t>2、</w:t>
      </w:r>
      <w:r>
        <w:rPr>
          <w:rFonts w:hint="eastAsia" w:ascii="宋体" w:hAnsi="宋体" w:eastAsia="宋体" w:cs="宋体"/>
          <w:highlight w:val="none"/>
        </w:rPr>
        <w:t xml:space="preserve">采购代理机构信息（如有） </w:t>
      </w:r>
    </w:p>
    <w:p w14:paraId="6DE9E0F4">
      <w:pPr>
        <w:pageBreakBefore w:val="0"/>
        <w:widowControl/>
        <w:kinsoku/>
        <w:wordWrap/>
        <w:overflowPunct/>
        <w:topLinePunct w:val="0"/>
        <w:bidi w:val="0"/>
        <w:adjustRightInd/>
        <w:snapToGrid/>
        <w:spacing w:line="360" w:lineRule="auto"/>
        <w:ind w:firstLine="525" w:firstLineChars="250"/>
        <w:rPr>
          <w:rFonts w:hint="eastAsia" w:ascii="宋体" w:hAnsi="宋体" w:eastAsia="宋体" w:cs="宋体"/>
          <w:highlight w:val="none"/>
          <w:lang w:eastAsia="zh-CN"/>
        </w:rPr>
      </w:pPr>
      <w:r>
        <w:rPr>
          <w:rFonts w:hint="eastAsia" w:ascii="宋体" w:hAnsi="宋体" w:eastAsia="宋体" w:cs="宋体"/>
          <w:highlight w:val="none"/>
        </w:rPr>
        <w:t>名称：</w:t>
      </w:r>
      <w:r>
        <w:rPr>
          <w:rFonts w:hint="eastAsia" w:ascii="宋体" w:hAnsi="宋体" w:eastAsia="宋体" w:cs="宋体"/>
          <w:highlight w:val="none"/>
          <w:lang w:val="en-US" w:eastAsia="zh-CN"/>
        </w:rPr>
        <w:t>河南保利招标咨询有限公司</w:t>
      </w:r>
    </w:p>
    <w:p w14:paraId="792E1944">
      <w:pPr>
        <w:pageBreakBefore w:val="0"/>
        <w:widowControl/>
        <w:kinsoku/>
        <w:wordWrap/>
        <w:overflowPunct/>
        <w:topLinePunct w:val="0"/>
        <w:bidi w:val="0"/>
        <w:adjustRightInd/>
        <w:snapToGrid/>
        <w:spacing w:line="360" w:lineRule="auto"/>
        <w:ind w:firstLine="525" w:firstLineChars="250"/>
        <w:rPr>
          <w:rFonts w:hint="eastAsia" w:ascii="宋体" w:hAnsi="宋体" w:eastAsia="宋体" w:cs="宋体"/>
          <w:highlight w:val="none"/>
          <w:lang w:eastAsia="zh-CN"/>
        </w:rPr>
      </w:pPr>
      <w:r>
        <w:rPr>
          <w:rFonts w:hint="eastAsia" w:ascii="宋体" w:hAnsi="宋体" w:eastAsia="宋体" w:cs="宋体"/>
          <w:highlight w:val="none"/>
        </w:rPr>
        <w:t>地址：郑州市高新区迎春街企业总部基地二期72号楼10楼</w:t>
      </w:r>
    </w:p>
    <w:p w14:paraId="3A18E20D">
      <w:pPr>
        <w:pageBreakBefore w:val="0"/>
        <w:widowControl/>
        <w:kinsoku/>
        <w:wordWrap/>
        <w:overflowPunct/>
        <w:topLinePunct w:val="0"/>
        <w:bidi w:val="0"/>
        <w:adjustRightInd/>
        <w:snapToGrid/>
        <w:spacing w:line="360" w:lineRule="auto"/>
        <w:ind w:firstLine="525" w:firstLineChars="250"/>
        <w:rPr>
          <w:rFonts w:hint="eastAsia" w:ascii="宋体" w:hAnsi="宋体" w:eastAsia="宋体" w:cs="宋体"/>
          <w:highlight w:val="none"/>
          <w:lang w:val="en-US" w:eastAsia="zh-CN"/>
        </w:rPr>
      </w:pPr>
      <w:r>
        <w:rPr>
          <w:rFonts w:hint="eastAsia" w:ascii="宋体" w:hAnsi="宋体" w:eastAsia="宋体" w:cs="宋体"/>
          <w:highlight w:val="none"/>
        </w:rPr>
        <w:t>联系人：崔梦圆</w:t>
      </w:r>
    </w:p>
    <w:p w14:paraId="3EFF6AA4">
      <w:pPr>
        <w:pageBreakBefore w:val="0"/>
        <w:widowControl/>
        <w:kinsoku/>
        <w:wordWrap/>
        <w:overflowPunct/>
        <w:topLinePunct w:val="0"/>
        <w:bidi w:val="0"/>
        <w:adjustRightInd/>
        <w:snapToGrid/>
        <w:spacing w:line="360" w:lineRule="auto"/>
        <w:ind w:firstLine="525" w:firstLineChars="250"/>
        <w:rPr>
          <w:rFonts w:hint="eastAsia" w:ascii="宋体" w:hAnsi="宋体" w:eastAsia="宋体" w:cs="宋体"/>
          <w:highlight w:val="none"/>
          <w:lang w:val="en-US" w:eastAsia="zh-CN"/>
        </w:rPr>
      </w:pPr>
      <w:r>
        <w:rPr>
          <w:rFonts w:hint="eastAsia" w:ascii="宋体" w:hAnsi="宋体" w:eastAsia="宋体" w:cs="宋体"/>
          <w:highlight w:val="none"/>
        </w:rPr>
        <w:t>联系方式：15093100065</w:t>
      </w:r>
    </w:p>
    <w:p w14:paraId="6BC06D27">
      <w:pPr>
        <w:pageBreakBefore w:val="0"/>
        <w:widowControl/>
        <w:kinsoku/>
        <w:wordWrap/>
        <w:overflowPunct/>
        <w:topLinePunct w:val="0"/>
        <w:bidi w:val="0"/>
        <w:adjustRightInd/>
        <w:snapToGrid/>
        <w:spacing w:line="360" w:lineRule="auto"/>
        <w:ind w:firstLine="525" w:firstLineChars="250"/>
        <w:rPr>
          <w:rFonts w:hint="eastAsia" w:ascii="宋体" w:hAnsi="宋体" w:eastAsia="宋体" w:cs="宋体"/>
          <w:highlight w:val="none"/>
          <w:lang w:eastAsia="zh-CN"/>
        </w:rPr>
      </w:pPr>
      <w:r>
        <w:rPr>
          <w:rFonts w:hint="eastAsia" w:ascii="宋体" w:hAnsi="宋体" w:eastAsia="宋体" w:cs="宋体"/>
          <w:highlight w:val="none"/>
          <w:lang w:val="en-US" w:eastAsia="zh-CN"/>
        </w:rPr>
        <w:t>3、</w:t>
      </w:r>
      <w:r>
        <w:rPr>
          <w:rFonts w:hint="eastAsia" w:ascii="宋体" w:hAnsi="宋体" w:eastAsia="宋体" w:cs="宋体"/>
          <w:highlight w:val="none"/>
          <w:lang w:eastAsia="zh-CN"/>
        </w:rPr>
        <w:t xml:space="preserve">项目联系方式 </w:t>
      </w:r>
    </w:p>
    <w:p w14:paraId="1E0BD264">
      <w:pPr>
        <w:pageBreakBefore w:val="0"/>
        <w:widowControl/>
        <w:kinsoku/>
        <w:wordWrap/>
        <w:overflowPunct/>
        <w:topLinePunct w:val="0"/>
        <w:bidi w:val="0"/>
        <w:adjustRightInd/>
        <w:snapToGrid/>
        <w:spacing w:line="360" w:lineRule="auto"/>
        <w:ind w:firstLine="525" w:firstLineChars="250"/>
        <w:rPr>
          <w:rFonts w:hint="default" w:ascii="宋体" w:hAnsi="宋体" w:eastAsia="宋体" w:cs="宋体"/>
          <w:highlight w:val="none"/>
          <w:lang w:val="en-US" w:eastAsia="zh-CN"/>
        </w:rPr>
      </w:pPr>
      <w:r>
        <w:rPr>
          <w:rFonts w:hint="eastAsia" w:ascii="宋体" w:hAnsi="宋体" w:eastAsia="宋体" w:cs="宋体"/>
          <w:highlight w:val="none"/>
          <w:lang w:eastAsia="zh-CN"/>
        </w:rPr>
        <w:t>联系人：崔梦圆</w:t>
      </w:r>
    </w:p>
    <w:p w14:paraId="4D351D38">
      <w:pPr>
        <w:pageBreakBefore w:val="0"/>
        <w:widowControl/>
        <w:kinsoku/>
        <w:wordWrap/>
        <w:overflowPunct/>
        <w:topLinePunct w:val="0"/>
        <w:bidi w:val="0"/>
        <w:adjustRightInd/>
        <w:snapToGrid/>
        <w:spacing w:line="360" w:lineRule="auto"/>
        <w:ind w:firstLine="525" w:firstLineChars="250"/>
        <w:rPr>
          <w:rFonts w:hint="eastAsia" w:ascii="宋体" w:hAnsi="宋体" w:eastAsia="宋体" w:cs="宋体"/>
          <w:highlight w:val="none"/>
          <w:lang w:val="en-US" w:eastAsia="zh-CN"/>
        </w:rPr>
      </w:pPr>
      <w:r>
        <w:rPr>
          <w:rFonts w:hint="eastAsia" w:ascii="宋体" w:hAnsi="宋体" w:eastAsia="宋体" w:cs="宋体"/>
          <w:highlight w:val="none"/>
          <w:lang w:eastAsia="zh-CN"/>
        </w:rPr>
        <w:t>联系方式：15093100065</w:t>
      </w:r>
    </w:p>
    <w:p w14:paraId="72B33D42">
      <w:pPr>
        <w:rPr>
          <w:rFonts w:hint="eastAsia" w:ascii="宋体" w:hAnsi="宋体" w:eastAsia="宋体" w:cs="宋体"/>
          <w:highlight w:val="none"/>
          <w:lang w:val="en-US" w:eastAsia="zh-CN"/>
        </w:rPr>
      </w:pPr>
      <w:r>
        <w:rPr>
          <w:rFonts w:hint="eastAsia" w:ascii="宋体" w:hAnsi="宋体" w:eastAsia="宋体" w:cs="宋体"/>
          <w:highlight w:val="none"/>
          <w:lang w:val="en-US" w:eastAsia="zh-CN"/>
        </w:rPr>
        <w:br w:type="page"/>
      </w:r>
    </w:p>
    <w:p w14:paraId="72FDFD9C">
      <w:pPr>
        <w:pStyle w:val="2"/>
        <w:bidi w:val="0"/>
        <w:jc w:val="center"/>
        <w:rPr>
          <w:rFonts w:hint="eastAsia" w:ascii="宋体" w:hAnsi="宋体" w:eastAsia="宋体" w:cs="宋体"/>
          <w:highlight w:val="none"/>
        </w:rPr>
      </w:pPr>
      <w:bookmarkStart w:id="11" w:name="_Toc78373436"/>
      <w:bookmarkStart w:id="12" w:name="_Toc16860"/>
      <w:bookmarkStart w:id="13" w:name="_Toc16540"/>
      <w:bookmarkStart w:id="14" w:name="_Toc26632"/>
      <w:bookmarkStart w:id="15" w:name="_Toc184635073"/>
      <w:r>
        <w:rPr>
          <w:rFonts w:hint="eastAsia" w:ascii="宋体" w:hAnsi="宋体" w:eastAsia="宋体" w:cs="宋体"/>
          <w:highlight w:val="none"/>
        </w:rPr>
        <w:t xml:space="preserve">第二章 </w:t>
      </w:r>
      <w:r>
        <w:rPr>
          <w:rFonts w:hint="eastAsia" w:ascii="宋体" w:hAnsi="宋体" w:cs="宋体"/>
          <w:highlight w:val="none"/>
          <w:lang w:eastAsia="zh-CN"/>
        </w:rPr>
        <w:t>供应商</w:t>
      </w:r>
      <w:r>
        <w:rPr>
          <w:rFonts w:hint="eastAsia" w:ascii="宋体" w:hAnsi="宋体" w:eastAsia="宋体" w:cs="宋体"/>
          <w:highlight w:val="none"/>
        </w:rPr>
        <w:t>须知</w:t>
      </w:r>
      <w:bookmarkEnd w:id="11"/>
      <w:bookmarkEnd w:id="12"/>
      <w:bookmarkEnd w:id="13"/>
      <w:bookmarkEnd w:id="14"/>
    </w:p>
    <w:p w14:paraId="14CC9633">
      <w:pPr>
        <w:jc w:val="center"/>
        <w:rPr>
          <w:rFonts w:hint="eastAsia" w:ascii="宋体" w:hAnsi="宋体" w:eastAsia="宋体" w:cs="宋体"/>
          <w:b/>
          <w:color w:val="auto"/>
          <w:sz w:val="32"/>
          <w:szCs w:val="32"/>
          <w:highlight w:val="none"/>
        </w:rPr>
      </w:pPr>
      <w:r>
        <w:rPr>
          <w:rFonts w:hint="eastAsia" w:ascii="宋体" w:hAnsi="宋体" w:cs="宋体"/>
          <w:b/>
          <w:color w:val="auto"/>
          <w:sz w:val="32"/>
          <w:szCs w:val="32"/>
          <w:highlight w:val="none"/>
          <w:lang w:eastAsia="zh-CN"/>
        </w:rPr>
        <w:t>供应商</w:t>
      </w:r>
      <w:r>
        <w:rPr>
          <w:rFonts w:hint="eastAsia" w:ascii="宋体" w:hAnsi="宋体" w:eastAsia="宋体" w:cs="宋体"/>
          <w:b/>
          <w:color w:val="auto"/>
          <w:sz w:val="32"/>
          <w:szCs w:val="32"/>
          <w:highlight w:val="none"/>
        </w:rPr>
        <w:t>须知前附表</w:t>
      </w:r>
    </w:p>
    <w:tbl>
      <w:tblPr>
        <w:tblStyle w:val="21"/>
        <w:tblW w:w="95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0"/>
        <w:gridCol w:w="2573"/>
        <w:gridCol w:w="5787"/>
      </w:tblGrid>
      <w:tr w14:paraId="66B9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50" w:type="dxa"/>
            <w:vAlign w:val="center"/>
          </w:tcPr>
          <w:p w14:paraId="5BD795F4">
            <w:pPr>
              <w:pStyle w:val="27"/>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条款号</w:t>
            </w:r>
          </w:p>
        </w:tc>
        <w:tc>
          <w:tcPr>
            <w:tcW w:w="2573" w:type="dxa"/>
            <w:vAlign w:val="center"/>
          </w:tcPr>
          <w:p w14:paraId="2850B898">
            <w:pPr>
              <w:pStyle w:val="27"/>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条款名称</w:t>
            </w:r>
          </w:p>
        </w:tc>
        <w:tc>
          <w:tcPr>
            <w:tcW w:w="5787" w:type="dxa"/>
            <w:vAlign w:val="center"/>
          </w:tcPr>
          <w:p w14:paraId="4550784A">
            <w:pPr>
              <w:pStyle w:val="27"/>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编列内容</w:t>
            </w:r>
          </w:p>
        </w:tc>
      </w:tr>
      <w:tr w14:paraId="19BDC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56804000">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w:t>
            </w:r>
          </w:p>
        </w:tc>
        <w:tc>
          <w:tcPr>
            <w:tcW w:w="2573" w:type="dxa"/>
            <w:vAlign w:val="center"/>
          </w:tcPr>
          <w:p w14:paraId="6498F060">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w:t>
            </w:r>
          </w:p>
        </w:tc>
        <w:tc>
          <w:tcPr>
            <w:tcW w:w="5787" w:type="dxa"/>
            <w:vAlign w:val="center"/>
          </w:tcPr>
          <w:p w14:paraId="5BB7DAFD">
            <w:pPr>
              <w:pStyle w:val="2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eastAsia="zh-CN"/>
              </w:rPr>
              <w:t>荥阳市</w:t>
            </w:r>
            <w:r>
              <w:rPr>
                <w:rFonts w:hint="eastAsia" w:ascii="宋体" w:hAnsi="宋体" w:eastAsia="宋体" w:cs="宋体"/>
                <w:color w:val="auto"/>
                <w:sz w:val="21"/>
                <w:szCs w:val="21"/>
                <w:highlight w:val="none"/>
                <w:lang w:val="en-US" w:eastAsia="zh-CN"/>
              </w:rPr>
              <w:t>林业局</w:t>
            </w:r>
          </w:p>
          <w:p w14:paraId="0EE59366">
            <w:pPr>
              <w:pStyle w:val="2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地址：荥阳市惠民路</w:t>
            </w:r>
            <w:r>
              <w:rPr>
                <w:rFonts w:hint="eastAsia" w:ascii="宋体" w:hAnsi="宋体" w:eastAsia="宋体" w:cs="宋体"/>
                <w:color w:val="auto"/>
                <w:sz w:val="21"/>
                <w:szCs w:val="21"/>
                <w:highlight w:val="none"/>
                <w:lang w:val="en-US" w:eastAsia="zh-CN"/>
              </w:rPr>
              <w:t>28号</w:t>
            </w:r>
          </w:p>
          <w:p w14:paraId="5E9654FE">
            <w:pPr>
              <w:pStyle w:val="27"/>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联系人：王旭照</w:t>
            </w:r>
          </w:p>
          <w:p w14:paraId="2C01DE8B">
            <w:pPr>
              <w:pStyle w:val="27"/>
              <w:spacing w:line="360" w:lineRule="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联系方式</w:t>
            </w:r>
            <w:r>
              <w:rPr>
                <w:rFonts w:hint="eastAsia" w:ascii="宋体" w:hAnsi="宋体" w:eastAsia="宋体" w:cs="宋体"/>
                <w:color w:val="auto"/>
                <w:sz w:val="21"/>
                <w:szCs w:val="21"/>
                <w:highlight w:val="none"/>
              </w:rPr>
              <w:t>：0371-852958</w:t>
            </w:r>
            <w:r>
              <w:rPr>
                <w:rFonts w:hint="eastAsia" w:ascii="宋体" w:hAnsi="宋体" w:cs="宋体"/>
                <w:color w:val="auto"/>
                <w:sz w:val="21"/>
                <w:szCs w:val="21"/>
                <w:highlight w:val="none"/>
                <w:lang w:val="en-US" w:eastAsia="zh-CN"/>
              </w:rPr>
              <w:t>11</w:t>
            </w:r>
          </w:p>
        </w:tc>
      </w:tr>
      <w:tr w14:paraId="576DE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2DB84105">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w:t>
            </w:r>
          </w:p>
        </w:tc>
        <w:tc>
          <w:tcPr>
            <w:tcW w:w="2573" w:type="dxa"/>
            <w:vAlign w:val="center"/>
          </w:tcPr>
          <w:p w14:paraId="3244D610">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w:t>
            </w:r>
          </w:p>
        </w:tc>
        <w:tc>
          <w:tcPr>
            <w:tcW w:w="5787" w:type="dxa"/>
            <w:vAlign w:val="center"/>
          </w:tcPr>
          <w:p w14:paraId="3FD27EC8">
            <w:pPr>
              <w:pStyle w:val="27"/>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名称：河南保利招标咨询有限公司</w:t>
            </w:r>
          </w:p>
          <w:p w14:paraId="65CC2AA1">
            <w:pPr>
              <w:pStyle w:val="27"/>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地址：郑州市高新区迎春街企业总部基地二期72号楼10楼</w:t>
            </w:r>
          </w:p>
          <w:p w14:paraId="001B3350">
            <w:pPr>
              <w:pStyle w:val="27"/>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联系人：崔梦圆</w:t>
            </w:r>
          </w:p>
          <w:p w14:paraId="2854BBAB">
            <w:pPr>
              <w:pStyle w:val="27"/>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联系方式：15093100065</w:t>
            </w:r>
          </w:p>
        </w:tc>
      </w:tr>
      <w:tr w14:paraId="7734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1802C2A8">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1.1.4</w:t>
            </w:r>
          </w:p>
        </w:tc>
        <w:tc>
          <w:tcPr>
            <w:tcW w:w="2573" w:type="dxa"/>
            <w:vAlign w:val="center"/>
          </w:tcPr>
          <w:p w14:paraId="5E473F3B">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5787" w:type="dxa"/>
            <w:vAlign w:val="center"/>
          </w:tcPr>
          <w:p w14:paraId="2A0A52B8">
            <w:pPr>
              <w:pStyle w:val="2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荥阳市林业局城郊生态廊道养护项目</w:t>
            </w:r>
          </w:p>
        </w:tc>
      </w:tr>
      <w:tr w14:paraId="0724A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11310D80">
            <w:pPr>
              <w:pStyle w:val="27"/>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1.1.5</w:t>
            </w:r>
          </w:p>
        </w:tc>
        <w:tc>
          <w:tcPr>
            <w:tcW w:w="2573" w:type="dxa"/>
            <w:vAlign w:val="center"/>
          </w:tcPr>
          <w:p w14:paraId="730D5969">
            <w:pPr>
              <w:pStyle w:val="27"/>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项目编号</w:t>
            </w:r>
          </w:p>
        </w:tc>
        <w:tc>
          <w:tcPr>
            <w:tcW w:w="5787" w:type="dxa"/>
            <w:vAlign w:val="center"/>
          </w:tcPr>
          <w:p w14:paraId="45A13B6D">
            <w:pPr>
              <w:pStyle w:val="27"/>
              <w:spacing w:line="360" w:lineRule="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荥财公开-202</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13</w:t>
            </w:r>
          </w:p>
        </w:tc>
      </w:tr>
      <w:tr w14:paraId="35D97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37330D67">
            <w:pPr>
              <w:pStyle w:val="27"/>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1.1.6</w:t>
            </w:r>
          </w:p>
        </w:tc>
        <w:tc>
          <w:tcPr>
            <w:tcW w:w="2573" w:type="dxa"/>
            <w:vAlign w:val="center"/>
          </w:tcPr>
          <w:p w14:paraId="34AEC8BD">
            <w:pPr>
              <w:pStyle w:val="27"/>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采购项目属性</w:t>
            </w:r>
          </w:p>
        </w:tc>
        <w:tc>
          <w:tcPr>
            <w:tcW w:w="5787" w:type="dxa"/>
            <w:vAlign w:val="center"/>
          </w:tcPr>
          <w:p w14:paraId="5E327D91">
            <w:pPr>
              <w:pStyle w:val="2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服务类</w:t>
            </w:r>
          </w:p>
        </w:tc>
      </w:tr>
      <w:tr w14:paraId="6E975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150" w:type="dxa"/>
            <w:vAlign w:val="center"/>
          </w:tcPr>
          <w:p w14:paraId="270E8B6E">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w:t>
            </w:r>
          </w:p>
        </w:tc>
        <w:tc>
          <w:tcPr>
            <w:tcW w:w="2573" w:type="dxa"/>
            <w:vAlign w:val="center"/>
          </w:tcPr>
          <w:p w14:paraId="5008929F">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资金来源</w:t>
            </w:r>
          </w:p>
        </w:tc>
        <w:tc>
          <w:tcPr>
            <w:tcW w:w="5787" w:type="dxa"/>
            <w:vAlign w:val="center"/>
          </w:tcPr>
          <w:p w14:paraId="3CD9832D">
            <w:pPr>
              <w:pStyle w:val="27"/>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财政资金</w:t>
            </w:r>
          </w:p>
        </w:tc>
      </w:tr>
      <w:tr w14:paraId="0938C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2962669D">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w:t>
            </w:r>
          </w:p>
        </w:tc>
        <w:tc>
          <w:tcPr>
            <w:tcW w:w="2573" w:type="dxa"/>
            <w:vAlign w:val="center"/>
          </w:tcPr>
          <w:p w14:paraId="2A8A9AF1">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出资比例</w:t>
            </w:r>
          </w:p>
        </w:tc>
        <w:tc>
          <w:tcPr>
            <w:tcW w:w="5787" w:type="dxa"/>
            <w:vAlign w:val="center"/>
          </w:tcPr>
          <w:p w14:paraId="34DB8A04">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r>
      <w:tr w14:paraId="5F4AE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257816BB">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w:t>
            </w:r>
          </w:p>
        </w:tc>
        <w:tc>
          <w:tcPr>
            <w:tcW w:w="2573" w:type="dxa"/>
            <w:vAlign w:val="center"/>
          </w:tcPr>
          <w:p w14:paraId="577C5CF0">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资金落实情况</w:t>
            </w:r>
          </w:p>
        </w:tc>
        <w:tc>
          <w:tcPr>
            <w:tcW w:w="5787" w:type="dxa"/>
            <w:vAlign w:val="center"/>
          </w:tcPr>
          <w:p w14:paraId="28A647FF">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已落实</w:t>
            </w:r>
          </w:p>
        </w:tc>
      </w:tr>
      <w:tr w14:paraId="7AA57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611F54CC">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w:t>
            </w:r>
          </w:p>
        </w:tc>
        <w:tc>
          <w:tcPr>
            <w:tcW w:w="2573" w:type="dxa"/>
            <w:vAlign w:val="center"/>
          </w:tcPr>
          <w:p w14:paraId="07301201">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采购内容</w:t>
            </w:r>
          </w:p>
        </w:tc>
        <w:tc>
          <w:tcPr>
            <w:tcW w:w="5787" w:type="dxa"/>
            <w:vAlign w:val="center"/>
          </w:tcPr>
          <w:p w14:paraId="527AE0A6">
            <w:pPr>
              <w:pageBreakBefore w:val="0"/>
              <w:widowControl/>
              <w:kinsoku/>
              <w:wordWrap/>
              <w:overflowPunct/>
              <w:topLinePunct w:val="0"/>
              <w:bidi w:val="0"/>
              <w:adjustRightInd/>
              <w:snapToGrid/>
              <w:spacing w:line="360" w:lineRule="auto"/>
              <w:ind w:firstLine="422" w:firstLineChars="200"/>
              <w:rPr>
                <w:rFonts w:hint="eastAsia" w:ascii="宋体" w:hAnsi="宋体" w:eastAsia="宋体" w:cs="宋体"/>
                <w:szCs w:val="21"/>
                <w:highlight w:val="none"/>
                <w:lang w:val="en-US" w:eastAsia="zh-CN"/>
              </w:rPr>
            </w:pPr>
            <w:r>
              <w:rPr>
                <w:rFonts w:hint="eastAsia" w:ascii="宋体" w:hAnsi="宋体" w:eastAsia="宋体" w:cs="宋体"/>
                <w:b/>
                <w:bCs/>
                <w:szCs w:val="21"/>
                <w:highlight w:val="none"/>
                <w:lang w:val="en-US" w:eastAsia="zh-CN"/>
              </w:rPr>
              <w:t>一标段：</w:t>
            </w:r>
            <w:r>
              <w:rPr>
                <w:rFonts w:hint="eastAsia" w:ascii="宋体" w:hAnsi="宋体" w:eastAsia="宋体" w:cs="宋体"/>
                <w:szCs w:val="21"/>
                <w:highlight w:val="none"/>
                <w:lang w:val="en-US" w:eastAsia="zh-CN"/>
              </w:rPr>
              <w:t>2015年沿黄快速通道（桩号1-2）生态廊道建设项目</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廊道长度约12.30公里，两侧绿化宽度各18米，需管护绿化面积约42.133万平方米；</w:t>
            </w:r>
          </w:p>
          <w:p w14:paraId="506E3B3D">
            <w:pPr>
              <w:pageBreakBefore w:val="0"/>
              <w:widowControl/>
              <w:kinsoku/>
              <w:wordWrap/>
              <w:overflowPunct/>
              <w:topLinePunct w:val="0"/>
              <w:bidi w:val="0"/>
              <w:adjustRightInd/>
              <w:snapToGrid/>
              <w:spacing w:line="360" w:lineRule="auto"/>
              <w:ind w:firstLine="422" w:firstLineChars="200"/>
              <w:rPr>
                <w:rFonts w:hint="eastAsia" w:ascii="宋体" w:hAnsi="宋体" w:eastAsia="宋体" w:cs="宋体"/>
                <w:szCs w:val="21"/>
                <w:highlight w:val="none"/>
                <w:lang w:val="en-US" w:eastAsia="zh-CN"/>
              </w:rPr>
            </w:pPr>
            <w:r>
              <w:rPr>
                <w:rFonts w:hint="eastAsia" w:ascii="宋体" w:hAnsi="宋体" w:eastAsia="宋体" w:cs="宋体"/>
                <w:b/>
                <w:bCs/>
                <w:szCs w:val="21"/>
                <w:highlight w:val="none"/>
                <w:lang w:val="en-US" w:eastAsia="zh-CN"/>
              </w:rPr>
              <w:t>二标段：</w:t>
            </w:r>
            <w:r>
              <w:rPr>
                <w:rFonts w:hint="eastAsia" w:ascii="宋体" w:hAnsi="宋体" w:eastAsia="宋体" w:cs="宋体"/>
                <w:szCs w:val="21"/>
                <w:highlight w:val="none"/>
                <w:lang w:val="en-US" w:eastAsia="zh-CN"/>
              </w:rPr>
              <w:t>2015年沿黄快速通道（桩号2-3）生态廊道建设项目</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廊道长度约12.20公里，两侧绿化宽度各18米，需管护绿化面积约41.60万平方米；</w:t>
            </w:r>
          </w:p>
          <w:p w14:paraId="06D78C90">
            <w:pPr>
              <w:pageBreakBefore w:val="0"/>
              <w:widowControl/>
              <w:kinsoku/>
              <w:wordWrap/>
              <w:overflowPunct/>
              <w:topLinePunct w:val="0"/>
              <w:bidi w:val="0"/>
              <w:adjustRightInd/>
              <w:snapToGrid/>
              <w:spacing w:line="360" w:lineRule="auto"/>
              <w:ind w:firstLine="422" w:firstLineChars="200"/>
              <w:rPr>
                <w:rFonts w:hint="eastAsia" w:ascii="宋体" w:hAnsi="宋体" w:eastAsia="宋体" w:cs="宋体"/>
                <w:szCs w:val="21"/>
                <w:highlight w:val="none"/>
                <w:lang w:val="en-US" w:eastAsia="zh-CN"/>
              </w:rPr>
            </w:pPr>
            <w:r>
              <w:rPr>
                <w:rFonts w:hint="eastAsia" w:ascii="宋体" w:hAnsi="宋体" w:eastAsia="宋体" w:cs="宋体"/>
                <w:b/>
                <w:bCs/>
                <w:szCs w:val="21"/>
                <w:highlight w:val="none"/>
                <w:lang w:val="en-US" w:eastAsia="zh-CN"/>
              </w:rPr>
              <w:t>三标段：</w:t>
            </w:r>
            <w:r>
              <w:rPr>
                <w:rFonts w:hint="eastAsia" w:ascii="宋体" w:hAnsi="宋体" w:eastAsia="宋体" w:cs="宋体"/>
                <w:szCs w:val="21"/>
                <w:highlight w:val="none"/>
                <w:lang w:val="en-US" w:eastAsia="zh-CN"/>
              </w:rPr>
              <w:t>2015年沿黄快速通道（桩号3-4）生态廊道建设项目</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廊道长度约12.20公里，两侧绿化宽度各18米，需管护绿化面积约41.60万平方米；</w:t>
            </w:r>
          </w:p>
          <w:p w14:paraId="7668A7DD">
            <w:pPr>
              <w:pageBreakBefore w:val="0"/>
              <w:widowControl/>
              <w:kinsoku/>
              <w:wordWrap/>
              <w:overflowPunct/>
              <w:topLinePunct w:val="0"/>
              <w:bidi w:val="0"/>
              <w:adjustRightInd/>
              <w:snapToGrid/>
              <w:spacing w:line="360" w:lineRule="auto"/>
              <w:ind w:firstLine="422" w:firstLineChars="200"/>
              <w:rPr>
                <w:rFonts w:hint="eastAsia" w:ascii="宋体" w:hAnsi="宋体" w:eastAsia="宋体" w:cs="宋体"/>
                <w:szCs w:val="21"/>
                <w:highlight w:val="none"/>
                <w:lang w:val="en-US" w:eastAsia="zh-CN"/>
              </w:rPr>
            </w:pPr>
            <w:r>
              <w:rPr>
                <w:rFonts w:hint="eastAsia" w:ascii="宋体" w:hAnsi="宋体" w:eastAsia="宋体" w:cs="宋体"/>
                <w:b/>
                <w:bCs/>
                <w:szCs w:val="21"/>
                <w:highlight w:val="none"/>
                <w:lang w:val="en-US" w:eastAsia="zh-CN"/>
              </w:rPr>
              <w:t>四标段：</w:t>
            </w:r>
            <w:r>
              <w:rPr>
                <w:rFonts w:hint="eastAsia" w:ascii="宋体" w:hAnsi="宋体" w:eastAsia="宋体" w:cs="宋体"/>
                <w:szCs w:val="21"/>
                <w:highlight w:val="none"/>
                <w:lang w:val="en-US" w:eastAsia="zh-CN"/>
              </w:rPr>
              <w:t>2015年荥阳市石化北路生态廊道建设项目</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廊道长度约3.3公里，两侧绿化宽度各30米，需管护绿化面积约19.20万平方米；</w:t>
            </w:r>
          </w:p>
          <w:p w14:paraId="2779AFD6">
            <w:pPr>
              <w:pageBreakBefore w:val="0"/>
              <w:widowControl/>
              <w:kinsoku/>
              <w:wordWrap/>
              <w:overflowPunct/>
              <w:topLinePunct w:val="0"/>
              <w:bidi w:val="0"/>
              <w:adjustRightInd/>
              <w:snapToGrid/>
              <w:spacing w:line="360" w:lineRule="auto"/>
              <w:ind w:firstLine="422" w:firstLineChars="200"/>
              <w:rPr>
                <w:rFonts w:hint="eastAsia" w:ascii="宋体" w:hAnsi="宋体" w:eastAsia="宋体" w:cs="宋体"/>
                <w:szCs w:val="21"/>
                <w:highlight w:val="none"/>
                <w:lang w:val="en-US" w:eastAsia="zh-CN"/>
              </w:rPr>
            </w:pPr>
            <w:r>
              <w:rPr>
                <w:rFonts w:hint="eastAsia" w:ascii="宋体" w:hAnsi="宋体" w:eastAsia="宋体" w:cs="宋体"/>
                <w:b/>
                <w:bCs/>
                <w:szCs w:val="21"/>
                <w:highlight w:val="none"/>
                <w:lang w:val="en-US" w:eastAsia="zh-CN"/>
              </w:rPr>
              <w:t>五标段：</w:t>
            </w:r>
            <w:r>
              <w:rPr>
                <w:rFonts w:hint="eastAsia" w:ascii="宋体" w:hAnsi="宋体" w:eastAsia="宋体" w:cs="宋体"/>
                <w:szCs w:val="21"/>
                <w:highlight w:val="none"/>
                <w:lang w:val="en-US" w:eastAsia="zh-CN"/>
              </w:rPr>
              <w:t>2015年荥阳市环翠峪旅游大道生态廊道建设项目</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廊道长度约14.85公里，两侧绿化宽度各3-30米，需管护绿化面积约59.40万平方米；</w:t>
            </w:r>
          </w:p>
          <w:p w14:paraId="7252E753">
            <w:pPr>
              <w:pageBreakBefore w:val="0"/>
              <w:widowControl/>
              <w:kinsoku/>
              <w:wordWrap/>
              <w:overflowPunct/>
              <w:topLinePunct w:val="0"/>
              <w:bidi w:val="0"/>
              <w:adjustRightInd/>
              <w:snapToGrid/>
              <w:spacing w:line="360" w:lineRule="auto"/>
              <w:ind w:firstLine="422" w:firstLineChars="200"/>
              <w:rPr>
                <w:rFonts w:hint="eastAsia" w:ascii="宋体" w:hAnsi="宋体" w:eastAsia="宋体" w:cs="宋体"/>
                <w:szCs w:val="21"/>
                <w:highlight w:val="none"/>
                <w:lang w:val="en-US" w:eastAsia="zh-CN"/>
              </w:rPr>
            </w:pPr>
            <w:r>
              <w:rPr>
                <w:rFonts w:hint="eastAsia" w:ascii="宋体" w:hAnsi="宋体" w:eastAsia="宋体" w:cs="宋体"/>
                <w:b/>
                <w:bCs/>
                <w:szCs w:val="21"/>
                <w:highlight w:val="none"/>
                <w:lang w:val="en-US" w:eastAsia="zh-CN"/>
              </w:rPr>
              <w:t>六标段：</w:t>
            </w:r>
            <w:r>
              <w:rPr>
                <w:rFonts w:hint="eastAsia" w:ascii="宋体" w:hAnsi="宋体" w:eastAsia="宋体" w:cs="宋体"/>
                <w:szCs w:val="21"/>
                <w:highlight w:val="none"/>
                <w:lang w:val="en-US" w:eastAsia="zh-CN"/>
              </w:rPr>
              <w:t>2018年荥阳市G234（郑上路至黄河大桥引桥南端桩号1-2）生态廊道建设项目</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廊道长度约7.25公里，两侧绿化宽度各10-50米，需管护绿化面积约45万平方米；</w:t>
            </w:r>
          </w:p>
          <w:p w14:paraId="13E8CC74">
            <w:pPr>
              <w:pageBreakBefore w:val="0"/>
              <w:widowControl/>
              <w:kinsoku/>
              <w:wordWrap/>
              <w:overflowPunct/>
              <w:topLinePunct w:val="0"/>
              <w:bidi w:val="0"/>
              <w:adjustRightInd/>
              <w:snapToGrid/>
              <w:spacing w:line="360" w:lineRule="auto"/>
              <w:ind w:firstLine="422" w:firstLineChars="200"/>
              <w:rPr>
                <w:rFonts w:hint="eastAsia" w:ascii="宋体" w:hAnsi="宋体" w:eastAsia="宋体" w:cs="宋体"/>
                <w:szCs w:val="21"/>
                <w:highlight w:val="none"/>
                <w:lang w:val="en-US" w:eastAsia="zh-CN"/>
              </w:rPr>
            </w:pPr>
            <w:r>
              <w:rPr>
                <w:rFonts w:hint="eastAsia" w:ascii="宋体" w:hAnsi="宋体" w:eastAsia="宋体" w:cs="宋体"/>
                <w:b/>
                <w:bCs/>
                <w:szCs w:val="21"/>
                <w:highlight w:val="none"/>
                <w:lang w:val="en-US" w:eastAsia="zh-CN"/>
              </w:rPr>
              <w:t>七标段：</w:t>
            </w:r>
            <w:r>
              <w:rPr>
                <w:rFonts w:hint="eastAsia" w:ascii="宋体" w:hAnsi="宋体" w:eastAsia="宋体" w:cs="宋体"/>
                <w:szCs w:val="21"/>
                <w:highlight w:val="none"/>
                <w:lang w:val="en-US" w:eastAsia="zh-CN"/>
              </w:rPr>
              <w:t>2018年荥阳市G234（郑上路至黄河大桥引桥南端，桩号2-3）生态廊道建设项目</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廊道长度约7.25公里，两侧绿化宽度各10-50米，需管护绿化面积约45万平方米；</w:t>
            </w:r>
          </w:p>
          <w:p w14:paraId="733348AD">
            <w:pPr>
              <w:pStyle w:val="27"/>
              <w:spacing w:line="360" w:lineRule="auto"/>
              <w:ind w:firstLine="422" w:firstLineChars="200"/>
              <w:rPr>
                <w:rFonts w:hint="eastAsia" w:ascii="宋体" w:hAnsi="宋体" w:eastAsia="宋体" w:cs="宋体"/>
                <w:color w:val="auto"/>
                <w:sz w:val="21"/>
                <w:szCs w:val="21"/>
                <w:highlight w:val="none"/>
                <w:lang w:eastAsia="zh-CN"/>
              </w:rPr>
            </w:pPr>
            <w:r>
              <w:rPr>
                <w:rFonts w:hint="eastAsia" w:ascii="宋体" w:hAnsi="宋体" w:eastAsia="宋体" w:cs="宋体"/>
                <w:b/>
                <w:bCs/>
                <w:sz w:val="21"/>
                <w:szCs w:val="21"/>
                <w:highlight w:val="none"/>
                <w:lang w:val="en-US" w:eastAsia="zh-CN"/>
              </w:rPr>
              <w:t>八标段：</w:t>
            </w:r>
            <w:r>
              <w:rPr>
                <w:rFonts w:hint="eastAsia" w:ascii="宋体" w:hAnsi="宋体" w:eastAsia="宋体" w:cs="宋体"/>
                <w:sz w:val="21"/>
                <w:szCs w:val="21"/>
                <w:highlight w:val="none"/>
                <w:lang w:val="en-US" w:eastAsia="zh-CN"/>
              </w:rPr>
              <w:t>2020年X036（枯河桥—沿黄快速通道）生态廊道建设项目：廊道长度约5公里，两侧绿化宽度各30米，需管护绿化面积约18.6</w:t>
            </w:r>
            <w:r>
              <w:rPr>
                <w:rFonts w:hint="eastAsia" w:ascii="宋体" w:hAnsi="宋体" w:cs="宋体"/>
                <w:sz w:val="21"/>
                <w:szCs w:val="21"/>
                <w:highlight w:val="none"/>
                <w:lang w:val="en-US" w:eastAsia="zh-CN"/>
              </w:rPr>
              <w:t>0</w:t>
            </w:r>
            <w:r>
              <w:rPr>
                <w:rFonts w:hint="eastAsia" w:ascii="宋体" w:hAnsi="宋体" w:eastAsia="宋体" w:cs="宋体"/>
                <w:sz w:val="21"/>
                <w:szCs w:val="21"/>
                <w:highlight w:val="none"/>
                <w:lang w:val="en-US" w:eastAsia="zh-CN"/>
              </w:rPr>
              <w:t>万平方米。</w:t>
            </w:r>
          </w:p>
        </w:tc>
      </w:tr>
      <w:tr w14:paraId="1FF3F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49D879F7">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w:t>
            </w:r>
          </w:p>
        </w:tc>
        <w:tc>
          <w:tcPr>
            <w:tcW w:w="2573" w:type="dxa"/>
            <w:vAlign w:val="center"/>
          </w:tcPr>
          <w:p w14:paraId="5DF4092A">
            <w:pPr>
              <w:pStyle w:val="27"/>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服务期限</w:t>
            </w:r>
          </w:p>
        </w:tc>
        <w:tc>
          <w:tcPr>
            <w:tcW w:w="5787" w:type="dxa"/>
            <w:vAlign w:val="center"/>
          </w:tcPr>
          <w:p w14:paraId="539A7705">
            <w:pPr>
              <w:pStyle w:val="27"/>
              <w:spacing w:line="360" w:lineRule="auto"/>
              <w:rPr>
                <w:rFonts w:hint="default" w:ascii="宋体" w:hAnsi="宋体" w:eastAsia="宋体" w:cs="宋体"/>
                <w:color w:val="auto"/>
                <w:sz w:val="21"/>
                <w:szCs w:val="21"/>
                <w:highlight w:val="none"/>
                <w:lang w:val="en-US"/>
              </w:rPr>
            </w:pPr>
            <w:r>
              <w:rPr>
                <w:rFonts w:hint="eastAsia" w:ascii="宋体" w:hAnsi="宋体" w:cs="宋体"/>
                <w:b w:val="0"/>
                <w:bCs w:val="0"/>
                <w:color w:val="auto"/>
                <w:sz w:val="21"/>
                <w:szCs w:val="21"/>
                <w:highlight w:val="none"/>
                <w:lang w:val="en-US" w:eastAsia="zh-CN"/>
              </w:rPr>
              <w:t>一年/标段</w:t>
            </w:r>
          </w:p>
        </w:tc>
      </w:tr>
      <w:tr w14:paraId="4169A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78FA2B20">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w:t>
            </w:r>
          </w:p>
        </w:tc>
        <w:tc>
          <w:tcPr>
            <w:tcW w:w="2573" w:type="dxa"/>
            <w:vAlign w:val="center"/>
          </w:tcPr>
          <w:p w14:paraId="6C2A6401">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服务地点</w:t>
            </w:r>
          </w:p>
        </w:tc>
        <w:tc>
          <w:tcPr>
            <w:tcW w:w="5787" w:type="dxa"/>
            <w:vAlign w:val="center"/>
          </w:tcPr>
          <w:p w14:paraId="2AAD58C9">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采购人指定地点</w:t>
            </w:r>
          </w:p>
        </w:tc>
      </w:tr>
      <w:tr w14:paraId="2D704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481B98C8">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1.3.4</w:t>
            </w:r>
          </w:p>
        </w:tc>
        <w:tc>
          <w:tcPr>
            <w:tcW w:w="2573" w:type="dxa"/>
            <w:vAlign w:val="center"/>
          </w:tcPr>
          <w:p w14:paraId="4AF66389">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sz w:val="21"/>
                <w:szCs w:val="22"/>
                <w:highlight w:val="none"/>
              </w:rPr>
              <w:t>质量要求</w:t>
            </w:r>
          </w:p>
        </w:tc>
        <w:tc>
          <w:tcPr>
            <w:tcW w:w="5787" w:type="dxa"/>
            <w:vAlign w:val="center"/>
          </w:tcPr>
          <w:p w14:paraId="5D857B78">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符合国家、行业相关规范，满足采购人要求</w:t>
            </w:r>
          </w:p>
        </w:tc>
      </w:tr>
      <w:tr w14:paraId="03C7E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7D178896">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w:t>
            </w:r>
          </w:p>
        </w:tc>
        <w:tc>
          <w:tcPr>
            <w:tcW w:w="2573" w:type="dxa"/>
            <w:vAlign w:val="center"/>
          </w:tcPr>
          <w:p w14:paraId="481F487D">
            <w:pPr>
              <w:pStyle w:val="27"/>
              <w:spacing w:line="36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lang w:eastAsia="zh-CN"/>
              </w:rPr>
              <w:t>资格</w:t>
            </w:r>
            <w:r>
              <w:rPr>
                <w:rFonts w:hint="eastAsia" w:ascii="宋体" w:hAnsi="宋体" w:eastAsia="宋体" w:cs="宋体"/>
                <w:color w:val="auto"/>
                <w:sz w:val="21"/>
                <w:szCs w:val="21"/>
                <w:highlight w:val="none"/>
              </w:rPr>
              <w:t>条件</w:t>
            </w:r>
          </w:p>
        </w:tc>
        <w:tc>
          <w:tcPr>
            <w:tcW w:w="5787" w:type="dxa"/>
            <w:vAlign w:val="center"/>
          </w:tcPr>
          <w:p w14:paraId="7B2441D6">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1、满足《中华人民共和国政府采购法》第二十二条规定</w:t>
            </w:r>
            <w:r>
              <w:rPr>
                <w:rFonts w:hint="eastAsia" w:ascii="宋体" w:hAnsi="宋体" w:eastAsia="宋体" w:cs="宋体"/>
                <w:kern w:val="0"/>
                <w:szCs w:val="21"/>
                <w:highlight w:val="none"/>
                <w:lang w:eastAsia="zh-CN"/>
              </w:rPr>
              <w:t>；</w:t>
            </w:r>
          </w:p>
          <w:p w14:paraId="71F034F3">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2、落实政府采购政策满足的资格要求：</w:t>
            </w:r>
            <w:r>
              <w:rPr>
                <w:highlight w:val="none"/>
              </w:rPr>
              <w:t>本项目属于专门面向中小企业采购的项目。供应商应为中小微企业（监狱企业、残疾人福利性企业视同小微企业），须提供《中小企业声明函》或残疾人福利性单位声明函或监狱企业证明材料</w:t>
            </w:r>
            <w:r>
              <w:rPr>
                <w:rFonts w:hint="eastAsia" w:ascii="宋体" w:hAnsi="宋体" w:eastAsia="宋体" w:cs="宋体"/>
                <w:kern w:val="0"/>
                <w:szCs w:val="21"/>
                <w:highlight w:val="none"/>
              </w:rPr>
              <w:t xml:space="preserve">； </w:t>
            </w:r>
          </w:p>
          <w:p w14:paraId="13DDAF98">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 xml:space="preserve">3、本项目的特定资格要求 </w:t>
            </w:r>
          </w:p>
          <w:p w14:paraId="02C78FAE">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b w:val="0"/>
                <w:bCs w:val="0"/>
                <w:kern w:val="0"/>
                <w:szCs w:val="21"/>
                <w:highlight w:val="none"/>
                <w:lang w:eastAsia="zh-CN"/>
              </w:rPr>
            </w:pPr>
            <w:r>
              <w:rPr>
                <w:rFonts w:hint="eastAsia" w:ascii="宋体" w:hAnsi="宋体" w:eastAsia="宋体" w:cs="宋体"/>
                <w:b w:val="0"/>
                <w:bCs w:val="0"/>
                <w:kern w:val="0"/>
                <w:szCs w:val="21"/>
                <w:highlight w:val="none"/>
              </w:rPr>
              <w:t>3.1</w:t>
            </w:r>
            <w:r>
              <w:rPr>
                <w:rFonts w:hint="eastAsia" w:ascii="宋体" w:hAnsi="宋体" w:eastAsia="宋体" w:cs="宋体"/>
                <w:b w:val="0"/>
                <w:bCs w:val="0"/>
                <w:kern w:val="0"/>
                <w:szCs w:val="21"/>
                <w:highlight w:val="none"/>
                <w:lang w:val="en-US" w:eastAsia="zh-CN"/>
              </w:rPr>
              <w:t>供应商须具有有效的营业执照</w:t>
            </w:r>
            <w:r>
              <w:rPr>
                <w:rFonts w:hint="eastAsia" w:ascii="宋体" w:hAnsi="宋体" w:cs="宋体"/>
                <w:b w:val="0"/>
                <w:bCs w:val="0"/>
                <w:kern w:val="0"/>
                <w:szCs w:val="21"/>
                <w:highlight w:val="none"/>
                <w:lang w:val="en-US" w:eastAsia="zh-CN"/>
              </w:rPr>
              <w:t>；</w:t>
            </w:r>
          </w:p>
          <w:p w14:paraId="587F9C5D">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kern w:val="0"/>
                <w:szCs w:val="21"/>
                <w:highlight w:val="none"/>
              </w:rPr>
            </w:pPr>
            <w:r>
              <w:rPr>
                <w:rFonts w:hint="eastAsia" w:ascii="宋体" w:hAnsi="宋体" w:cs="宋体"/>
                <w:kern w:val="0"/>
                <w:szCs w:val="21"/>
                <w:highlight w:val="none"/>
                <w:lang w:val="en-US" w:eastAsia="zh-CN"/>
              </w:rPr>
              <w:t>3.2</w:t>
            </w:r>
            <w:r>
              <w:rPr>
                <w:rFonts w:hint="eastAsia" w:ascii="宋体" w:hAnsi="宋体" w:eastAsia="宋体" w:cs="宋体"/>
                <w:kern w:val="0"/>
                <w:szCs w:val="21"/>
                <w:highlight w:val="none"/>
              </w:rPr>
              <w:t>根据《财政部关于在政府采购活动中查询及使用信用记录有关问题的通知》(财库[2016]125号)和豫财购【2016】15号的规定，对列入失信被执行人、重大税收违法失信主体、政府采购严重违法失信行为记录名单的供应商，拒绝参与本项目政府采购活动；通过“中国执行信息公开网”（zxgk.court.gov.cn）查询被列入失信被执行人、“信用中国”网站（www.creditchina.gov.cn）查询重大税收违法失信主体、“中国政府采购网”（www.ccgp.gov.cn）查询政府采购严重违法失信行为记录名单），提供加盖单位公章的查询网页截图（截图内容要完整清晰）。</w:t>
            </w:r>
            <w:r>
              <w:rPr>
                <w:highlight w:val="none"/>
              </w:rPr>
              <w:t>注：采购代理机构在开标当天将对所有参与本项目投标的供应商的信用情况进行查询、打印留存。若在开标当天查询到供应商有相关负面信息的，则该供应商不能通过资格性审查。</w:t>
            </w:r>
          </w:p>
          <w:p w14:paraId="1500526F">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3.</w:t>
            </w:r>
            <w:r>
              <w:rPr>
                <w:rFonts w:hint="eastAsia" w:ascii="宋体" w:hAnsi="宋体" w:cs="宋体"/>
                <w:kern w:val="0"/>
                <w:szCs w:val="21"/>
                <w:highlight w:val="none"/>
                <w:lang w:val="en-US" w:eastAsia="zh-CN"/>
              </w:rPr>
              <w:t>3</w:t>
            </w:r>
            <w:r>
              <w:rPr>
                <w:rFonts w:hint="eastAsia" w:ascii="宋体" w:hAnsi="宋体" w:eastAsia="宋体" w:cs="宋体"/>
                <w:kern w:val="0"/>
                <w:szCs w:val="21"/>
                <w:highlight w:val="none"/>
                <w:lang w:val="en-US" w:eastAsia="zh-CN"/>
              </w:rPr>
              <w:t>单位负责人为同一人或存在直接控股、管理关系的不同供应商，不得参加同一合同项下的政府采购活动；需提供“国家企业信用信息公示系统”中公示的公司信息、股东（或投资人）信息的网页截图（或提供单位负责人与其他供应商不为同一人或者存在直接控股、管理关系的承诺书）</w:t>
            </w:r>
          </w:p>
          <w:p w14:paraId="1B0B5839">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kern w:val="0"/>
                <w:szCs w:val="21"/>
                <w:highlight w:val="none"/>
              </w:rPr>
              <w:t>3.</w:t>
            </w:r>
            <w:r>
              <w:rPr>
                <w:rFonts w:hint="eastAsia" w:ascii="宋体" w:hAnsi="宋体" w:cs="宋体"/>
                <w:kern w:val="0"/>
                <w:szCs w:val="21"/>
                <w:highlight w:val="none"/>
                <w:lang w:val="en-US" w:eastAsia="zh-CN"/>
              </w:rPr>
              <w:t>4</w:t>
            </w:r>
            <w:r>
              <w:rPr>
                <w:rFonts w:hint="eastAsia" w:ascii="宋体" w:hAnsi="宋体" w:eastAsia="宋体" w:cs="宋体"/>
                <w:kern w:val="0"/>
                <w:szCs w:val="21"/>
                <w:highlight w:val="none"/>
              </w:rPr>
              <w:t>为采购项目提供整体设计、规范编制或者项目管理、监理、检测等服务的</w:t>
            </w:r>
            <w:r>
              <w:rPr>
                <w:rFonts w:hint="eastAsia" w:ascii="宋体" w:hAnsi="宋体" w:cs="宋体"/>
                <w:kern w:val="0"/>
                <w:szCs w:val="21"/>
                <w:highlight w:val="none"/>
                <w:lang w:eastAsia="zh-CN"/>
              </w:rPr>
              <w:t>供应商</w:t>
            </w:r>
            <w:r>
              <w:rPr>
                <w:rFonts w:hint="eastAsia" w:ascii="宋体" w:hAnsi="宋体" w:eastAsia="宋体" w:cs="宋体"/>
                <w:kern w:val="0"/>
                <w:szCs w:val="21"/>
                <w:highlight w:val="none"/>
              </w:rPr>
              <w:t>，不得再参加该采购项目的其他采购活动</w:t>
            </w:r>
            <w:r>
              <w:rPr>
                <w:rFonts w:hint="eastAsia" w:ascii="宋体" w:hAnsi="宋体" w:eastAsia="宋体" w:cs="宋体"/>
                <w:kern w:val="0"/>
                <w:szCs w:val="21"/>
                <w:highlight w:val="none"/>
                <w:lang w:eastAsia="zh-CN"/>
              </w:rPr>
              <w:t>。</w:t>
            </w:r>
            <w:r>
              <w:rPr>
                <w:rFonts w:hint="eastAsia" w:ascii="宋体" w:hAnsi="宋体" w:eastAsia="宋体" w:cs="宋体"/>
                <w:bCs/>
                <w:szCs w:val="21"/>
                <w:highlight w:val="none"/>
              </w:rPr>
              <w:t>（</w:t>
            </w:r>
            <w:r>
              <w:rPr>
                <w:rFonts w:hint="eastAsia" w:ascii="宋体" w:hAnsi="宋体" w:eastAsia="宋体" w:cs="宋体"/>
                <w:bCs/>
                <w:szCs w:val="21"/>
                <w:highlight w:val="none"/>
                <w:lang w:val="en-US" w:eastAsia="zh-CN"/>
              </w:rPr>
              <w:t>提供</w:t>
            </w:r>
            <w:r>
              <w:rPr>
                <w:rFonts w:hint="eastAsia" w:ascii="宋体" w:hAnsi="宋体" w:eastAsia="宋体" w:cs="宋体"/>
                <w:bCs/>
                <w:szCs w:val="21"/>
                <w:highlight w:val="none"/>
              </w:rPr>
              <w:t>承诺书格式自拟）</w:t>
            </w:r>
          </w:p>
        </w:tc>
      </w:tr>
      <w:tr w14:paraId="0D36D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0" w:type="dxa"/>
            <w:vAlign w:val="center"/>
          </w:tcPr>
          <w:p w14:paraId="6131ADF4">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w:t>
            </w:r>
          </w:p>
        </w:tc>
        <w:tc>
          <w:tcPr>
            <w:tcW w:w="2573" w:type="dxa"/>
            <w:vAlign w:val="center"/>
          </w:tcPr>
          <w:p w14:paraId="072B0AF7">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是否接受联合体投标</w:t>
            </w:r>
          </w:p>
        </w:tc>
        <w:tc>
          <w:tcPr>
            <w:tcW w:w="5787" w:type="dxa"/>
            <w:vAlign w:val="center"/>
          </w:tcPr>
          <w:p w14:paraId="49BC0C62">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不</w:t>
            </w:r>
            <w:r>
              <w:rPr>
                <w:rFonts w:hint="eastAsia" w:ascii="宋体" w:hAnsi="宋体" w:eastAsia="宋体" w:cs="宋体"/>
                <w:color w:val="auto"/>
                <w:sz w:val="21"/>
                <w:szCs w:val="21"/>
                <w:highlight w:val="none"/>
              </w:rPr>
              <w:t>接受</w:t>
            </w:r>
          </w:p>
        </w:tc>
      </w:tr>
      <w:tr w14:paraId="1B55B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113DB69A">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1.9.1</w:t>
            </w:r>
          </w:p>
        </w:tc>
        <w:tc>
          <w:tcPr>
            <w:tcW w:w="2573" w:type="dxa"/>
            <w:vAlign w:val="center"/>
          </w:tcPr>
          <w:p w14:paraId="1ABD9680">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踏勘现场</w:t>
            </w:r>
          </w:p>
        </w:tc>
        <w:tc>
          <w:tcPr>
            <w:tcW w:w="5787" w:type="dxa"/>
            <w:vAlign w:val="center"/>
          </w:tcPr>
          <w:p w14:paraId="5FC07124">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不组织</w:t>
            </w:r>
          </w:p>
        </w:tc>
      </w:tr>
      <w:tr w14:paraId="4716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2AE3A78E">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1.10.1</w:t>
            </w:r>
          </w:p>
        </w:tc>
        <w:tc>
          <w:tcPr>
            <w:tcW w:w="2573" w:type="dxa"/>
            <w:vAlign w:val="center"/>
          </w:tcPr>
          <w:p w14:paraId="302C1E65">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投标预备会</w:t>
            </w:r>
          </w:p>
        </w:tc>
        <w:tc>
          <w:tcPr>
            <w:tcW w:w="5787" w:type="dxa"/>
            <w:vAlign w:val="center"/>
          </w:tcPr>
          <w:p w14:paraId="05159111">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不召开</w:t>
            </w:r>
          </w:p>
        </w:tc>
      </w:tr>
      <w:tr w14:paraId="1780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6466BC94">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1.10.2</w:t>
            </w:r>
          </w:p>
        </w:tc>
        <w:tc>
          <w:tcPr>
            <w:tcW w:w="2573" w:type="dxa"/>
            <w:vAlign w:val="center"/>
          </w:tcPr>
          <w:p w14:paraId="590AD005">
            <w:pPr>
              <w:pStyle w:val="27"/>
              <w:spacing w:line="36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提出问题的</w:t>
            </w:r>
          </w:p>
          <w:p w14:paraId="7E06DD6F">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截止时间</w:t>
            </w:r>
          </w:p>
        </w:tc>
        <w:tc>
          <w:tcPr>
            <w:tcW w:w="5787" w:type="dxa"/>
            <w:vAlign w:val="center"/>
          </w:tcPr>
          <w:p w14:paraId="7C29F77C">
            <w:pPr>
              <w:pStyle w:val="27"/>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vertAlign w:val="baseline"/>
                <w:lang w:eastAsia="zh-CN"/>
              </w:rPr>
              <w:t>时间：</w:t>
            </w:r>
            <w:r>
              <w:rPr>
                <w:rFonts w:hint="eastAsia" w:ascii="宋体" w:hAnsi="宋体" w:eastAsia="宋体" w:cs="宋体"/>
                <w:color w:val="auto"/>
                <w:sz w:val="21"/>
                <w:szCs w:val="21"/>
                <w:highlight w:val="none"/>
                <w:vertAlign w:val="baseline"/>
              </w:rPr>
              <w:t>递交投标文件的截止之日</w:t>
            </w:r>
            <w:r>
              <w:rPr>
                <w:rFonts w:hint="eastAsia" w:ascii="宋体" w:hAnsi="宋体" w:eastAsia="宋体" w:cs="宋体"/>
                <w:color w:val="auto"/>
                <w:sz w:val="21"/>
                <w:szCs w:val="21"/>
                <w:highlight w:val="none"/>
                <w:vertAlign w:val="baseline"/>
                <w:lang w:val="en-US" w:eastAsia="zh-CN"/>
              </w:rPr>
              <w:t>15</w:t>
            </w:r>
            <w:r>
              <w:rPr>
                <w:rFonts w:hint="eastAsia" w:ascii="宋体" w:hAnsi="宋体" w:eastAsia="宋体" w:cs="宋体"/>
                <w:color w:val="auto"/>
                <w:sz w:val="21"/>
                <w:szCs w:val="21"/>
                <w:highlight w:val="none"/>
                <w:vertAlign w:val="baseline"/>
              </w:rPr>
              <w:t>日前</w:t>
            </w:r>
          </w:p>
        </w:tc>
      </w:tr>
      <w:tr w14:paraId="11E49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0A8E20D8">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w:t>
            </w:r>
          </w:p>
        </w:tc>
        <w:tc>
          <w:tcPr>
            <w:tcW w:w="2573" w:type="dxa"/>
            <w:vAlign w:val="center"/>
          </w:tcPr>
          <w:p w14:paraId="125B209A">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分包</w:t>
            </w:r>
          </w:p>
        </w:tc>
        <w:tc>
          <w:tcPr>
            <w:tcW w:w="5787" w:type="dxa"/>
            <w:vAlign w:val="center"/>
          </w:tcPr>
          <w:p w14:paraId="343AEF6A">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不允许</w:t>
            </w:r>
          </w:p>
        </w:tc>
      </w:tr>
      <w:tr w14:paraId="60653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24715FBF">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w:t>
            </w:r>
          </w:p>
        </w:tc>
        <w:tc>
          <w:tcPr>
            <w:tcW w:w="2573" w:type="dxa"/>
            <w:vAlign w:val="center"/>
          </w:tcPr>
          <w:p w14:paraId="319D9687">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偏离</w:t>
            </w:r>
          </w:p>
        </w:tc>
        <w:tc>
          <w:tcPr>
            <w:tcW w:w="5787" w:type="dxa"/>
            <w:vAlign w:val="center"/>
          </w:tcPr>
          <w:p w14:paraId="04E6F26A">
            <w:pPr>
              <w:pStyle w:val="27"/>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不允许</w:t>
            </w:r>
          </w:p>
        </w:tc>
      </w:tr>
      <w:tr w14:paraId="5112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589C5D7A">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2573" w:type="dxa"/>
            <w:vAlign w:val="center"/>
          </w:tcPr>
          <w:p w14:paraId="215ADF13">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构成招标文件的</w:t>
            </w:r>
          </w:p>
          <w:p w14:paraId="3E328F28">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其他材料</w:t>
            </w:r>
          </w:p>
        </w:tc>
        <w:tc>
          <w:tcPr>
            <w:tcW w:w="5787" w:type="dxa"/>
            <w:vAlign w:val="center"/>
          </w:tcPr>
          <w:p w14:paraId="4C9A1752">
            <w:pPr>
              <w:pStyle w:val="2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除招标文件外，采购人在招标期间发出澄清、修改、变更、补充、补遗和其它有效正式函件等内容均是招标文件组成部分。</w:t>
            </w:r>
          </w:p>
        </w:tc>
      </w:tr>
      <w:tr w14:paraId="1F2D3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5904A6C4">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2.2.1</w:t>
            </w:r>
          </w:p>
        </w:tc>
        <w:tc>
          <w:tcPr>
            <w:tcW w:w="2573" w:type="dxa"/>
            <w:vAlign w:val="center"/>
          </w:tcPr>
          <w:p w14:paraId="2C7CE4AB">
            <w:pPr>
              <w:pStyle w:val="27"/>
              <w:spacing w:line="360" w:lineRule="auto"/>
              <w:jc w:val="center"/>
              <w:rPr>
                <w:rFonts w:hint="eastAsia" w:ascii="宋体" w:hAnsi="宋体" w:eastAsia="宋体" w:cs="宋体"/>
                <w:color w:val="auto"/>
                <w:kern w:val="0"/>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kern w:val="0"/>
                <w:sz w:val="21"/>
                <w:szCs w:val="21"/>
                <w:highlight w:val="none"/>
              </w:rPr>
              <w:t>要求澄清招标</w:t>
            </w:r>
          </w:p>
          <w:p w14:paraId="395589A9">
            <w:pPr>
              <w:pStyle w:val="27"/>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文件的截止时间</w:t>
            </w:r>
          </w:p>
        </w:tc>
        <w:tc>
          <w:tcPr>
            <w:tcW w:w="5787" w:type="dxa"/>
            <w:vAlign w:val="center"/>
          </w:tcPr>
          <w:p w14:paraId="0E9F5131">
            <w:pPr>
              <w:pStyle w:val="27"/>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时间:投标时间截止15日前</w:t>
            </w:r>
          </w:p>
          <w:p w14:paraId="7B5B1C5C">
            <w:pPr>
              <w:pStyle w:val="2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形式:在荥阳电子招投标交易平台系统中提出</w:t>
            </w:r>
          </w:p>
        </w:tc>
      </w:tr>
      <w:tr w14:paraId="59CF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572E6078">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p>
        </w:tc>
        <w:tc>
          <w:tcPr>
            <w:tcW w:w="2573" w:type="dxa"/>
            <w:vAlign w:val="center"/>
          </w:tcPr>
          <w:p w14:paraId="27BF5932">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投标截止时间</w:t>
            </w:r>
          </w:p>
        </w:tc>
        <w:tc>
          <w:tcPr>
            <w:tcW w:w="5787" w:type="dxa"/>
            <w:vAlign w:val="center"/>
          </w:tcPr>
          <w:p w14:paraId="3FBEB16C">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08</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日09时</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0分（北京时间）</w:t>
            </w:r>
          </w:p>
        </w:tc>
      </w:tr>
      <w:tr w14:paraId="1A33E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35E89B99">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2.2.3</w:t>
            </w:r>
          </w:p>
        </w:tc>
        <w:tc>
          <w:tcPr>
            <w:tcW w:w="2573" w:type="dxa"/>
            <w:vAlign w:val="center"/>
          </w:tcPr>
          <w:p w14:paraId="4F4959CE">
            <w:pPr>
              <w:pStyle w:val="27"/>
              <w:spacing w:line="36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确认收到招标</w:t>
            </w:r>
          </w:p>
          <w:p w14:paraId="0DA05E21">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文件澄清的时间</w:t>
            </w:r>
          </w:p>
        </w:tc>
        <w:tc>
          <w:tcPr>
            <w:tcW w:w="5787" w:type="dxa"/>
            <w:vAlign w:val="center"/>
          </w:tcPr>
          <w:p w14:paraId="2BABE3EA">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在收到相应澄清文件后24小时内</w:t>
            </w:r>
          </w:p>
        </w:tc>
      </w:tr>
      <w:tr w14:paraId="0C828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09B1EE56">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2.3.2</w:t>
            </w:r>
          </w:p>
        </w:tc>
        <w:tc>
          <w:tcPr>
            <w:tcW w:w="2573" w:type="dxa"/>
            <w:vAlign w:val="center"/>
          </w:tcPr>
          <w:p w14:paraId="4DB5152C">
            <w:pPr>
              <w:pStyle w:val="27"/>
              <w:spacing w:line="36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确认收到招标</w:t>
            </w:r>
          </w:p>
          <w:p w14:paraId="742EC4C8">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文件修改的时间</w:t>
            </w:r>
          </w:p>
        </w:tc>
        <w:tc>
          <w:tcPr>
            <w:tcW w:w="5787" w:type="dxa"/>
            <w:vAlign w:val="center"/>
          </w:tcPr>
          <w:p w14:paraId="6ED8E018">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在收到相应澄清文件后24小时内</w:t>
            </w:r>
          </w:p>
        </w:tc>
      </w:tr>
      <w:tr w14:paraId="22C1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26C11347">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w:t>
            </w:r>
          </w:p>
        </w:tc>
        <w:tc>
          <w:tcPr>
            <w:tcW w:w="2573" w:type="dxa"/>
            <w:vAlign w:val="center"/>
          </w:tcPr>
          <w:p w14:paraId="0E75EF82">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构成投标文件的</w:t>
            </w:r>
          </w:p>
          <w:p w14:paraId="399BA469">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其他材料</w:t>
            </w:r>
          </w:p>
        </w:tc>
        <w:tc>
          <w:tcPr>
            <w:tcW w:w="5787" w:type="dxa"/>
            <w:vAlign w:val="center"/>
          </w:tcPr>
          <w:p w14:paraId="5E135799">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招标文件中要求提交的其他资料以及</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认为有利于其投标的其他资料。</w:t>
            </w:r>
          </w:p>
        </w:tc>
      </w:tr>
      <w:tr w14:paraId="0C6C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3EA8E02D">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w:t>
            </w:r>
          </w:p>
        </w:tc>
        <w:tc>
          <w:tcPr>
            <w:tcW w:w="2573" w:type="dxa"/>
            <w:vAlign w:val="center"/>
          </w:tcPr>
          <w:p w14:paraId="0072C907">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5787" w:type="dxa"/>
            <w:vAlign w:val="center"/>
          </w:tcPr>
          <w:p w14:paraId="024688FF">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0日历天（投标截止之日起）</w:t>
            </w:r>
          </w:p>
        </w:tc>
      </w:tr>
      <w:tr w14:paraId="6863B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766A2DAA">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w:t>
            </w:r>
          </w:p>
        </w:tc>
        <w:tc>
          <w:tcPr>
            <w:tcW w:w="2573" w:type="dxa"/>
            <w:vAlign w:val="center"/>
          </w:tcPr>
          <w:p w14:paraId="0979A3AE">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投标保证金</w:t>
            </w:r>
          </w:p>
        </w:tc>
        <w:tc>
          <w:tcPr>
            <w:tcW w:w="5787" w:type="dxa"/>
            <w:vAlign w:val="center"/>
          </w:tcPr>
          <w:p w14:paraId="5761B42F">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本项目不收取。</w:t>
            </w:r>
          </w:p>
        </w:tc>
      </w:tr>
      <w:tr w14:paraId="4350E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6726A34E">
            <w:pPr>
              <w:pStyle w:val="27"/>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6</w:t>
            </w:r>
          </w:p>
        </w:tc>
        <w:tc>
          <w:tcPr>
            <w:tcW w:w="2573" w:type="dxa"/>
            <w:vAlign w:val="center"/>
          </w:tcPr>
          <w:p w14:paraId="5D55C23B">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是否允许递交备选</w:t>
            </w:r>
          </w:p>
          <w:p w14:paraId="041FC8F0">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投标方案</w:t>
            </w:r>
          </w:p>
        </w:tc>
        <w:tc>
          <w:tcPr>
            <w:tcW w:w="5787" w:type="dxa"/>
            <w:vAlign w:val="center"/>
          </w:tcPr>
          <w:p w14:paraId="69E5ED34">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不允许</w:t>
            </w:r>
          </w:p>
        </w:tc>
      </w:tr>
      <w:tr w14:paraId="718B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50DA66E1">
            <w:pPr>
              <w:pStyle w:val="27"/>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.3</w:t>
            </w:r>
          </w:p>
        </w:tc>
        <w:tc>
          <w:tcPr>
            <w:tcW w:w="2573" w:type="dxa"/>
            <w:vAlign w:val="center"/>
          </w:tcPr>
          <w:p w14:paraId="67F3FF3F">
            <w:pPr>
              <w:pStyle w:val="27"/>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签字或盖章要求</w:t>
            </w:r>
          </w:p>
        </w:tc>
        <w:tc>
          <w:tcPr>
            <w:tcW w:w="5787" w:type="dxa"/>
            <w:vAlign w:val="center"/>
          </w:tcPr>
          <w:p w14:paraId="4B8FC8F6">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电子投标文件</w:t>
            </w:r>
          </w:p>
          <w:p w14:paraId="6E49706C">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（1）所有要求</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加盖公章的地方都应盖</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单位的CA印章。</w:t>
            </w:r>
          </w:p>
          <w:p w14:paraId="6E05CCAA">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（2）所有要求法定代表人或其委托代理人签字的地方都应盖法定代表人或其委托代理人的CA印章。</w:t>
            </w:r>
          </w:p>
          <w:p w14:paraId="562CB720">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（3）联合体投标的除联合体协议书和投标文件格式要求中明确要求联合体成员签字盖章外，其他签字或盖章处均可以由联合体牵头人签字盖章。</w:t>
            </w:r>
          </w:p>
        </w:tc>
      </w:tr>
      <w:tr w14:paraId="5D1E2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6739E28F">
            <w:pPr>
              <w:pStyle w:val="29"/>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righ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3.7.4</w:t>
            </w:r>
          </w:p>
        </w:tc>
        <w:tc>
          <w:tcPr>
            <w:tcW w:w="2573" w:type="dxa"/>
            <w:vAlign w:val="center"/>
          </w:tcPr>
          <w:p w14:paraId="6DC194DB">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纸质投标文件份数</w:t>
            </w:r>
          </w:p>
        </w:tc>
        <w:tc>
          <w:tcPr>
            <w:tcW w:w="5787" w:type="dxa"/>
            <w:vAlign w:val="center"/>
          </w:tcPr>
          <w:p w14:paraId="0C1B6746">
            <w:pPr>
              <w:pStyle w:val="27"/>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无需提供纸质投标文件</w:t>
            </w:r>
          </w:p>
        </w:tc>
      </w:tr>
      <w:tr w14:paraId="3F1E0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50E08A7B">
            <w:pPr>
              <w:pStyle w:val="29"/>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righ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4.1.2</w:t>
            </w:r>
          </w:p>
        </w:tc>
        <w:tc>
          <w:tcPr>
            <w:tcW w:w="2573" w:type="dxa"/>
            <w:vAlign w:val="center"/>
          </w:tcPr>
          <w:p w14:paraId="12AEA4C2">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封套上写明</w:t>
            </w:r>
          </w:p>
        </w:tc>
        <w:tc>
          <w:tcPr>
            <w:tcW w:w="5787" w:type="dxa"/>
            <w:vAlign w:val="center"/>
          </w:tcPr>
          <w:p w14:paraId="3B65C9F4">
            <w:pPr>
              <w:pStyle w:val="27"/>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p>
        </w:tc>
      </w:tr>
      <w:tr w14:paraId="71F12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758B3EE2">
            <w:pPr>
              <w:pStyle w:val="29"/>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right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4.2.2</w:t>
            </w:r>
          </w:p>
        </w:tc>
        <w:tc>
          <w:tcPr>
            <w:tcW w:w="2573" w:type="dxa"/>
            <w:vAlign w:val="center"/>
          </w:tcPr>
          <w:p w14:paraId="24DD79CB">
            <w:pPr>
              <w:pStyle w:val="27"/>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递交（上传）投标文件地点</w:t>
            </w:r>
          </w:p>
        </w:tc>
        <w:tc>
          <w:tcPr>
            <w:tcW w:w="5787" w:type="dxa"/>
            <w:vAlign w:val="center"/>
          </w:tcPr>
          <w:p w14:paraId="47C8D09D">
            <w:pPr>
              <w:pStyle w:val="27"/>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荥阳市公共资源交易平台</w:t>
            </w:r>
          </w:p>
        </w:tc>
      </w:tr>
      <w:tr w14:paraId="0148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7A5354D7">
            <w:pPr>
              <w:pStyle w:val="29"/>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righ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4.2.3</w:t>
            </w:r>
          </w:p>
        </w:tc>
        <w:tc>
          <w:tcPr>
            <w:tcW w:w="2573" w:type="dxa"/>
            <w:vAlign w:val="center"/>
          </w:tcPr>
          <w:p w14:paraId="272DE9F4">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是否退还投标文件</w:t>
            </w:r>
          </w:p>
        </w:tc>
        <w:tc>
          <w:tcPr>
            <w:tcW w:w="5787" w:type="dxa"/>
            <w:vAlign w:val="center"/>
          </w:tcPr>
          <w:p w14:paraId="62B777FA">
            <w:pPr>
              <w:pStyle w:val="27"/>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否</w:t>
            </w:r>
          </w:p>
        </w:tc>
      </w:tr>
      <w:tr w14:paraId="3CA16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64109CAA">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w:t>
            </w:r>
          </w:p>
        </w:tc>
        <w:tc>
          <w:tcPr>
            <w:tcW w:w="2573" w:type="dxa"/>
            <w:vAlign w:val="center"/>
          </w:tcPr>
          <w:p w14:paraId="033F0D15">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开标时间和地点</w:t>
            </w:r>
          </w:p>
        </w:tc>
        <w:tc>
          <w:tcPr>
            <w:tcW w:w="5787" w:type="dxa"/>
            <w:vAlign w:val="center"/>
          </w:tcPr>
          <w:p w14:paraId="53EC4333">
            <w:pPr>
              <w:pStyle w:val="29"/>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rightChars="0"/>
              <w:jc w:val="both"/>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开标时间：同投标截止日期</w:t>
            </w:r>
          </w:p>
          <w:p w14:paraId="6E9B598C">
            <w:pPr>
              <w:pStyle w:val="29"/>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rightChars="0"/>
              <w:jc w:val="both"/>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开标地点：荥阳市公共资源交易中心（荥阳市中原路与飞龙路西北角政务服务中心七楼）第</w:t>
            </w:r>
            <w:r>
              <w:rPr>
                <w:rFonts w:hint="eastAsia" w:ascii="宋体" w:hAnsi="宋体" w:cs="宋体"/>
                <w:color w:val="auto"/>
                <w:sz w:val="21"/>
                <w:szCs w:val="21"/>
                <w:highlight w:val="none"/>
                <w:vertAlign w:val="baseline"/>
                <w:lang w:val="en-US" w:eastAsia="zh-CN"/>
              </w:rPr>
              <w:t>三</w:t>
            </w:r>
            <w:r>
              <w:rPr>
                <w:rFonts w:hint="eastAsia" w:ascii="宋体" w:hAnsi="宋体" w:eastAsia="宋体" w:cs="宋体"/>
                <w:color w:val="auto"/>
                <w:sz w:val="21"/>
                <w:szCs w:val="21"/>
                <w:highlight w:val="none"/>
                <w:vertAlign w:val="baseline"/>
              </w:rPr>
              <w:t>开标室</w:t>
            </w:r>
          </w:p>
          <w:p w14:paraId="4F4E28AA">
            <w:pPr>
              <w:pStyle w:val="29"/>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righ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vertAlign w:val="baseline"/>
              </w:rPr>
              <w:t>本项目采用“远程不见面”开标方式。</w:t>
            </w:r>
            <w:r>
              <w:rPr>
                <w:rFonts w:hint="eastAsia" w:ascii="宋体" w:hAnsi="宋体" w:cs="宋体"/>
                <w:color w:val="auto"/>
                <w:sz w:val="21"/>
                <w:szCs w:val="21"/>
                <w:highlight w:val="none"/>
                <w:vertAlign w:val="baseline"/>
                <w:lang w:eastAsia="zh-CN"/>
              </w:rPr>
              <w:t>供应商</w:t>
            </w:r>
            <w:r>
              <w:rPr>
                <w:rFonts w:hint="eastAsia" w:ascii="宋体" w:hAnsi="宋体" w:eastAsia="宋体" w:cs="宋体"/>
                <w:color w:val="auto"/>
                <w:sz w:val="21"/>
                <w:szCs w:val="21"/>
                <w:highlight w:val="none"/>
                <w:vertAlign w:val="baseline"/>
              </w:rPr>
              <w:t>无需到荥阳市公共资源交易中心现场参加开标会议，不再要求</w:t>
            </w:r>
            <w:r>
              <w:rPr>
                <w:rFonts w:hint="eastAsia" w:ascii="宋体" w:hAnsi="宋体" w:cs="宋体"/>
                <w:color w:val="auto"/>
                <w:sz w:val="21"/>
                <w:szCs w:val="21"/>
                <w:highlight w:val="none"/>
                <w:vertAlign w:val="baseline"/>
                <w:lang w:eastAsia="zh-CN"/>
              </w:rPr>
              <w:t>供应商</w:t>
            </w:r>
            <w:r>
              <w:rPr>
                <w:rFonts w:hint="eastAsia" w:ascii="宋体" w:hAnsi="宋体" w:eastAsia="宋体" w:cs="宋体"/>
                <w:color w:val="auto"/>
                <w:sz w:val="21"/>
                <w:szCs w:val="21"/>
                <w:highlight w:val="none"/>
                <w:vertAlign w:val="baseline"/>
              </w:rPr>
              <w:t>到达现场提交任何资料。</w:t>
            </w:r>
            <w:r>
              <w:rPr>
                <w:rFonts w:hint="eastAsia" w:ascii="宋体" w:hAnsi="宋体" w:cs="宋体"/>
                <w:color w:val="auto"/>
                <w:sz w:val="21"/>
                <w:szCs w:val="21"/>
                <w:highlight w:val="none"/>
                <w:vertAlign w:val="baseline"/>
                <w:lang w:eastAsia="zh-CN"/>
              </w:rPr>
              <w:t>供应商</w:t>
            </w:r>
            <w:r>
              <w:rPr>
                <w:rFonts w:hint="eastAsia" w:ascii="宋体" w:hAnsi="宋体" w:eastAsia="宋体" w:cs="宋体"/>
                <w:color w:val="auto"/>
                <w:sz w:val="21"/>
                <w:szCs w:val="21"/>
                <w:highlight w:val="none"/>
                <w:vertAlign w:val="baseline"/>
              </w:rPr>
              <w:t>应当在招标文件确定的投标截止时间前，登录“荥阳市公共资源交易中心不见面开标大厅”，在线准时参加开标活动。</w:t>
            </w:r>
          </w:p>
        </w:tc>
      </w:tr>
      <w:tr w14:paraId="5A7E3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5899C695">
            <w:pPr>
              <w:pStyle w:val="27"/>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7.1</w:t>
            </w:r>
            <w:r>
              <w:rPr>
                <w:rFonts w:hint="eastAsia" w:ascii="宋体" w:hAnsi="宋体" w:eastAsia="宋体" w:cs="宋体"/>
                <w:color w:val="auto"/>
                <w:sz w:val="21"/>
                <w:szCs w:val="21"/>
                <w:highlight w:val="none"/>
                <w:lang w:val="en-US" w:eastAsia="zh-CN"/>
              </w:rPr>
              <w:t>.1</w:t>
            </w:r>
          </w:p>
        </w:tc>
        <w:tc>
          <w:tcPr>
            <w:tcW w:w="2573" w:type="dxa"/>
            <w:vAlign w:val="center"/>
          </w:tcPr>
          <w:p w14:paraId="1ABF5ABF">
            <w:pPr>
              <w:pStyle w:val="27"/>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评标委员会的</w:t>
            </w:r>
            <w:r>
              <w:rPr>
                <w:rFonts w:hint="eastAsia" w:ascii="宋体" w:hAnsi="宋体" w:eastAsia="宋体" w:cs="宋体"/>
                <w:color w:val="auto"/>
                <w:sz w:val="21"/>
                <w:szCs w:val="21"/>
                <w:highlight w:val="none"/>
                <w:lang w:eastAsia="zh-CN"/>
              </w:rPr>
              <w:t>组建</w:t>
            </w:r>
          </w:p>
        </w:tc>
        <w:tc>
          <w:tcPr>
            <w:tcW w:w="5787" w:type="dxa"/>
            <w:vAlign w:val="center"/>
          </w:tcPr>
          <w:p w14:paraId="19CC6561">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评标委员会构成：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5</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人，其中采购人代表</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人，有关经济、技术专家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4</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w:t>
            </w:r>
          </w:p>
          <w:p w14:paraId="68AE7DFF">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有关技术、经济等方面的专家不少于评委会人数的三分之二，按有关规定从政府采购专家库中随机抽取。</w:t>
            </w:r>
          </w:p>
        </w:tc>
      </w:tr>
      <w:tr w14:paraId="52D14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18F60C77">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w:t>
            </w:r>
          </w:p>
        </w:tc>
        <w:tc>
          <w:tcPr>
            <w:tcW w:w="2573" w:type="dxa"/>
            <w:vAlign w:val="center"/>
          </w:tcPr>
          <w:p w14:paraId="4AC68BC1">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是否授权评标委员会确定中标人</w:t>
            </w:r>
          </w:p>
        </w:tc>
        <w:tc>
          <w:tcPr>
            <w:tcW w:w="5787" w:type="dxa"/>
            <w:vAlign w:val="center"/>
          </w:tcPr>
          <w:p w14:paraId="254574BA">
            <w:pPr>
              <w:pStyle w:val="27"/>
              <w:spacing w:line="360" w:lineRule="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否，推荐的中标候选人数：3名</w:t>
            </w:r>
            <w:r>
              <w:rPr>
                <w:rFonts w:hint="eastAsia" w:ascii="宋体" w:hAnsi="宋体" w:cs="宋体"/>
                <w:color w:val="auto"/>
                <w:sz w:val="21"/>
                <w:szCs w:val="21"/>
                <w:highlight w:val="none"/>
                <w:lang w:val="en-US" w:eastAsia="zh-CN"/>
              </w:rPr>
              <w:t>/标段</w:t>
            </w:r>
          </w:p>
        </w:tc>
      </w:tr>
      <w:tr w14:paraId="11FC3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61784682">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8.3</w:t>
            </w:r>
          </w:p>
        </w:tc>
        <w:tc>
          <w:tcPr>
            <w:tcW w:w="2573" w:type="dxa"/>
            <w:vAlign w:val="center"/>
          </w:tcPr>
          <w:p w14:paraId="0500F636">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履约保证金</w:t>
            </w:r>
          </w:p>
        </w:tc>
        <w:tc>
          <w:tcPr>
            <w:tcW w:w="5787" w:type="dxa"/>
            <w:vAlign w:val="center"/>
          </w:tcPr>
          <w:p w14:paraId="56956D14">
            <w:pPr>
              <w:pStyle w:val="27"/>
              <w:spacing w:line="36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履约担保的形式：转账或者金融机构、担保机构出具的保函</w:t>
            </w:r>
          </w:p>
          <w:p w14:paraId="308F6697">
            <w:pPr>
              <w:pStyle w:val="27"/>
              <w:spacing w:line="36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履约担保的金额：中标价的</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p>
          <w:p w14:paraId="5864F51D">
            <w:pPr>
              <w:pStyle w:val="27"/>
              <w:spacing w:line="36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履约保证金的交纳时间：中标人与</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rPr>
              <w:t>签订合同前，由中标人交至</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rPr>
              <w:t>指定账户</w:t>
            </w:r>
          </w:p>
        </w:tc>
      </w:tr>
      <w:tr w14:paraId="5992E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65EF0B01">
            <w:pPr>
              <w:pStyle w:val="27"/>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8360" w:type="dxa"/>
            <w:gridSpan w:val="2"/>
            <w:vAlign w:val="center"/>
          </w:tcPr>
          <w:p w14:paraId="52142920">
            <w:pPr>
              <w:pStyle w:val="2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需要补充的其他内容</w:t>
            </w:r>
          </w:p>
        </w:tc>
      </w:tr>
      <w:tr w14:paraId="23AF9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0" w:type="dxa"/>
            <w:vAlign w:val="center"/>
          </w:tcPr>
          <w:p w14:paraId="64A89D9B">
            <w:pPr>
              <w:pStyle w:val="27"/>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p>
        </w:tc>
        <w:tc>
          <w:tcPr>
            <w:tcW w:w="2573" w:type="dxa"/>
            <w:vAlign w:val="center"/>
          </w:tcPr>
          <w:p w14:paraId="00B93D23">
            <w:pPr>
              <w:pStyle w:val="27"/>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招标控制价</w:t>
            </w:r>
          </w:p>
        </w:tc>
        <w:tc>
          <w:tcPr>
            <w:tcW w:w="5787" w:type="dxa"/>
            <w:vAlign w:val="center"/>
          </w:tcPr>
          <w:p w14:paraId="5B01DAD5">
            <w:pPr>
              <w:pStyle w:val="27"/>
              <w:spacing w:line="360" w:lineRule="auto"/>
              <w:rPr>
                <w:rFonts w:hint="eastAsia" w:ascii="宋体" w:hAnsi="宋体" w:eastAsia="宋体" w:cs="宋体"/>
                <w:b/>
                <w:bCs w:val="0"/>
                <w:color w:val="auto"/>
                <w:sz w:val="21"/>
                <w:szCs w:val="21"/>
                <w:highlight w:val="none"/>
                <w:lang w:val="en-US" w:eastAsia="zh-CN"/>
              </w:rPr>
            </w:pPr>
            <w:r>
              <w:rPr>
                <w:rFonts w:hint="eastAsia" w:ascii="宋体" w:hAnsi="宋体" w:cs="宋体"/>
                <w:b w:val="0"/>
                <w:bCs/>
                <w:color w:val="auto"/>
                <w:sz w:val="21"/>
                <w:szCs w:val="21"/>
                <w:highlight w:val="none"/>
                <w:lang w:val="en-US" w:eastAsia="zh-CN"/>
              </w:rPr>
              <w:t>一标段</w:t>
            </w:r>
            <w:r>
              <w:rPr>
                <w:rFonts w:hint="eastAsia" w:ascii="宋体" w:hAnsi="宋体" w:eastAsia="宋体" w:cs="宋体"/>
                <w:b w:val="0"/>
                <w:bCs/>
                <w:color w:val="auto"/>
                <w:sz w:val="21"/>
                <w:szCs w:val="21"/>
                <w:highlight w:val="none"/>
                <w:lang w:val="en-US" w:eastAsia="zh-CN"/>
              </w:rPr>
              <w:t>招标控制价：</w:t>
            </w:r>
            <w:r>
              <w:rPr>
                <w:rFonts w:hint="eastAsia" w:ascii="宋体" w:hAnsi="宋体" w:eastAsia="宋体" w:cs="宋体"/>
                <w:b/>
                <w:bCs w:val="0"/>
                <w:color w:val="auto"/>
                <w:sz w:val="21"/>
                <w:szCs w:val="21"/>
                <w:highlight w:val="none"/>
                <w:lang w:val="en-US" w:eastAsia="zh-CN"/>
              </w:rPr>
              <w:t>大写：人民币陆拾叁万贰仟元整</w:t>
            </w:r>
          </w:p>
          <w:p w14:paraId="014B816C">
            <w:pPr>
              <w:pStyle w:val="27"/>
              <w:spacing w:line="360" w:lineRule="auto"/>
              <w:ind w:firstLine="1897" w:firstLineChars="900"/>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小写：¥632000.00元</w:t>
            </w:r>
          </w:p>
          <w:p w14:paraId="2F2CCFBF">
            <w:pPr>
              <w:pStyle w:val="27"/>
              <w:spacing w:line="360" w:lineRule="auto"/>
              <w:rPr>
                <w:rFonts w:hint="eastAsia" w:ascii="宋体" w:hAnsi="宋体" w:eastAsia="宋体" w:cs="宋体"/>
                <w:b/>
                <w:bCs w:val="0"/>
                <w:color w:val="auto"/>
                <w:sz w:val="21"/>
                <w:szCs w:val="21"/>
                <w:highlight w:val="none"/>
                <w:lang w:val="en-US" w:eastAsia="zh-CN"/>
              </w:rPr>
            </w:pPr>
            <w:r>
              <w:rPr>
                <w:rFonts w:hint="eastAsia" w:ascii="宋体" w:hAnsi="宋体" w:cs="宋体"/>
                <w:b w:val="0"/>
                <w:bCs/>
                <w:color w:val="auto"/>
                <w:sz w:val="21"/>
                <w:szCs w:val="21"/>
                <w:highlight w:val="none"/>
                <w:lang w:val="en-US" w:eastAsia="zh-CN"/>
              </w:rPr>
              <w:t>二标段</w:t>
            </w:r>
            <w:r>
              <w:rPr>
                <w:rFonts w:hint="eastAsia" w:ascii="宋体" w:hAnsi="宋体" w:eastAsia="宋体" w:cs="宋体"/>
                <w:b w:val="0"/>
                <w:bCs/>
                <w:color w:val="auto"/>
                <w:sz w:val="21"/>
                <w:szCs w:val="21"/>
                <w:highlight w:val="none"/>
                <w:lang w:val="en-US" w:eastAsia="zh-CN"/>
              </w:rPr>
              <w:t>招标控制价：</w:t>
            </w:r>
            <w:r>
              <w:rPr>
                <w:rFonts w:hint="eastAsia" w:ascii="宋体" w:hAnsi="宋体" w:eastAsia="宋体" w:cs="宋体"/>
                <w:b/>
                <w:bCs w:val="0"/>
                <w:color w:val="auto"/>
                <w:sz w:val="21"/>
                <w:szCs w:val="21"/>
                <w:highlight w:val="none"/>
                <w:lang w:val="en-US" w:eastAsia="zh-CN"/>
              </w:rPr>
              <w:t>大写：人民币</w:t>
            </w:r>
            <w:r>
              <w:rPr>
                <w:rFonts w:hint="eastAsia" w:ascii="宋体" w:hAnsi="宋体" w:cs="宋体"/>
                <w:b/>
                <w:bCs w:val="0"/>
                <w:color w:val="auto"/>
                <w:sz w:val="21"/>
                <w:szCs w:val="21"/>
                <w:highlight w:val="none"/>
                <w:lang w:val="en-US" w:eastAsia="zh-CN"/>
              </w:rPr>
              <w:t>陆拾贰万肆仟元整</w:t>
            </w:r>
          </w:p>
          <w:p w14:paraId="36150B34">
            <w:pPr>
              <w:pStyle w:val="27"/>
              <w:spacing w:line="360" w:lineRule="auto"/>
              <w:ind w:firstLine="1897" w:firstLineChars="900"/>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小写：¥6</w:t>
            </w:r>
            <w:r>
              <w:rPr>
                <w:rFonts w:hint="eastAsia" w:ascii="宋体" w:hAnsi="宋体" w:cs="宋体"/>
                <w:b/>
                <w:bCs w:val="0"/>
                <w:color w:val="auto"/>
                <w:sz w:val="21"/>
                <w:szCs w:val="21"/>
                <w:highlight w:val="none"/>
                <w:lang w:val="en-US" w:eastAsia="zh-CN"/>
              </w:rPr>
              <w:t>24</w:t>
            </w:r>
            <w:r>
              <w:rPr>
                <w:rFonts w:hint="eastAsia" w:ascii="宋体" w:hAnsi="宋体" w:eastAsia="宋体" w:cs="宋体"/>
                <w:b/>
                <w:bCs w:val="0"/>
                <w:color w:val="auto"/>
                <w:sz w:val="21"/>
                <w:szCs w:val="21"/>
                <w:highlight w:val="none"/>
                <w:lang w:val="en-US" w:eastAsia="zh-CN"/>
              </w:rPr>
              <w:t>000.00元</w:t>
            </w:r>
          </w:p>
          <w:p w14:paraId="32437604">
            <w:pPr>
              <w:pStyle w:val="27"/>
              <w:spacing w:line="360" w:lineRule="auto"/>
              <w:rPr>
                <w:rFonts w:hint="eastAsia" w:ascii="宋体" w:hAnsi="宋体" w:eastAsia="宋体" w:cs="宋体"/>
                <w:b/>
                <w:bCs w:val="0"/>
                <w:color w:val="auto"/>
                <w:sz w:val="21"/>
                <w:szCs w:val="21"/>
                <w:highlight w:val="none"/>
                <w:lang w:val="en-US" w:eastAsia="zh-CN"/>
              </w:rPr>
            </w:pPr>
            <w:r>
              <w:rPr>
                <w:rFonts w:hint="eastAsia" w:ascii="宋体" w:hAnsi="宋体" w:cs="宋体"/>
                <w:b w:val="0"/>
                <w:bCs/>
                <w:color w:val="auto"/>
                <w:sz w:val="21"/>
                <w:szCs w:val="21"/>
                <w:highlight w:val="none"/>
                <w:lang w:val="en-US" w:eastAsia="zh-CN"/>
              </w:rPr>
              <w:t>三标段</w:t>
            </w:r>
            <w:r>
              <w:rPr>
                <w:rFonts w:hint="eastAsia" w:ascii="宋体" w:hAnsi="宋体" w:eastAsia="宋体" w:cs="宋体"/>
                <w:b w:val="0"/>
                <w:bCs/>
                <w:color w:val="auto"/>
                <w:sz w:val="21"/>
                <w:szCs w:val="21"/>
                <w:highlight w:val="none"/>
                <w:lang w:val="en-US" w:eastAsia="zh-CN"/>
              </w:rPr>
              <w:t>招标控制价：</w:t>
            </w:r>
            <w:r>
              <w:rPr>
                <w:rFonts w:hint="eastAsia" w:ascii="宋体" w:hAnsi="宋体" w:eastAsia="宋体" w:cs="宋体"/>
                <w:b/>
                <w:bCs w:val="0"/>
                <w:color w:val="auto"/>
                <w:sz w:val="21"/>
                <w:szCs w:val="21"/>
                <w:highlight w:val="none"/>
                <w:lang w:val="en-US" w:eastAsia="zh-CN"/>
              </w:rPr>
              <w:t>大写：人民币</w:t>
            </w:r>
            <w:r>
              <w:rPr>
                <w:rFonts w:hint="eastAsia" w:ascii="宋体" w:hAnsi="宋体" w:cs="宋体"/>
                <w:b/>
                <w:bCs w:val="0"/>
                <w:color w:val="auto"/>
                <w:sz w:val="21"/>
                <w:szCs w:val="21"/>
                <w:highlight w:val="none"/>
                <w:lang w:val="en-US" w:eastAsia="zh-CN"/>
              </w:rPr>
              <w:t>陆拾贰万肆仟元整</w:t>
            </w:r>
          </w:p>
          <w:p w14:paraId="5898A9ED">
            <w:pPr>
              <w:pStyle w:val="27"/>
              <w:spacing w:line="360" w:lineRule="auto"/>
              <w:ind w:firstLine="1897" w:firstLineChars="900"/>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小写：¥6</w:t>
            </w:r>
            <w:r>
              <w:rPr>
                <w:rFonts w:hint="eastAsia" w:ascii="宋体" w:hAnsi="宋体" w:cs="宋体"/>
                <w:b/>
                <w:bCs w:val="0"/>
                <w:color w:val="auto"/>
                <w:sz w:val="21"/>
                <w:szCs w:val="21"/>
                <w:highlight w:val="none"/>
                <w:lang w:val="en-US" w:eastAsia="zh-CN"/>
              </w:rPr>
              <w:t>24</w:t>
            </w:r>
            <w:r>
              <w:rPr>
                <w:rFonts w:hint="eastAsia" w:ascii="宋体" w:hAnsi="宋体" w:eastAsia="宋体" w:cs="宋体"/>
                <w:b/>
                <w:bCs w:val="0"/>
                <w:color w:val="auto"/>
                <w:sz w:val="21"/>
                <w:szCs w:val="21"/>
                <w:highlight w:val="none"/>
                <w:lang w:val="en-US" w:eastAsia="zh-CN"/>
              </w:rPr>
              <w:t>000.00元</w:t>
            </w:r>
          </w:p>
          <w:p w14:paraId="6FADD768">
            <w:pPr>
              <w:pStyle w:val="27"/>
              <w:spacing w:line="360" w:lineRule="auto"/>
              <w:rPr>
                <w:rFonts w:hint="eastAsia" w:ascii="宋体" w:hAnsi="宋体" w:eastAsia="宋体" w:cs="宋体"/>
                <w:b/>
                <w:bCs w:val="0"/>
                <w:color w:val="auto"/>
                <w:sz w:val="21"/>
                <w:szCs w:val="21"/>
                <w:highlight w:val="none"/>
                <w:lang w:val="en-US" w:eastAsia="zh-CN"/>
              </w:rPr>
            </w:pPr>
            <w:r>
              <w:rPr>
                <w:rFonts w:hint="eastAsia" w:ascii="宋体" w:hAnsi="宋体" w:cs="宋体"/>
                <w:b w:val="0"/>
                <w:bCs/>
                <w:color w:val="auto"/>
                <w:sz w:val="21"/>
                <w:szCs w:val="21"/>
                <w:highlight w:val="none"/>
                <w:lang w:val="en-US" w:eastAsia="zh-CN"/>
              </w:rPr>
              <w:t>四标段</w:t>
            </w:r>
            <w:r>
              <w:rPr>
                <w:rFonts w:hint="eastAsia" w:ascii="宋体" w:hAnsi="宋体" w:eastAsia="宋体" w:cs="宋体"/>
                <w:b w:val="0"/>
                <w:bCs/>
                <w:color w:val="auto"/>
                <w:sz w:val="21"/>
                <w:szCs w:val="21"/>
                <w:highlight w:val="none"/>
                <w:lang w:val="en-US" w:eastAsia="zh-CN"/>
              </w:rPr>
              <w:t>招标控制价：</w:t>
            </w:r>
            <w:r>
              <w:rPr>
                <w:rFonts w:hint="eastAsia" w:ascii="宋体" w:hAnsi="宋体" w:eastAsia="宋体" w:cs="宋体"/>
                <w:b/>
                <w:bCs w:val="0"/>
                <w:color w:val="auto"/>
                <w:sz w:val="21"/>
                <w:szCs w:val="21"/>
                <w:highlight w:val="none"/>
                <w:lang w:val="en-US" w:eastAsia="zh-CN"/>
              </w:rPr>
              <w:t>大写：人民币</w:t>
            </w:r>
            <w:r>
              <w:rPr>
                <w:rFonts w:hint="eastAsia" w:ascii="宋体" w:hAnsi="宋体" w:cs="宋体"/>
                <w:b/>
                <w:bCs w:val="0"/>
                <w:color w:val="auto"/>
                <w:sz w:val="21"/>
                <w:szCs w:val="21"/>
                <w:highlight w:val="none"/>
                <w:lang w:val="en-US" w:eastAsia="zh-CN"/>
              </w:rPr>
              <w:t>贰拾捌万捌仟元整</w:t>
            </w:r>
          </w:p>
          <w:p w14:paraId="0835B42F">
            <w:pPr>
              <w:pStyle w:val="27"/>
              <w:spacing w:line="360" w:lineRule="auto"/>
              <w:ind w:firstLine="1897" w:firstLineChars="900"/>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小写：¥</w:t>
            </w:r>
            <w:r>
              <w:rPr>
                <w:rFonts w:hint="eastAsia" w:ascii="宋体" w:hAnsi="宋体" w:cs="宋体"/>
                <w:b/>
                <w:bCs w:val="0"/>
                <w:color w:val="auto"/>
                <w:sz w:val="21"/>
                <w:szCs w:val="21"/>
                <w:highlight w:val="none"/>
                <w:lang w:val="en-US" w:eastAsia="zh-CN"/>
              </w:rPr>
              <w:t>288</w:t>
            </w:r>
            <w:r>
              <w:rPr>
                <w:rFonts w:hint="eastAsia" w:ascii="宋体" w:hAnsi="宋体" w:eastAsia="宋体" w:cs="宋体"/>
                <w:b/>
                <w:bCs w:val="0"/>
                <w:color w:val="auto"/>
                <w:sz w:val="21"/>
                <w:szCs w:val="21"/>
                <w:highlight w:val="none"/>
                <w:lang w:val="en-US" w:eastAsia="zh-CN"/>
              </w:rPr>
              <w:t>000.00元</w:t>
            </w:r>
          </w:p>
          <w:p w14:paraId="50338A7E">
            <w:pPr>
              <w:pStyle w:val="27"/>
              <w:spacing w:line="360" w:lineRule="auto"/>
              <w:rPr>
                <w:rFonts w:hint="eastAsia" w:ascii="宋体" w:hAnsi="宋体" w:eastAsia="宋体" w:cs="宋体"/>
                <w:b/>
                <w:bCs w:val="0"/>
                <w:color w:val="auto"/>
                <w:sz w:val="21"/>
                <w:szCs w:val="21"/>
                <w:highlight w:val="none"/>
                <w:lang w:val="en-US" w:eastAsia="zh-CN"/>
              </w:rPr>
            </w:pPr>
            <w:r>
              <w:rPr>
                <w:rFonts w:hint="eastAsia" w:ascii="宋体" w:hAnsi="宋体" w:cs="宋体"/>
                <w:b w:val="0"/>
                <w:bCs/>
                <w:color w:val="auto"/>
                <w:sz w:val="21"/>
                <w:szCs w:val="21"/>
                <w:highlight w:val="none"/>
                <w:lang w:val="en-US" w:eastAsia="zh-CN"/>
              </w:rPr>
              <w:t>五标段</w:t>
            </w:r>
            <w:r>
              <w:rPr>
                <w:rFonts w:hint="eastAsia" w:ascii="宋体" w:hAnsi="宋体" w:eastAsia="宋体" w:cs="宋体"/>
                <w:b w:val="0"/>
                <w:bCs/>
                <w:color w:val="auto"/>
                <w:sz w:val="21"/>
                <w:szCs w:val="21"/>
                <w:highlight w:val="none"/>
                <w:lang w:val="en-US" w:eastAsia="zh-CN"/>
              </w:rPr>
              <w:t>招标控制价：</w:t>
            </w:r>
            <w:r>
              <w:rPr>
                <w:rFonts w:hint="eastAsia" w:ascii="宋体" w:hAnsi="宋体" w:eastAsia="宋体" w:cs="宋体"/>
                <w:b/>
                <w:bCs w:val="0"/>
                <w:color w:val="auto"/>
                <w:sz w:val="21"/>
                <w:szCs w:val="21"/>
                <w:highlight w:val="none"/>
                <w:lang w:val="en-US" w:eastAsia="zh-CN"/>
              </w:rPr>
              <w:t>大写：人民币</w:t>
            </w:r>
            <w:r>
              <w:rPr>
                <w:rFonts w:hint="eastAsia" w:ascii="宋体" w:hAnsi="宋体" w:cs="宋体"/>
                <w:b/>
                <w:bCs w:val="0"/>
                <w:color w:val="auto"/>
                <w:sz w:val="21"/>
                <w:szCs w:val="21"/>
                <w:highlight w:val="none"/>
                <w:lang w:val="en-US" w:eastAsia="zh-CN"/>
              </w:rPr>
              <w:t>捌拾玖万壹仟元整</w:t>
            </w:r>
          </w:p>
          <w:p w14:paraId="30724001">
            <w:pPr>
              <w:pStyle w:val="27"/>
              <w:spacing w:line="360" w:lineRule="auto"/>
              <w:ind w:firstLine="1897" w:firstLineChars="900"/>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小写：¥</w:t>
            </w:r>
            <w:r>
              <w:rPr>
                <w:rFonts w:hint="eastAsia" w:ascii="宋体" w:hAnsi="宋体" w:cs="宋体"/>
                <w:b/>
                <w:bCs w:val="0"/>
                <w:color w:val="auto"/>
                <w:sz w:val="21"/>
                <w:szCs w:val="21"/>
                <w:highlight w:val="none"/>
                <w:lang w:val="en-US" w:eastAsia="zh-CN"/>
              </w:rPr>
              <w:t>891</w:t>
            </w:r>
            <w:r>
              <w:rPr>
                <w:rFonts w:hint="eastAsia" w:ascii="宋体" w:hAnsi="宋体" w:eastAsia="宋体" w:cs="宋体"/>
                <w:b/>
                <w:bCs w:val="0"/>
                <w:color w:val="auto"/>
                <w:sz w:val="21"/>
                <w:szCs w:val="21"/>
                <w:highlight w:val="none"/>
                <w:lang w:val="en-US" w:eastAsia="zh-CN"/>
              </w:rPr>
              <w:t>000.00元</w:t>
            </w:r>
          </w:p>
          <w:p w14:paraId="3B32FA30">
            <w:pPr>
              <w:pStyle w:val="27"/>
              <w:spacing w:line="360" w:lineRule="auto"/>
              <w:rPr>
                <w:rFonts w:hint="eastAsia" w:ascii="宋体" w:hAnsi="宋体" w:eastAsia="宋体" w:cs="宋体"/>
                <w:b/>
                <w:bCs w:val="0"/>
                <w:color w:val="auto"/>
                <w:sz w:val="21"/>
                <w:szCs w:val="21"/>
                <w:highlight w:val="none"/>
                <w:lang w:val="en-US" w:eastAsia="zh-CN"/>
              </w:rPr>
            </w:pPr>
            <w:r>
              <w:rPr>
                <w:rFonts w:hint="eastAsia" w:ascii="宋体" w:hAnsi="宋体" w:cs="宋体"/>
                <w:b w:val="0"/>
                <w:bCs/>
                <w:color w:val="auto"/>
                <w:sz w:val="21"/>
                <w:szCs w:val="21"/>
                <w:highlight w:val="none"/>
                <w:lang w:val="en-US" w:eastAsia="zh-CN"/>
              </w:rPr>
              <w:t>六标段</w:t>
            </w:r>
            <w:r>
              <w:rPr>
                <w:rFonts w:hint="eastAsia" w:ascii="宋体" w:hAnsi="宋体" w:eastAsia="宋体" w:cs="宋体"/>
                <w:b w:val="0"/>
                <w:bCs/>
                <w:color w:val="auto"/>
                <w:sz w:val="21"/>
                <w:szCs w:val="21"/>
                <w:highlight w:val="none"/>
                <w:lang w:val="en-US" w:eastAsia="zh-CN"/>
              </w:rPr>
              <w:t>招标控制价：</w:t>
            </w:r>
            <w:r>
              <w:rPr>
                <w:rFonts w:hint="eastAsia" w:ascii="宋体" w:hAnsi="宋体" w:eastAsia="宋体" w:cs="宋体"/>
                <w:b/>
                <w:bCs w:val="0"/>
                <w:color w:val="auto"/>
                <w:sz w:val="21"/>
                <w:szCs w:val="21"/>
                <w:highlight w:val="none"/>
                <w:lang w:val="en-US" w:eastAsia="zh-CN"/>
              </w:rPr>
              <w:t>大写：人民币</w:t>
            </w:r>
            <w:r>
              <w:rPr>
                <w:rFonts w:hint="eastAsia" w:ascii="宋体" w:hAnsi="宋体" w:cs="宋体"/>
                <w:b/>
                <w:bCs w:val="0"/>
                <w:color w:val="auto"/>
                <w:sz w:val="21"/>
                <w:szCs w:val="21"/>
                <w:highlight w:val="none"/>
                <w:lang w:val="en-US" w:eastAsia="zh-CN"/>
              </w:rPr>
              <w:t>玖拾万元整</w:t>
            </w:r>
          </w:p>
          <w:p w14:paraId="7D122C8C">
            <w:pPr>
              <w:pStyle w:val="27"/>
              <w:spacing w:line="360" w:lineRule="auto"/>
              <w:ind w:firstLine="1897" w:firstLineChars="900"/>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小写：¥</w:t>
            </w:r>
            <w:r>
              <w:rPr>
                <w:rFonts w:hint="eastAsia" w:ascii="宋体" w:hAnsi="宋体" w:cs="宋体"/>
                <w:b/>
                <w:bCs w:val="0"/>
                <w:color w:val="auto"/>
                <w:sz w:val="21"/>
                <w:szCs w:val="21"/>
                <w:highlight w:val="none"/>
                <w:lang w:val="en-US" w:eastAsia="zh-CN"/>
              </w:rPr>
              <w:t>900</w:t>
            </w:r>
            <w:r>
              <w:rPr>
                <w:rFonts w:hint="eastAsia" w:ascii="宋体" w:hAnsi="宋体" w:eastAsia="宋体" w:cs="宋体"/>
                <w:b/>
                <w:bCs w:val="0"/>
                <w:color w:val="auto"/>
                <w:sz w:val="21"/>
                <w:szCs w:val="21"/>
                <w:highlight w:val="none"/>
                <w:lang w:val="en-US" w:eastAsia="zh-CN"/>
              </w:rPr>
              <w:t>000.00元</w:t>
            </w:r>
          </w:p>
          <w:p w14:paraId="5036DAF0">
            <w:pPr>
              <w:pStyle w:val="27"/>
              <w:spacing w:line="360" w:lineRule="auto"/>
              <w:rPr>
                <w:rFonts w:hint="eastAsia" w:ascii="宋体" w:hAnsi="宋体" w:eastAsia="宋体" w:cs="宋体"/>
                <w:b/>
                <w:bCs w:val="0"/>
                <w:color w:val="auto"/>
                <w:sz w:val="21"/>
                <w:szCs w:val="21"/>
                <w:highlight w:val="none"/>
                <w:lang w:val="en-US" w:eastAsia="zh-CN"/>
              </w:rPr>
            </w:pPr>
            <w:r>
              <w:rPr>
                <w:rFonts w:hint="eastAsia" w:ascii="宋体" w:hAnsi="宋体" w:cs="宋体"/>
                <w:b w:val="0"/>
                <w:bCs/>
                <w:color w:val="auto"/>
                <w:sz w:val="21"/>
                <w:szCs w:val="21"/>
                <w:highlight w:val="none"/>
                <w:lang w:val="en-US" w:eastAsia="zh-CN"/>
              </w:rPr>
              <w:t>七标段</w:t>
            </w:r>
            <w:r>
              <w:rPr>
                <w:rFonts w:hint="eastAsia" w:ascii="宋体" w:hAnsi="宋体" w:eastAsia="宋体" w:cs="宋体"/>
                <w:b w:val="0"/>
                <w:bCs/>
                <w:color w:val="auto"/>
                <w:sz w:val="21"/>
                <w:szCs w:val="21"/>
                <w:highlight w:val="none"/>
                <w:lang w:val="en-US" w:eastAsia="zh-CN"/>
              </w:rPr>
              <w:t>招标控制价：</w:t>
            </w:r>
            <w:r>
              <w:rPr>
                <w:rFonts w:hint="eastAsia" w:ascii="宋体" w:hAnsi="宋体" w:eastAsia="宋体" w:cs="宋体"/>
                <w:b/>
                <w:bCs w:val="0"/>
                <w:color w:val="auto"/>
                <w:sz w:val="21"/>
                <w:szCs w:val="21"/>
                <w:highlight w:val="none"/>
                <w:lang w:val="en-US" w:eastAsia="zh-CN"/>
              </w:rPr>
              <w:t>大写：人民币</w:t>
            </w:r>
            <w:r>
              <w:rPr>
                <w:rFonts w:hint="eastAsia" w:ascii="宋体" w:hAnsi="宋体" w:cs="宋体"/>
                <w:b/>
                <w:bCs w:val="0"/>
                <w:color w:val="auto"/>
                <w:sz w:val="21"/>
                <w:szCs w:val="21"/>
                <w:highlight w:val="none"/>
                <w:lang w:val="en-US" w:eastAsia="zh-CN"/>
              </w:rPr>
              <w:t>玖拾万元整</w:t>
            </w:r>
          </w:p>
          <w:p w14:paraId="24387B0D">
            <w:pPr>
              <w:pStyle w:val="27"/>
              <w:spacing w:line="360" w:lineRule="auto"/>
              <w:ind w:firstLine="1897" w:firstLineChars="900"/>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小写：¥</w:t>
            </w:r>
            <w:r>
              <w:rPr>
                <w:rFonts w:hint="eastAsia" w:ascii="宋体" w:hAnsi="宋体" w:cs="宋体"/>
                <w:b/>
                <w:bCs w:val="0"/>
                <w:color w:val="auto"/>
                <w:sz w:val="21"/>
                <w:szCs w:val="21"/>
                <w:highlight w:val="none"/>
                <w:lang w:val="en-US" w:eastAsia="zh-CN"/>
              </w:rPr>
              <w:t>900</w:t>
            </w:r>
            <w:r>
              <w:rPr>
                <w:rFonts w:hint="eastAsia" w:ascii="宋体" w:hAnsi="宋体" w:eastAsia="宋体" w:cs="宋体"/>
                <w:b/>
                <w:bCs w:val="0"/>
                <w:color w:val="auto"/>
                <w:sz w:val="21"/>
                <w:szCs w:val="21"/>
                <w:highlight w:val="none"/>
                <w:lang w:val="en-US" w:eastAsia="zh-CN"/>
              </w:rPr>
              <w:t>000.00元</w:t>
            </w:r>
          </w:p>
          <w:p w14:paraId="2F25685D">
            <w:pPr>
              <w:pStyle w:val="27"/>
              <w:spacing w:line="360" w:lineRule="auto"/>
              <w:rPr>
                <w:rFonts w:hint="eastAsia" w:ascii="宋体" w:hAnsi="宋体" w:eastAsia="宋体" w:cs="宋体"/>
                <w:b/>
                <w:bCs w:val="0"/>
                <w:color w:val="auto"/>
                <w:sz w:val="21"/>
                <w:szCs w:val="21"/>
                <w:highlight w:val="none"/>
                <w:lang w:val="en-US" w:eastAsia="zh-CN"/>
              </w:rPr>
            </w:pPr>
            <w:r>
              <w:rPr>
                <w:rFonts w:hint="eastAsia" w:ascii="宋体" w:hAnsi="宋体" w:cs="宋体"/>
                <w:b w:val="0"/>
                <w:bCs/>
                <w:color w:val="auto"/>
                <w:sz w:val="21"/>
                <w:szCs w:val="21"/>
                <w:highlight w:val="none"/>
                <w:lang w:val="en-US" w:eastAsia="zh-CN"/>
              </w:rPr>
              <w:t>八标段</w:t>
            </w:r>
            <w:r>
              <w:rPr>
                <w:rFonts w:hint="eastAsia" w:ascii="宋体" w:hAnsi="宋体" w:eastAsia="宋体" w:cs="宋体"/>
                <w:b w:val="0"/>
                <w:bCs/>
                <w:color w:val="auto"/>
                <w:sz w:val="21"/>
                <w:szCs w:val="21"/>
                <w:highlight w:val="none"/>
                <w:lang w:val="en-US" w:eastAsia="zh-CN"/>
              </w:rPr>
              <w:t>招标控制价：</w:t>
            </w:r>
            <w:r>
              <w:rPr>
                <w:rFonts w:hint="eastAsia" w:ascii="宋体" w:hAnsi="宋体" w:eastAsia="宋体" w:cs="宋体"/>
                <w:b/>
                <w:bCs w:val="0"/>
                <w:color w:val="auto"/>
                <w:sz w:val="21"/>
                <w:szCs w:val="21"/>
                <w:highlight w:val="none"/>
                <w:lang w:val="en-US" w:eastAsia="zh-CN"/>
              </w:rPr>
              <w:t>大写：人民币</w:t>
            </w:r>
            <w:r>
              <w:rPr>
                <w:rFonts w:hint="eastAsia" w:ascii="宋体" w:hAnsi="宋体" w:cs="宋体"/>
                <w:b/>
                <w:bCs w:val="0"/>
                <w:color w:val="auto"/>
                <w:sz w:val="21"/>
                <w:szCs w:val="21"/>
                <w:highlight w:val="none"/>
                <w:lang w:val="en-US" w:eastAsia="zh-CN"/>
              </w:rPr>
              <w:t>叁拾柒万贰仟元整</w:t>
            </w:r>
          </w:p>
          <w:p w14:paraId="2F469EE3">
            <w:pPr>
              <w:pStyle w:val="27"/>
              <w:spacing w:line="360" w:lineRule="auto"/>
              <w:ind w:firstLine="1897" w:firstLineChars="900"/>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小写：¥</w:t>
            </w:r>
            <w:r>
              <w:rPr>
                <w:rFonts w:hint="eastAsia" w:ascii="宋体" w:hAnsi="宋体" w:cs="宋体"/>
                <w:b/>
                <w:bCs w:val="0"/>
                <w:color w:val="auto"/>
                <w:sz w:val="21"/>
                <w:szCs w:val="21"/>
                <w:highlight w:val="none"/>
                <w:lang w:val="en-US" w:eastAsia="zh-CN"/>
              </w:rPr>
              <w:t>372000</w:t>
            </w:r>
            <w:r>
              <w:rPr>
                <w:rFonts w:hint="eastAsia" w:ascii="宋体" w:hAnsi="宋体" w:eastAsia="宋体" w:cs="宋体"/>
                <w:b/>
                <w:bCs w:val="0"/>
                <w:color w:val="auto"/>
                <w:sz w:val="21"/>
                <w:szCs w:val="21"/>
                <w:highlight w:val="none"/>
                <w:lang w:val="en-US" w:eastAsia="zh-CN"/>
              </w:rPr>
              <w:t>.00元</w:t>
            </w:r>
          </w:p>
          <w:p w14:paraId="4C6C5FB3">
            <w:pPr>
              <w:pStyle w:val="27"/>
              <w:spacing w:line="360" w:lineRule="auto"/>
              <w:rPr>
                <w:rFonts w:hint="eastAsia" w:ascii="宋体" w:hAnsi="宋体" w:eastAsia="宋体" w:cs="宋体"/>
                <w:b/>
                <w:color w:val="auto"/>
                <w:sz w:val="21"/>
                <w:szCs w:val="21"/>
                <w:highlight w:val="none"/>
                <w:lang w:eastAsia="zh-CN"/>
              </w:rPr>
            </w:pPr>
            <w:r>
              <w:rPr>
                <w:rFonts w:hint="eastAsia" w:ascii="宋体" w:hAnsi="宋体" w:cs="宋体"/>
                <w:b w:val="0"/>
                <w:bCs/>
                <w:color w:val="auto"/>
                <w:sz w:val="21"/>
                <w:szCs w:val="21"/>
                <w:highlight w:val="none"/>
                <w:lang w:val="en-US" w:eastAsia="zh-CN"/>
              </w:rPr>
              <w:t>供应商</w:t>
            </w:r>
            <w:r>
              <w:rPr>
                <w:rFonts w:hint="eastAsia" w:ascii="宋体" w:hAnsi="宋体" w:eastAsia="宋体" w:cs="宋体"/>
                <w:b w:val="0"/>
                <w:bCs/>
                <w:color w:val="auto"/>
                <w:sz w:val="21"/>
                <w:szCs w:val="21"/>
                <w:highlight w:val="none"/>
                <w:lang w:val="en-US" w:eastAsia="zh-CN"/>
              </w:rPr>
              <w:t>的投标报价不得高于</w:t>
            </w:r>
            <w:r>
              <w:rPr>
                <w:rFonts w:hint="eastAsia" w:ascii="宋体" w:hAnsi="宋体" w:cs="宋体"/>
                <w:b w:val="0"/>
                <w:bCs/>
                <w:color w:val="auto"/>
                <w:sz w:val="21"/>
                <w:szCs w:val="21"/>
                <w:highlight w:val="none"/>
                <w:lang w:val="en-US" w:eastAsia="zh-CN"/>
              </w:rPr>
              <w:t>采购人</w:t>
            </w:r>
            <w:r>
              <w:rPr>
                <w:rFonts w:hint="eastAsia" w:ascii="宋体" w:hAnsi="宋体" w:eastAsia="宋体" w:cs="宋体"/>
                <w:b w:val="0"/>
                <w:bCs/>
                <w:color w:val="auto"/>
                <w:sz w:val="21"/>
                <w:szCs w:val="21"/>
                <w:highlight w:val="none"/>
                <w:lang w:val="en-US" w:eastAsia="zh-CN"/>
              </w:rPr>
              <w:t>提供的招标控制价，高于招标控制价者视为无效标，按废标处理</w:t>
            </w:r>
            <w:r>
              <w:rPr>
                <w:rFonts w:hint="eastAsia" w:ascii="宋体" w:hAnsi="宋体" w:eastAsia="宋体" w:cs="宋体"/>
                <w:b w:val="0"/>
                <w:bCs/>
                <w:color w:val="auto"/>
                <w:sz w:val="21"/>
                <w:szCs w:val="21"/>
                <w:highlight w:val="none"/>
                <w:lang w:eastAsia="zh-CN"/>
              </w:rPr>
              <w:t>。</w:t>
            </w:r>
          </w:p>
        </w:tc>
      </w:tr>
      <w:tr w14:paraId="6A915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4525040B">
            <w:pPr>
              <w:pStyle w:val="27"/>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p>
        </w:tc>
        <w:tc>
          <w:tcPr>
            <w:tcW w:w="2573" w:type="dxa"/>
            <w:vAlign w:val="center"/>
          </w:tcPr>
          <w:p w14:paraId="63AF4D86">
            <w:pPr>
              <w:pStyle w:val="27"/>
              <w:spacing w:line="360" w:lineRule="auto"/>
              <w:jc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代理服务费</w:t>
            </w:r>
          </w:p>
        </w:tc>
        <w:tc>
          <w:tcPr>
            <w:tcW w:w="5787" w:type="dxa"/>
            <w:vAlign w:val="center"/>
          </w:tcPr>
          <w:p w14:paraId="210F374C">
            <w:pPr>
              <w:pStyle w:val="27"/>
              <w:spacing w:line="36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代理费用收取方式及标准：本次招标代理服务费参考《河南省招标代理服务收费指导意见》【豫招协（2023）002号】由中标单位支付。</w:t>
            </w:r>
          </w:p>
        </w:tc>
      </w:tr>
      <w:tr w14:paraId="0F6E3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0D5D25BF">
            <w:pPr>
              <w:pStyle w:val="27"/>
              <w:spacing w:line="360"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11.3</w:t>
            </w:r>
          </w:p>
        </w:tc>
        <w:tc>
          <w:tcPr>
            <w:tcW w:w="2573" w:type="dxa"/>
            <w:vAlign w:val="center"/>
          </w:tcPr>
          <w:p w14:paraId="21C34A20">
            <w:pPr>
              <w:pStyle w:val="27"/>
              <w:spacing w:line="360" w:lineRule="auto"/>
              <w:jc w:val="center"/>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中小企业有关政策：</w:t>
            </w:r>
          </w:p>
        </w:tc>
        <w:tc>
          <w:tcPr>
            <w:tcW w:w="5787" w:type="dxa"/>
            <w:vAlign w:val="center"/>
          </w:tcPr>
          <w:p w14:paraId="424220A7">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根据财政部工业和信息化部《政府采购促进中小企业发展管理办法》（财库〔2020〕46号）的规定，供应商须提供《中小企业声明函》，否则投标将不被接受。</w:t>
            </w:r>
          </w:p>
          <w:p w14:paraId="1834FF7D">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中小企业划型标准详见</w:t>
            </w:r>
            <w:r>
              <w:rPr>
                <w:rFonts w:hint="eastAsia" w:ascii="宋体" w:hAnsi="宋体" w:eastAsia="宋体" w:cs="宋体"/>
                <w:color w:val="auto"/>
                <w:sz w:val="21"/>
                <w:szCs w:val="21"/>
                <w:highlight w:val="none"/>
                <w:lang w:val="zh-CN"/>
              </w:rPr>
              <w:t>中小企业划型标准规定（工信部联企业[2011]300号）和国家统计局关于印发《统计上大中小微型企业划分办法（2017）》的通知。</w:t>
            </w:r>
          </w:p>
          <w:p w14:paraId="0E41CF76">
            <w:pPr>
              <w:pStyle w:val="2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2、根据财政部司法部《关于政府采购支持监狱企业发展有关问题的通知》（财库〔2014〕68号）规定，监狱企业视同小型、微型企业，享受政府采购促进中小企业发展的政府采购政策。</w:t>
            </w:r>
          </w:p>
          <w:p w14:paraId="30D7366E">
            <w:pPr>
              <w:pStyle w:val="2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3、根据财政部民政部中国残疾人联合会《关于促进残疾人就业政府采购政策的通知》（财库〔2017〕141号）规定，残疾人福利性单位视同小型、微型企业，享受政府采购促进中小企业发展的政府采购政策。</w:t>
            </w:r>
          </w:p>
          <w:p w14:paraId="5956FEFA">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4、本项目所属行业：</w:t>
            </w:r>
            <w:r>
              <w:rPr>
                <w:rFonts w:hint="eastAsia" w:ascii="宋体" w:hAnsi="宋体" w:eastAsia="宋体" w:cs="宋体"/>
                <w:b/>
                <w:bCs/>
                <w:color w:val="auto"/>
                <w:sz w:val="21"/>
                <w:szCs w:val="21"/>
                <w:highlight w:val="none"/>
              </w:rPr>
              <w:t>农、林、牧、渔业。</w:t>
            </w:r>
          </w:p>
        </w:tc>
      </w:tr>
      <w:tr w14:paraId="052D3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53AE66A9">
            <w:pPr>
              <w:pStyle w:val="27"/>
              <w:spacing w:line="360"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11.4</w:t>
            </w:r>
          </w:p>
        </w:tc>
        <w:tc>
          <w:tcPr>
            <w:tcW w:w="2573" w:type="dxa"/>
            <w:vAlign w:val="center"/>
          </w:tcPr>
          <w:p w14:paraId="5EE09A80">
            <w:pPr>
              <w:pStyle w:val="27"/>
              <w:spacing w:line="36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荥阳市政府采购合同融资政策告知函</w:t>
            </w:r>
          </w:p>
        </w:tc>
        <w:tc>
          <w:tcPr>
            <w:tcW w:w="5787" w:type="dxa"/>
            <w:vAlign w:val="center"/>
          </w:tcPr>
          <w:p w14:paraId="18C5DF5F">
            <w:pPr>
              <w:pStyle w:val="27"/>
              <w:spacing w:line="360" w:lineRule="auto"/>
              <w:jc w:val="center"/>
              <w:rPr>
                <w:rFonts w:hint="eastAsia" w:ascii="宋体" w:hAnsi="宋体" w:eastAsia="宋体" w:cs="宋体"/>
                <w:color w:val="auto"/>
                <w:sz w:val="21"/>
                <w:szCs w:val="21"/>
                <w:highlight w:val="none"/>
                <w:lang w:val="en-US" w:eastAsia="zh-CN"/>
              </w:rPr>
            </w:pPr>
            <w:bookmarkStart w:id="16" w:name="_Toc5219"/>
            <w:bookmarkStart w:id="17" w:name="_Toc12258"/>
            <w:bookmarkStart w:id="18" w:name="_Toc7779"/>
            <w:bookmarkStart w:id="19" w:name="_Toc21936"/>
            <w:bookmarkStart w:id="20" w:name="_Toc27878"/>
            <w:r>
              <w:rPr>
                <w:rFonts w:hint="eastAsia" w:ascii="宋体" w:hAnsi="宋体" w:eastAsia="宋体" w:cs="宋体"/>
                <w:color w:val="auto"/>
                <w:sz w:val="21"/>
                <w:szCs w:val="21"/>
                <w:highlight w:val="none"/>
                <w:lang w:val="en-US" w:eastAsia="zh-CN"/>
              </w:rPr>
              <w:t>荥阳市政府采购合同融资政策告知函</w:t>
            </w:r>
            <w:bookmarkEnd w:id="16"/>
            <w:bookmarkEnd w:id="17"/>
            <w:bookmarkEnd w:id="18"/>
            <w:bookmarkEnd w:id="19"/>
            <w:bookmarkEnd w:id="20"/>
          </w:p>
          <w:p w14:paraId="7193E1F7">
            <w:pPr>
              <w:pStyle w:val="27"/>
              <w:spacing w:line="360" w:lineRule="auto"/>
              <w:rPr>
                <w:rFonts w:hint="eastAsia" w:ascii="宋体" w:hAnsi="宋体" w:eastAsia="宋体" w:cs="宋体"/>
                <w:color w:val="auto"/>
                <w:sz w:val="21"/>
                <w:szCs w:val="21"/>
                <w:highlight w:val="none"/>
              </w:rPr>
            </w:pPr>
            <w:bookmarkStart w:id="21" w:name="_Toc13396"/>
            <w:bookmarkStart w:id="22" w:name="_Toc19919"/>
            <w:bookmarkStart w:id="23" w:name="_Toc8399"/>
            <w:bookmarkStart w:id="24" w:name="_Toc15873"/>
            <w:bookmarkStart w:id="25" w:name="_Toc11484"/>
            <w:r>
              <w:rPr>
                <w:rFonts w:hint="eastAsia" w:ascii="宋体" w:hAnsi="宋体" w:eastAsia="宋体" w:cs="宋体"/>
                <w:color w:val="auto"/>
                <w:sz w:val="21"/>
                <w:szCs w:val="21"/>
                <w:highlight w:val="none"/>
                <w:lang w:val="en-US" w:eastAsia="zh-CN"/>
              </w:rPr>
              <w:t>各供应商：</w:t>
            </w:r>
            <w:bookmarkEnd w:id="21"/>
            <w:bookmarkEnd w:id="22"/>
            <w:bookmarkEnd w:id="23"/>
            <w:bookmarkEnd w:id="24"/>
            <w:bookmarkEnd w:id="25"/>
          </w:p>
          <w:p w14:paraId="329FBD57">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欢迎贵公司参与荥阳市政府采购活动！</w:t>
            </w:r>
          </w:p>
          <w:p w14:paraId="2C177907">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政府采购合同融资是河南省财政厅、郑州市财政局及荥阳市财政局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和《郑州市财政局关于加强和推进政府采购合同融资工作的通知》（郑财购〔2018〕4号），按照双方自愿的原则提供便捷、优惠的贷款服务。</w:t>
            </w:r>
          </w:p>
          <w:p w14:paraId="270A2B64">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贷款渠道和提供贷款的金融机构，可在荥阳市政府采购网“荥阳市政府采购合同融资入口”或工作动态栏查询联系。</w:t>
            </w:r>
          </w:p>
        </w:tc>
      </w:tr>
      <w:tr w14:paraId="46C85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19F21555">
            <w:pPr>
              <w:pStyle w:val="27"/>
              <w:spacing w:line="360" w:lineRule="auto"/>
              <w:jc w:val="center"/>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5</w:t>
            </w:r>
          </w:p>
        </w:tc>
        <w:tc>
          <w:tcPr>
            <w:tcW w:w="2573" w:type="dxa"/>
            <w:vAlign w:val="center"/>
          </w:tcPr>
          <w:p w14:paraId="1A5C551E">
            <w:pPr>
              <w:pStyle w:val="27"/>
              <w:spacing w:line="360" w:lineRule="auto"/>
              <w:jc w:val="center"/>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rPr>
              <w:t>解释权</w:t>
            </w:r>
          </w:p>
        </w:tc>
        <w:tc>
          <w:tcPr>
            <w:tcW w:w="5787" w:type="dxa"/>
            <w:vAlign w:val="center"/>
          </w:tcPr>
          <w:p w14:paraId="64233A90">
            <w:pPr>
              <w:pStyle w:val="27"/>
              <w:spacing w:line="360" w:lineRule="auto"/>
              <w:rPr>
                <w:rFonts w:hint="eastAsia" w:ascii="宋体" w:hAnsi="宋体" w:eastAsia="宋体" w:cs="宋体"/>
                <w:b/>
                <w:color w:val="auto"/>
                <w:sz w:val="21"/>
                <w:szCs w:val="21"/>
                <w:highlight w:val="none"/>
                <w:lang w:val="en-US" w:eastAsia="zh-CN" w:bidi="ar-SA"/>
              </w:rPr>
            </w:pPr>
            <w:r>
              <w:rPr>
                <w:rFonts w:hint="eastAsia" w:ascii="宋体" w:hAnsi="宋体" w:eastAsia="宋体" w:cs="宋体"/>
                <w:color w:val="auto"/>
                <w:sz w:val="21"/>
                <w:szCs w:val="21"/>
                <w:highlight w:val="none"/>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19E5B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0" w:type="dxa"/>
            <w:vAlign w:val="center"/>
          </w:tcPr>
          <w:p w14:paraId="2F0267FA">
            <w:pPr>
              <w:pStyle w:val="27"/>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r>
              <w:rPr>
                <w:rFonts w:hint="eastAsia" w:ascii="宋体" w:hAnsi="宋体" w:cs="宋体"/>
                <w:color w:val="auto"/>
                <w:sz w:val="21"/>
                <w:szCs w:val="21"/>
                <w:highlight w:val="none"/>
                <w:lang w:val="en-US" w:eastAsia="zh-CN"/>
              </w:rPr>
              <w:t>6</w:t>
            </w:r>
          </w:p>
        </w:tc>
        <w:tc>
          <w:tcPr>
            <w:tcW w:w="2573" w:type="dxa"/>
            <w:vAlign w:val="center"/>
          </w:tcPr>
          <w:p w14:paraId="4CF87EF2">
            <w:pPr>
              <w:pStyle w:val="27"/>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其它未尽事宜</w:t>
            </w:r>
          </w:p>
        </w:tc>
        <w:tc>
          <w:tcPr>
            <w:tcW w:w="5787" w:type="dxa"/>
            <w:vAlign w:val="center"/>
          </w:tcPr>
          <w:p w14:paraId="1170A799">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按国家有关法律、法规执行。</w:t>
            </w:r>
          </w:p>
        </w:tc>
      </w:tr>
      <w:tr w14:paraId="41A9C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0" w:type="dxa"/>
            <w:gridSpan w:val="3"/>
            <w:vAlign w:val="center"/>
          </w:tcPr>
          <w:p w14:paraId="2659AF5C">
            <w:pPr>
              <w:pStyle w:val="2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备注：运用计算机硬件特征码识别技术、标书编制系统证书识别技术、标书制作系统与计价软件特征码关联识别技术，发现</w:t>
            </w:r>
            <w:r>
              <w:rPr>
                <w:rFonts w:hint="eastAsia" w:ascii="宋体" w:hAnsi="宋体" w:cs="宋体"/>
                <w:color w:val="auto"/>
                <w:sz w:val="21"/>
                <w:szCs w:val="21"/>
                <w:highlight w:val="none"/>
                <w:vertAlign w:val="baseline"/>
                <w:lang w:val="en-US" w:eastAsia="zh-CN"/>
              </w:rPr>
              <w:t>供应商</w:t>
            </w:r>
            <w:r>
              <w:rPr>
                <w:rFonts w:hint="eastAsia" w:ascii="宋体" w:hAnsi="宋体" w:eastAsia="宋体" w:cs="宋体"/>
                <w:color w:val="auto"/>
                <w:sz w:val="21"/>
                <w:szCs w:val="21"/>
                <w:highlight w:val="none"/>
                <w:vertAlign w:val="baseline"/>
                <w:lang w:val="en-US" w:eastAsia="zh-CN"/>
              </w:rPr>
              <w:t>的投标文件出自同一台计算机的；通过电子评标系统雷同性分析技术，发现</w:t>
            </w:r>
            <w:r>
              <w:rPr>
                <w:rFonts w:hint="eastAsia" w:ascii="宋体" w:hAnsi="宋体" w:cs="宋体"/>
                <w:color w:val="auto"/>
                <w:sz w:val="21"/>
                <w:szCs w:val="21"/>
                <w:highlight w:val="none"/>
                <w:vertAlign w:val="baseline"/>
                <w:lang w:val="en-US" w:eastAsia="zh-CN"/>
              </w:rPr>
              <w:t>供应商</w:t>
            </w:r>
            <w:r>
              <w:rPr>
                <w:rFonts w:hint="eastAsia" w:ascii="宋体" w:hAnsi="宋体" w:eastAsia="宋体" w:cs="宋体"/>
                <w:color w:val="auto"/>
                <w:sz w:val="21"/>
                <w:szCs w:val="21"/>
                <w:highlight w:val="none"/>
                <w:vertAlign w:val="baseline"/>
                <w:lang w:val="en-US" w:eastAsia="zh-CN"/>
              </w:rPr>
              <w:t>的投标文件相互之间存在非正常雷同现象的；投标单位用相同IP地址上传投标文件的予以废标。</w:t>
            </w:r>
          </w:p>
          <w:p w14:paraId="76D45236">
            <w:pPr>
              <w:pStyle w:val="2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vertAlign w:val="baseline"/>
                <w:lang w:val="en-US" w:eastAsia="zh-CN"/>
              </w:rPr>
              <w:t>不同</w:t>
            </w:r>
            <w:r>
              <w:rPr>
                <w:rFonts w:hint="eastAsia" w:ascii="宋体" w:hAnsi="宋体" w:cs="宋体"/>
                <w:color w:val="auto"/>
                <w:sz w:val="21"/>
                <w:szCs w:val="21"/>
                <w:highlight w:val="none"/>
                <w:vertAlign w:val="baseline"/>
                <w:lang w:val="en-US" w:eastAsia="zh-CN"/>
              </w:rPr>
              <w:t>供应商</w:t>
            </w:r>
            <w:r>
              <w:rPr>
                <w:rFonts w:hint="eastAsia" w:ascii="宋体" w:hAnsi="宋体" w:eastAsia="宋体" w:cs="宋体"/>
                <w:color w:val="auto"/>
                <w:sz w:val="21"/>
                <w:szCs w:val="21"/>
                <w:highlight w:val="none"/>
                <w:vertAlign w:val="baseline"/>
                <w:lang w:val="en-US" w:eastAsia="zh-CN"/>
              </w:rPr>
              <w:t>的电子投标文件制作机器码一致作废标处理。</w:t>
            </w:r>
          </w:p>
        </w:tc>
      </w:tr>
    </w:tbl>
    <w:p w14:paraId="2D64A3D6">
      <w:pPr>
        <w:pStyle w:val="9"/>
        <w:rPr>
          <w:rFonts w:hint="eastAsia" w:ascii="宋体" w:hAnsi="宋体" w:eastAsia="宋体" w:cs="宋体"/>
          <w:color w:val="auto"/>
          <w:highlight w:val="none"/>
        </w:rPr>
        <w:sectPr>
          <w:footerReference r:id="rId3" w:type="default"/>
          <w:pgSz w:w="11906" w:h="16838"/>
          <w:pgMar w:top="1304" w:right="1588" w:bottom="1304" w:left="1588" w:header="851" w:footer="992" w:gutter="0"/>
          <w:pgNumType w:fmt="decimal" w:start="1"/>
          <w:cols w:space="425" w:num="1"/>
          <w:docGrid w:type="lines" w:linePitch="312" w:charSpace="0"/>
        </w:sectPr>
      </w:pPr>
    </w:p>
    <w:p w14:paraId="052EF68C">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1．总则</w:t>
      </w:r>
    </w:p>
    <w:p w14:paraId="5F1AF73E">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1.1项目概况</w:t>
      </w:r>
    </w:p>
    <w:p w14:paraId="4E834199">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1.1.1参照《中华人民共和国政府采购法》等有关法律、法规和规章的规定，本招标项目</w:t>
      </w:r>
      <w:r>
        <w:rPr>
          <w:rFonts w:hint="eastAsia" w:ascii="宋体" w:hAnsi="宋体" w:cs="宋体"/>
          <w:color w:val="auto"/>
          <w:kern w:val="2"/>
          <w:sz w:val="21"/>
          <w:szCs w:val="21"/>
          <w:highlight w:val="none"/>
          <w:lang w:val="en-US" w:eastAsia="zh-CN" w:bidi="ar-SA"/>
        </w:rPr>
        <w:t>已</w:t>
      </w:r>
      <w:r>
        <w:rPr>
          <w:rFonts w:hint="eastAsia" w:ascii="宋体" w:hAnsi="宋体" w:eastAsia="宋体" w:cs="宋体"/>
          <w:color w:val="auto"/>
          <w:kern w:val="2"/>
          <w:sz w:val="21"/>
          <w:szCs w:val="21"/>
          <w:highlight w:val="none"/>
          <w:lang w:val="en-US" w:eastAsia="zh-CN" w:bidi="ar-SA"/>
        </w:rPr>
        <w:t>具备招标条件，现对本项目进行招标。</w:t>
      </w:r>
    </w:p>
    <w:p w14:paraId="52E8F365">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1.1.2本招标项目采购人：见</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w:t>
      </w:r>
    </w:p>
    <w:p w14:paraId="71F1B331">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1.1.3本招标项目采购代理机构：见</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w:t>
      </w:r>
    </w:p>
    <w:p w14:paraId="7F002B04">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1.1.4本招标项目名称：见</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w:t>
      </w:r>
    </w:p>
    <w:p w14:paraId="7C47E976">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1.1.5本招标项目编号：见</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w:t>
      </w:r>
    </w:p>
    <w:p w14:paraId="77B8669E">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1.1.6本招标项目属性：见</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w:t>
      </w:r>
    </w:p>
    <w:p w14:paraId="476100AF">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1.2资金来源和落实情况</w:t>
      </w:r>
    </w:p>
    <w:p w14:paraId="21086D7A">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1.2.1本招标项目资金来源：见</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w:t>
      </w:r>
    </w:p>
    <w:p w14:paraId="609E39B9">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1.2.2本招标项目出资比例：见</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w:t>
      </w:r>
    </w:p>
    <w:p w14:paraId="5FA5511A">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1.2.3本招标项目资金落实情况：见</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w:t>
      </w:r>
    </w:p>
    <w:p w14:paraId="63B8BBEA">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1.3采购内容、服务期限、服务地点和质量要求</w:t>
      </w:r>
    </w:p>
    <w:p w14:paraId="045A0FDC">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1.3.1本招标项目采购内容：见</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w:t>
      </w:r>
    </w:p>
    <w:p w14:paraId="051C5A93">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1.3.2本招标项目服务期限：见</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w:t>
      </w:r>
    </w:p>
    <w:p w14:paraId="0F7236F1">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1.3.3本招标项目服务地点：见</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w:t>
      </w:r>
    </w:p>
    <w:p w14:paraId="0FCE46E9">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1.3.4本招标项目</w:t>
      </w:r>
      <w:r>
        <w:rPr>
          <w:rFonts w:hint="eastAsia" w:ascii="宋体" w:hAnsi="宋体" w:cs="宋体"/>
          <w:color w:val="auto"/>
          <w:kern w:val="2"/>
          <w:sz w:val="21"/>
          <w:szCs w:val="21"/>
          <w:highlight w:val="none"/>
          <w:lang w:val="en-US" w:eastAsia="zh-CN" w:bidi="ar-SA"/>
        </w:rPr>
        <w:t>服务质量</w:t>
      </w:r>
      <w:r>
        <w:rPr>
          <w:rFonts w:hint="eastAsia" w:ascii="宋体" w:hAnsi="宋体" w:eastAsia="宋体" w:cs="宋体"/>
          <w:color w:val="auto"/>
          <w:kern w:val="2"/>
          <w:sz w:val="21"/>
          <w:szCs w:val="21"/>
          <w:highlight w:val="none"/>
          <w:lang w:val="en-US" w:eastAsia="zh-CN" w:bidi="ar-SA"/>
        </w:rPr>
        <w:t>：见</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w:t>
      </w:r>
    </w:p>
    <w:p w14:paraId="2AD48AC4">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1.4</w:t>
      </w:r>
      <w:r>
        <w:rPr>
          <w:rFonts w:hint="eastAsia" w:ascii="宋体" w:hAnsi="宋体" w:cs="宋体"/>
          <w:b/>
          <w:color w:val="auto"/>
          <w:kern w:val="2"/>
          <w:sz w:val="21"/>
          <w:szCs w:val="21"/>
          <w:highlight w:val="none"/>
          <w:lang w:val="en-US" w:eastAsia="zh-CN" w:bidi="ar-SA"/>
        </w:rPr>
        <w:t>供应商</w:t>
      </w:r>
      <w:r>
        <w:rPr>
          <w:rFonts w:hint="eastAsia" w:ascii="宋体" w:hAnsi="宋体" w:eastAsia="宋体" w:cs="宋体"/>
          <w:b/>
          <w:color w:val="auto"/>
          <w:kern w:val="2"/>
          <w:sz w:val="21"/>
          <w:szCs w:val="21"/>
          <w:highlight w:val="none"/>
          <w:lang w:val="en-US" w:eastAsia="zh-CN" w:bidi="ar-SA"/>
        </w:rPr>
        <w:t>资格要求</w:t>
      </w:r>
    </w:p>
    <w:p w14:paraId="0C7EDAC4">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1.4.1</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应具备承担本项目的资格条件：见</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w:t>
      </w:r>
    </w:p>
    <w:p w14:paraId="552502EF">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1.4.2本项目不接受联合体投标。</w:t>
      </w:r>
    </w:p>
    <w:p w14:paraId="060781A0">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1.4.3</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不得存在下列情形之一：</w:t>
      </w:r>
    </w:p>
    <w:p w14:paraId="754E1091">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（1）为采购人不具有独立法人资格的附属机构（单位）；</w:t>
      </w:r>
    </w:p>
    <w:p w14:paraId="7763F1F5">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（2）为本项目提供采购代理服务的；</w:t>
      </w:r>
    </w:p>
    <w:p w14:paraId="75EF0749">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（3）与本项目的采购代理机构同为一个法定代表人的；</w:t>
      </w:r>
    </w:p>
    <w:p w14:paraId="64B03250">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（4）与本项目的采购代理机构相互控股或参股的；</w:t>
      </w:r>
    </w:p>
    <w:p w14:paraId="1BEBB0AB">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bookmarkStart w:id="26" w:name="page16"/>
      <w:bookmarkEnd w:id="26"/>
      <w:r>
        <w:rPr>
          <w:rFonts w:hint="eastAsia" w:ascii="宋体" w:hAnsi="宋体" w:eastAsia="宋体" w:cs="宋体"/>
          <w:color w:val="auto"/>
          <w:kern w:val="2"/>
          <w:sz w:val="21"/>
          <w:szCs w:val="21"/>
          <w:highlight w:val="none"/>
          <w:lang w:val="en-US" w:eastAsia="zh-CN" w:bidi="ar-SA"/>
        </w:rPr>
        <w:t>（5）与本项目的采购代理机构相互任职或工作的；</w:t>
      </w:r>
    </w:p>
    <w:p w14:paraId="79B6A24D">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（6）被责令停业的；</w:t>
      </w:r>
    </w:p>
    <w:p w14:paraId="51A6D789">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（7）被暂停或取消投标资格的；</w:t>
      </w:r>
    </w:p>
    <w:p w14:paraId="0427F7A9">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（8）财产被接管或冻结的；</w:t>
      </w:r>
    </w:p>
    <w:p w14:paraId="2634115B">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（9）在最近三年内有骗取中标或严重违约或重大质量问题的。</w:t>
      </w:r>
    </w:p>
    <w:p w14:paraId="114CF4D6">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1.5费用承担</w:t>
      </w:r>
    </w:p>
    <w:p w14:paraId="095D0E20">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准备和参加投标活动发生的费用自理。</w:t>
      </w:r>
    </w:p>
    <w:p w14:paraId="5041436E">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1.6保密</w:t>
      </w:r>
    </w:p>
    <w:p w14:paraId="688F3504">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参与招标投标活动的各方应对招标文件和投标文件中的商业和技术等秘密保密，违者应对由此造成的后果承担法律责任。</w:t>
      </w:r>
    </w:p>
    <w:p w14:paraId="5C62D132">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1.7语言文字</w:t>
      </w:r>
    </w:p>
    <w:p w14:paraId="0331FB91">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除专用术语外，与招标投标有关的语言均使用中文。必要时专用术语应附有中文注释。</w:t>
      </w:r>
    </w:p>
    <w:p w14:paraId="18C730A7">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1.8计量单位</w:t>
      </w:r>
    </w:p>
    <w:p w14:paraId="65058285">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所有计量均采用中华人民共和国法定计量单位。</w:t>
      </w:r>
    </w:p>
    <w:p w14:paraId="1BA189CA">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1.9踏勘现场</w:t>
      </w:r>
    </w:p>
    <w:p w14:paraId="111D0408">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1.9.1</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须知前附表规定组织踏勘现场的，采购人按</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须知前附表规定的时间、地点组织</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踏勘项目现场。</w:t>
      </w:r>
    </w:p>
    <w:p w14:paraId="3AEFF75D">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1.9.2</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踏勘现场发生的费用自理。</w:t>
      </w:r>
    </w:p>
    <w:p w14:paraId="3E9CCF3C">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1.9.3除采购人的原因外，</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自行负责在踏勘现场中所发生的人员伤亡和财产损失。</w:t>
      </w:r>
    </w:p>
    <w:p w14:paraId="1A48964E">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1.9.4采购人在踏勘现场中介绍的项目场地和相关的周边环境情况，供</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在编制投标文件时参考，采购人不对</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据此作出的判断和决策负责。</w:t>
      </w:r>
    </w:p>
    <w:p w14:paraId="61C4FB68">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1.10投标预备会</w:t>
      </w:r>
    </w:p>
    <w:p w14:paraId="1AB56296">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1.10.1</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须知前附表规定召开投标预备会的，采购人按</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须知前附表规定的时间和地点召开投标预备会，澄清</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提出的问题。</w:t>
      </w:r>
    </w:p>
    <w:p w14:paraId="3C656F75">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1.10.2</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应按</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须知前附表规定的时间和形式将提出的问题送达采购人。</w:t>
      </w:r>
    </w:p>
    <w:p w14:paraId="375DED79">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1.11分包</w:t>
      </w:r>
    </w:p>
    <w:p w14:paraId="48A79593">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不允许。</w:t>
      </w:r>
    </w:p>
    <w:p w14:paraId="42220A36">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1.12偏离</w:t>
      </w:r>
    </w:p>
    <w:p w14:paraId="56687EC0">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须知前附表允许投标文件偏离招标文件某些要求的，偏离应当符合招标文件规定的偏离范围和幅度。</w:t>
      </w:r>
    </w:p>
    <w:p w14:paraId="43583BCB">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2．招标文件</w:t>
      </w:r>
    </w:p>
    <w:p w14:paraId="2CEAC4FA">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2.招标文件的组成</w:t>
      </w:r>
    </w:p>
    <w:p w14:paraId="7C749B1C">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本招标文件包括：</w:t>
      </w:r>
    </w:p>
    <w:p w14:paraId="1B4C8C39">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（1）招标公告</w:t>
      </w:r>
    </w:p>
    <w:p w14:paraId="3257FC99">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须知；</w:t>
      </w:r>
    </w:p>
    <w:p w14:paraId="722516D1">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（3）评标办法；</w:t>
      </w:r>
    </w:p>
    <w:p w14:paraId="2E77FEF3">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（4）合同条款及格式；</w:t>
      </w:r>
    </w:p>
    <w:p w14:paraId="08B9D1D0">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（5）服务需求；</w:t>
      </w:r>
    </w:p>
    <w:p w14:paraId="3C2B4808">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（6）投标文件格式。</w:t>
      </w:r>
    </w:p>
    <w:p w14:paraId="7869317F">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根据本章第1.10款、第2.2款和第2.3款对招标文件所作的澄清、修改，构成招标文件的组成部分。</w:t>
      </w:r>
    </w:p>
    <w:p w14:paraId="719EDC1D">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2.2招标文件的澄清</w:t>
      </w:r>
    </w:p>
    <w:p w14:paraId="4655A747">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2.2.1</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应仔细阅读和检查招标文件的全部内容。如发现缺页或附件不全，应及时向采购人提出，以便补齐。如有疑问，应在</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须知前附表规定的时间前在交易平台上进行提问，要求采购人对招标文件予以澄清。</w:t>
      </w:r>
    </w:p>
    <w:p w14:paraId="6DCCA038">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2.2.2招标文件的澄清将在</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须知前附表规定的投标截止时间15天前在交易平台上发给所有下载招标文件的</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，但不指明澄清问题的来源。</w:t>
      </w:r>
    </w:p>
    <w:p w14:paraId="2B028D83">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2.2.3</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在收到澄清后，应在</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须知前附表规定的时间内在交易平台上回复确认已收到该澄清。</w:t>
      </w:r>
    </w:p>
    <w:p w14:paraId="62CA5807">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2.3招标文件的修改</w:t>
      </w:r>
    </w:p>
    <w:p w14:paraId="06DF8BBB">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2.3.1在投标截止时间15天前，</w:t>
      </w:r>
      <w:r>
        <w:rPr>
          <w:rFonts w:hint="eastAsia" w:ascii="宋体" w:hAnsi="宋体" w:cs="宋体"/>
          <w:color w:val="auto"/>
          <w:kern w:val="2"/>
          <w:sz w:val="21"/>
          <w:szCs w:val="21"/>
          <w:highlight w:val="none"/>
          <w:lang w:val="en-US" w:eastAsia="zh-CN" w:bidi="ar-SA"/>
        </w:rPr>
        <w:t>采购人</w:t>
      </w:r>
      <w:r>
        <w:rPr>
          <w:rFonts w:hint="eastAsia" w:ascii="宋体" w:hAnsi="宋体" w:eastAsia="宋体" w:cs="宋体"/>
          <w:color w:val="auto"/>
          <w:kern w:val="2"/>
          <w:sz w:val="21"/>
          <w:szCs w:val="21"/>
          <w:highlight w:val="none"/>
          <w:lang w:val="en-US" w:eastAsia="zh-CN" w:bidi="ar-SA"/>
        </w:rPr>
        <w:t>有权对发出的招标文件进行必要的澄清或修改。并将澄清或修改的内容上传至“荥阳电子招投标交易平台”，</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凭企业身份认证锁（CA</w:t>
      </w:r>
      <w:r>
        <w:rPr>
          <w:rFonts w:hint="eastAsia" w:ascii="宋体" w:hAnsi="宋体" w:cs="宋体"/>
          <w:color w:val="auto"/>
          <w:kern w:val="2"/>
          <w:sz w:val="21"/>
          <w:szCs w:val="21"/>
          <w:highlight w:val="none"/>
          <w:lang w:val="en-US" w:eastAsia="zh-CN" w:bidi="ar-SA"/>
        </w:rPr>
        <w:t>密</w:t>
      </w:r>
      <w:r>
        <w:rPr>
          <w:rFonts w:hint="eastAsia" w:ascii="宋体" w:hAnsi="宋体" w:eastAsia="宋体" w:cs="宋体"/>
          <w:color w:val="auto"/>
          <w:kern w:val="2"/>
          <w:sz w:val="21"/>
          <w:szCs w:val="21"/>
          <w:highlight w:val="none"/>
          <w:lang w:val="en-US" w:eastAsia="zh-CN" w:bidi="ar-SA"/>
        </w:rPr>
        <w:t>钥）进行网上下载，该澄清或修改的内容为招标文件的组成部分。如果修改招标文件的时间距投标截止时间不足15天，相应延长投标截止时间。</w:t>
      </w:r>
    </w:p>
    <w:p w14:paraId="6ACB18FF">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2.3.2</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收到修改内容后，应在</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须知前附表规定的时间及形式通知</w:t>
      </w:r>
      <w:r>
        <w:rPr>
          <w:rFonts w:hint="eastAsia" w:ascii="宋体" w:hAnsi="宋体" w:cs="宋体"/>
          <w:color w:val="auto"/>
          <w:kern w:val="2"/>
          <w:sz w:val="21"/>
          <w:szCs w:val="21"/>
          <w:highlight w:val="none"/>
          <w:lang w:val="en-US" w:eastAsia="zh-CN" w:bidi="ar-SA"/>
        </w:rPr>
        <w:t>采购人</w:t>
      </w:r>
      <w:r>
        <w:rPr>
          <w:rFonts w:hint="eastAsia" w:ascii="宋体" w:hAnsi="宋体" w:eastAsia="宋体" w:cs="宋体"/>
          <w:color w:val="auto"/>
          <w:kern w:val="2"/>
          <w:sz w:val="21"/>
          <w:szCs w:val="21"/>
          <w:highlight w:val="none"/>
          <w:lang w:val="en-US" w:eastAsia="zh-CN" w:bidi="ar-SA"/>
        </w:rPr>
        <w:t>，确认已收到该修改。</w:t>
      </w:r>
    </w:p>
    <w:p w14:paraId="468D946B">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3．投标文件</w:t>
      </w:r>
    </w:p>
    <w:p w14:paraId="784F12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3.1投标文件的组成</w:t>
      </w:r>
    </w:p>
    <w:p w14:paraId="68CACC0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3.1.1投标文件应包括下列内容：</w:t>
      </w:r>
    </w:p>
    <w:p w14:paraId="35C4FF8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fldChar w:fldCharType="begin"/>
      </w:r>
      <w:r>
        <w:rPr>
          <w:rFonts w:hint="eastAsia" w:ascii="宋体" w:hAnsi="宋体" w:eastAsia="宋体" w:cs="宋体"/>
          <w:color w:val="auto"/>
          <w:kern w:val="2"/>
          <w:sz w:val="21"/>
          <w:szCs w:val="21"/>
          <w:highlight w:val="none"/>
          <w:lang w:val="en-US" w:eastAsia="zh-CN" w:bidi="ar-SA"/>
        </w:rPr>
        <w:instrText xml:space="preserve"> HYPERLINK \l _Toc12923 </w:instrText>
      </w:r>
      <w:r>
        <w:rPr>
          <w:rFonts w:hint="eastAsia" w:ascii="宋体" w:hAnsi="宋体" w:eastAsia="宋体" w:cs="宋体"/>
          <w:color w:val="auto"/>
          <w:kern w:val="2"/>
          <w:sz w:val="21"/>
          <w:szCs w:val="21"/>
          <w:highlight w:val="none"/>
          <w:lang w:val="en-US" w:eastAsia="zh-CN" w:bidi="ar-SA"/>
        </w:rPr>
        <w:fldChar w:fldCharType="separate"/>
      </w:r>
      <w:r>
        <w:rPr>
          <w:rFonts w:hint="eastAsia" w:ascii="宋体" w:hAnsi="宋体" w:eastAsia="宋体" w:cs="宋体"/>
          <w:color w:val="auto"/>
          <w:kern w:val="2"/>
          <w:sz w:val="21"/>
          <w:szCs w:val="21"/>
          <w:highlight w:val="none"/>
          <w:lang w:val="en-US" w:eastAsia="zh-CN" w:bidi="ar-SA"/>
        </w:rPr>
        <w:t>（1）投标函及投标函附录</w:t>
      </w:r>
      <w:r>
        <w:rPr>
          <w:rFonts w:hint="eastAsia" w:ascii="宋体" w:hAnsi="宋体" w:eastAsia="宋体" w:cs="宋体"/>
          <w:color w:val="auto"/>
          <w:kern w:val="2"/>
          <w:sz w:val="21"/>
          <w:szCs w:val="21"/>
          <w:highlight w:val="none"/>
          <w:lang w:val="en-US" w:eastAsia="zh-CN" w:bidi="ar-SA"/>
        </w:rPr>
        <w:fldChar w:fldCharType="end"/>
      </w:r>
    </w:p>
    <w:p w14:paraId="2F5061E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fldChar w:fldCharType="begin"/>
      </w:r>
      <w:r>
        <w:rPr>
          <w:rFonts w:hint="eastAsia" w:ascii="宋体" w:hAnsi="宋体" w:eastAsia="宋体" w:cs="宋体"/>
          <w:color w:val="auto"/>
          <w:kern w:val="2"/>
          <w:sz w:val="21"/>
          <w:szCs w:val="21"/>
          <w:highlight w:val="none"/>
          <w:lang w:val="en-US" w:eastAsia="zh-CN" w:bidi="ar-SA"/>
        </w:rPr>
        <w:instrText xml:space="preserve"> HYPERLINK \l _Toc29886 </w:instrText>
      </w:r>
      <w:r>
        <w:rPr>
          <w:rFonts w:hint="eastAsia" w:ascii="宋体" w:hAnsi="宋体" w:eastAsia="宋体" w:cs="宋体"/>
          <w:color w:val="auto"/>
          <w:kern w:val="2"/>
          <w:sz w:val="21"/>
          <w:szCs w:val="21"/>
          <w:highlight w:val="none"/>
          <w:lang w:val="en-US" w:eastAsia="zh-CN" w:bidi="ar-SA"/>
        </w:rPr>
        <w:fldChar w:fldCharType="separate"/>
      </w:r>
      <w:r>
        <w:rPr>
          <w:rFonts w:hint="eastAsia" w:ascii="宋体" w:hAnsi="宋体" w:eastAsia="宋体" w:cs="宋体"/>
          <w:color w:val="auto"/>
          <w:kern w:val="2"/>
          <w:sz w:val="21"/>
          <w:szCs w:val="21"/>
          <w:highlight w:val="none"/>
          <w:lang w:val="en-US" w:eastAsia="zh-CN" w:bidi="ar-SA"/>
        </w:rPr>
        <w:t>（2）法定代表人身份证明</w:t>
      </w:r>
      <w:r>
        <w:rPr>
          <w:rFonts w:hint="eastAsia" w:ascii="宋体" w:hAnsi="宋体" w:eastAsia="宋体" w:cs="宋体"/>
          <w:color w:val="auto"/>
          <w:kern w:val="2"/>
          <w:sz w:val="21"/>
          <w:szCs w:val="21"/>
          <w:highlight w:val="none"/>
          <w:lang w:val="en-US" w:eastAsia="zh-CN" w:bidi="ar-SA"/>
        </w:rPr>
        <w:fldChar w:fldCharType="end"/>
      </w:r>
    </w:p>
    <w:p w14:paraId="74BF893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fldChar w:fldCharType="begin"/>
      </w:r>
      <w:r>
        <w:rPr>
          <w:rFonts w:hint="eastAsia" w:ascii="宋体" w:hAnsi="宋体" w:eastAsia="宋体" w:cs="宋体"/>
          <w:color w:val="auto"/>
          <w:kern w:val="2"/>
          <w:sz w:val="21"/>
          <w:szCs w:val="21"/>
          <w:highlight w:val="none"/>
          <w:lang w:val="en-US" w:eastAsia="zh-CN" w:bidi="ar-SA"/>
        </w:rPr>
        <w:instrText xml:space="preserve"> HYPERLINK \l _Toc9347 </w:instrText>
      </w:r>
      <w:r>
        <w:rPr>
          <w:rFonts w:hint="eastAsia" w:ascii="宋体" w:hAnsi="宋体" w:eastAsia="宋体" w:cs="宋体"/>
          <w:color w:val="auto"/>
          <w:kern w:val="2"/>
          <w:sz w:val="21"/>
          <w:szCs w:val="21"/>
          <w:highlight w:val="none"/>
          <w:lang w:val="en-US" w:eastAsia="zh-CN" w:bidi="ar-SA"/>
        </w:rPr>
        <w:fldChar w:fldCharType="separate"/>
      </w:r>
      <w:r>
        <w:rPr>
          <w:rFonts w:hint="eastAsia" w:ascii="宋体" w:hAnsi="宋体" w:eastAsia="宋体" w:cs="宋体"/>
          <w:color w:val="auto"/>
          <w:kern w:val="2"/>
          <w:sz w:val="21"/>
          <w:szCs w:val="21"/>
          <w:highlight w:val="none"/>
          <w:lang w:val="en-US" w:eastAsia="zh-CN" w:bidi="ar-SA"/>
        </w:rPr>
        <w:t>（3）授权委托书</w:t>
      </w:r>
      <w:r>
        <w:rPr>
          <w:rFonts w:hint="eastAsia" w:ascii="宋体" w:hAnsi="宋体" w:eastAsia="宋体" w:cs="宋体"/>
          <w:color w:val="auto"/>
          <w:kern w:val="2"/>
          <w:sz w:val="21"/>
          <w:szCs w:val="21"/>
          <w:highlight w:val="none"/>
          <w:lang w:val="en-US" w:eastAsia="zh-CN" w:bidi="ar-SA"/>
        </w:rPr>
        <w:fldChar w:fldCharType="end"/>
      </w:r>
    </w:p>
    <w:p w14:paraId="137F47E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fldChar w:fldCharType="begin"/>
      </w:r>
      <w:r>
        <w:rPr>
          <w:rFonts w:hint="eastAsia" w:ascii="宋体" w:hAnsi="宋体" w:eastAsia="宋体" w:cs="宋体"/>
          <w:color w:val="auto"/>
          <w:kern w:val="2"/>
          <w:sz w:val="21"/>
          <w:szCs w:val="21"/>
          <w:highlight w:val="none"/>
          <w:lang w:val="en-US" w:eastAsia="zh-CN" w:bidi="ar-SA"/>
        </w:rPr>
        <w:instrText xml:space="preserve"> HYPERLINK \l _Toc8420 </w:instrText>
      </w:r>
      <w:r>
        <w:rPr>
          <w:rFonts w:hint="eastAsia" w:ascii="宋体" w:hAnsi="宋体" w:eastAsia="宋体" w:cs="宋体"/>
          <w:color w:val="auto"/>
          <w:kern w:val="2"/>
          <w:sz w:val="21"/>
          <w:szCs w:val="21"/>
          <w:highlight w:val="none"/>
          <w:lang w:val="en-US" w:eastAsia="zh-CN" w:bidi="ar-SA"/>
        </w:rPr>
        <w:fldChar w:fldCharType="separate"/>
      </w:r>
      <w:r>
        <w:rPr>
          <w:rFonts w:hint="eastAsia" w:ascii="宋体" w:hAnsi="宋体" w:eastAsia="宋体" w:cs="宋体"/>
          <w:color w:val="auto"/>
          <w:kern w:val="2"/>
          <w:sz w:val="21"/>
          <w:szCs w:val="21"/>
          <w:highlight w:val="none"/>
          <w:lang w:val="en-US" w:eastAsia="zh-CN" w:bidi="ar-SA"/>
        </w:rPr>
        <w:t>（4）资格审查资料</w:t>
      </w:r>
      <w:r>
        <w:rPr>
          <w:rFonts w:hint="eastAsia" w:ascii="宋体" w:hAnsi="宋体" w:eastAsia="宋体" w:cs="宋体"/>
          <w:color w:val="auto"/>
          <w:kern w:val="2"/>
          <w:sz w:val="21"/>
          <w:szCs w:val="21"/>
          <w:highlight w:val="none"/>
          <w:lang w:val="en-US" w:eastAsia="zh-CN" w:bidi="ar-SA"/>
        </w:rPr>
        <w:fldChar w:fldCharType="end"/>
      </w:r>
    </w:p>
    <w:p w14:paraId="7EA917B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fldChar w:fldCharType="begin"/>
      </w:r>
      <w:r>
        <w:rPr>
          <w:rFonts w:hint="eastAsia" w:ascii="宋体" w:hAnsi="宋体" w:eastAsia="宋体" w:cs="宋体"/>
          <w:color w:val="auto"/>
          <w:kern w:val="2"/>
          <w:sz w:val="21"/>
          <w:szCs w:val="21"/>
          <w:highlight w:val="none"/>
          <w:lang w:val="en-US" w:eastAsia="zh-CN" w:bidi="ar-SA"/>
        </w:rPr>
        <w:instrText xml:space="preserve"> HYPERLINK \l _Toc7402 </w:instrText>
      </w:r>
      <w:r>
        <w:rPr>
          <w:rFonts w:hint="eastAsia" w:ascii="宋体" w:hAnsi="宋体" w:eastAsia="宋体" w:cs="宋体"/>
          <w:color w:val="auto"/>
          <w:kern w:val="2"/>
          <w:sz w:val="21"/>
          <w:szCs w:val="21"/>
          <w:highlight w:val="none"/>
          <w:lang w:val="en-US" w:eastAsia="zh-CN" w:bidi="ar-SA"/>
        </w:rPr>
        <w:fldChar w:fldCharType="separate"/>
      </w:r>
      <w:r>
        <w:rPr>
          <w:rFonts w:hint="eastAsia" w:ascii="宋体" w:hAnsi="宋体" w:eastAsia="宋体" w:cs="宋体"/>
          <w:color w:val="auto"/>
          <w:kern w:val="2"/>
          <w:sz w:val="21"/>
          <w:szCs w:val="21"/>
          <w:highlight w:val="none"/>
          <w:lang w:val="en-US" w:eastAsia="zh-CN" w:bidi="ar-SA"/>
        </w:rPr>
        <w:t>（5）服务方案</w:t>
      </w:r>
      <w:r>
        <w:rPr>
          <w:rFonts w:hint="eastAsia" w:ascii="宋体" w:hAnsi="宋体" w:eastAsia="宋体" w:cs="宋体"/>
          <w:color w:val="auto"/>
          <w:kern w:val="2"/>
          <w:sz w:val="21"/>
          <w:szCs w:val="21"/>
          <w:highlight w:val="none"/>
          <w:lang w:val="en-US" w:eastAsia="zh-CN" w:bidi="ar-SA"/>
        </w:rPr>
        <w:fldChar w:fldCharType="end"/>
      </w:r>
    </w:p>
    <w:p w14:paraId="0ACBC66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fldChar w:fldCharType="begin"/>
      </w:r>
      <w:r>
        <w:rPr>
          <w:rFonts w:hint="eastAsia" w:ascii="宋体" w:hAnsi="宋体" w:eastAsia="宋体" w:cs="宋体"/>
          <w:color w:val="auto"/>
          <w:kern w:val="2"/>
          <w:sz w:val="21"/>
          <w:szCs w:val="21"/>
          <w:highlight w:val="none"/>
          <w:lang w:val="en-US" w:eastAsia="zh-CN" w:bidi="ar-SA"/>
        </w:rPr>
        <w:instrText xml:space="preserve"> HYPERLINK \l _Toc17265 </w:instrText>
      </w:r>
      <w:r>
        <w:rPr>
          <w:rFonts w:hint="eastAsia" w:ascii="宋体" w:hAnsi="宋体" w:eastAsia="宋体" w:cs="宋体"/>
          <w:color w:val="auto"/>
          <w:kern w:val="2"/>
          <w:sz w:val="21"/>
          <w:szCs w:val="21"/>
          <w:highlight w:val="none"/>
          <w:lang w:val="en-US" w:eastAsia="zh-CN" w:bidi="ar-SA"/>
        </w:rPr>
        <w:fldChar w:fldCharType="separate"/>
      </w:r>
      <w:r>
        <w:rPr>
          <w:rFonts w:hint="eastAsia" w:ascii="宋体" w:hAnsi="宋体" w:eastAsia="宋体" w:cs="宋体"/>
          <w:color w:val="auto"/>
          <w:kern w:val="2"/>
          <w:sz w:val="21"/>
          <w:szCs w:val="21"/>
          <w:highlight w:val="none"/>
          <w:lang w:val="en-US" w:eastAsia="zh-CN" w:bidi="ar-SA"/>
        </w:rPr>
        <w:t>（6）服务业绩</w:t>
      </w:r>
      <w:r>
        <w:rPr>
          <w:rFonts w:hint="eastAsia" w:ascii="宋体" w:hAnsi="宋体" w:eastAsia="宋体" w:cs="宋体"/>
          <w:color w:val="auto"/>
          <w:kern w:val="2"/>
          <w:sz w:val="21"/>
          <w:szCs w:val="21"/>
          <w:highlight w:val="none"/>
          <w:lang w:val="en-US" w:eastAsia="zh-CN" w:bidi="ar-SA"/>
        </w:rPr>
        <w:fldChar w:fldCharType="end"/>
      </w:r>
    </w:p>
    <w:p w14:paraId="5BD3D34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fldChar w:fldCharType="begin"/>
      </w:r>
      <w:r>
        <w:rPr>
          <w:rFonts w:hint="eastAsia" w:ascii="宋体" w:hAnsi="宋体" w:eastAsia="宋体" w:cs="宋体"/>
          <w:color w:val="auto"/>
          <w:kern w:val="2"/>
          <w:sz w:val="21"/>
          <w:szCs w:val="21"/>
          <w:highlight w:val="none"/>
          <w:lang w:val="en-US" w:eastAsia="zh-CN" w:bidi="ar-SA"/>
        </w:rPr>
        <w:instrText xml:space="preserve"> HYPERLINK \l _Toc5128 </w:instrText>
      </w:r>
      <w:r>
        <w:rPr>
          <w:rFonts w:hint="eastAsia" w:ascii="宋体" w:hAnsi="宋体" w:eastAsia="宋体" w:cs="宋体"/>
          <w:color w:val="auto"/>
          <w:kern w:val="2"/>
          <w:sz w:val="21"/>
          <w:szCs w:val="21"/>
          <w:highlight w:val="none"/>
          <w:lang w:val="en-US" w:eastAsia="zh-CN" w:bidi="ar-SA"/>
        </w:rPr>
        <w:fldChar w:fldCharType="separate"/>
      </w:r>
      <w:r>
        <w:rPr>
          <w:rFonts w:hint="eastAsia" w:ascii="宋体" w:hAnsi="宋体" w:eastAsia="宋体" w:cs="宋体"/>
          <w:color w:val="auto"/>
          <w:kern w:val="2"/>
          <w:sz w:val="21"/>
          <w:szCs w:val="21"/>
          <w:highlight w:val="none"/>
          <w:lang w:val="en-US" w:eastAsia="zh-CN" w:bidi="ar-SA"/>
        </w:rPr>
        <w:t>（7）</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认为有必要的其他资料</w:t>
      </w:r>
      <w:r>
        <w:rPr>
          <w:rFonts w:hint="eastAsia" w:ascii="宋体" w:hAnsi="宋体" w:eastAsia="宋体" w:cs="宋体"/>
          <w:color w:val="auto"/>
          <w:kern w:val="2"/>
          <w:sz w:val="21"/>
          <w:szCs w:val="21"/>
          <w:highlight w:val="none"/>
          <w:lang w:val="en-US" w:eastAsia="zh-CN" w:bidi="ar-SA"/>
        </w:rPr>
        <w:fldChar w:fldCharType="end"/>
      </w:r>
    </w:p>
    <w:p w14:paraId="4F0DFE3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fldChar w:fldCharType="begin"/>
      </w:r>
      <w:r>
        <w:rPr>
          <w:rFonts w:hint="eastAsia" w:ascii="宋体" w:hAnsi="宋体" w:eastAsia="宋体" w:cs="宋体"/>
          <w:color w:val="auto"/>
          <w:kern w:val="2"/>
          <w:sz w:val="21"/>
          <w:szCs w:val="21"/>
          <w:highlight w:val="none"/>
          <w:lang w:val="en-US" w:eastAsia="zh-CN" w:bidi="ar-SA"/>
        </w:rPr>
        <w:instrText xml:space="preserve"> HYPERLINK \l _Toc16312 </w:instrText>
      </w:r>
      <w:r>
        <w:rPr>
          <w:rFonts w:hint="eastAsia" w:ascii="宋体" w:hAnsi="宋体" w:eastAsia="宋体" w:cs="宋体"/>
          <w:color w:val="auto"/>
          <w:kern w:val="2"/>
          <w:sz w:val="21"/>
          <w:szCs w:val="21"/>
          <w:highlight w:val="none"/>
          <w:lang w:val="en-US" w:eastAsia="zh-CN" w:bidi="ar-SA"/>
        </w:rPr>
        <w:fldChar w:fldCharType="separate"/>
      </w:r>
      <w:r>
        <w:rPr>
          <w:rFonts w:hint="eastAsia" w:ascii="宋体" w:hAnsi="宋体" w:eastAsia="宋体" w:cs="宋体"/>
          <w:color w:val="auto"/>
          <w:kern w:val="2"/>
          <w:sz w:val="21"/>
          <w:szCs w:val="21"/>
          <w:highlight w:val="none"/>
          <w:lang w:val="en-US" w:eastAsia="zh-CN" w:bidi="ar-SA"/>
        </w:rPr>
        <w:t>（8）享受政府采购政策扶持的证明材料</w:t>
      </w:r>
      <w:r>
        <w:rPr>
          <w:rFonts w:hint="eastAsia" w:ascii="宋体" w:hAnsi="宋体" w:eastAsia="宋体" w:cs="宋体"/>
          <w:color w:val="auto"/>
          <w:kern w:val="2"/>
          <w:sz w:val="21"/>
          <w:szCs w:val="21"/>
          <w:highlight w:val="none"/>
          <w:lang w:val="en-US" w:eastAsia="zh-CN" w:bidi="ar-SA"/>
        </w:rPr>
        <w:tab/>
      </w:r>
      <w:r>
        <w:rPr>
          <w:rFonts w:hint="eastAsia" w:ascii="宋体" w:hAnsi="宋体" w:eastAsia="宋体" w:cs="宋体"/>
          <w:color w:val="auto"/>
          <w:kern w:val="2"/>
          <w:sz w:val="21"/>
          <w:szCs w:val="21"/>
          <w:highlight w:val="none"/>
          <w:lang w:val="en-US" w:eastAsia="zh-CN" w:bidi="ar-SA"/>
        </w:rPr>
        <w:fldChar w:fldCharType="end"/>
      </w:r>
    </w:p>
    <w:p w14:paraId="0BB11CD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在评标过程中作出的符合法律法规和招标文件规定的澄清确认，构成投标文件的组成部分。</w:t>
      </w:r>
    </w:p>
    <w:p w14:paraId="3A50A1B9">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3.2投标报价</w:t>
      </w:r>
    </w:p>
    <w:p w14:paraId="71B34787">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的投标报价应综合考虑完成本项目全部采购内容进行报价，采购人额外不再支付任何费用，</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不得以任何理由要求采购人增加合同价款。</w:t>
      </w:r>
    </w:p>
    <w:p w14:paraId="3DAFE620">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的报价应根据招标要求由</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结合市场行情、本项目实际情况和自身实力，自主合理报价；</w:t>
      </w:r>
    </w:p>
    <w:p w14:paraId="01B3B9D5">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在报价时应考虑服务期间的物价上涨、政策性调整等诸多因素以及由此引起的费用变动并计入报价；</w:t>
      </w:r>
    </w:p>
    <w:p w14:paraId="4E5630AA">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只能提交一个报价，采购人不接受任何选择报价。</w:t>
      </w:r>
    </w:p>
    <w:p w14:paraId="43C20BE3">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3.3投标有效期</w:t>
      </w:r>
    </w:p>
    <w:p w14:paraId="2F761F13">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3.3.1在</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须知前附表规定的投标有效期内，</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不得要求撤销或修改其投标文件。</w:t>
      </w:r>
    </w:p>
    <w:p w14:paraId="140786EB">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3.3.2出现特殊情况需要延长投标有效期的，采购人以书面形式通知所有</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延长投标有效期。</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应予以书面答复，同意延长的，应相应延长其投标保证金（如有）的有效期，但不得要求或被允许修改其投标文件；</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拒绝延长的，其投标失效。</w:t>
      </w:r>
    </w:p>
    <w:p w14:paraId="3EFFE336">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3.4投标保证金</w:t>
      </w:r>
    </w:p>
    <w:p w14:paraId="0EED50D8">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见</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w:t>
      </w:r>
    </w:p>
    <w:p w14:paraId="38C3F24D">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3.5资格审查资料</w:t>
      </w:r>
    </w:p>
    <w:p w14:paraId="2A5C42F0">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见</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须知前附表第1.4.1项。</w:t>
      </w:r>
    </w:p>
    <w:p w14:paraId="25041641">
      <w:pPr>
        <w:widowControl w:val="0"/>
        <w:spacing w:line="360" w:lineRule="auto"/>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3.6备选投标方案</w:t>
      </w:r>
    </w:p>
    <w:p w14:paraId="156159E1">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除</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须知前附表另有规定外，</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不得递交备选投标方案。允许</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递交备选投标方案的，只有中标人所递交的备选投标方案方可予以考虑。评标委员会认为中标人的备选投标方案优于其按照招标文件要求编制的投标方案的，采购人可以接受该备选投标方案。</w:t>
      </w:r>
    </w:p>
    <w:p w14:paraId="123341D3">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3.7投标文件的编制</w:t>
      </w:r>
    </w:p>
    <w:p w14:paraId="455DCF11">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bookmarkStart w:id="27" w:name="_Toc221950175"/>
      <w:r>
        <w:rPr>
          <w:rFonts w:hint="eastAsia" w:ascii="宋体" w:hAnsi="宋体" w:eastAsia="宋体" w:cs="宋体"/>
          <w:color w:val="auto"/>
          <w:kern w:val="2"/>
          <w:sz w:val="21"/>
          <w:szCs w:val="21"/>
          <w:highlight w:val="none"/>
          <w:lang w:val="en-US" w:eastAsia="zh-CN" w:bidi="ar-SA"/>
        </w:rPr>
        <w:t>3.7.1投标文件应按“投标文件格式”进行编写，如有必要，可以增加附页，作为投标文件的组成部分。其中，投标函附录在满足招标文件实质性要求的基础上，可以提出比招标文件要求更有利于</w:t>
      </w:r>
      <w:r>
        <w:rPr>
          <w:rFonts w:hint="eastAsia" w:ascii="宋体" w:hAnsi="宋体" w:cs="宋体"/>
          <w:color w:val="auto"/>
          <w:kern w:val="2"/>
          <w:sz w:val="21"/>
          <w:szCs w:val="21"/>
          <w:highlight w:val="none"/>
          <w:lang w:val="en-US" w:eastAsia="zh-CN" w:bidi="ar-SA"/>
        </w:rPr>
        <w:t>采购人</w:t>
      </w:r>
      <w:r>
        <w:rPr>
          <w:rFonts w:hint="eastAsia" w:ascii="宋体" w:hAnsi="宋体" w:eastAsia="宋体" w:cs="宋体"/>
          <w:color w:val="auto"/>
          <w:kern w:val="2"/>
          <w:sz w:val="21"/>
          <w:szCs w:val="21"/>
          <w:highlight w:val="none"/>
          <w:lang w:val="en-US" w:eastAsia="zh-CN" w:bidi="ar-SA"/>
        </w:rPr>
        <w:t>的承诺。</w:t>
      </w:r>
    </w:p>
    <w:bookmarkEnd w:id="27"/>
    <w:p w14:paraId="5C1F3519">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3.7.2投标文件应当对招标文件有关服务期、投标有效期、质量要求、采购范围等实质性内容作出响应。</w:t>
      </w:r>
    </w:p>
    <w:p w14:paraId="3ED1268F">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3.7.3投标文件上传的电子文档，除</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须知前附表另有规定外，投标文件所附证书证件均为原件扫描件，按招标文件要求在相应位置加盖电子签章。由</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的法定代表人签字或加盖电子签章的，应附法定代表人身份证明，由代理人签字或加盖电子签章的，应附由法定代表人签署的授权委托书。签字或盖章的具体要求见</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w:t>
      </w:r>
    </w:p>
    <w:p w14:paraId="11353572">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4．投标</w:t>
      </w:r>
    </w:p>
    <w:p w14:paraId="32692DE9">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4.1投标文件的加密</w:t>
      </w:r>
    </w:p>
    <w:p w14:paraId="530FFA64">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4.1.1上传的电子版</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应当按照招标文件和电子招标投标交易平台的要求加密投标文件，具体要求见</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w:t>
      </w:r>
    </w:p>
    <w:p w14:paraId="6277CE26">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4.1.2未按本章第4.1.1项要求的投标文件，</w:t>
      </w:r>
      <w:r>
        <w:rPr>
          <w:rFonts w:hint="eastAsia" w:ascii="宋体" w:hAnsi="宋体" w:cs="宋体"/>
          <w:color w:val="auto"/>
          <w:kern w:val="2"/>
          <w:sz w:val="21"/>
          <w:szCs w:val="21"/>
          <w:highlight w:val="none"/>
          <w:lang w:val="en-US" w:eastAsia="zh-CN" w:bidi="ar-SA"/>
        </w:rPr>
        <w:t>采购人</w:t>
      </w:r>
      <w:r>
        <w:rPr>
          <w:rFonts w:hint="eastAsia" w:ascii="宋体" w:hAnsi="宋体" w:eastAsia="宋体" w:cs="宋体"/>
          <w:color w:val="auto"/>
          <w:kern w:val="2"/>
          <w:sz w:val="21"/>
          <w:szCs w:val="21"/>
          <w:highlight w:val="none"/>
          <w:lang w:val="en-US" w:eastAsia="zh-CN" w:bidi="ar-SA"/>
        </w:rPr>
        <w:t>不予受理。</w:t>
      </w:r>
    </w:p>
    <w:p w14:paraId="1A14C490">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4.2投标文件的递交</w:t>
      </w:r>
    </w:p>
    <w:p w14:paraId="0C7ECE93">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4.2.1</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应在第2.2.2项规定的投标截止时间前递交投标文件。</w:t>
      </w:r>
    </w:p>
    <w:p w14:paraId="5AAB26EC">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4.2.2投标文件制作及上传：请</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在制作投标文件中的“生成投标文件”时，必须使用本单位CA锁进行生成投标文件；</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在投标截止时间前企业身份认证锁（CA密钥）登陆荥阳市公共资源交易中心网站上传加密的电子投标文件到系统的指定位置。上传时必须得到电脑“上传成功”的确认回复，上传时要认真检查上传投标文件是否完整、正确。</w:t>
      </w:r>
    </w:p>
    <w:p w14:paraId="77C0A5A4">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在交易中心投标系统无法上传电子投标文件或投标文件制作遇到问题时，请在工作时间及时与网站公布的新点软件公司技术或荥阳市公共资源交易中心联系。</w:t>
      </w:r>
    </w:p>
    <w:p w14:paraId="7746A976">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4.2.3</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完成电子投标文件上传后，电子招标投标交易平台即时向</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发出递交回执通知，递交时间以递交回执通知载明的传输完成时间为准。</w:t>
      </w:r>
    </w:p>
    <w:p w14:paraId="58241F0A">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4.2.4逾期递交的电子投标文件，电子招标投标交易平台将予以拒收。</w:t>
      </w:r>
    </w:p>
    <w:p w14:paraId="18B116A6">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4.3投标文件的修改与撤回</w:t>
      </w:r>
    </w:p>
    <w:p w14:paraId="78C010C6">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4.3.1在本章第2.2.2项规定的投标截止时间前，</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可以修改或撤回已递交的投标文件，但应以书面形式通知</w:t>
      </w:r>
      <w:r>
        <w:rPr>
          <w:rFonts w:hint="eastAsia" w:ascii="宋体" w:hAnsi="宋体" w:cs="宋体"/>
          <w:color w:val="auto"/>
          <w:kern w:val="2"/>
          <w:sz w:val="21"/>
          <w:szCs w:val="21"/>
          <w:highlight w:val="none"/>
          <w:lang w:val="en-US" w:eastAsia="zh-CN" w:bidi="ar-SA"/>
        </w:rPr>
        <w:t>采购人</w:t>
      </w: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应当在投标截止时间前完成电子投标文件的提交，可以补充、修改或撤回。投标截止时间前未完成电子投标文件提交、取得“投标文件提交回执单”的，视为撤回投标文件。</w:t>
      </w:r>
    </w:p>
    <w:p w14:paraId="7ECFBB6E">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4.3.2</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修改或撤回已递交投标文件的书面通知应按照本章第3.7.3项的要求签字或盖章。</w:t>
      </w:r>
      <w:r>
        <w:rPr>
          <w:rFonts w:hint="eastAsia" w:ascii="宋体" w:hAnsi="宋体" w:cs="宋体"/>
          <w:color w:val="auto"/>
          <w:kern w:val="2"/>
          <w:sz w:val="21"/>
          <w:szCs w:val="21"/>
          <w:highlight w:val="none"/>
          <w:lang w:val="en-US" w:eastAsia="zh-CN" w:bidi="ar-SA"/>
        </w:rPr>
        <w:t>采购人</w:t>
      </w:r>
      <w:r>
        <w:rPr>
          <w:rFonts w:hint="eastAsia" w:ascii="宋体" w:hAnsi="宋体" w:eastAsia="宋体" w:cs="宋体"/>
          <w:color w:val="auto"/>
          <w:kern w:val="2"/>
          <w:sz w:val="21"/>
          <w:szCs w:val="21"/>
          <w:highlight w:val="none"/>
          <w:lang w:val="en-US" w:eastAsia="zh-CN" w:bidi="ar-SA"/>
        </w:rPr>
        <w:t>收到书面通知后，向</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出具签收凭证。</w:t>
      </w:r>
    </w:p>
    <w:p w14:paraId="636E8186">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4.3.3修改的内容为投标文件的组成部分。修改的投标文件应按照本章第3条、第4条规定进行编制、密封、标记和递交，并标明“修改”字样。</w:t>
      </w:r>
    </w:p>
    <w:p w14:paraId="3EEED044">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5．开标</w:t>
      </w:r>
    </w:p>
    <w:p w14:paraId="755664CE">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5.1开标时间和地点</w:t>
      </w:r>
    </w:p>
    <w:p w14:paraId="33573FF3">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5.1.1采购人在</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须知前附表第2.2.2项规定的投标截止时间（开标时间）和</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须知前附表规定的地点通过远程进行公开开标。</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不需要到开标现场，只需根据要求进行远程解密。</w:t>
      </w:r>
    </w:p>
    <w:p w14:paraId="30893ACB">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5.1.2</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须在系统规定的解密时间内完成解密。</w:t>
      </w:r>
    </w:p>
    <w:p w14:paraId="4B8D8341">
      <w:pPr>
        <w:widowControl w:val="0"/>
        <w:spacing w:line="360" w:lineRule="auto"/>
        <w:jc w:val="both"/>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5.2开标程序</w:t>
      </w:r>
    </w:p>
    <w:p w14:paraId="470EF9D0">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bookmarkStart w:id="28" w:name="_Toc5847"/>
      <w:bookmarkStart w:id="29" w:name="_Toc5557"/>
      <w:r>
        <w:rPr>
          <w:rFonts w:hint="eastAsia" w:ascii="宋体" w:hAnsi="宋体" w:eastAsia="宋体" w:cs="宋体"/>
          <w:color w:val="auto"/>
          <w:kern w:val="2"/>
          <w:sz w:val="21"/>
          <w:szCs w:val="21"/>
          <w:highlight w:val="none"/>
          <w:lang w:val="en-US" w:eastAsia="zh-CN" w:bidi="ar-SA"/>
        </w:rPr>
        <w:t>（1）公布在投标截止时间前递交投标文件的</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名称，</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在投标截止时间前未上传电子投标文件的将视为放弃投标；</w:t>
      </w:r>
      <w:bookmarkEnd w:id="28"/>
      <w:bookmarkEnd w:id="29"/>
    </w:p>
    <w:p w14:paraId="4EB186F8">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bookmarkStart w:id="30" w:name="_Toc22603"/>
      <w:bookmarkStart w:id="31" w:name="_Toc25084"/>
      <w:r>
        <w:rPr>
          <w:rFonts w:hint="eastAsia" w:ascii="宋体" w:hAnsi="宋体" w:eastAsia="宋体" w:cs="宋体"/>
          <w:color w:val="auto"/>
          <w:kern w:val="2"/>
          <w:sz w:val="21"/>
          <w:szCs w:val="21"/>
          <w:highlight w:val="none"/>
          <w:lang w:val="en-US" w:eastAsia="zh-CN" w:bidi="ar-SA"/>
        </w:rPr>
        <w:t>（2）按规定组织相关人员进行验标（检查网上招标系统正常与否），确认无误后开标；</w:t>
      </w:r>
      <w:bookmarkEnd w:id="30"/>
      <w:bookmarkEnd w:id="31"/>
    </w:p>
    <w:p w14:paraId="7E92429F">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bookmarkStart w:id="32" w:name="_Toc12075"/>
      <w:bookmarkStart w:id="33" w:name="_Toc19678"/>
      <w:r>
        <w:rPr>
          <w:rFonts w:hint="eastAsia" w:ascii="宋体" w:hAnsi="宋体" w:eastAsia="宋体" w:cs="宋体"/>
          <w:color w:val="auto"/>
          <w:kern w:val="2"/>
          <w:sz w:val="21"/>
          <w:szCs w:val="21"/>
          <w:highlight w:val="none"/>
          <w:lang w:val="en-US" w:eastAsia="zh-CN" w:bidi="ar-SA"/>
        </w:rPr>
        <w:t>（3）本项目采用远程不见面开标，各</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应在规定时间内对本单位的投标文件进行解密；</w:t>
      </w:r>
      <w:bookmarkEnd w:id="32"/>
      <w:bookmarkEnd w:id="33"/>
    </w:p>
    <w:p w14:paraId="7352E448">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bookmarkStart w:id="34" w:name="_Toc22678"/>
      <w:bookmarkStart w:id="35" w:name="_Toc32631"/>
      <w:r>
        <w:rPr>
          <w:rFonts w:hint="eastAsia" w:ascii="宋体" w:hAnsi="宋体" w:eastAsia="宋体" w:cs="宋体"/>
          <w:color w:val="auto"/>
          <w:kern w:val="2"/>
          <w:sz w:val="21"/>
          <w:szCs w:val="21"/>
          <w:highlight w:val="none"/>
          <w:lang w:val="en-US" w:eastAsia="zh-CN" w:bidi="ar-SA"/>
        </w:rPr>
        <w:t>（4）由代理机构进行解密，并将解密后的投标文件导入系统；</w:t>
      </w:r>
      <w:bookmarkEnd w:id="34"/>
      <w:bookmarkEnd w:id="35"/>
    </w:p>
    <w:p w14:paraId="5C448543">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bookmarkStart w:id="36" w:name="_Toc24008"/>
      <w:bookmarkStart w:id="37" w:name="_Toc23545"/>
      <w:r>
        <w:rPr>
          <w:rFonts w:hint="eastAsia" w:ascii="宋体" w:hAnsi="宋体" w:eastAsia="宋体" w:cs="宋体"/>
          <w:color w:val="auto"/>
          <w:kern w:val="2"/>
          <w:sz w:val="21"/>
          <w:szCs w:val="21"/>
          <w:highlight w:val="none"/>
          <w:lang w:val="en-US" w:eastAsia="zh-CN" w:bidi="ar-SA"/>
        </w:rPr>
        <w:t>（5）解密完成后公布各</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名称、投标报价、工程要求、质量标准及其他内容，并记录在案；</w:t>
      </w:r>
      <w:bookmarkEnd w:id="36"/>
      <w:bookmarkEnd w:id="37"/>
    </w:p>
    <w:p w14:paraId="13336E87">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bookmarkStart w:id="38" w:name="_Toc26383"/>
      <w:bookmarkStart w:id="39" w:name="_Toc16240"/>
      <w:r>
        <w:rPr>
          <w:rFonts w:hint="eastAsia" w:ascii="宋体" w:hAnsi="宋体" w:eastAsia="宋体" w:cs="宋体"/>
          <w:color w:val="auto"/>
          <w:kern w:val="2"/>
          <w:sz w:val="21"/>
          <w:szCs w:val="21"/>
          <w:highlight w:val="none"/>
          <w:lang w:val="en-US" w:eastAsia="zh-CN" w:bidi="ar-SA"/>
        </w:rPr>
        <w:t>（6）异议处理；</w:t>
      </w:r>
      <w:bookmarkEnd w:id="38"/>
      <w:bookmarkEnd w:id="39"/>
    </w:p>
    <w:p w14:paraId="79714BAF">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（7）开标结束。</w:t>
      </w:r>
    </w:p>
    <w:p w14:paraId="327A5D89">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6．资格审查</w:t>
      </w:r>
    </w:p>
    <w:p w14:paraId="40FB1CB5">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采购人将根据招标内容和特点组建资格审查小组，由采购人委托授权代表负责对</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资格进行审查。</w:t>
      </w:r>
    </w:p>
    <w:p w14:paraId="33582E06">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7．评标</w:t>
      </w:r>
    </w:p>
    <w:p w14:paraId="05C4268C">
      <w:pPr>
        <w:widowControl w:val="0"/>
        <w:spacing w:line="360" w:lineRule="auto"/>
        <w:jc w:val="both"/>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7.1评标委员会</w:t>
      </w:r>
    </w:p>
    <w:p w14:paraId="496C2BDF">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7.1.1评标委员会由采购人代表和评审专家组成，评标委员会成员人数以及技术、经济等方面专家的确定方式见</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w:t>
      </w:r>
    </w:p>
    <w:p w14:paraId="25F9B300">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7.1.2评标委员会成员有下列情形之一的，应当回避：</w:t>
      </w:r>
    </w:p>
    <w:p w14:paraId="619E13A8">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（1）采购人或</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的主要负责人的近亲属；</w:t>
      </w:r>
    </w:p>
    <w:p w14:paraId="63BE7855">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（2）项目主管部门或者行政监督部门的人员：</w:t>
      </w:r>
    </w:p>
    <w:p w14:paraId="7FB28DAD">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（3）与</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有经济利益关系，可能影响对投标公正评审的；</w:t>
      </w:r>
    </w:p>
    <w:p w14:paraId="5F4DB45A">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（4）曾因在招标、评标以及其他与招标投标有关活动中从事违法行为而受过行政处罚或刑事处罚的。</w:t>
      </w:r>
    </w:p>
    <w:p w14:paraId="210251AE">
      <w:pPr>
        <w:widowControl w:val="0"/>
        <w:spacing w:line="360" w:lineRule="auto"/>
        <w:jc w:val="both"/>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7.2评标原则</w:t>
      </w:r>
    </w:p>
    <w:p w14:paraId="491FF9D3">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评标活动遵循公平、公正、科学和择优的原则。</w:t>
      </w:r>
    </w:p>
    <w:p w14:paraId="0053BF6F">
      <w:pPr>
        <w:widowControl w:val="0"/>
        <w:spacing w:line="360" w:lineRule="auto"/>
        <w:jc w:val="both"/>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7.3评标</w:t>
      </w:r>
    </w:p>
    <w:p w14:paraId="5280F25A">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评标委员会按照第三章“评标办法”规定的方法、评审因素、标准和程序对投标文件进行评审。第三章“评标办法”没有规定的方法、评审因素和标准，不作为评标依据。</w:t>
      </w:r>
    </w:p>
    <w:p w14:paraId="576CA127">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8．合同授予</w:t>
      </w:r>
    </w:p>
    <w:p w14:paraId="2E699A9B">
      <w:pPr>
        <w:widowControl w:val="0"/>
        <w:spacing w:line="360" w:lineRule="auto"/>
        <w:jc w:val="both"/>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8.1定标方式</w:t>
      </w:r>
    </w:p>
    <w:p w14:paraId="40C7953D">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除</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须知前附表规定评标委员会直接确定中标人外，采购人依据评标委员会推荐的中标候选人确定中标人，评标委员会推荐中标候选人的人数见</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w:t>
      </w:r>
    </w:p>
    <w:p w14:paraId="17169165">
      <w:pPr>
        <w:widowControl w:val="0"/>
        <w:spacing w:line="360" w:lineRule="auto"/>
        <w:jc w:val="both"/>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8.2中标通知</w:t>
      </w:r>
    </w:p>
    <w:p w14:paraId="0F14ED5B">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在本章第3.3款规定的投标有效期内，采购人以书面形式向中标人发出中标通知书，同时将中标结果通知未中标的</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。中标通知书将作为进行合同谈判和签订的依据。</w:t>
      </w:r>
    </w:p>
    <w:p w14:paraId="12A3CF86">
      <w:pPr>
        <w:widowControl w:val="0"/>
        <w:spacing w:line="360" w:lineRule="auto"/>
        <w:jc w:val="both"/>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8.3履约保证金</w:t>
      </w:r>
    </w:p>
    <w:p w14:paraId="1C045414">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8.3.1在签订合同前，中标人应按</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须知前附表规定的金额、担保形式向采购人提交履约保证金。联合体中标的，其履约保证金由牵头人递交，并应符合</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须知前附表规定的金额、担保形式要求。</w:t>
      </w:r>
    </w:p>
    <w:p w14:paraId="02A30CEA">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8.3.2中标人不能按本章第8.3.1项要求提交履约保证金的，视为放弃中标。</w:t>
      </w:r>
    </w:p>
    <w:p w14:paraId="762579B3">
      <w:pPr>
        <w:widowControl w:val="0"/>
        <w:spacing w:line="360" w:lineRule="auto"/>
        <w:jc w:val="both"/>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8.4签订合同</w:t>
      </w:r>
    </w:p>
    <w:p w14:paraId="48234144">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采购人和中标人应当自中标通知书发出之日起</w:t>
      </w:r>
      <w:r>
        <w:rPr>
          <w:rFonts w:hint="eastAsia" w:ascii="宋体" w:hAnsi="宋体" w:cs="宋体"/>
          <w:color w:val="auto"/>
          <w:kern w:val="2"/>
          <w:sz w:val="21"/>
          <w:szCs w:val="21"/>
          <w:highlight w:val="none"/>
          <w:lang w:val="en-US" w:eastAsia="zh-CN" w:bidi="ar-SA"/>
        </w:rPr>
        <w:t>2个工作日内</w:t>
      </w:r>
      <w:r>
        <w:rPr>
          <w:rFonts w:hint="eastAsia" w:ascii="宋体" w:hAnsi="宋体" w:eastAsia="宋体" w:cs="宋体"/>
          <w:color w:val="auto"/>
          <w:kern w:val="2"/>
          <w:sz w:val="21"/>
          <w:szCs w:val="21"/>
          <w:highlight w:val="none"/>
          <w:lang w:val="en-US" w:eastAsia="zh-CN" w:bidi="ar-SA"/>
        </w:rPr>
        <w:t>，根据招标文件和中标人的投标文件订立书面合同。中标人无正当理由拒签合同的，采购人取消其中标资格；给采购人造成的损失成交人还应当予以赔偿。</w:t>
      </w:r>
    </w:p>
    <w:p w14:paraId="60EBE1F4">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9．废标和重新招标</w:t>
      </w:r>
    </w:p>
    <w:p w14:paraId="01A4AC09">
      <w:pPr>
        <w:widowControl w:val="0"/>
        <w:spacing w:line="360" w:lineRule="auto"/>
        <w:jc w:val="both"/>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9.1有出现下列情形之一，将导致项目废标：</w:t>
      </w:r>
    </w:p>
    <w:p w14:paraId="5ED3A775">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（1）符合专业条件的</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或者对招标文件做实质性响应的</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不足三家；</w:t>
      </w:r>
    </w:p>
    <w:p w14:paraId="297112D0">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（2）出现影响采购公正的违法、违规行为的；</w:t>
      </w:r>
    </w:p>
    <w:p w14:paraId="50E91014">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的报价均超过了采购预算，采购人不能支付的；</w:t>
      </w:r>
    </w:p>
    <w:p w14:paraId="5035F838">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（4）因重大变故，采购任务取消的。</w:t>
      </w:r>
    </w:p>
    <w:p w14:paraId="4D0DE953">
      <w:pPr>
        <w:widowControl w:val="0"/>
        <w:spacing w:line="360" w:lineRule="auto"/>
        <w:jc w:val="both"/>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9.2重新招标</w:t>
      </w:r>
    </w:p>
    <w:p w14:paraId="56822018">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废标后，除采购任务取消情形外，应当重新组织招标。</w:t>
      </w:r>
    </w:p>
    <w:p w14:paraId="0DEF17CC">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10．纪律和监督</w:t>
      </w:r>
    </w:p>
    <w:p w14:paraId="7395B702">
      <w:pPr>
        <w:widowControl w:val="0"/>
        <w:spacing w:line="360" w:lineRule="auto"/>
        <w:jc w:val="both"/>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10.1对采购人的纪律要求</w:t>
      </w:r>
    </w:p>
    <w:p w14:paraId="3BD04109">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参照《中华人民共和国政府采购法》第二十五条规定：采购人不得相互串通损害国家利益、社会公共利益和其他当事人的合法权益；不得以任何手段排斥其他</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参与竞争。</w:t>
      </w:r>
    </w:p>
    <w:p w14:paraId="7042DFB3">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参照《中华人民共和国政府采购法实施条例》第九条规定：在采购活动中，采购人与</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有下列利害关系之一的，应当回避：</w:t>
      </w:r>
    </w:p>
    <w:p w14:paraId="427FF7FB">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（一）参加采购活动前3年内与</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bidi="ar-SA"/>
        </w:rPr>
        <w:t>存在劳动关系；</w:t>
      </w:r>
    </w:p>
    <w:p w14:paraId="5E504C6A">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（二）参加采购活动前3年内担任</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bidi="ar-SA"/>
        </w:rPr>
        <w:t>的董事、监事；</w:t>
      </w:r>
    </w:p>
    <w:p w14:paraId="01689ACF">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（三）参加采购活动前3年内是</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bidi="ar-SA"/>
        </w:rPr>
        <w:t>的控股股东或者实际控制人；</w:t>
      </w:r>
    </w:p>
    <w:p w14:paraId="5AFA5184">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（四）与</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bidi="ar-SA"/>
        </w:rPr>
        <w:t>的法定代表人或者负责人有夫妻、直系血亲、三代以内旁系血亲或者近姻亲关系；</w:t>
      </w:r>
    </w:p>
    <w:p w14:paraId="3C004B12">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（五）与</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bidi="ar-SA"/>
        </w:rPr>
        <w:t>有其他可能影响采购活动公平、公正进行的关系。</w:t>
      </w:r>
    </w:p>
    <w:p w14:paraId="07B3CF8E">
      <w:pPr>
        <w:widowControl w:val="0"/>
        <w:spacing w:line="360" w:lineRule="auto"/>
        <w:jc w:val="both"/>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10.2对</w:t>
      </w:r>
      <w:r>
        <w:rPr>
          <w:rFonts w:hint="eastAsia" w:ascii="宋体" w:hAnsi="宋体" w:cs="宋体"/>
          <w:b/>
          <w:bCs/>
          <w:color w:val="auto"/>
          <w:kern w:val="2"/>
          <w:sz w:val="21"/>
          <w:szCs w:val="21"/>
          <w:highlight w:val="none"/>
          <w:lang w:val="en-US" w:eastAsia="zh-CN" w:bidi="ar-SA"/>
        </w:rPr>
        <w:t>供应商</w:t>
      </w:r>
      <w:r>
        <w:rPr>
          <w:rFonts w:hint="eastAsia" w:ascii="宋体" w:hAnsi="宋体" w:eastAsia="宋体" w:cs="宋体"/>
          <w:b/>
          <w:bCs/>
          <w:color w:val="auto"/>
          <w:kern w:val="2"/>
          <w:sz w:val="21"/>
          <w:szCs w:val="21"/>
          <w:highlight w:val="none"/>
          <w:lang w:val="en-US" w:eastAsia="zh-CN" w:bidi="ar-SA"/>
        </w:rPr>
        <w:t>的纪律要求</w:t>
      </w:r>
    </w:p>
    <w:p w14:paraId="48FC2758">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参照《政府采购货物和服务招标投标管理办法》第三十六条规定：</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bidi="ar-SA"/>
        </w:rPr>
        <w:t>应当遵循公平竞争的原则，不得恶意串通，不得妨碍其他</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bidi="ar-SA"/>
        </w:rPr>
        <w:t>的竞争行为，不得损害采购人或者其他</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bidi="ar-SA"/>
        </w:rPr>
        <w:t>的合法权益。</w:t>
      </w:r>
    </w:p>
    <w:p w14:paraId="0F05B83E">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10.2.1参照《中华人民共和国政府采购法实施条例》第七十四条规定有下列情形之一的，属于恶意串通：</w:t>
      </w:r>
    </w:p>
    <w:p w14:paraId="5A7A9777">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bidi="ar-SA"/>
        </w:rPr>
        <w:t>直接或者间接从采购人或者采购代理机构处获得其他</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bidi="ar-SA"/>
        </w:rPr>
        <w:t>的相关情况并修改其投标文件或者响应文件；</w:t>
      </w:r>
    </w:p>
    <w:p w14:paraId="6F4C45B6">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bidi="ar-SA"/>
        </w:rPr>
        <w:t>按照采购人或者采购代理机构的授意撤换、修改投标文件或者响应文件；</w:t>
      </w:r>
    </w:p>
    <w:p w14:paraId="78EFCD99">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bidi="ar-SA"/>
        </w:rPr>
        <w:t>之间协商报价、技术方案等投标文件或者响应文件的实质性内容；</w:t>
      </w:r>
    </w:p>
    <w:p w14:paraId="24F538ED">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（4）属于同一集团、协会、商会等组织成员的</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bidi="ar-SA"/>
        </w:rPr>
        <w:t>按照该组织要求协同参加采购活动；</w:t>
      </w:r>
    </w:p>
    <w:p w14:paraId="2E719FBC">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bidi="ar-SA"/>
        </w:rPr>
        <w:t>之间事先约定由某一特定</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bidi="ar-SA"/>
        </w:rPr>
        <w:t>中标、成交；</w:t>
      </w:r>
    </w:p>
    <w:p w14:paraId="756CE733">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bidi="ar-SA"/>
        </w:rPr>
        <w:t>之间商定部分</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bidi="ar-SA"/>
        </w:rPr>
        <w:t>放弃参加采购活动或者放弃中标、成交；</w:t>
      </w:r>
    </w:p>
    <w:p w14:paraId="6AF0C60F">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bidi="ar-SA"/>
        </w:rPr>
        <w:t>与采购人或者采购代理机构之间、</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bidi="ar-SA"/>
        </w:rPr>
        <w:t>相互之间，为谋求特定</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bidi="ar-SA"/>
        </w:rPr>
        <w:t>中标、成交或者排斥其他</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bidi="ar-SA"/>
        </w:rPr>
        <w:t>的其他串通行为。</w:t>
      </w:r>
    </w:p>
    <w:p w14:paraId="32FDD9AC">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10.2.2参照《政府采购货物和服务招标投标管理办法》第三十七条规定：有下列情形之一的，视为</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bidi="ar-SA"/>
        </w:rPr>
        <w:t>相互串通投标：</w:t>
      </w:r>
    </w:p>
    <w:p w14:paraId="51066FF8">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（1）不同</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bidi="ar-SA"/>
        </w:rPr>
        <w:t>的投标文件由同一单位或者个人编制；</w:t>
      </w:r>
    </w:p>
    <w:p w14:paraId="096530B9">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（2）不同</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bidi="ar-SA"/>
        </w:rPr>
        <w:t>委托同一单位或者个人办理投标事宜；</w:t>
      </w:r>
    </w:p>
    <w:p w14:paraId="055B71F1">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（3）不同</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bidi="ar-SA"/>
        </w:rPr>
        <w:t>的投标文件载明的项目管理成员为同一人；</w:t>
      </w:r>
    </w:p>
    <w:p w14:paraId="1D56E045">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（4）不同</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bidi="ar-SA"/>
        </w:rPr>
        <w:t>的投标文件异常一致或者投标报价呈规律性差异；</w:t>
      </w:r>
    </w:p>
    <w:p w14:paraId="6D2A1ED4">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（5）不同</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bidi="ar-SA"/>
        </w:rPr>
        <w:t>的投标文件相互混装；</w:t>
      </w:r>
    </w:p>
    <w:p w14:paraId="2DCB57AF">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（6）不同</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bidi="ar-SA"/>
        </w:rPr>
        <w:t>的投标文件制作机器码一致。</w:t>
      </w:r>
    </w:p>
    <w:p w14:paraId="65AC66F9">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10.2.3</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提供虚假材料谋取中标的，中标无效。并处以采购金额千分之五以上千分之十以下的罚款，列入不良行为记录名单，在一至三年内禁止参加采购活动，有违法所得的，并处没收违法所得，情节严重的，由工商行政管理机关吊销营业执照；构成犯罪的，依法追究刑事责任。</w:t>
      </w:r>
    </w:p>
    <w:p w14:paraId="6EB09B87">
      <w:pPr>
        <w:widowControl w:val="0"/>
        <w:spacing w:line="360" w:lineRule="auto"/>
        <w:jc w:val="both"/>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10.3对评标委员会成员的纪律要求</w:t>
      </w:r>
    </w:p>
    <w:p w14:paraId="67E0DEE1">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评标委员会成员不得收受他人的财物或者其他好处，不得向他人</w:t>
      </w:r>
      <w:r>
        <w:rPr>
          <w:rFonts w:hint="eastAsia" w:ascii="宋体" w:hAnsi="宋体" w:cs="宋体"/>
          <w:color w:val="auto"/>
          <w:kern w:val="2"/>
          <w:sz w:val="21"/>
          <w:szCs w:val="21"/>
          <w:highlight w:val="none"/>
          <w:lang w:val="en-US" w:eastAsia="zh-CN" w:bidi="ar-SA"/>
        </w:rPr>
        <w:t>透露</w:t>
      </w:r>
      <w:r>
        <w:rPr>
          <w:rFonts w:hint="eastAsia" w:ascii="宋体" w:hAnsi="宋体" w:eastAsia="宋体" w:cs="宋体"/>
          <w:color w:val="auto"/>
          <w:kern w:val="2"/>
          <w:sz w:val="21"/>
          <w:szCs w:val="21"/>
          <w:highlight w:val="none"/>
          <w:lang w:val="en-US" w:eastAsia="zh-CN" w:bidi="ar-SA"/>
        </w:rPr>
        <w:t>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2D5E9731">
      <w:pPr>
        <w:widowControl w:val="0"/>
        <w:spacing w:line="360" w:lineRule="auto"/>
        <w:jc w:val="both"/>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10.4对与评标活动有关的工作人员的纪律要求</w:t>
      </w:r>
    </w:p>
    <w:p w14:paraId="2EC51E7A">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与评标活动有关的工作人员不得收受他人的财物或者其他好处，不得向他人</w:t>
      </w:r>
      <w:r>
        <w:rPr>
          <w:rFonts w:hint="eastAsia" w:ascii="宋体" w:hAnsi="宋体" w:cs="宋体"/>
          <w:color w:val="auto"/>
          <w:kern w:val="2"/>
          <w:sz w:val="21"/>
          <w:szCs w:val="21"/>
          <w:highlight w:val="none"/>
          <w:lang w:val="en-US" w:eastAsia="zh-CN" w:bidi="ar-SA"/>
        </w:rPr>
        <w:t>透露</w:t>
      </w:r>
      <w:r>
        <w:rPr>
          <w:rFonts w:hint="eastAsia" w:ascii="宋体" w:hAnsi="宋体" w:eastAsia="宋体" w:cs="宋体"/>
          <w:color w:val="auto"/>
          <w:kern w:val="2"/>
          <w:sz w:val="21"/>
          <w:szCs w:val="21"/>
          <w:highlight w:val="none"/>
          <w:lang w:val="en-US" w:eastAsia="zh-CN" w:bidi="ar-SA"/>
        </w:rPr>
        <w:t>对投标文件的评审和比较、中标候选人的推荐情况以及评标有关的其他情况。在评标活动中，与评标活动有关的工作人员不得擅离职守，影响评标程序正常进行。</w:t>
      </w:r>
    </w:p>
    <w:p w14:paraId="66915F47">
      <w:pPr>
        <w:widowControl w:val="0"/>
        <w:spacing w:line="360" w:lineRule="auto"/>
        <w:jc w:val="both"/>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10.5质疑的提出与接收</w:t>
      </w:r>
    </w:p>
    <w:p w14:paraId="15BCFD00">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认为招标文件、招标过程和中标结果使自己的权益受到损害的，可以参照《中华人民共和国政府采购法》、《中华人民共和国政府采购法实施条例》和《政府采购质疑和投诉办法》的有关规定，依法向采购人或其委托的采购代理机构提出质疑。</w:t>
      </w:r>
    </w:p>
    <w:p w14:paraId="4A6B74EF">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质疑</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应参照财政部制定的《政府采购质疑函范本》格式（附件1）和《政府采购质疑和投诉办法》的要求，在法定质疑期内一次性提出针对同一采购程序环节的质疑。</w:t>
      </w:r>
    </w:p>
    <w:p w14:paraId="2FD467CA">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质疑函的内容及形式应参照《政府采购质疑和投诉办法》第十二条的规定。</w:t>
      </w:r>
    </w:p>
    <w:p w14:paraId="35D6FF65">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超出法定质疑期提交的质疑将被拒绝。</w:t>
      </w:r>
    </w:p>
    <w:p w14:paraId="50203B44">
      <w:pPr>
        <w:widowControl w:val="0"/>
        <w:spacing w:line="360" w:lineRule="auto"/>
        <w:jc w:val="both"/>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10.6投诉</w:t>
      </w:r>
    </w:p>
    <w:p w14:paraId="67319CFF">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质疑</w:t>
      </w:r>
      <w:r>
        <w:rPr>
          <w:rFonts w:hint="eastAsia" w:ascii="宋体" w:hAnsi="宋体" w:cs="宋体"/>
          <w:color w:val="auto"/>
          <w:sz w:val="21"/>
          <w:szCs w:val="21"/>
          <w:highlight w:val="none"/>
          <w:lang w:eastAsia="zh-CN"/>
        </w:rPr>
        <w:t>供应商</w:t>
      </w:r>
      <w:r>
        <w:rPr>
          <w:rFonts w:hint="eastAsia" w:ascii="宋体" w:hAnsi="宋体" w:eastAsia="宋体" w:cs="宋体"/>
          <w:color w:val="auto"/>
          <w:kern w:val="2"/>
          <w:sz w:val="21"/>
          <w:szCs w:val="21"/>
          <w:highlight w:val="none"/>
          <w:lang w:val="en-US" w:eastAsia="zh-CN" w:bidi="ar-SA"/>
        </w:rPr>
        <w:t>对采购人、采购代理机构的答复不满意，或者采购人、采购代理机构未在规定时间内作出答复的，可以在答复期满后15个工作日内向监督部门提起投诉。</w:t>
      </w:r>
    </w:p>
    <w:p w14:paraId="451E49D7">
      <w:pPr>
        <w:widowControl w:val="0"/>
        <w:spacing w:line="360" w:lineRule="auto"/>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11．需要补充的其他内容</w:t>
      </w:r>
    </w:p>
    <w:p w14:paraId="4A22B95B">
      <w:pPr>
        <w:pageBreakBefore w:val="0"/>
        <w:widowControl/>
        <w:kinsoku/>
        <w:wordWrap/>
        <w:overflowPunct/>
        <w:topLinePunct w:val="0"/>
        <w:bidi w:val="0"/>
        <w:adjustRightInd/>
        <w:snapToGrid/>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kern w:val="2"/>
          <w:sz w:val="21"/>
          <w:szCs w:val="21"/>
          <w:highlight w:val="none"/>
          <w:lang w:val="en-US" w:eastAsia="zh-CN" w:bidi="ar-SA"/>
        </w:rPr>
        <w:t>需要补充的其他内容：见</w:t>
      </w: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须知前附表</w:t>
      </w:r>
      <w:r>
        <w:rPr>
          <w:rFonts w:hint="eastAsia" w:ascii="宋体" w:hAnsi="宋体" w:eastAsia="宋体" w:cs="宋体"/>
          <w:color w:val="auto"/>
          <w:sz w:val="21"/>
          <w:szCs w:val="21"/>
          <w:highlight w:val="none"/>
        </w:rPr>
        <w:t>。</w:t>
      </w:r>
      <w:bookmarkEnd w:id="15"/>
    </w:p>
    <w:p w14:paraId="3BC82D21">
      <w:pPr>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lang w:val="en-US" w:eastAsia="zh-CN"/>
        </w:rPr>
        <w:br w:type="page"/>
      </w:r>
    </w:p>
    <w:p w14:paraId="77B70E00">
      <w:pPr>
        <w:pStyle w:val="2"/>
        <w:numPr>
          <w:ilvl w:val="0"/>
          <w:numId w:val="1"/>
        </w:numPr>
        <w:bidi w:val="0"/>
        <w:jc w:val="center"/>
        <w:rPr>
          <w:rFonts w:hint="eastAsia" w:ascii="宋体" w:hAnsi="宋体" w:eastAsia="宋体" w:cs="宋体"/>
          <w:highlight w:val="none"/>
        </w:rPr>
      </w:pPr>
      <w:bookmarkStart w:id="40" w:name="_Toc577"/>
      <w:bookmarkStart w:id="41" w:name="_Toc12621"/>
      <w:r>
        <w:rPr>
          <w:rFonts w:hint="eastAsia" w:ascii="宋体" w:hAnsi="宋体" w:eastAsia="宋体" w:cs="宋体"/>
          <w:highlight w:val="none"/>
        </w:rPr>
        <w:t>评标</w:t>
      </w:r>
      <w:r>
        <w:rPr>
          <w:rFonts w:hint="eastAsia" w:ascii="宋体" w:hAnsi="宋体" w:eastAsia="宋体" w:cs="宋体"/>
          <w:highlight w:val="none"/>
          <w:lang w:val="en-US" w:eastAsia="zh-CN"/>
        </w:rPr>
        <w:t>办法</w:t>
      </w:r>
      <w:r>
        <w:rPr>
          <w:rFonts w:hint="eastAsia" w:ascii="宋体" w:hAnsi="宋体" w:eastAsia="宋体" w:cs="宋体"/>
          <w:highlight w:val="none"/>
        </w:rPr>
        <w:t>（综合评分法）</w:t>
      </w:r>
      <w:bookmarkEnd w:id="40"/>
      <w:bookmarkEnd w:id="41"/>
    </w:p>
    <w:p w14:paraId="2ED76D1B">
      <w:pPr>
        <w:jc w:val="center"/>
        <w:rPr>
          <w:rFonts w:hint="default" w:eastAsia="宋体"/>
          <w:highlight w:val="none"/>
          <w:lang w:val="en-US" w:eastAsia="zh-CN"/>
        </w:rPr>
      </w:pPr>
      <w:r>
        <w:rPr>
          <w:rFonts w:hint="eastAsia" w:ascii="宋体" w:hAnsi="宋体" w:cs="宋体"/>
          <w:b/>
          <w:bCs/>
          <w:highlight w:val="none"/>
          <w:lang w:val="en-US" w:eastAsia="zh-CN"/>
        </w:rPr>
        <w:t>本评标办法适用于本项目中所有标段</w:t>
      </w:r>
    </w:p>
    <w:tbl>
      <w:tblPr>
        <w:tblStyle w:val="20"/>
        <w:tblW w:w="9366"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100"/>
        <w:gridCol w:w="1055"/>
        <w:gridCol w:w="491"/>
        <w:gridCol w:w="1892"/>
        <w:gridCol w:w="4828"/>
      </w:tblGrid>
      <w:tr w14:paraId="1A0B83A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70" w:hRule="atLeast"/>
          <w:jc w:val="center"/>
        </w:trPr>
        <w:tc>
          <w:tcPr>
            <w:tcW w:w="2155" w:type="dxa"/>
            <w:gridSpan w:val="2"/>
            <w:noWrap w:val="0"/>
            <w:vAlign w:val="center"/>
          </w:tcPr>
          <w:p w14:paraId="44D22F50">
            <w:pPr>
              <w:pageBreakBefore w:val="0"/>
              <w:kinsoku/>
              <w:overflowPunct/>
              <w:autoSpaceDE w:val="0"/>
              <w:autoSpaceDN w:val="0"/>
              <w:bidi w:val="0"/>
              <w:spacing w:line="240" w:lineRule="auto"/>
              <w:contextualSpacing/>
              <w:jc w:val="center"/>
              <w:rPr>
                <w:rFonts w:hint="eastAsia" w:ascii="宋体" w:hAnsi="宋体" w:eastAsia="宋体" w:cs="宋体"/>
                <w:b/>
                <w:color w:val="auto"/>
                <w:sz w:val="21"/>
                <w:szCs w:val="21"/>
                <w:highlight w:val="none"/>
              </w:rPr>
            </w:pPr>
            <w:bookmarkStart w:id="42" w:name="_Toc221950445"/>
            <w:r>
              <w:rPr>
                <w:rFonts w:hint="eastAsia" w:ascii="宋体" w:hAnsi="宋体" w:eastAsia="宋体" w:cs="宋体"/>
                <w:b/>
                <w:color w:val="auto"/>
                <w:sz w:val="21"/>
                <w:szCs w:val="21"/>
                <w:highlight w:val="none"/>
              </w:rPr>
              <w:t>条款号</w:t>
            </w:r>
            <w:bookmarkEnd w:id="42"/>
          </w:p>
        </w:tc>
        <w:tc>
          <w:tcPr>
            <w:tcW w:w="2383" w:type="dxa"/>
            <w:gridSpan w:val="2"/>
            <w:noWrap w:val="0"/>
            <w:vAlign w:val="center"/>
          </w:tcPr>
          <w:p w14:paraId="663A2388">
            <w:pPr>
              <w:pageBreakBefore w:val="0"/>
              <w:kinsoku/>
              <w:overflowPunct/>
              <w:autoSpaceDE w:val="0"/>
              <w:autoSpaceDN w:val="0"/>
              <w:bidi w:val="0"/>
              <w:spacing w:line="240" w:lineRule="auto"/>
              <w:contextualSpacing/>
              <w:jc w:val="center"/>
              <w:rPr>
                <w:rFonts w:hint="eastAsia" w:ascii="宋体" w:hAnsi="宋体" w:eastAsia="宋体" w:cs="宋体"/>
                <w:b/>
                <w:color w:val="auto"/>
                <w:sz w:val="21"/>
                <w:szCs w:val="21"/>
                <w:highlight w:val="none"/>
              </w:rPr>
            </w:pPr>
            <w:bookmarkStart w:id="43" w:name="_Toc221950446"/>
            <w:r>
              <w:rPr>
                <w:rFonts w:hint="eastAsia" w:ascii="宋体" w:hAnsi="宋体" w:eastAsia="宋体" w:cs="宋体"/>
                <w:b/>
                <w:color w:val="auto"/>
                <w:sz w:val="21"/>
                <w:szCs w:val="21"/>
                <w:highlight w:val="none"/>
              </w:rPr>
              <w:t>评审因素</w:t>
            </w:r>
            <w:bookmarkEnd w:id="43"/>
          </w:p>
        </w:tc>
        <w:tc>
          <w:tcPr>
            <w:tcW w:w="4828" w:type="dxa"/>
            <w:noWrap w:val="0"/>
            <w:vAlign w:val="center"/>
          </w:tcPr>
          <w:p w14:paraId="32B6CFEC">
            <w:pPr>
              <w:pageBreakBefore w:val="0"/>
              <w:kinsoku/>
              <w:overflowPunct/>
              <w:autoSpaceDE w:val="0"/>
              <w:autoSpaceDN w:val="0"/>
              <w:bidi w:val="0"/>
              <w:spacing w:line="240" w:lineRule="auto"/>
              <w:contextualSpacing/>
              <w:jc w:val="center"/>
              <w:rPr>
                <w:rFonts w:hint="eastAsia" w:ascii="宋体" w:hAnsi="宋体" w:eastAsia="宋体" w:cs="宋体"/>
                <w:b/>
                <w:color w:val="auto"/>
                <w:sz w:val="21"/>
                <w:szCs w:val="21"/>
                <w:highlight w:val="none"/>
              </w:rPr>
            </w:pPr>
            <w:bookmarkStart w:id="44" w:name="_Toc221950447"/>
            <w:r>
              <w:rPr>
                <w:rFonts w:hint="eastAsia" w:ascii="宋体" w:hAnsi="宋体" w:eastAsia="宋体" w:cs="宋体"/>
                <w:b/>
                <w:color w:val="auto"/>
                <w:sz w:val="21"/>
                <w:szCs w:val="21"/>
                <w:highlight w:val="none"/>
              </w:rPr>
              <w:t>评审标准</w:t>
            </w:r>
            <w:bookmarkEnd w:id="44"/>
          </w:p>
        </w:tc>
      </w:tr>
      <w:tr w14:paraId="426EDB5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49" w:hRule="atLeast"/>
          <w:jc w:val="center"/>
        </w:trPr>
        <w:tc>
          <w:tcPr>
            <w:tcW w:w="1100" w:type="dxa"/>
            <w:vMerge w:val="restart"/>
            <w:noWrap w:val="0"/>
            <w:vAlign w:val="center"/>
          </w:tcPr>
          <w:p w14:paraId="63ADB12A">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bookmarkStart w:id="45" w:name="_Toc221950448"/>
            <w:r>
              <w:rPr>
                <w:rFonts w:hint="eastAsia" w:ascii="宋体" w:hAnsi="宋体" w:eastAsia="宋体" w:cs="宋体"/>
                <w:color w:val="auto"/>
                <w:sz w:val="21"/>
                <w:szCs w:val="21"/>
                <w:highlight w:val="none"/>
              </w:rPr>
              <w:t>2.1.1</w:t>
            </w:r>
            <w:bookmarkEnd w:id="45"/>
          </w:p>
        </w:tc>
        <w:tc>
          <w:tcPr>
            <w:tcW w:w="1055" w:type="dxa"/>
            <w:vMerge w:val="restart"/>
            <w:noWrap w:val="0"/>
            <w:vAlign w:val="center"/>
          </w:tcPr>
          <w:p w14:paraId="297133B9">
            <w:pPr>
              <w:pageBreakBefore w:val="0"/>
              <w:kinsoku/>
              <w:overflowPunct/>
              <w:autoSpaceDE w:val="0"/>
              <w:autoSpaceDN w:val="0"/>
              <w:bidi w:val="0"/>
              <w:spacing w:line="240" w:lineRule="auto"/>
              <w:contextualSpacing/>
              <w:jc w:val="center"/>
              <w:rPr>
                <w:rFonts w:hint="eastAsia" w:ascii="宋体" w:hAnsi="宋体" w:eastAsia="宋体" w:cs="宋体"/>
                <w:color w:val="auto"/>
                <w:sz w:val="21"/>
                <w:szCs w:val="21"/>
                <w:highlight w:val="none"/>
              </w:rPr>
            </w:pPr>
            <w:bookmarkStart w:id="46" w:name="_Toc221950449"/>
            <w:r>
              <w:rPr>
                <w:rFonts w:hint="eastAsia" w:ascii="宋体" w:hAnsi="宋体" w:eastAsia="宋体" w:cs="宋体"/>
                <w:color w:val="auto"/>
                <w:sz w:val="21"/>
                <w:szCs w:val="21"/>
                <w:highlight w:val="none"/>
              </w:rPr>
              <w:t>形式</w:t>
            </w:r>
            <w:r>
              <w:rPr>
                <w:rFonts w:hint="eastAsia" w:ascii="宋体" w:hAnsi="宋体" w:eastAsia="宋体" w:cs="宋体"/>
                <w:color w:val="auto"/>
                <w:sz w:val="21"/>
                <w:szCs w:val="21"/>
                <w:highlight w:val="none"/>
                <w:lang w:val="en-US" w:eastAsia="zh-CN"/>
              </w:rPr>
              <w:t>性</w:t>
            </w:r>
            <w:r>
              <w:rPr>
                <w:rFonts w:hint="eastAsia" w:ascii="宋体" w:hAnsi="宋体" w:eastAsia="宋体" w:cs="宋体"/>
                <w:color w:val="auto"/>
                <w:sz w:val="21"/>
                <w:szCs w:val="21"/>
                <w:highlight w:val="none"/>
              </w:rPr>
              <w:t>评审标准</w:t>
            </w:r>
            <w:bookmarkEnd w:id="46"/>
          </w:p>
        </w:tc>
        <w:tc>
          <w:tcPr>
            <w:tcW w:w="2383" w:type="dxa"/>
            <w:gridSpan w:val="2"/>
            <w:noWrap w:val="0"/>
            <w:vAlign w:val="center"/>
          </w:tcPr>
          <w:p w14:paraId="225C3F2E">
            <w:pPr>
              <w:keepNext w:val="0"/>
              <w:keepLines w:val="0"/>
              <w:pageBreakBefore w:val="0"/>
              <w:widowControl w:val="0"/>
              <w:suppressLineNumbers w:val="0"/>
              <w:kinsoku/>
              <w:overflowPunct/>
              <w:bidi w:val="0"/>
              <w:spacing w:before="0" w:beforeAutospacing="0" w:after="0" w:afterAutospacing="0" w:line="240" w:lineRule="auto"/>
              <w:ind w:left="0" w:leftChars="0" w:right="0" w:rightChars="0"/>
              <w:jc w:val="center"/>
              <w:rPr>
                <w:rFonts w:hint="eastAsia" w:ascii="宋体" w:hAnsi="宋体" w:eastAsia="宋体" w:cs="宋体"/>
                <w:color w:val="auto"/>
                <w:sz w:val="21"/>
                <w:szCs w:val="21"/>
                <w:highlight w:val="none"/>
              </w:rPr>
            </w:pPr>
            <w:r>
              <w:rPr>
                <w:rFonts w:hint="eastAsia" w:ascii="宋体" w:hAnsi="宋体" w:cs="宋体"/>
                <w:color w:val="auto"/>
                <w:kern w:val="2"/>
                <w:sz w:val="21"/>
                <w:szCs w:val="21"/>
                <w:highlight w:val="none"/>
                <w:lang w:val="en-US" w:eastAsia="zh-CN" w:bidi="ar"/>
              </w:rPr>
              <w:t>供应商</w:t>
            </w:r>
            <w:r>
              <w:rPr>
                <w:rFonts w:hint="eastAsia" w:ascii="宋体" w:hAnsi="宋体" w:eastAsia="宋体" w:cs="宋体"/>
                <w:color w:val="auto"/>
                <w:kern w:val="2"/>
                <w:sz w:val="21"/>
                <w:szCs w:val="21"/>
                <w:highlight w:val="none"/>
                <w:lang w:val="en-US" w:eastAsia="zh-CN" w:bidi="ar"/>
              </w:rPr>
              <w:t>名称</w:t>
            </w:r>
          </w:p>
        </w:tc>
        <w:tc>
          <w:tcPr>
            <w:tcW w:w="4828" w:type="dxa"/>
            <w:noWrap w:val="0"/>
            <w:vAlign w:val="center"/>
          </w:tcPr>
          <w:p w14:paraId="22EA89FA">
            <w:pPr>
              <w:keepNext w:val="0"/>
              <w:keepLines w:val="0"/>
              <w:pageBreakBefore w:val="0"/>
              <w:widowControl w:val="0"/>
              <w:suppressLineNumbers w:val="0"/>
              <w:kinsoku/>
              <w:overflowPunct/>
              <w:bidi w:val="0"/>
              <w:spacing w:before="0" w:beforeAutospacing="0" w:after="0" w:afterAutospacing="0" w:line="240" w:lineRule="auto"/>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与营业执照一致</w:t>
            </w:r>
          </w:p>
        </w:tc>
      </w:tr>
      <w:tr w14:paraId="19720D1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49" w:hRule="atLeast"/>
          <w:jc w:val="center"/>
        </w:trPr>
        <w:tc>
          <w:tcPr>
            <w:tcW w:w="1100" w:type="dxa"/>
            <w:vMerge w:val="continue"/>
            <w:noWrap w:val="0"/>
            <w:vAlign w:val="center"/>
          </w:tcPr>
          <w:p w14:paraId="5D4476C5">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p>
        </w:tc>
        <w:tc>
          <w:tcPr>
            <w:tcW w:w="1055" w:type="dxa"/>
            <w:vMerge w:val="continue"/>
            <w:noWrap w:val="0"/>
            <w:vAlign w:val="center"/>
          </w:tcPr>
          <w:p w14:paraId="4C170058">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p>
        </w:tc>
        <w:tc>
          <w:tcPr>
            <w:tcW w:w="2383" w:type="dxa"/>
            <w:gridSpan w:val="2"/>
            <w:noWrap w:val="0"/>
            <w:vAlign w:val="center"/>
          </w:tcPr>
          <w:p w14:paraId="19078464">
            <w:pPr>
              <w:keepNext w:val="0"/>
              <w:keepLines w:val="0"/>
              <w:pageBreakBefore w:val="0"/>
              <w:widowControl w:val="0"/>
              <w:suppressLineNumbers w:val="0"/>
              <w:kinsoku/>
              <w:overflowPunct/>
              <w:bidi w:val="0"/>
              <w:spacing w:before="0" w:beforeAutospacing="0" w:after="0" w:afterAutospacing="0" w:line="240" w:lineRule="auto"/>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投标函签字盖章</w:t>
            </w:r>
          </w:p>
        </w:tc>
        <w:tc>
          <w:tcPr>
            <w:tcW w:w="4828" w:type="dxa"/>
            <w:noWrap w:val="0"/>
            <w:vAlign w:val="center"/>
          </w:tcPr>
          <w:p w14:paraId="427A22CE">
            <w:pPr>
              <w:keepNext w:val="0"/>
              <w:keepLines w:val="0"/>
              <w:pageBreakBefore w:val="0"/>
              <w:widowControl w:val="0"/>
              <w:suppressLineNumbers w:val="0"/>
              <w:kinsoku/>
              <w:overflowPunct/>
              <w:bidi w:val="0"/>
              <w:spacing w:before="0" w:beforeAutospacing="0" w:after="0" w:afterAutospacing="0" w:line="240" w:lineRule="auto"/>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有法定代表人或其委托代理人电子签章并加盖公章（电子签章）</w:t>
            </w:r>
          </w:p>
        </w:tc>
      </w:tr>
      <w:tr w14:paraId="17CAF69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49" w:hRule="atLeast"/>
          <w:jc w:val="center"/>
        </w:trPr>
        <w:tc>
          <w:tcPr>
            <w:tcW w:w="1100" w:type="dxa"/>
            <w:vMerge w:val="continue"/>
            <w:noWrap w:val="0"/>
            <w:vAlign w:val="center"/>
          </w:tcPr>
          <w:p w14:paraId="04515512">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p>
        </w:tc>
        <w:tc>
          <w:tcPr>
            <w:tcW w:w="1055" w:type="dxa"/>
            <w:vMerge w:val="continue"/>
            <w:noWrap w:val="0"/>
            <w:vAlign w:val="center"/>
          </w:tcPr>
          <w:p w14:paraId="1E426F9A">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p>
        </w:tc>
        <w:tc>
          <w:tcPr>
            <w:tcW w:w="2383" w:type="dxa"/>
            <w:gridSpan w:val="2"/>
            <w:noWrap w:val="0"/>
            <w:vAlign w:val="center"/>
          </w:tcPr>
          <w:p w14:paraId="24E1F3FD">
            <w:pPr>
              <w:keepNext w:val="0"/>
              <w:keepLines w:val="0"/>
              <w:pageBreakBefore w:val="0"/>
              <w:widowControl w:val="0"/>
              <w:suppressLineNumbers w:val="0"/>
              <w:kinsoku/>
              <w:overflowPunct/>
              <w:bidi w:val="0"/>
              <w:spacing w:before="0" w:beforeAutospacing="0" w:after="0" w:afterAutospacing="0" w:line="240" w:lineRule="auto"/>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投标文件格式</w:t>
            </w:r>
          </w:p>
        </w:tc>
        <w:tc>
          <w:tcPr>
            <w:tcW w:w="4828" w:type="dxa"/>
            <w:noWrap w:val="0"/>
            <w:vAlign w:val="center"/>
          </w:tcPr>
          <w:p w14:paraId="6C0465B6">
            <w:pPr>
              <w:keepNext w:val="0"/>
              <w:keepLines w:val="0"/>
              <w:pageBreakBefore w:val="0"/>
              <w:widowControl w:val="0"/>
              <w:suppressLineNumbers w:val="0"/>
              <w:kinsoku/>
              <w:overflowPunct/>
              <w:bidi w:val="0"/>
              <w:spacing w:before="0" w:beforeAutospacing="0" w:after="0" w:afterAutospacing="0" w:line="240" w:lineRule="auto"/>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符合“投标文件格式”的要求</w:t>
            </w:r>
          </w:p>
        </w:tc>
      </w:tr>
      <w:tr w14:paraId="155A438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49" w:hRule="atLeast"/>
          <w:jc w:val="center"/>
        </w:trPr>
        <w:tc>
          <w:tcPr>
            <w:tcW w:w="1100" w:type="dxa"/>
            <w:vMerge w:val="continue"/>
            <w:noWrap w:val="0"/>
            <w:vAlign w:val="center"/>
          </w:tcPr>
          <w:p w14:paraId="3CC4313A">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p>
        </w:tc>
        <w:tc>
          <w:tcPr>
            <w:tcW w:w="1055" w:type="dxa"/>
            <w:vMerge w:val="continue"/>
            <w:noWrap w:val="0"/>
            <w:vAlign w:val="center"/>
          </w:tcPr>
          <w:p w14:paraId="50E0A801">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p>
        </w:tc>
        <w:tc>
          <w:tcPr>
            <w:tcW w:w="2383" w:type="dxa"/>
            <w:gridSpan w:val="2"/>
            <w:noWrap w:val="0"/>
            <w:vAlign w:val="center"/>
          </w:tcPr>
          <w:p w14:paraId="48BB38B3">
            <w:pPr>
              <w:keepNext w:val="0"/>
              <w:keepLines w:val="0"/>
              <w:pageBreakBefore w:val="0"/>
              <w:widowControl w:val="0"/>
              <w:suppressLineNumbers w:val="0"/>
              <w:kinsoku/>
              <w:overflowPunct/>
              <w:bidi w:val="0"/>
              <w:spacing w:before="0" w:beforeAutospacing="0" w:after="0" w:afterAutospacing="0" w:line="240" w:lineRule="auto"/>
              <w:ind w:left="0" w:leftChars="0" w:right="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报价唯一</w:t>
            </w:r>
          </w:p>
        </w:tc>
        <w:tc>
          <w:tcPr>
            <w:tcW w:w="4828" w:type="dxa"/>
            <w:noWrap w:val="0"/>
            <w:vAlign w:val="center"/>
          </w:tcPr>
          <w:p w14:paraId="1D1A1D79">
            <w:pPr>
              <w:keepNext w:val="0"/>
              <w:keepLines w:val="0"/>
              <w:pageBreakBefore w:val="0"/>
              <w:widowControl w:val="0"/>
              <w:suppressLineNumbers w:val="0"/>
              <w:kinsoku/>
              <w:overflowPunct/>
              <w:bidi w:val="0"/>
              <w:spacing w:before="0" w:beforeAutospacing="0" w:after="0" w:afterAutospacing="0" w:line="240" w:lineRule="auto"/>
              <w:ind w:left="0" w:leftChars="0" w:right="0" w:right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只能有一个有效报价</w:t>
            </w:r>
          </w:p>
        </w:tc>
      </w:tr>
      <w:tr w14:paraId="1877024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01" w:hRule="atLeast"/>
          <w:jc w:val="center"/>
        </w:trPr>
        <w:tc>
          <w:tcPr>
            <w:tcW w:w="1100" w:type="dxa"/>
            <w:vMerge w:val="restart"/>
            <w:noWrap w:val="0"/>
            <w:vAlign w:val="center"/>
          </w:tcPr>
          <w:p w14:paraId="110459B6">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bookmarkStart w:id="47" w:name="_Toc221950452"/>
            <w:r>
              <w:rPr>
                <w:rFonts w:hint="eastAsia" w:ascii="宋体" w:hAnsi="宋体" w:eastAsia="宋体" w:cs="宋体"/>
                <w:color w:val="auto"/>
                <w:sz w:val="21"/>
                <w:szCs w:val="21"/>
                <w:highlight w:val="none"/>
              </w:rPr>
              <w:t>2.1.</w:t>
            </w:r>
            <w:bookmarkEnd w:id="47"/>
            <w:r>
              <w:rPr>
                <w:rFonts w:hint="eastAsia" w:ascii="宋体" w:hAnsi="宋体" w:eastAsia="宋体" w:cs="宋体"/>
                <w:color w:val="auto"/>
                <w:sz w:val="21"/>
                <w:szCs w:val="21"/>
                <w:highlight w:val="none"/>
              </w:rPr>
              <w:t>2</w:t>
            </w:r>
          </w:p>
        </w:tc>
        <w:tc>
          <w:tcPr>
            <w:tcW w:w="1055" w:type="dxa"/>
            <w:vMerge w:val="restart"/>
            <w:noWrap w:val="0"/>
            <w:vAlign w:val="center"/>
          </w:tcPr>
          <w:p w14:paraId="42618C7A">
            <w:pPr>
              <w:pageBreakBefore w:val="0"/>
              <w:kinsoku/>
              <w:overflowPunct/>
              <w:autoSpaceDE w:val="0"/>
              <w:autoSpaceDN w:val="0"/>
              <w:bidi w:val="0"/>
              <w:spacing w:line="240" w:lineRule="auto"/>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w:t>
            </w:r>
            <w:r>
              <w:rPr>
                <w:rFonts w:hint="eastAsia" w:ascii="宋体" w:hAnsi="宋体" w:eastAsia="宋体" w:cs="宋体"/>
                <w:color w:val="auto"/>
                <w:sz w:val="21"/>
                <w:szCs w:val="21"/>
                <w:highlight w:val="none"/>
                <w:lang w:val="en-US" w:eastAsia="zh-CN"/>
              </w:rPr>
              <w:t>性</w:t>
            </w:r>
            <w:r>
              <w:rPr>
                <w:rFonts w:hint="eastAsia" w:ascii="宋体" w:hAnsi="宋体" w:eastAsia="宋体" w:cs="宋体"/>
                <w:color w:val="auto"/>
                <w:sz w:val="21"/>
                <w:szCs w:val="21"/>
                <w:highlight w:val="none"/>
              </w:rPr>
              <w:t>评审标准</w:t>
            </w:r>
          </w:p>
        </w:tc>
        <w:tc>
          <w:tcPr>
            <w:tcW w:w="2383" w:type="dxa"/>
            <w:gridSpan w:val="2"/>
            <w:noWrap w:val="0"/>
            <w:vAlign w:val="center"/>
          </w:tcPr>
          <w:p w14:paraId="4958D1FD">
            <w:pPr>
              <w:keepNext w:val="0"/>
              <w:keepLines w:val="0"/>
              <w:pageBreakBefore w:val="0"/>
              <w:widowControl w:val="0"/>
              <w:suppressLineNumbers w:val="0"/>
              <w:kinsoku/>
              <w:overflowPunct/>
              <w:bidi w:val="0"/>
              <w:spacing w:before="0" w:beforeAutospacing="0" w:after="0" w:afterAutospacing="0" w:line="240" w:lineRule="auto"/>
              <w:ind w:left="0" w:leftChars="0" w:right="0" w:rightChars="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《中华人民共和国政府采购法》第二十二条规定</w:t>
            </w:r>
          </w:p>
        </w:tc>
        <w:tc>
          <w:tcPr>
            <w:tcW w:w="4828" w:type="dxa"/>
            <w:noWrap w:val="0"/>
            <w:vAlign w:val="center"/>
          </w:tcPr>
          <w:p w14:paraId="7A499B7A">
            <w:pPr>
              <w:autoSpaceDE w:val="0"/>
              <w:autoSpaceDN w:val="0"/>
              <w:adjustRightIn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符合第二章“</w:t>
            </w:r>
            <w:r>
              <w:rPr>
                <w:rFonts w:hint="eastAsia" w:ascii="宋体" w:hAnsi="宋体" w:cs="宋体"/>
                <w:color w:val="auto"/>
                <w:kern w:val="0"/>
                <w:sz w:val="21"/>
                <w:szCs w:val="21"/>
                <w:highlight w:val="none"/>
                <w:lang w:eastAsia="zh-CN"/>
              </w:rPr>
              <w:t>供应商</w:t>
            </w:r>
            <w:r>
              <w:rPr>
                <w:rFonts w:hint="eastAsia" w:ascii="宋体" w:hAnsi="宋体" w:eastAsia="宋体" w:cs="宋体"/>
                <w:color w:val="auto"/>
                <w:kern w:val="0"/>
                <w:sz w:val="21"/>
                <w:szCs w:val="21"/>
                <w:highlight w:val="none"/>
              </w:rPr>
              <w:t>须知前附表”第1.4.1项规定</w:t>
            </w:r>
          </w:p>
        </w:tc>
      </w:tr>
      <w:tr w14:paraId="33CA8CF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01" w:hRule="atLeast"/>
          <w:jc w:val="center"/>
        </w:trPr>
        <w:tc>
          <w:tcPr>
            <w:tcW w:w="1100" w:type="dxa"/>
            <w:vMerge w:val="continue"/>
            <w:noWrap w:val="0"/>
            <w:vAlign w:val="center"/>
          </w:tcPr>
          <w:p w14:paraId="3566F978">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p>
        </w:tc>
        <w:tc>
          <w:tcPr>
            <w:tcW w:w="1055" w:type="dxa"/>
            <w:vMerge w:val="continue"/>
            <w:noWrap w:val="0"/>
            <w:vAlign w:val="center"/>
          </w:tcPr>
          <w:p w14:paraId="0FC006D7">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p>
        </w:tc>
        <w:tc>
          <w:tcPr>
            <w:tcW w:w="2383" w:type="dxa"/>
            <w:gridSpan w:val="2"/>
            <w:noWrap w:val="0"/>
            <w:vAlign w:val="center"/>
          </w:tcPr>
          <w:p w14:paraId="4E5F3073">
            <w:pPr>
              <w:keepNext w:val="0"/>
              <w:keepLines w:val="0"/>
              <w:pageBreakBefore w:val="0"/>
              <w:widowControl w:val="0"/>
              <w:suppressLineNumbers w:val="0"/>
              <w:kinsoku/>
              <w:overflowPunct/>
              <w:bidi w:val="0"/>
              <w:spacing w:before="0" w:beforeAutospacing="0" w:after="0" w:afterAutospacing="0" w:line="240" w:lineRule="auto"/>
              <w:ind w:left="0" w:leftChars="0" w:right="0" w:rightChars="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落实政府采购政策满足的资格要求</w:t>
            </w:r>
          </w:p>
        </w:tc>
        <w:tc>
          <w:tcPr>
            <w:tcW w:w="4828" w:type="dxa"/>
            <w:noWrap w:val="0"/>
            <w:vAlign w:val="center"/>
          </w:tcPr>
          <w:p w14:paraId="42994F43">
            <w:pPr>
              <w:autoSpaceDE w:val="0"/>
              <w:autoSpaceDN w:val="0"/>
              <w:adjustRightInd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符合第二章“</w:t>
            </w:r>
            <w:r>
              <w:rPr>
                <w:rFonts w:hint="eastAsia" w:ascii="宋体" w:hAnsi="宋体" w:cs="宋体"/>
                <w:color w:val="auto"/>
                <w:kern w:val="0"/>
                <w:sz w:val="21"/>
                <w:szCs w:val="21"/>
                <w:highlight w:val="none"/>
                <w:lang w:eastAsia="zh-CN"/>
              </w:rPr>
              <w:t>供应商</w:t>
            </w:r>
            <w:r>
              <w:rPr>
                <w:rFonts w:hint="eastAsia" w:ascii="宋体" w:hAnsi="宋体" w:eastAsia="宋体" w:cs="宋体"/>
                <w:color w:val="auto"/>
                <w:kern w:val="0"/>
                <w:sz w:val="21"/>
                <w:szCs w:val="21"/>
                <w:highlight w:val="none"/>
              </w:rPr>
              <w:t>须知前附表”第1.4.1项规定</w:t>
            </w:r>
          </w:p>
        </w:tc>
      </w:tr>
      <w:tr w14:paraId="230520F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01" w:hRule="atLeast"/>
          <w:jc w:val="center"/>
        </w:trPr>
        <w:tc>
          <w:tcPr>
            <w:tcW w:w="1100" w:type="dxa"/>
            <w:vMerge w:val="continue"/>
            <w:noWrap w:val="0"/>
            <w:vAlign w:val="center"/>
          </w:tcPr>
          <w:p w14:paraId="737117EB">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p>
        </w:tc>
        <w:tc>
          <w:tcPr>
            <w:tcW w:w="1055" w:type="dxa"/>
            <w:vMerge w:val="continue"/>
            <w:noWrap w:val="0"/>
            <w:vAlign w:val="center"/>
          </w:tcPr>
          <w:p w14:paraId="07BA6C62">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p>
        </w:tc>
        <w:tc>
          <w:tcPr>
            <w:tcW w:w="2383" w:type="dxa"/>
            <w:gridSpan w:val="2"/>
            <w:noWrap w:val="0"/>
            <w:vAlign w:val="center"/>
          </w:tcPr>
          <w:p w14:paraId="64C0FBEC">
            <w:pPr>
              <w:keepNext w:val="0"/>
              <w:keepLines w:val="0"/>
              <w:pageBreakBefore w:val="0"/>
              <w:widowControl w:val="0"/>
              <w:suppressLineNumbers w:val="0"/>
              <w:kinsoku/>
              <w:overflowPunct/>
              <w:bidi w:val="0"/>
              <w:spacing w:before="0" w:beforeAutospacing="0" w:after="0" w:afterAutospacing="0" w:line="240" w:lineRule="auto"/>
              <w:ind w:left="0" w:leftChars="0" w:right="0" w:rightChars="0"/>
              <w:jc w:val="center"/>
              <w:rPr>
                <w:rFonts w:hint="default" w:ascii="宋体" w:hAnsi="宋体" w:eastAsia="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营业执照</w:t>
            </w:r>
          </w:p>
        </w:tc>
        <w:tc>
          <w:tcPr>
            <w:tcW w:w="4828" w:type="dxa"/>
            <w:noWrap w:val="0"/>
            <w:vAlign w:val="center"/>
          </w:tcPr>
          <w:p w14:paraId="429442A5">
            <w:pPr>
              <w:autoSpaceDE w:val="0"/>
              <w:autoSpaceDN w:val="0"/>
              <w:adjustRightInd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符合第二章“</w:t>
            </w:r>
            <w:r>
              <w:rPr>
                <w:rFonts w:hint="eastAsia" w:ascii="宋体" w:hAnsi="宋体" w:cs="宋体"/>
                <w:color w:val="auto"/>
                <w:kern w:val="0"/>
                <w:sz w:val="21"/>
                <w:szCs w:val="21"/>
                <w:highlight w:val="none"/>
                <w:lang w:eastAsia="zh-CN"/>
              </w:rPr>
              <w:t>供应商</w:t>
            </w:r>
            <w:r>
              <w:rPr>
                <w:rFonts w:hint="eastAsia" w:ascii="宋体" w:hAnsi="宋体" w:eastAsia="宋体" w:cs="宋体"/>
                <w:color w:val="auto"/>
                <w:kern w:val="0"/>
                <w:sz w:val="21"/>
                <w:szCs w:val="21"/>
                <w:highlight w:val="none"/>
              </w:rPr>
              <w:t>须知前附表”第1.4.1项规定</w:t>
            </w:r>
          </w:p>
        </w:tc>
      </w:tr>
      <w:tr w14:paraId="5FB0F87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83" w:hRule="atLeast"/>
          <w:jc w:val="center"/>
        </w:trPr>
        <w:tc>
          <w:tcPr>
            <w:tcW w:w="1100" w:type="dxa"/>
            <w:vMerge w:val="continue"/>
            <w:noWrap w:val="0"/>
            <w:vAlign w:val="center"/>
          </w:tcPr>
          <w:p w14:paraId="0C61D776">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p>
        </w:tc>
        <w:tc>
          <w:tcPr>
            <w:tcW w:w="1055" w:type="dxa"/>
            <w:vMerge w:val="continue"/>
            <w:noWrap w:val="0"/>
            <w:vAlign w:val="center"/>
          </w:tcPr>
          <w:p w14:paraId="6BC7909F">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p>
        </w:tc>
        <w:tc>
          <w:tcPr>
            <w:tcW w:w="2383" w:type="dxa"/>
            <w:gridSpan w:val="2"/>
            <w:noWrap w:val="0"/>
            <w:vAlign w:val="center"/>
          </w:tcPr>
          <w:p w14:paraId="4019E84F">
            <w:pPr>
              <w:keepNext w:val="0"/>
              <w:keepLines w:val="0"/>
              <w:pageBreakBefore w:val="0"/>
              <w:widowControl w:val="0"/>
              <w:suppressLineNumbers w:val="0"/>
              <w:kinsoku/>
              <w:overflowPunct/>
              <w:bidi w:val="0"/>
              <w:spacing w:before="0" w:beforeAutospacing="0" w:after="0" w:afterAutospacing="0" w:line="240" w:lineRule="auto"/>
              <w:ind w:left="0" w:leftChars="0" w:right="0" w:rightChars="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信用查询</w:t>
            </w:r>
          </w:p>
        </w:tc>
        <w:tc>
          <w:tcPr>
            <w:tcW w:w="4828" w:type="dxa"/>
            <w:noWrap w:val="0"/>
            <w:vAlign w:val="center"/>
          </w:tcPr>
          <w:p w14:paraId="40548428">
            <w:pPr>
              <w:autoSpaceDE w:val="0"/>
              <w:autoSpaceDN w:val="0"/>
              <w:adjustRightInd w:val="0"/>
              <w:spacing w:line="240" w:lineRule="auto"/>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符合第二章“</w:t>
            </w:r>
            <w:r>
              <w:rPr>
                <w:rFonts w:hint="eastAsia" w:ascii="宋体" w:hAnsi="宋体" w:cs="宋体"/>
                <w:color w:val="auto"/>
                <w:kern w:val="0"/>
                <w:sz w:val="21"/>
                <w:szCs w:val="21"/>
                <w:highlight w:val="none"/>
                <w:lang w:eastAsia="zh-CN"/>
              </w:rPr>
              <w:t>供应商</w:t>
            </w:r>
            <w:r>
              <w:rPr>
                <w:rFonts w:hint="eastAsia" w:ascii="宋体" w:hAnsi="宋体" w:eastAsia="宋体" w:cs="宋体"/>
                <w:color w:val="auto"/>
                <w:kern w:val="0"/>
                <w:sz w:val="21"/>
                <w:szCs w:val="21"/>
                <w:highlight w:val="none"/>
              </w:rPr>
              <w:t>须知前附表”第1.4.1项规定</w:t>
            </w:r>
          </w:p>
        </w:tc>
      </w:tr>
      <w:tr w14:paraId="759A660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246" w:hRule="atLeast"/>
          <w:jc w:val="center"/>
        </w:trPr>
        <w:tc>
          <w:tcPr>
            <w:tcW w:w="1100" w:type="dxa"/>
            <w:vMerge w:val="continue"/>
            <w:noWrap w:val="0"/>
            <w:vAlign w:val="center"/>
          </w:tcPr>
          <w:p w14:paraId="339CF699">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p>
        </w:tc>
        <w:tc>
          <w:tcPr>
            <w:tcW w:w="1055" w:type="dxa"/>
            <w:vMerge w:val="continue"/>
            <w:noWrap w:val="0"/>
            <w:vAlign w:val="center"/>
          </w:tcPr>
          <w:p w14:paraId="4EAF53F1">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p>
        </w:tc>
        <w:tc>
          <w:tcPr>
            <w:tcW w:w="2383" w:type="dxa"/>
            <w:gridSpan w:val="2"/>
            <w:noWrap w:val="0"/>
            <w:vAlign w:val="top"/>
          </w:tcPr>
          <w:p w14:paraId="52E14619">
            <w:pPr>
              <w:keepNext w:val="0"/>
              <w:keepLines w:val="0"/>
              <w:pageBreakBefore w:val="0"/>
              <w:widowControl w:val="0"/>
              <w:suppressLineNumbers w:val="0"/>
              <w:kinsoku/>
              <w:overflowPunct/>
              <w:bidi w:val="0"/>
              <w:spacing w:before="0" w:beforeAutospacing="0" w:after="0" w:afterAutospacing="0" w:line="240" w:lineRule="auto"/>
              <w:ind w:left="0" w:leftChars="0" w:right="0" w:rightChars="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单位负责人为同一人或者存在直接控股、管理关系的不同供应商，不得参加同一合同项下的政府采购活动；</w:t>
            </w:r>
          </w:p>
        </w:tc>
        <w:tc>
          <w:tcPr>
            <w:tcW w:w="4828" w:type="dxa"/>
            <w:noWrap w:val="0"/>
            <w:vAlign w:val="center"/>
          </w:tcPr>
          <w:p w14:paraId="1BC85CD1">
            <w:pPr>
              <w:autoSpaceDE w:val="0"/>
              <w:autoSpaceDN w:val="0"/>
              <w:adjustRightInd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符合第二章“</w:t>
            </w:r>
            <w:r>
              <w:rPr>
                <w:rFonts w:hint="eastAsia" w:ascii="宋体" w:hAnsi="宋体" w:cs="宋体"/>
                <w:color w:val="auto"/>
                <w:kern w:val="0"/>
                <w:sz w:val="21"/>
                <w:szCs w:val="21"/>
                <w:highlight w:val="none"/>
                <w:lang w:eastAsia="zh-CN"/>
              </w:rPr>
              <w:t>供应商</w:t>
            </w:r>
            <w:r>
              <w:rPr>
                <w:rFonts w:hint="eastAsia" w:ascii="宋体" w:hAnsi="宋体" w:eastAsia="宋体" w:cs="宋体"/>
                <w:color w:val="auto"/>
                <w:kern w:val="0"/>
                <w:sz w:val="21"/>
                <w:szCs w:val="21"/>
                <w:highlight w:val="none"/>
              </w:rPr>
              <w:t>须知前附表”第1.4.1项规定</w:t>
            </w:r>
          </w:p>
        </w:tc>
      </w:tr>
      <w:tr w14:paraId="0B4471F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1100" w:type="dxa"/>
            <w:vMerge w:val="continue"/>
            <w:noWrap w:val="0"/>
            <w:vAlign w:val="center"/>
          </w:tcPr>
          <w:p w14:paraId="34BF77A3">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p>
        </w:tc>
        <w:tc>
          <w:tcPr>
            <w:tcW w:w="1055" w:type="dxa"/>
            <w:vMerge w:val="continue"/>
            <w:noWrap w:val="0"/>
            <w:vAlign w:val="center"/>
          </w:tcPr>
          <w:p w14:paraId="2D034A8D">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p>
        </w:tc>
        <w:tc>
          <w:tcPr>
            <w:tcW w:w="2383" w:type="dxa"/>
            <w:gridSpan w:val="2"/>
            <w:noWrap w:val="0"/>
            <w:vAlign w:val="top"/>
          </w:tcPr>
          <w:p w14:paraId="33AE33FB">
            <w:pPr>
              <w:keepNext w:val="0"/>
              <w:keepLines w:val="0"/>
              <w:pageBreakBefore w:val="0"/>
              <w:widowControl w:val="0"/>
              <w:suppressLineNumbers w:val="0"/>
              <w:kinsoku/>
              <w:overflowPunct/>
              <w:bidi w:val="0"/>
              <w:spacing w:before="0" w:beforeAutospacing="0" w:after="0" w:afterAutospacing="0" w:line="240" w:lineRule="auto"/>
              <w:ind w:left="0" w:leftChars="0" w:right="0" w:rightChars="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为采购项目提供整体设计、规范编制或者项目管理、监理、检测等服务的</w:t>
            </w:r>
            <w:r>
              <w:rPr>
                <w:rFonts w:hint="eastAsia" w:ascii="宋体" w:hAnsi="宋体" w:cs="宋体"/>
                <w:color w:val="auto"/>
                <w:kern w:val="2"/>
                <w:sz w:val="21"/>
                <w:szCs w:val="21"/>
                <w:highlight w:val="none"/>
                <w:lang w:val="en-US" w:eastAsia="zh-CN" w:bidi="ar"/>
              </w:rPr>
              <w:t>供应商</w:t>
            </w:r>
            <w:r>
              <w:rPr>
                <w:rFonts w:hint="eastAsia" w:ascii="宋体" w:hAnsi="宋体" w:eastAsia="宋体" w:cs="宋体"/>
                <w:color w:val="auto"/>
                <w:kern w:val="2"/>
                <w:sz w:val="21"/>
                <w:szCs w:val="21"/>
                <w:highlight w:val="none"/>
                <w:lang w:val="en-US" w:eastAsia="zh-CN" w:bidi="ar"/>
              </w:rPr>
              <w:t>，不得再参加该采购项目的其他采购活动。</w:t>
            </w:r>
          </w:p>
        </w:tc>
        <w:tc>
          <w:tcPr>
            <w:tcW w:w="4828" w:type="dxa"/>
            <w:noWrap w:val="0"/>
            <w:vAlign w:val="center"/>
          </w:tcPr>
          <w:p w14:paraId="00D33D08">
            <w:pPr>
              <w:autoSpaceDE w:val="0"/>
              <w:autoSpaceDN w:val="0"/>
              <w:adjustRightInd w:val="0"/>
              <w:spacing w:line="24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符合第二章“</w:t>
            </w:r>
            <w:r>
              <w:rPr>
                <w:rFonts w:hint="eastAsia" w:ascii="宋体" w:hAnsi="宋体" w:cs="宋体"/>
                <w:color w:val="auto"/>
                <w:kern w:val="0"/>
                <w:sz w:val="21"/>
                <w:szCs w:val="21"/>
                <w:highlight w:val="none"/>
                <w:lang w:val="en-US" w:eastAsia="zh-CN"/>
              </w:rPr>
              <w:t>供应商</w:t>
            </w:r>
            <w:r>
              <w:rPr>
                <w:rFonts w:hint="eastAsia" w:ascii="宋体" w:hAnsi="宋体" w:eastAsia="宋体" w:cs="宋体"/>
                <w:color w:val="auto"/>
                <w:kern w:val="0"/>
                <w:sz w:val="21"/>
                <w:szCs w:val="21"/>
                <w:highlight w:val="none"/>
                <w:lang w:val="en-US" w:eastAsia="zh-CN"/>
              </w:rPr>
              <w:t>须知前附表”第1.4.1项规定</w:t>
            </w:r>
          </w:p>
        </w:tc>
      </w:tr>
      <w:tr w14:paraId="22798B1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100" w:type="dxa"/>
            <w:vMerge w:val="restart"/>
            <w:noWrap w:val="0"/>
            <w:vAlign w:val="center"/>
          </w:tcPr>
          <w:p w14:paraId="5FFFAA92">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w:t>
            </w:r>
          </w:p>
        </w:tc>
        <w:tc>
          <w:tcPr>
            <w:tcW w:w="1055" w:type="dxa"/>
            <w:vMerge w:val="restart"/>
            <w:noWrap w:val="0"/>
            <w:vAlign w:val="center"/>
          </w:tcPr>
          <w:p w14:paraId="241C440A">
            <w:pPr>
              <w:pageBreakBefore w:val="0"/>
              <w:kinsoku/>
              <w:overflowPunct/>
              <w:autoSpaceDE w:val="0"/>
              <w:autoSpaceDN w:val="0"/>
              <w:bidi w:val="0"/>
              <w:spacing w:line="240" w:lineRule="auto"/>
              <w:contextualSpacing/>
              <w:jc w:val="center"/>
              <w:rPr>
                <w:rFonts w:hint="eastAsia" w:ascii="宋体" w:hAnsi="宋体" w:eastAsia="宋体" w:cs="宋体"/>
                <w:color w:val="auto"/>
                <w:sz w:val="21"/>
                <w:szCs w:val="21"/>
                <w:highlight w:val="none"/>
              </w:rPr>
            </w:pPr>
            <w:bookmarkStart w:id="48" w:name="_Toc221950453"/>
            <w:r>
              <w:rPr>
                <w:rFonts w:hint="eastAsia" w:ascii="宋体" w:hAnsi="宋体" w:eastAsia="宋体" w:cs="宋体"/>
                <w:color w:val="auto"/>
                <w:sz w:val="21"/>
                <w:szCs w:val="21"/>
                <w:highlight w:val="none"/>
              </w:rPr>
              <w:t>响应</w:t>
            </w:r>
            <w:r>
              <w:rPr>
                <w:rFonts w:hint="eastAsia" w:ascii="宋体" w:hAnsi="宋体" w:eastAsia="宋体" w:cs="宋体"/>
                <w:color w:val="auto"/>
                <w:sz w:val="21"/>
                <w:szCs w:val="21"/>
                <w:highlight w:val="none"/>
                <w:lang w:val="en-US" w:eastAsia="zh-CN"/>
              </w:rPr>
              <w:t>性</w:t>
            </w:r>
            <w:r>
              <w:rPr>
                <w:rFonts w:hint="eastAsia" w:ascii="宋体" w:hAnsi="宋体" w:eastAsia="宋体" w:cs="宋体"/>
                <w:color w:val="auto"/>
                <w:sz w:val="21"/>
                <w:szCs w:val="21"/>
                <w:highlight w:val="none"/>
              </w:rPr>
              <w:t>评审标准</w:t>
            </w:r>
            <w:bookmarkEnd w:id="48"/>
          </w:p>
        </w:tc>
        <w:tc>
          <w:tcPr>
            <w:tcW w:w="2383" w:type="dxa"/>
            <w:gridSpan w:val="2"/>
            <w:noWrap w:val="0"/>
            <w:vAlign w:val="center"/>
          </w:tcPr>
          <w:p w14:paraId="54C8624B">
            <w:pPr>
              <w:pageBreakBefore w:val="0"/>
              <w:kinsoku/>
              <w:overflowPunct/>
              <w:bidi w:val="0"/>
              <w:spacing w:before="266"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采购内容</w:t>
            </w:r>
          </w:p>
        </w:tc>
        <w:tc>
          <w:tcPr>
            <w:tcW w:w="4828" w:type="dxa"/>
            <w:noWrap w:val="0"/>
            <w:vAlign w:val="center"/>
          </w:tcPr>
          <w:p w14:paraId="5FF6730F">
            <w:pPr>
              <w:pageBreakBefore w:val="0"/>
              <w:kinsoku/>
              <w:overflowPunct/>
              <w:bidi w:val="0"/>
              <w:spacing w:before="266"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符合第二章“</w:t>
            </w:r>
            <w:r>
              <w:rPr>
                <w:rFonts w:hint="eastAsia" w:ascii="宋体" w:hAnsi="宋体" w:cs="宋体"/>
                <w:color w:val="auto"/>
                <w:spacing w:val="-1"/>
                <w:sz w:val="21"/>
                <w:szCs w:val="21"/>
                <w:highlight w:val="none"/>
                <w:lang w:eastAsia="zh-CN"/>
              </w:rPr>
              <w:t>供应商</w:t>
            </w:r>
            <w:r>
              <w:rPr>
                <w:rFonts w:hint="eastAsia" w:ascii="宋体" w:hAnsi="宋体" w:eastAsia="宋体" w:cs="宋体"/>
                <w:color w:val="auto"/>
                <w:spacing w:val="-1"/>
                <w:sz w:val="21"/>
                <w:szCs w:val="21"/>
                <w:highlight w:val="none"/>
              </w:rPr>
              <w:t>须知”第1.3.1项规定</w:t>
            </w:r>
          </w:p>
        </w:tc>
      </w:tr>
      <w:tr w14:paraId="09837DA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100" w:type="dxa"/>
            <w:vMerge w:val="continue"/>
            <w:noWrap w:val="0"/>
            <w:vAlign w:val="center"/>
          </w:tcPr>
          <w:p w14:paraId="4668FC76">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p>
        </w:tc>
        <w:tc>
          <w:tcPr>
            <w:tcW w:w="1055" w:type="dxa"/>
            <w:vMerge w:val="continue"/>
            <w:noWrap w:val="0"/>
            <w:vAlign w:val="center"/>
          </w:tcPr>
          <w:p w14:paraId="4BCEAECD">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p>
        </w:tc>
        <w:tc>
          <w:tcPr>
            <w:tcW w:w="2383" w:type="dxa"/>
            <w:gridSpan w:val="2"/>
            <w:noWrap w:val="0"/>
            <w:vAlign w:val="center"/>
          </w:tcPr>
          <w:p w14:paraId="48FC2FFE">
            <w:pPr>
              <w:pageBreakBefore w:val="0"/>
              <w:kinsoku/>
              <w:overflowPunct/>
              <w:bidi w:val="0"/>
              <w:spacing w:before="278" w:line="240" w:lineRule="auto"/>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pacing w:val="-3"/>
                <w:sz w:val="21"/>
                <w:szCs w:val="21"/>
                <w:highlight w:val="none"/>
                <w:lang w:val="en-US" w:eastAsia="zh-CN"/>
              </w:rPr>
              <w:t>服务期限</w:t>
            </w:r>
          </w:p>
        </w:tc>
        <w:tc>
          <w:tcPr>
            <w:tcW w:w="4828" w:type="dxa"/>
            <w:noWrap w:val="0"/>
            <w:vAlign w:val="center"/>
          </w:tcPr>
          <w:p w14:paraId="2100917B">
            <w:pPr>
              <w:pageBreakBefore w:val="0"/>
              <w:kinsoku/>
              <w:overflowPunct/>
              <w:bidi w:val="0"/>
              <w:spacing w:before="278"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符合第二章“</w:t>
            </w:r>
            <w:r>
              <w:rPr>
                <w:rFonts w:hint="eastAsia" w:ascii="宋体" w:hAnsi="宋体" w:cs="宋体"/>
                <w:color w:val="auto"/>
                <w:spacing w:val="-1"/>
                <w:sz w:val="21"/>
                <w:szCs w:val="21"/>
                <w:highlight w:val="none"/>
                <w:lang w:eastAsia="zh-CN"/>
              </w:rPr>
              <w:t>供应商</w:t>
            </w:r>
            <w:r>
              <w:rPr>
                <w:rFonts w:hint="eastAsia" w:ascii="宋体" w:hAnsi="宋体" w:eastAsia="宋体" w:cs="宋体"/>
                <w:color w:val="auto"/>
                <w:spacing w:val="-1"/>
                <w:sz w:val="21"/>
                <w:szCs w:val="21"/>
                <w:highlight w:val="none"/>
              </w:rPr>
              <w:t>须知”第1.3.2项规定</w:t>
            </w:r>
          </w:p>
        </w:tc>
      </w:tr>
      <w:tr w14:paraId="4487121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100" w:type="dxa"/>
            <w:vMerge w:val="continue"/>
            <w:noWrap w:val="0"/>
            <w:vAlign w:val="center"/>
          </w:tcPr>
          <w:p w14:paraId="7C9B63A4">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p>
        </w:tc>
        <w:tc>
          <w:tcPr>
            <w:tcW w:w="1055" w:type="dxa"/>
            <w:vMerge w:val="continue"/>
            <w:noWrap w:val="0"/>
            <w:vAlign w:val="center"/>
          </w:tcPr>
          <w:p w14:paraId="6B49B494">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p>
        </w:tc>
        <w:tc>
          <w:tcPr>
            <w:tcW w:w="2383" w:type="dxa"/>
            <w:gridSpan w:val="2"/>
            <w:noWrap w:val="0"/>
            <w:vAlign w:val="center"/>
          </w:tcPr>
          <w:p w14:paraId="2A39FBA6">
            <w:pPr>
              <w:pageBreakBefore w:val="0"/>
              <w:kinsoku/>
              <w:overflowPunct/>
              <w:bidi w:val="0"/>
              <w:spacing w:before="278" w:line="240" w:lineRule="auto"/>
              <w:jc w:val="center"/>
              <w:rPr>
                <w:rFonts w:hint="eastAsia" w:ascii="宋体" w:hAnsi="宋体" w:eastAsia="宋体" w:cs="宋体"/>
                <w:color w:val="auto"/>
                <w:spacing w:val="-3"/>
                <w:sz w:val="21"/>
                <w:szCs w:val="21"/>
                <w:highlight w:val="none"/>
                <w:lang w:val="en-US" w:eastAsia="zh-CN"/>
              </w:rPr>
            </w:pPr>
            <w:r>
              <w:rPr>
                <w:rFonts w:hint="eastAsia" w:ascii="宋体" w:hAnsi="宋体" w:cs="宋体"/>
                <w:color w:val="auto"/>
                <w:spacing w:val="-3"/>
                <w:sz w:val="21"/>
                <w:szCs w:val="21"/>
                <w:highlight w:val="none"/>
                <w:lang w:val="en-US" w:eastAsia="zh-CN"/>
              </w:rPr>
              <w:t>服务地点</w:t>
            </w:r>
          </w:p>
        </w:tc>
        <w:tc>
          <w:tcPr>
            <w:tcW w:w="4828" w:type="dxa"/>
            <w:noWrap w:val="0"/>
            <w:vAlign w:val="center"/>
          </w:tcPr>
          <w:p w14:paraId="3EAA1CC8">
            <w:pPr>
              <w:pageBreakBefore w:val="0"/>
              <w:kinsoku/>
              <w:overflowPunct/>
              <w:bidi w:val="0"/>
              <w:spacing w:before="278" w:line="240" w:lineRule="auto"/>
              <w:jc w:val="center"/>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符合第二章“</w:t>
            </w:r>
            <w:r>
              <w:rPr>
                <w:rFonts w:hint="eastAsia" w:ascii="宋体" w:hAnsi="宋体" w:cs="宋体"/>
                <w:color w:val="auto"/>
                <w:spacing w:val="-1"/>
                <w:sz w:val="21"/>
                <w:szCs w:val="21"/>
                <w:highlight w:val="none"/>
                <w:lang w:eastAsia="zh-CN"/>
              </w:rPr>
              <w:t>供应商</w:t>
            </w:r>
            <w:r>
              <w:rPr>
                <w:rFonts w:hint="eastAsia" w:ascii="宋体" w:hAnsi="宋体" w:eastAsia="宋体" w:cs="宋体"/>
                <w:color w:val="auto"/>
                <w:spacing w:val="-1"/>
                <w:sz w:val="21"/>
                <w:szCs w:val="21"/>
                <w:highlight w:val="none"/>
              </w:rPr>
              <w:t>须知”第1.3.</w:t>
            </w:r>
            <w:r>
              <w:rPr>
                <w:rFonts w:hint="eastAsia" w:ascii="宋体" w:hAnsi="宋体" w:cs="宋体"/>
                <w:color w:val="auto"/>
                <w:spacing w:val="-1"/>
                <w:sz w:val="21"/>
                <w:szCs w:val="21"/>
                <w:highlight w:val="none"/>
                <w:lang w:val="en-US" w:eastAsia="zh-CN"/>
              </w:rPr>
              <w:t>3</w:t>
            </w:r>
            <w:r>
              <w:rPr>
                <w:rFonts w:hint="eastAsia" w:ascii="宋体" w:hAnsi="宋体" w:eastAsia="宋体" w:cs="宋体"/>
                <w:color w:val="auto"/>
                <w:spacing w:val="-1"/>
                <w:sz w:val="21"/>
                <w:szCs w:val="21"/>
                <w:highlight w:val="none"/>
              </w:rPr>
              <w:t>项规定</w:t>
            </w:r>
          </w:p>
        </w:tc>
      </w:tr>
      <w:tr w14:paraId="1DDAAD8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100" w:type="dxa"/>
            <w:vMerge w:val="continue"/>
            <w:noWrap w:val="0"/>
            <w:vAlign w:val="center"/>
          </w:tcPr>
          <w:p w14:paraId="52405345">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p>
        </w:tc>
        <w:tc>
          <w:tcPr>
            <w:tcW w:w="1055" w:type="dxa"/>
            <w:vMerge w:val="continue"/>
            <w:noWrap w:val="0"/>
            <w:vAlign w:val="center"/>
          </w:tcPr>
          <w:p w14:paraId="60B84A25">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p>
        </w:tc>
        <w:tc>
          <w:tcPr>
            <w:tcW w:w="2383" w:type="dxa"/>
            <w:gridSpan w:val="2"/>
            <w:noWrap w:val="0"/>
            <w:vAlign w:val="center"/>
          </w:tcPr>
          <w:p w14:paraId="13308C7B">
            <w:pPr>
              <w:pageBreakBefore w:val="0"/>
              <w:kinsoku/>
              <w:overflowPunct/>
              <w:bidi w:val="0"/>
              <w:spacing w:before="278" w:line="240" w:lineRule="auto"/>
              <w:jc w:val="center"/>
              <w:rPr>
                <w:rFonts w:hint="eastAsia" w:ascii="宋体" w:hAnsi="宋体" w:eastAsia="宋体" w:cs="宋体"/>
                <w:color w:val="auto"/>
                <w:sz w:val="21"/>
                <w:szCs w:val="21"/>
                <w:highlight w:val="none"/>
              </w:rPr>
            </w:pPr>
            <w:r>
              <w:rPr>
                <w:rFonts w:hint="eastAsia" w:ascii="宋体" w:hAnsi="宋体" w:eastAsia="宋体" w:cs="宋体"/>
                <w:szCs w:val="21"/>
                <w:highlight w:val="none"/>
              </w:rPr>
              <w:t>质量要求</w:t>
            </w:r>
          </w:p>
        </w:tc>
        <w:tc>
          <w:tcPr>
            <w:tcW w:w="4828" w:type="dxa"/>
            <w:noWrap w:val="0"/>
            <w:vAlign w:val="center"/>
          </w:tcPr>
          <w:p w14:paraId="23050AE7">
            <w:pPr>
              <w:pageBreakBefore w:val="0"/>
              <w:kinsoku/>
              <w:overflowPunct/>
              <w:bidi w:val="0"/>
              <w:spacing w:before="278"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符合第二章“</w:t>
            </w:r>
            <w:r>
              <w:rPr>
                <w:rFonts w:hint="eastAsia" w:ascii="宋体" w:hAnsi="宋体" w:cs="宋体"/>
                <w:color w:val="auto"/>
                <w:spacing w:val="-1"/>
                <w:sz w:val="21"/>
                <w:szCs w:val="21"/>
                <w:highlight w:val="none"/>
                <w:lang w:eastAsia="zh-CN"/>
              </w:rPr>
              <w:t>供应商</w:t>
            </w:r>
            <w:r>
              <w:rPr>
                <w:rFonts w:hint="eastAsia" w:ascii="宋体" w:hAnsi="宋体" w:eastAsia="宋体" w:cs="宋体"/>
                <w:color w:val="auto"/>
                <w:spacing w:val="-1"/>
                <w:sz w:val="21"/>
                <w:szCs w:val="21"/>
                <w:highlight w:val="none"/>
              </w:rPr>
              <w:t>须知”第1.3.</w:t>
            </w:r>
            <w:r>
              <w:rPr>
                <w:rFonts w:hint="eastAsia" w:ascii="宋体" w:hAnsi="宋体" w:eastAsia="宋体" w:cs="宋体"/>
                <w:color w:val="auto"/>
                <w:spacing w:val="-1"/>
                <w:sz w:val="21"/>
                <w:szCs w:val="21"/>
                <w:highlight w:val="none"/>
                <w:lang w:val="en-US" w:eastAsia="zh-CN"/>
              </w:rPr>
              <w:t>4</w:t>
            </w:r>
            <w:r>
              <w:rPr>
                <w:rFonts w:hint="eastAsia" w:ascii="宋体" w:hAnsi="宋体" w:eastAsia="宋体" w:cs="宋体"/>
                <w:color w:val="auto"/>
                <w:spacing w:val="-1"/>
                <w:sz w:val="21"/>
                <w:szCs w:val="21"/>
                <w:highlight w:val="none"/>
              </w:rPr>
              <w:t>项规定</w:t>
            </w:r>
          </w:p>
        </w:tc>
      </w:tr>
      <w:tr w14:paraId="1B3C372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1100" w:type="dxa"/>
            <w:vMerge w:val="continue"/>
            <w:noWrap w:val="0"/>
            <w:vAlign w:val="center"/>
          </w:tcPr>
          <w:p w14:paraId="5BEA02EF">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p>
        </w:tc>
        <w:tc>
          <w:tcPr>
            <w:tcW w:w="1055" w:type="dxa"/>
            <w:vMerge w:val="continue"/>
            <w:noWrap w:val="0"/>
            <w:vAlign w:val="center"/>
          </w:tcPr>
          <w:p w14:paraId="4E0E57D3">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p>
        </w:tc>
        <w:tc>
          <w:tcPr>
            <w:tcW w:w="2383" w:type="dxa"/>
            <w:gridSpan w:val="2"/>
            <w:noWrap w:val="0"/>
            <w:vAlign w:val="center"/>
          </w:tcPr>
          <w:p w14:paraId="7C613BC3">
            <w:pPr>
              <w:pageBreakBefore w:val="0"/>
              <w:kinsoku/>
              <w:overflowPunct/>
              <w:bidi w:val="0"/>
              <w:spacing w:before="282"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投标有效期</w:t>
            </w:r>
          </w:p>
        </w:tc>
        <w:tc>
          <w:tcPr>
            <w:tcW w:w="4828" w:type="dxa"/>
            <w:noWrap w:val="0"/>
            <w:vAlign w:val="center"/>
          </w:tcPr>
          <w:p w14:paraId="166FB296">
            <w:pPr>
              <w:pageBreakBefore w:val="0"/>
              <w:kinsoku/>
              <w:overflowPunct/>
              <w:bidi w:val="0"/>
              <w:spacing w:before="282"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符合第二章“</w:t>
            </w:r>
            <w:r>
              <w:rPr>
                <w:rFonts w:hint="eastAsia" w:ascii="宋体" w:hAnsi="宋体" w:cs="宋体"/>
                <w:color w:val="auto"/>
                <w:spacing w:val="-1"/>
                <w:sz w:val="21"/>
                <w:szCs w:val="21"/>
                <w:highlight w:val="none"/>
                <w:lang w:eastAsia="zh-CN"/>
              </w:rPr>
              <w:t>供应商</w:t>
            </w:r>
            <w:r>
              <w:rPr>
                <w:rFonts w:hint="eastAsia" w:ascii="宋体" w:hAnsi="宋体" w:eastAsia="宋体" w:cs="宋体"/>
                <w:color w:val="auto"/>
                <w:spacing w:val="-1"/>
                <w:sz w:val="21"/>
                <w:szCs w:val="21"/>
                <w:highlight w:val="none"/>
              </w:rPr>
              <w:t>须知”第3.3.1项规定</w:t>
            </w:r>
          </w:p>
        </w:tc>
      </w:tr>
      <w:tr w14:paraId="467D41C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95" w:hRule="atLeast"/>
          <w:jc w:val="center"/>
        </w:trPr>
        <w:tc>
          <w:tcPr>
            <w:tcW w:w="1100" w:type="dxa"/>
            <w:vMerge w:val="continue"/>
            <w:noWrap w:val="0"/>
            <w:vAlign w:val="center"/>
          </w:tcPr>
          <w:p w14:paraId="00A57BC9">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p>
        </w:tc>
        <w:tc>
          <w:tcPr>
            <w:tcW w:w="1055" w:type="dxa"/>
            <w:vMerge w:val="continue"/>
            <w:noWrap w:val="0"/>
            <w:vAlign w:val="center"/>
          </w:tcPr>
          <w:p w14:paraId="0319E5EE">
            <w:pPr>
              <w:pageBreakBefore w:val="0"/>
              <w:kinsoku/>
              <w:overflowPunct/>
              <w:autoSpaceDE w:val="0"/>
              <w:autoSpaceDN w:val="0"/>
              <w:bidi w:val="0"/>
              <w:spacing w:line="240" w:lineRule="auto"/>
              <w:contextualSpacing/>
              <w:rPr>
                <w:rFonts w:hint="eastAsia" w:ascii="宋体" w:hAnsi="宋体" w:eastAsia="宋体" w:cs="宋体"/>
                <w:color w:val="auto"/>
                <w:sz w:val="21"/>
                <w:szCs w:val="21"/>
                <w:highlight w:val="none"/>
              </w:rPr>
            </w:pPr>
          </w:p>
        </w:tc>
        <w:tc>
          <w:tcPr>
            <w:tcW w:w="2383" w:type="dxa"/>
            <w:gridSpan w:val="2"/>
            <w:noWrap w:val="0"/>
            <w:vAlign w:val="center"/>
          </w:tcPr>
          <w:p w14:paraId="31ED3D36">
            <w:pPr>
              <w:pageBreakBefore w:val="0"/>
              <w:kinsoku/>
              <w:overflowPunct/>
              <w:bidi w:val="0"/>
              <w:spacing w:before="281" w:line="240" w:lineRule="auto"/>
              <w:jc w:val="center"/>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lang w:val="en-US" w:eastAsia="zh-CN"/>
              </w:rPr>
              <w:t>投标报价</w:t>
            </w:r>
          </w:p>
        </w:tc>
        <w:tc>
          <w:tcPr>
            <w:tcW w:w="4828" w:type="dxa"/>
            <w:noWrap w:val="0"/>
            <w:vAlign w:val="center"/>
          </w:tcPr>
          <w:p w14:paraId="6BB0E73A">
            <w:pPr>
              <w:pageBreakBefore w:val="0"/>
              <w:kinsoku/>
              <w:overflowPunct/>
              <w:bidi w:val="0"/>
              <w:spacing w:before="281" w:line="240" w:lineRule="auto"/>
              <w:jc w:val="center"/>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lang w:val="en-US" w:eastAsia="zh-CN"/>
              </w:rPr>
              <w:t>投标报价不得超过招标控制价</w:t>
            </w:r>
          </w:p>
        </w:tc>
      </w:tr>
      <w:tr w14:paraId="5407EB9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2155" w:type="dxa"/>
            <w:gridSpan w:val="2"/>
            <w:noWrap w:val="0"/>
            <w:vAlign w:val="center"/>
          </w:tcPr>
          <w:p w14:paraId="35D47329">
            <w:pPr>
              <w:pageBreakBefore w:val="0"/>
              <w:kinsoku/>
              <w:overflowPunct/>
              <w:autoSpaceDE w:val="0"/>
              <w:autoSpaceDN w:val="0"/>
              <w:bidi w:val="0"/>
              <w:spacing w:line="240" w:lineRule="auto"/>
              <w:contextualSpacing/>
              <w:jc w:val="center"/>
              <w:rPr>
                <w:rFonts w:hint="eastAsia" w:ascii="宋体" w:hAnsi="宋体" w:eastAsia="宋体" w:cs="宋体"/>
                <w:b/>
                <w:color w:val="auto"/>
                <w:sz w:val="21"/>
                <w:szCs w:val="21"/>
                <w:highlight w:val="none"/>
              </w:rPr>
            </w:pPr>
            <w:bookmarkStart w:id="49" w:name="_Toc221950456"/>
            <w:r>
              <w:rPr>
                <w:rFonts w:hint="eastAsia" w:ascii="宋体" w:hAnsi="宋体" w:eastAsia="宋体" w:cs="宋体"/>
                <w:b/>
                <w:color w:val="auto"/>
                <w:sz w:val="21"/>
                <w:szCs w:val="21"/>
                <w:highlight w:val="none"/>
              </w:rPr>
              <w:t>条款号</w:t>
            </w:r>
            <w:bookmarkEnd w:id="49"/>
          </w:p>
        </w:tc>
        <w:tc>
          <w:tcPr>
            <w:tcW w:w="2383" w:type="dxa"/>
            <w:gridSpan w:val="2"/>
            <w:noWrap w:val="0"/>
            <w:vAlign w:val="center"/>
          </w:tcPr>
          <w:p w14:paraId="0CEDD754">
            <w:pPr>
              <w:pageBreakBefore w:val="0"/>
              <w:kinsoku/>
              <w:overflowPunct/>
              <w:autoSpaceDE w:val="0"/>
              <w:autoSpaceDN w:val="0"/>
              <w:bidi w:val="0"/>
              <w:spacing w:line="240" w:lineRule="auto"/>
              <w:contextualSpacing/>
              <w:jc w:val="center"/>
              <w:rPr>
                <w:rFonts w:hint="eastAsia" w:ascii="宋体" w:hAnsi="宋体" w:eastAsia="宋体" w:cs="宋体"/>
                <w:b/>
                <w:color w:val="auto"/>
                <w:sz w:val="21"/>
                <w:szCs w:val="21"/>
                <w:highlight w:val="none"/>
              </w:rPr>
            </w:pPr>
            <w:bookmarkStart w:id="50" w:name="_Toc221950457"/>
            <w:r>
              <w:rPr>
                <w:rFonts w:hint="eastAsia" w:ascii="宋体" w:hAnsi="宋体" w:eastAsia="宋体" w:cs="宋体"/>
                <w:b/>
                <w:color w:val="auto"/>
                <w:sz w:val="21"/>
                <w:szCs w:val="21"/>
                <w:highlight w:val="none"/>
              </w:rPr>
              <w:t>条款内容</w:t>
            </w:r>
            <w:bookmarkEnd w:id="50"/>
          </w:p>
        </w:tc>
        <w:tc>
          <w:tcPr>
            <w:tcW w:w="4828" w:type="dxa"/>
            <w:noWrap w:val="0"/>
            <w:vAlign w:val="center"/>
          </w:tcPr>
          <w:p w14:paraId="2E9A9C4C">
            <w:pPr>
              <w:pageBreakBefore w:val="0"/>
              <w:kinsoku/>
              <w:overflowPunct/>
              <w:autoSpaceDE w:val="0"/>
              <w:autoSpaceDN w:val="0"/>
              <w:bidi w:val="0"/>
              <w:spacing w:line="240" w:lineRule="auto"/>
              <w:contextualSpacing/>
              <w:jc w:val="center"/>
              <w:rPr>
                <w:rFonts w:hint="eastAsia" w:ascii="宋体" w:hAnsi="宋体" w:eastAsia="宋体" w:cs="宋体"/>
                <w:b/>
                <w:color w:val="auto"/>
                <w:sz w:val="21"/>
                <w:szCs w:val="21"/>
                <w:highlight w:val="none"/>
              </w:rPr>
            </w:pPr>
            <w:bookmarkStart w:id="51" w:name="_Toc221950458"/>
            <w:r>
              <w:rPr>
                <w:rFonts w:hint="eastAsia" w:ascii="宋体" w:hAnsi="宋体" w:eastAsia="宋体" w:cs="宋体"/>
                <w:b/>
                <w:color w:val="auto"/>
                <w:sz w:val="21"/>
                <w:szCs w:val="21"/>
                <w:highlight w:val="none"/>
              </w:rPr>
              <w:t>编列内容</w:t>
            </w:r>
            <w:bookmarkEnd w:id="51"/>
          </w:p>
        </w:tc>
      </w:tr>
      <w:tr w14:paraId="348B716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75" w:hRule="atLeast"/>
          <w:jc w:val="center"/>
        </w:trPr>
        <w:tc>
          <w:tcPr>
            <w:tcW w:w="2155" w:type="dxa"/>
            <w:gridSpan w:val="2"/>
            <w:noWrap w:val="0"/>
            <w:vAlign w:val="center"/>
          </w:tcPr>
          <w:p w14:paraId="07D04129">
            <w:pPr>
              <w:pageBreakBefore w:val="0"/>
              <w:kinsoku/>
              <w:overflowPunct/>
              <w:autoSpaceDE w:val="0"/>
              <w:autoSpaceDN w:val="0"/>
              <w:bidi w:val="0"/>
              <w:spacing w:line="240" w:lineRule="auto"/>
              <w:contextualSpacing/>
              <w:jc w:val="center"/>
              <w:rPr>
                <w:rFonts w:hint="eastAsia" w:ascii="宋体" w:hAnsi="宋体" w:eastAsia="宋体" w:cs="宋体"/>
                <w:color w:val="auto"/>
                <w:sz w:val="21"/>
                <w:szCs w:val="21"/>
                <w:highlight w:val="none"/>
              </w:rPr>
            </w:pPr>
            <w:bookmarkStart w:id="52" w:name="_Toc221950459"/>
            <w:r>
              <w:rPr>
                <w:rFonts w:hint="eastAsia" w:ascii="宋体" w:hAnsi="宋体" w:eastAsia="宋体" w:cs="宋体"/>
                <w:color w:val="auto"/>
                <w:sz w:val="21"/>
                <w:szCs w:val="21"/>
                <w:highlight w:val="none"/>
              </w:rPr>
              <w:t>2.2.1</w:t>
            </w:r>
            <w:bookmarkEnd w:id="52"/>
          </w:p>
        </w:tc>
        <w:tc>
          <w:tcPr>
            <w:tcW w:w="2383" w:type="dxa"/>
            <w:gridSpan w:val="2"/>
            <w:noWrap w:val="0"/>
            <w:vAlign w:val="center"/>
          </w:tcPr>
          <w:p w14:paraId="01AB5BE6">
            <w:pPr>
              <w:pageBreakBefore w:val="0"/>
              <w:kinsoku/>
              <w:overflowPunct/>
              <w:autoSpaceDE w:val="0"/>
              <w:autoSpaceDN w:val="0"/>
              <w:bidi w:val="0"/>
              <w:spacing w:line="240" w:lineRule="auto"/>
              <w:ind w:left="-2" w:leftChars="-1" w:firstLine="2"/>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分值构成：</w:t>
            </w:r>
          </w:p>
          <w:p w14:paraId="7B83C3ED">
            <w:pPr>
              <w:pageBreakBefore w:val="0"/>
              <w:kinsoku/>
              <w:overflowPunct/>
              <w:autoSpaceDE w:val="0"/>
              <w:autoSpaceDN w:val="0"/>
              <w:bidi w:val="0"/>
              <w:spacing w:line="240" w:lineRule="auto"/>
              <w:ind w:left="-2" w:leftChars="-1" w:firstLine="2"/>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(100分)</w:t>
            </w:r>
          </w:p>
        </w:tc>
        <w:tc>
          <w:tcPr>
            <w:tcW w:w="4828" w:type="dxa"/>
            <w:noWrap w:val="0"/>
            <w:vAlign w:val="center"/>
          </w:tcPr>
          <w:p w14:paraId="13BE8808">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投标报价：</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lang w:val="en-US" w:eastAsia="zh-CN"/>
              </w:rPr>
              <w:t>分</w:t>
            </w:r>
          </w:p>
          <w:p w14:paraId="70B37CDE">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技术部分</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60</w:t>
            </w:r>
            <w:r>
              <w:rPr>
                <w:rFonts w:hint="eastAsia" w:ascii="宋体" w:hAnsi="宋体" w:eastAsia="宋体" w:cs="宋体"/>
                <w:color w:val="auto"/>
                <w:sz w:val="21"/>
                <w:szCs w:val="21"/>
                <w:highlight w:val="none"/>
                <w:lang w:val="en-US" w:eastAsia="zh-CN"/>
              </w:rPr>
              <w:t>分</w:t>
            </w:r>
          </w:p>
          <w:p w14:paraId="1B132F20">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综合部分：</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lang w:val="en-US" w:eastAsia="zh-CN"/>
              </w:rPr>
              <w:t>分</w:t>
            </w:r>
          </w:p>
        </w:tc>
      </w:tr>
      <w:tr w14:paraId="218C0B0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36" w:hRule="atLeast"/>
          <w:jc w:val="center"/>
        </w:trPr>
        <w:tc>
          <w:tcPr>
            <w:tcW w:w="1100" w:type="dxa"/>
            <w:tcBorders>
              <w:right w:val="single" w:color="auto" w:sz="4" w:space="0"/>
            </w:tcBorders>
            <w:noWrap w:val="0"/>
            <w:vAlign w:val="center"/>
          </w:tcPr>
          <w:p w14:paraId="53F8BD6D">
            <w:pPr>
              <w:pageBreakBefore w:val="0"/>
              <w:kinsoku/>
              <w:overflowPunct/>
              <w:bidi w:val="0"/>
              <w:spacing w:line="24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color w:val="auto"/>
                <w:sz w:val="21"/>
                <w:szCs w:val="21"/>
                <w:highlight w:val="none"/>
                <w:lang w:val="en-US" w:eastAsia="zh-CN"/>
              </w:rPr>
              <w:t>条款号</w:t>
            </w:r>
          </w:p>
        </w:tc>
        <w:tc>
          <w:tcPr>
            <w:tcW w:w="1055" w:type="dxa"/>
            <w:tcBorders>
              <w:left w:val="single" w:color="auto" w:sz="4" w:space="0"/>
            </w:tcBorders>
            <w:noWrap w:val="0"/>
            <w:vAlign w:val="center"/>
          </w:tcPr>
          <w:p w14:paraId="6981D37F">
            <w:pPr>
              <w:pageBreakBefore w:val="0"/>
              <w:kinsoku/>
              <w:overflowPunct/>
              <w:bidi w:val="0"/>
              <w:spacing w:line="24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color w:val="auto"/>
                <w:sz w:val="21"/>
                <w:szCs w:val="21"/>
                <w:highlight w:val="none"/>
                <w:lang w:val="en-US" w:eastAsia="zh-CN"/>
              </w:rPr>
              <w:t>评分因素</w:t>
            </w:r>
          </w:p>
        </w:tc>
        <w:tc>
          <w:tcPr>
            <w:tcW w:w="7211" w:type="dxa"/>
            <w:gridSpan w:val="3"/>
            <w:noWrap w:val="0"/>
            <w:vAlign w:val="center"/>
          </w:tcPr>
          <w:p w14:paraId="0D038487">
            <w:pPr>
              <w:pageBreakBefore w:val="0"/>
              <w:kinsoku/>
              <w:overflowPunct/>
              <w:bidi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评分标准</w:t>
            </w:r>
          </w:p>
        </w:tc>
      </w:tr>
      <w:tr w14:paraId="4378A6B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1100" w:type="dxa"/>
            <w:tcBorders>
              <w:right w:val="single" w:color="auto" w:sz="4" w:space="0"/>
            </w:tcBorders>
            <w:noWrap w:val="0"/>
            <w:vAlign w:val="center"/>
          </w:tcPr>
          <w:p w14:paraId="400B9A77">
            <w:pPr>
              <w:pageBreakBefore w:val="0"/>
              <w:kinsoku/>
              <w:overflowPunct/>
              <w:autoSpaceDE w:val="0"/>
              <w:autoSpaceDN w:val="0"/>
              <w:bidi w:val="0"/>
              <w:spacing w:line="240" w:lineRule="auto"/>
              <w:ind w:left="0" w:leftChars="0" w:firstLine="0"/>
              <w:contextualSpacing/>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2.2.2</w:t>
            </w:r>
          </w:p>
          <w:p w14:paraId="2627F45C">
            <w:pPr>
              <w:pageBreakBefore w:val="0"/>
              <w:kinsoku/>
              <w:overflowPunct/>
              <w:autoSpaceDE w:val="0"/>
              <w:autoSpaceDN w:val="0"/>
              <w:bidi w:val="0"/>
              <w:spacing w:line="240" w:lineRule="auto"/>
              <w:ind w:left="0" w:leftChars="0" w:firstLine="0"/>
              <w:contextualSpacing/>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055" w:type="dxa"/>
            <w:tcBorders>
              <w:left w:val="single" w:color="auto" w:sz="4" w:space="0"/>
            </w:tcBorders>
            <w:noWrap w:val="0"/>
            <w:vAlign w:val="center"/>
          </w:tcPr>
          <w:p w14:paraId="1CBB32C5">
            <w:pPr>
              <w:pageBreakBefore w:val="0"/>
              <w:kinsoku/>
              <w:overflowPunct/>
              <w:autoSpaceDE w:val="0"/>
              <w:autoSpaceDN w:val="0"/>
              <w:bidi w:val="0"/>
              <w:spacing w:line="240" w:lineRule="auto"/>
              <w:ind w:left="0" w:leftChars="0" w:firstLine="0"/>
              <w:contextualSpacing/>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投标报价评分标准</w:t>
            </w:r>
          </w:p>
          <w:p w14:paraId="48ACE981">
            <w:pPr>
              <w:pageBreakBefore w:val="0"/>
              <w:kinsoku/>
              <w:overflowPunct/>
              <w:autoSpaceDE w:val="0"/>
              <w:autoSpaceDN w:val="0"/>
              <w:bidi w:val="0"/>
              <w:spacing w:line="240" w:lineRule="auto"/>
              <w:ind w:left="0" w:leftChars="0" w:firstLine="0"/>
              <w:contextualSpacing/>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（20分）</w:t>
            </w:r>
          </w:p>
        </w:tc>
        <w:tc>
          <w:tcPr>
            <w:tcW w:w="2383" w:type="dxa"/>
            <w:gridSpan w:val="2"/>
            <w:noWrap w:val="0"/>
            <w:vAlign w:val="center"/>
          </w:tcPr>
          <w:p w14:paraId="50C7890D">
            <w:pPr>
              <w:pageBreakBefore w:val="0"/>
              <w:kinsoku/>
              <w:overflowPunct/>
              <w:autoSpaceDE w:val="0"/>
              <w:autoSpaceDN w:val="0"/>
              <w:bidi w:val="0"/>
              <w:spacing w:line="240" w:lineRule="auto"/>
              <w:ind w:left="0" w:leftChars="0" w:firstLine="0"/>
              <w:contextualSpacing/>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投标报价</w:t>
            </w:r>
          </w:p>
          <w:p w14:paraId="22512D98">
            <w:pPr>
              <w:pageBreakBefore w:val="0"/>
              <w:kinsoku/>
              <w:overflowPunct/>
              <w:autoSpaceDE w:val="0"/>
              <w:autoSpaceDN w:val="0"/>
              <w:bidi w:val="0"/>
              <w:spacing w:line="240" w:lineRule="auto"/>
              <w:ind w:left="0" w:leftChars="0" w:firstLine="0"/>
              <w:contextualSpacing/>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(20分)</w:t>
            </w:r>
          </w:p>
        </w:tc>
        <w:tc>
          <w:tcPr>
            <w:tcW w:w="4828" w:type="dxa"/>
            <w:noWrap w:val="0"/>
            <w:vAlign w:val="top"/>
          </w:tcPr>
          <w:p w14:paraId="5F7C5815">
            <w:pPr>
              <w:pageBreakBefore w:val="0"/>
              <w:kinsoku/>
              <w:overflowPunct/>
              <w:autoSpaceDE w:val="0"/>
              <w:autoSpaceDN w:val="0"/>
              <w:bidi w:val="0"/>
              <w:spacing w:line="240" w:lineRule="auto"/>
              <w:ind w:left="-2" w:leftChars="-1" w:firstLine="2"/>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价格分采用低价优先法计算，即满足招标文件要求且投标价格最低的投标报价为评标基准价，其价格分为满分。其他</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的价格分统一按照下列公式计算：</w:t>
            </w:r>
          </w:p>
          <w:p w14:paraId="2C87D7E8">
            <w:pPr>
              <w:pageBreakBefore w:val="0"/>
              <w:kinsoku/>
              <w:overflowPunct/>
              <w:autoSpaceDE w:val="0"/>
              <w:autoSpaceDN w:val="0"/>
              <w:bidi w:val="0"/>
              <w:spacing w:line="240" w:lineRule="auto"/>
              <w:ind w:left="-2" w:leftChars="-1" w:firstLine="2"/>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投标报价得分=(评标基准价/投标报价)×20</w:t>
            </w:r>
          </w:p>
          <w:p w14:paraId="2E590EE2">
            <w:pPr>
              <w:pageBreakBefore w:val="0"/>
              <w:kinsoku/>
              <w:overflowPunct/>
              <w:autoSpaceDE w:val="0"/>
              <w:autoSpaceDN w:val="0"/>
              <w:bidi w:val="0"/>
              <w:spacing w:line="240" w:lineRule="auto"/>
              <w:ind w:left="-2" w:leftChars="-1" w:firstLine="2"/>
              <w:contextualSpacing/>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注：因本项目为专门面向中小企业，小型、微型、监狱企业、残疾人福利性单位，投标报价不再进行评标报价的扣除。</w:t>
            </w:r>
          </w:p>
          <w:p w14:paraId="36362163">
            <w:pPr>
              <w:pageBreakBefore w:val="0"/>
              <w:kinsoku/>
              <w:overflowPunct/>
              <w:autoSpaceDE w:val="0"/>
              <w:autoSpaceDN w:val="0"/>
              <w:bidi w:val="0"/>
              <w:spacing w:line="240" w:lineRule="auto"/>
              <w:ind w:left="-2" w:leftChars="-1" w:firstLine="2"/>
              <w:contextualSpacing/>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参加投标的小微企业，应当按照《政府采购促进中小企业发展管理办法》（财库〔2020〕46号）的规定提供《中小企业声明函》，中小企业划型标准详见《关于印发中小企业划型标准规定的通知》工信部联企业〔2011〕300号。</w:t>
            </w:r>
          </w:p>
          <w:p w14:paraId="1C55C090">
            <w:pPr>
              <w:pageBreakBefore w:val="0"/>
              <w:kinsoku/>
              <w:overflowPunct/>
              <w:autoSpaceDE w:val="0"/>
              <w:autoSpaceDN w:val="0"/>
              <w:bidi w:val="0"/>
              <w:spacing w:line="240" w:lineRule="auto"/>
              <w:ind w:left="-2" w:leftChars="-1" w:firstLine="2"/>
              <w:contextualSpacing/>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监狱企业参加政府采购活动时，应当提供由省级以上监狱管理局、戒毒管理局（含新疆生产建设兵团）出具的属于监狱企业的证明文件。</w:t>
            </w:r>
          </w:p>
          <w:p w14:paraId="4E5BFE3D">
            <w:pPr>
              <w:pageBreakBefore w:val="0"/>
              <w:kinsoku/>
              <w:overflowPunct/>
              <w:autoSpaceDE w:val="0"/>
              <w:autoSpaceDN w:val="0"/>
              <w:bidi w:val="0"/>
              <w:spacing w:line="240" w:lineRule="auto"/>
              <w:ind w:left="-2" w:leftChars="-1" w:firstLine="2"/>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根据财库〔2017〕141号《三部门联合发布关于促进残疾人就业政府采购政策的通知》残疾人福利性单位视同小型、微型企业，残疾人福利性单位在参加政府采购活动时提供《残疾人福利性单位声明函》，不再提供《中小微企业声明函》，</w:t>
            </w:r>
            <w:r>
              <w:rPr>
                <w:rFonts w:hint="eastAsia" w:ascii="宋体" w:hAnsi="宋体" w:cs="宋体"/>
                <w:b/>
                <w:bCs/>
                <w:color w:val="auto"/>
                <w:sz w:val="21"/>
                <w:szCs w:val="21"/>
                <w:highlight w:val="none"/>
                <w:lang w:val="en-US" w:eastAsia="zh-CN"/>
              </w:rPr>
              <w:t>供应商</w:t>
            </w:r>
            <w:r>
              <w:rPr>
                <w:rFonts w:hint="eastAsia" w:ascii="宋体" w:hAnsi="宋体" w:eastAsia="宋体" w:cs="宋体"/>
                <w:b/>
                <w:bCs/>
                <w:color w:val="auto"/>
                <w:sz w:val="21"/>
                <w:szCs w:val="21"/>
                <w:highlight w:val="none"/>
                <w:lang w:val="en-US" w:eastAsia="zh-CN"/>
              </w:rPr>
              <w:t>在《残疾人福利性单位声明函》中的承诺如有虚假，其中标资格将被取消，并根据相关规定进行处罚。</w:t>
            </w:r>
          </w:p>
        </w:tc>
      </w:tr>
      <w:tr w14:paraId="18E3089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1100" w:type="dxa"/>
            <w:vMerge w:val="restart"/>
            <w:tcBorders>
              <w:right w:val="single" w:color="auto" w:sz="4" w:space="0"/>
            </w:tcBorders>
            <w:noWrap w:val="0"/>
            <w:vAlign w:val="center"/>
          </w:tcPr>
          <w:p w14:paraId="6AA20B7B">
            <w:pPr>
              <w:pageBreakBefore w:val="0"/>
              <w:kinsoku/>
              <w:overflowPunct/>
              <w:autoSpaceDE w:val="0"/>
              <w:autoSpaceDN w:val="0"/>
              <w:bidi w:val="0"/>
              <w:spacing w:line="240" w:lineRule="auto"/>
              <w:ind w:left="0" w:leftChars="0" w:firstLine="0"/>
              <w:contextualSpacing/>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2.2.2</w:t>
            </w:r>
          </w:p>
          <w:p w14:paraId="65BAD40C">
            <w:pPr>
              <w:pageBreakBefore w:val="0"/>
              <w:kinsoku/>
              <w:overflowPunct/>
              <w:autoSpaceDE w:val="0"/>
              <w:autoSpaceDN w:val="0"/>
              <w:bidi w:val="0"/>
              <w:spacing w:line="240" w:lineRule="auto"/>
              <w:ind w:left="0" w:leftChars="0" w:firstLine="0"/>
              <w:contextualSpacing/>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055" w:type="dxa"/>
            <w:vMerge w:val="restart"/>
            <w:tcBorders>
              <w:left w:val="single" w:color="auto" w:sz="4" w:space="0"/>
            </w:tcBorders>
            <w:noWrap w:val="0"/>
            <w:vAlign w:val="center"/>
          </w:tcPr>
          <w:p w14:paraId="581D5343">
            <w:pPr>
              <w:pageBreakBefore w:val="0"/>
              <w:kinsoku/>
              <w:overflowPunct/>
              <w:autoSpaceDE w:val="0"/>
              <w:autoSpaceDN w:val="0"/>
              <w:bidi w:val="0"/>
              <w:spacing w:line="240" w:lineRule="auto"/>
              <w:ind w:left="0" w:leftChars="0" w:firstLine="0"/>
              <w:contextualSpacing/>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技术部分评分标准</w:t>
            </w:r>
          </w:p>
          <w:p w14:paraId="18942562">
            <w:pPr>
              <w:pageBreakBefore w:val="0"/>
              <w:kinsoku/>
              <w:overflowPunct/>
              <w:autoSpaceDE w:val="0"/>
              <w:autoSpaceDN w:val="0"/>
              <w:bidi w:val="0"/>
              <w:spacing w:line="240" w:lineRule="auto"/>
              <w:ind w:left="0" w:leftChars="0" w:firstLine="0"/>
              <w:contextualSpacing/>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（60分）</w:t>
            </w:r>
          </w:p>
        </w:tc>
        <w:tc>
          <w:tcPr>
            <w:tcW w:w="2383" w:type="dxa"/>
            <w:gridSpan w:val="2"/>
            <w:noWrap w:val="0"/>
            <w:vAlign w:val="center"/>
          </w:tcPr>
          <w:p w14:paraId="0445559A">
            <w:pPr>
              <w:pageBreakBefore w:val="0"/>
              <w:kinsoku/>
              <w:overflowPunct/>
              <w:autoSpaceDE w:val="0"/>
              <w:autoSpaceDN w:val="0"/>
              <w:bidi w:val="0"/>
              <w:spacing w:line="240" w:lineRule="auto"/>
              <w:ind w:left="-2" w:leftChars="0" w:firstLine="0"/>
              <w:contextualSpacing/>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绿化养护整体理解、设想及总体方案（0-6分）</w:t>
            </w:r>
          </w:p>
        </w:tc>
        <w:tc>
          <w:tcPr>
            <w:tcW w:w="4828" w:type="dxa"/>
            <w:noWrap w:val="0"/>
            <w:vAlign w:val="center"/>
          </w:tcPr>
          <w:p w14:paraId="7BAAA3B9">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须根据采购需求提供</w:t>
            </w:r>
            <w:r>
              <w:rPr>
                <w:rFonts w:hint="eastAsia" w:ascii="宋体" w:hAnsi="宋体" w:cs="宋体"/>
                <w:color w:val="auto"/>
                <w:sz w:val="21"/>
                <w:szCs w:val="21"/>
                <w:highlight w:val="none"/>
                <w:lang w:val="en-US" w:eastAsia="zh-CN"/>
              </w:rPr>
              <w:t>对</w:t>
            </w:r>
            <w:r>
              <w:rPr>
                <w:rFonts w:hint="eastAsia" w:ascii="宋体" w:hAnsi="宋体" w:eastAsia="宋体" w:cs="宋体"/>
                <w:color w:val="auto"/>
                <w:sz w:val="21"/>
                <w:szCs w:val="21"/>
                <w:highlight w:val="none"/>
                <w:lang w:val="en-US" w:eastAsia="zh-CN"/>
              </w:rPr>
              <w:t>本项目的绿化养护整体理解、设想及总体方案，方案应包括：项目需求分析及设想、项目现场组织、管理机构设置、质量责任监管、监督考核机制、项目的接管及移交方案或采购人认为需要的其他内容等。</w:t>
            </w:r>
          </w:p>
          <w:p w14:paraId="011B8B8A">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方案合理、全面、具体详实、可行性强，针对性强的6分；</w:t>
            </w:r>
          </w:p>
          <w:p w14:paraId="7C46C4B4">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方案较合理、较全面，可行性较强，针对性较强的得4分；</w:t>
            </w:r>
          </w:p>
          <w:p w14:paraId="7B14E472">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方案一般合理、一般全面，可行性一般，针对性一般的得2分；</w:t>
            </w:r>
          </w:p>
          <w:p w14:paraId="376C69CA">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方案缺项得0分。</w:t>
            </w:r>
          </w:p>
        </w:tc>
      </w:tr>
      <w:tr w14:paraId="2037398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1100" w:type="dxa"/>
            <w:vMerge w:val="continue"/>
            <w:tcBorders>
              <w:right w:val="single" w:color="auto" w:sz="4" w:space="0"/>
            </w:tcBorders>
            <w:noWrap w:val="0"/>
            <w:vAlign w:val="center"/>
          </w:tcPr>
          <w:p w14:paraId="65B6C30D">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1055" w:type="dxa"/>
            <w:vMerge w:val="continue"/>
            <w:tcBorders>
              <w:left w:val="single" w:color="auto" w:sz="4" w:space="0"/>
            </w:tcBorders>
            <w:noWrap w:val="0"/>
            <w:vAlign w:val="center"/>
          </w:tcPr>
          <w:p w14:paraId="6BA5ACA3">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2383" w:type="dxa"/>
            <w:gridSpan w:val="2"/>
            <w:noWrap w:val="0"/>
            <w:vAlign w:val="center"/>
          </w:tcPr>
          <w:p w14:paraId="5AAF2010">
            <w:pPr>
              <w:widowControl/>
              <w:spacing w:line="400" w:lineRule="exact"/>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绿化养护管理方案（0-6分）</w:t>
            </w:r>
          </w:p>
        </w:tc>
        <w:tc>
          <w:tcPr>
            <w:tcW w:w="4828" w:type="dxa"/>
            <w:noWrap w:val="0"/>
            <w:vAlign w:val="center"/>
          </w:tcPr>
          <w:p w14:paraId="1BAE0D92">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须根据采购需求提供针对本项目的绿化养护管理方案，包括除草、整形修剪、树木扶正、病虫害防治、抗旱排涝、施肥、看护、死亡苗木去除、缺棵苗木补植等方面的工作方法流程和技术管理。</w:t>
            </w:r>
          </w:p>
          <w:p w14:paraId="6CA74F43">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方案合理、全面、具体详实、可行性强，针对性强的得6分；</w:t>
            </w:r>
          </w:p>
          <w:p w14:paraId="7DC39B50">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方案较合理、较全面，可行性较强，针对性较强的得4分；</w:t>
            </w:r>
          </w:p>
          <w:p w14:paraId="568F3567">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方案一般合理、一般全面，可行性一般，针对性一般的得2分；</w:t>
            </w:r>
          </w:p>
          <w:p w14:paraId="68E22A9A">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方案缺项得0分。</w:t>
            </w:r>
          </w:p>
        </w:tc>
      </w:tr>
      <w:tr w14:paraId="5DF6590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1100" w:type="dxa"/>
            <w:vMerge w:val="continue"/>
            <w:tcBorders>
              <w:right w:val="single" w:color="auto" w:sz="4" w:space="0"/>
            </w:tcBorders>
            <w:noWrap w:val="0"/>
            <w:vAlign w:val="center"/>
          </w:tcPr>
          <w:p w14:paraId="32C20ADE">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1055" w:type="dxa"/>
            <w:vMerge w:val="continue"/>
            <w:tcBorders>
              <w:left w:val="single" w:color="auto" w:sz="4" w:space="0"/>
            </w:tcBorders>
            <w:noWrap w:val="0"/>
            <w:vAlign w:val="center"/>
          </w:tcPr>
          <w:p w14:paraId="7AD7A415">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2383" w:type="dxa"/>
            <w:gridSpan w:val="2"/>
            <w:noWrap w:val="0"/>
            <w:vAlign w:val="center"/>
          </w:tcPr>
          <w:p w14:paraId="550A3F8C">
            <w:pPr>
              <w:pageBreakBefore w:val="0"/>
              <w:kinsoku/>
              <w:overflowPunct/>
              <w:autoSpaceDE w:val="0"/>
              <w:autoSpaceDN w:val="0"/>
              <w:bidi w:val="0"/>
              <w:spacing w:line="240" w:lineRule="auto"/>
              <w:ind w:left="-2" w:leftChars="-1" w:firstLine="2"/>
              <w:contextualSpacing/>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养护计划（0-6分）</w:t>
            </w:r>
          </w:p>
        </w:tc>
        <w:tc>
          <w:tcPr>
            <w:tcW w:w="4828" w:type="dxa"/>
            <w:noWrap w:val="0"/>
            <w:vAlign w:val="center"/>
          </w:tcPr>
          <w:p w14:paraId="32EBB003">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绿化养护计划结合季节变化，考虑各类植物特性，养护计划周密，措施有效。</w:t>
            </w:r>
          </w:p>
          <w:p w14:paraId="30214ED8">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计划及措施详细、科学、合理、针对性强的，得6分；</w:t>
            </w:r>
          </w:p>
          <w:p w14:paraId="3F0CF4A2">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计划及措施较详细、较合理、针对性较强的，得4分；</w:t>
            </w:r>
          </w:p>
          <w:p w14:paraId="29A4063E">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计划及措施一般详细、一般合理、针对性一般的，得2分；</w:t>
            </w:r>
          </w:p>
          <w:p w14:paraId="31D78414">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计划及措施缺项得0分。</w:t>
            </w:r>
          </w:p>
        </w:tc>
      </w:tr>
      <w:tr w14:paraId="15CBEA4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1100" w:type="dxa"/>
            <w:vMerge w:val="continue"/>
            <w:tcBorders>
              <w:right w:val="single" w:color="auto" w:sz="4" w:space="0"/>
            </w:tcBorders>
            <w:noWrap w:val="0"/>
            <w:vAlign w:val="center"/>
          </w:tcPr>
          <w:p w14:paraId="3705A9D2">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1055" w:type="dxa"/>
            <w:vMerge w:val="continue"/>
            <w:tcBorders>
              <w:left w:val="single" w:color="auto" w:sz="4" w:space="0"/>
            </w:tcBorders>
            <w:noWrap w:val="0"/>
            <w:vAlign w:val="center"/>
          </w:tcPr>
          <w:p w14:paraId="0633B094">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2383" w:type="dxa"/>
            <w:gridSpan w:val="2"/>
            <w:noWrap w:val="0"/>
            <w:vAlign w:val="center"/>
          </w:tcPr>
          <w:p w14:paraId="6B69E360">
            <w:pPr>
              <w:pageBreakBefore w:val="0"/>
              <w:kinsoku/>
              <w:overflowPunct/>
              <w:autoSpaceDE w:val="0"/>
              <w:autoSpaceDN w:val="0"/>
              <w:bidi w:val="0"/>
              <w:spacing w:line="240" w:lineRule="auto"/>
              <w:ind w:left="-2" w:leftChars="-1" w:firstLine="2"/>
              <w:contextualSpacing/>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绿化养护质量及各环节监控措施（0-5分）</w:t>
            </w:r>
          </w:p>
        </w:tc>
        <w:tc>
          <w:tcPr>
            <w:tcW w:w="4828" w:type="dxa"/>
            <w:noWrap w:val="0"/>
            <w:vAlign w:val="center"/>
          </w:tcPr>
          <w:p w14:paraId="65F3D4CD">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绿化养护质量及各环节监控措施全面、得当符合项目特点的得5分；较全面、较详细的得3分；一般全面、一般详细的得1分；</w:t>
            </w:r>
          </w:p>
          <w:p w14:paraId="4CC5F79B">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缺项得0分。</w:t>
            </w:r>
          </w:p>
        </w:tc>
      </w:tr>
      <w:tr w14:paraId="64C03F0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1100" w:type="dxa"/>
            <w:vMerge w:val="continue"/>
            <w:tcBorders>
              <w:right w:val="single" w:color="auto" w:sz="4" w:space="0"/>
            </w:tcBorders>
            <w:noWrap w:val="0"/>
            <w:vAlign w:val="center"/>
          </w:tcPr>
          <w:p w14:paraId="1F0FB356">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1055" w:type="dxa"/>
            <w:vMerge w:val="continue"/>
            <w:tcBorders>
              <w:left w:val="single" w:color="auto" w:sz="4" w:space="0"/>
            </w:tcBorders>
            <w:noWrap w:val="0"/>
            <w:vAlign w:val="center"/>
          </w:tcPr>
          <w:p w14:paraId="2A6A5963">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2383" w:type="dxa"/>
            <w:gridSpan w:val="2"/>
            <w:noWrap w:val="0"/>
            <w:vAlign w:val="center"/>
          </w:tcPr>
          <w:p w14:paraId="366509AE">
            <w:pPr>
              <w:pageBreakBefore w:val="0"/>
              <w:kinsoku/>
              <w:overflowPunct/>
              <w:autoSpaceDE w:val="0"/>
              <w:autoSpaceDN w:val="0"/>
              <w:bidi w:val="0"/>
              <w:spacing w:line="240" w:lineRule="auto"/>
              <w:ind w:left="-2" w:leftChars="-1" w:firstLine="2"/>
              <w:contextualSpacing/>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绿化养护安全管理措施（含安全生产、文明养护等措施）（0-5分）</w:t>
            </w:r>
          </w:p>
        </w:tc>
        <w:tc>
          <w:tcPr>
            <w:tcW w:w="4828" w:type="dxa"/>
            <w:noWrap w:val="0"/>
            <w:vAlign w:val="center"/>
          </w:tcPr>
          <w:p w14:paraId="25AFF0B9">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绿化养护安全管理措施（含安全生产、文明养护等措施）全面、得当符合项目特点的得5分；较全面、较详细的得3分；一般全面、一般详细的得1分；缺项得0分。</w:t>
            </w:r>
          </w:p>
        </w:tc>
      </w:tr>
      <w:tr w14:paraId="767AD70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1100" w:type="dxa"/>
            <w:vMerge w:val="continue"/>
            <w:tcBorders>
              <w:right w:val="single" w:color="auto" w:sz="4" w:space="0"/>
            </w:tcBorders>
            <w:noWrap w:val="0"/>
            <w:vAlign w:val="center"/>
          </w:tcPr>
          <w:p w14:paraId="1CF3370B">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1055" w:type="dxa"/>
            <w:vMerge w:val="continue"/>
            <w:tcBorders>
              <w:left w:val="single" w:color="auto" w:sz="4" w:space="0"/>
            </w:tcBorders>
            <w:noWrap w:val="0"/>
            <w:vAlign w:val="center"/>
          </w:tcPr>
          <w:p w14:paraId="634AA66A">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2383" w:type="dxa"/>
            <w:gridSpan w:val="2"/>
            <w:noWrap w:val="0"/>
            <w:vAlign w:val="center"/>
          </w:tcPr>
          <w:p w14:paraId="78C2725A">
            <w:pPr>
              <w:pageBreakBefore w:val="0"/>
              <w:kinsoku/>
              <w:overflowPunct/>
              <w:autoSpaceDE w:val="0"/>
              <w:autoSpaceDN w:val="0"/>
              <w:bidi w:val="0"/>
              <w:spacing w:line="240" w:lineRule="auto"/>
              <w:ind w:left="-2" w:leftChars="-1" w:firstLine="2"/>
              <w:contextualSpacing/>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园林绿化保护工作方案及措施（0-6分）</w:t>
            </w:r>
          </w:p>
        </w:tc>
        <w:tc>
          <w:tcPr>
            <w:tcW w:w="4828" w:type="dxa"/>
            <w:noWrap w:val="0"/>
            <w:vAlign w:val="center"/>
          </w:tcPr>
          <w:p w14:paraId="4D47AAE1">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园林绿化保护工作方案完整，措施有效扎实，管理责任清晰。包括保护工作责任落实、24小时巡逻等。</w:t>
            </w:r>
          </w:p>
          <w:p w14:paraId="633770D9">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方案及措施详细、科学、合理、针对性强的，得6分；</w:t>
            </w:r>
          </w:p>
          <w:p w14:paraId="716CF3B0">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方案及措施较详细、较合理、针对性较强的，得4分；</w:t>
            </w:r>
          </w:p>
          <w:p w14:paraId="12F0373E">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方案及措施一般详细、一般合理、针对性一般的，得2分；</w:t>
            </w:r>
          </w:p>
          <w:p w14:paraId="4AA68311">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方案及措施缺项得0分。</w:t>
            </w:r>
          </w:p>
        </w:tc>
      </w:tr>
      <w:tr w14:paraId="7480D39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1100" w:type="dxa"/>
            <w:vMerge w:val="continue"/>
            <w:tcBorders>
              <w:right w:val="single" w:color="auto" w:sz="4" w:space="0"/>
            </w:tcBorders>
            <w:noWrap w:val="0"/>
            <w:vAlign w:val="center"/>
          </w:tcPr>
          <w:p w14:paraId="22F7C4B0">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1055" w:type="dxa"/>
            <w:vMerge w:val="continue"/>
            <w:tcBorders>
              <w:left w:val="single" w:color="auto" w:sz="4" w:space="0"/>
            </w:tcBorders>
            <w:noWrap w:val="0"/>
            <w:vAlign w:val="center"/>
          </w:tcPr>
          <w:p w14:paraId="0E52E201">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2383" w:type="dxa"/>
            <w:gridSpan w:val="2"/>
            <w:noWrap w:val="0"/>
            <w:vAlign w:val="center"/>
          </w:tcPr>
          <w:p w14:paraId="10974276">
            <w:pPr>
              <w:pageBreakBefore w:val="0"/>
              <w:kinsoku/>
              <w:overflowPunct/>
              <w:autoSpaceDE w:val="0"/>
              <w:autoSpaceDN w:val="0"/>
              <w:bidi w:val="0"/>
              <w:spacing w:line="240" w:lineRule="auto"/>
              <w:ind w:left="-2" w:leftChars="-1" w:firstLine="2"/>
              <w:contextualSpacing/>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设施综合维护管理方案及措施（0-5分）</w:t>
            </w:r>
          </w:p>
        </w:tc>
        <w:tc>
          <w:tcPr>
            <w:tcW w:w="4828" w:type="dxa"/>
            <w:noWrap w:val="0"/>
            <w:vAlign w:val="center"/>
          </w:tcPr>
          <w:p w14:paraId="6478E245">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具有对绿化养护承包区内设施综合维护管理方案及措施。</w:t>
            </w:r>
          </w:p>
          <w:p w14:paraId="23068B98">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方案及措施详细、科学、合理、针对性强的，得5分；</w:t>
            </w:r>
          </w:p>
          <w:p w14:paraId="6B7382DB">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方案及措施较详细、较合理、针对性较强的，得3分；</w:t>
            </w:r>
          </w:p>
          <w:p w14:paraId="3A5A1DFB">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方案及措施一般详细、一般合理、针对性一般的，得1分；</w:t>
            </w:r>
          </w:p>
          <w:p w14:paraId="230F0904">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方案及措施缺项得0分。</w:t>
            </w:r>
          </w:p>
        </w:tc>
      </w:tr>
      <w:tr w14:paraId="6CE55DA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1100" w:type="dxa"/>
            <w:vMerge w:val="continue"/>
            <w:tcBorders>
              <w:right w:val="single" w:color="auto" w:sz="4" w:space="0"/>
            </w:tcBorders>
            <w:noWrap w:val="0"/>
            <w:vAlign w:val="center"/>
          </w:tcPr>
          <w:p w14:paraId="450DFE41">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1055" w:type="dxa"/>
            <w:vMerge w:val="continue"/>
            <w:tcBorders>
              <w:left w:val="single" w:color="auto" w:sz="4" w:space="0"/>
            </w:tcBorders>
            <w:noWrap w:val="0"/>
            <w:vAlign w:val="center"/>
          </w:tcPr>
          <w:p w14:paraId="449EE170">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2383" w:type="dxa"/>
            <w:gridSpan w:val="2"/>
            <w:noWrap w:val="0"/>
            <w:vAlign w:val="center"/>
          </w:tcPr>
          <w:p w14:paraId="263E489A">
            <w:pPr>
              <w:pageBreakBefore w:val="0"/>
              <w:kinsoku/>
              <w:overflowPunct/>
              <w:autoSpaceDE w:val="0"/>
              <w:autoSpaceDN w:val="0"/>
              <w:bidi w:val="0"/>
              <w:spacing w:line="240" w:lineRule="auto"/>
              <w:ind w:left="-2" w:leftChars="-1" w:firstLine="2"/>
              <w:contextualSpacing/>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人员配置、培训及管理方案（0-6分）</w:t>
            </w:r>
          </w:p>
        </w:tc>
        <w:tc>
          <w:tcPr>
            <w:tcW w:w="4828" w:type="dxa"/>
            <w:noWrap w:val="0"/>
            <w:vAlign w:val="center"/>
          </w:tcPr>
          <w:p w14:paraId="789AFC48">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具有详细的人员安排计划、人员分工，岗位职责齐全，有完善的岗前、岗后培训计划和培训考核方案、人员考勤、行政、绩效奖惩管理考核方案，能够有效实施管理工作。包括各专业工种人员的配备以及劳动力安排具有详细的人员安排计划、培训及管理方案等内容；</w:t>
            </w:r>
          </w:p>
          <w:p w14:paraId="20B4BDAE">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内容全面、科学合理、切实可行、针对性强并完全能够满足工作需要的得6分；</w:t>
            </w:r>
          </w:p>
          <w:p w14:paraId="14E494D2">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内容较全面、较科学合理、可行性较强、针对性较强比较完全能够满足工作需要的得4分；</w:t>
            </w:r>
          </w:p>
          <w:p w14:paraId="3793F787">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内容一般全面、一般科学合理、可行性一般、针对性一般，基本能够满足工作需要的得2分；</w:t>
            </w:r>
          </w:p>
          <w:p w14:paraId="74FF64BF">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内容缺项得0分。</w:t>
            </w:r>
          </w:p>
        </w:tc>
      </w:tr>
      <w:tr w14:paraId="7A96990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1100" w:type="dxa"/>
            <w:vMerge w:val="continue"/>
            <w:tcBorders>
              <w:right w:val="single" w:color="auto" w:sz="4" w:space="0"/>
            </w:tcBorders>
            <w:noWrap w:val="0"/>
            <w:vAlign w:val="center"/>
          </w:tcPr>
          <w:p w14:paraId="7F651BAC">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1055" w:type="dxa"/>
            <w:vMerge w:val="continue"/>
            <w:tcBorders>
              <w:left w:val="single" w:color="auto" w:sz="4" w:space="0"/>
            </w:tcBorders>
            <w:noWrap w:val="0"/>
            <w:vAlign w:val="center"/>
          </w:tcPr>
          <w:p w14:paraId="7D69F372">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2383" w:type="dxa"/>
            <w:gridSpan w:val="2"/>
            <w:noWrap w:val="0"/>
            <w:vAlign w:val="center"/>
          </w:tcPr>
          <w:p w14:paraId="7F1ACC4E">
            <w:pPr>
              <w:pageBreakBefore w:val="0"/>
              <w:kinsoku/>
              <w:overflowPunct/>
              <w:autoSpaceDE w:val="0"/>
              <w:autoSpaceDN w:val="0"/>
              <w:bidi w:val="0"/>
              <w:spacing w:line="240" w:lineRule="auto"/>
              <w:ind w:left="-2" w:leftChars="-1" w:firstLine="2"/>
              <w:contextualSpacing/>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计划拟投入工具、设备方案（0-5分）</w:t>
            </w:r>
          </w:p>
        </w:tc>
        <w:tc>
          <w:tcPr>
            <w:tcW w:w="4828" w:type="dxa"/>
            <w:noWrap w:val="0"/>
            <w:vAlign w:val="center"/>
          </w:tcPr>
          <w:p w14:paraId="7A65E5DF">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计划拟投入工具、设备配备齐全，方案合理、可行性强，针对性强的得5分；</w:t>
            </w:r>
          </w:p>
          <w:p w14:paraId="70E49C78">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计划拟投入工具、设备配备较齐全，方案较合理、可行性较强，针对性较强的得3分；</w:t>
            </w:r>
          </w:p>
          <w:p w14:paraId="28E27287">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计划拟投入工具、设备配备一般齐全，方案一般、可行性一般，针对性一般的得1分；</w:t>
            </w:r>
          </w:p>
          <w:p w14:paraId="0E832C74">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计划拟投入工具、设备配备缺项得0分。</w:t>
            </w:r>
          </w:p>
        </w:tc>
      </w:tr>
      <w:tr w14:paraId="7985D3C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1100" w:type="dxa"/>
            <w:vMerge w:val="continue"/>
            <w:tcBorders>
              <w:right w:val="single" w:color="auto" w:sz="4" w:space="0"/>
            </w:tcBorders>
            <w:noWrap w:val="0"/>
            <w:vAlign w:val="center"/>
          </w:tcPr>
          <w:p w14:paraId="5400A306">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1055" w:type="dxa"/>
            <w:vMerge w:val="continue"/>
            <w:tcBorders>
              <w:left w:val="single" w:color="auto" w:sz="4" w:space="0"/>
            </w:tcBorders>
            <w:noWrap w:val="0"/>
            <w:vAlign w:val="center"/>
          </w:tcPr>
          <w:p w14:paraId="7C41D559">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2383" w:type="dxa"/>
            <w:gridSpan w:val="2"/>
            <w:noWrap w:val="0"/>
            <w:vAlign w:val="center"/>
          </w:tcPr>
          <w:p w14:paraId="56BFC0FC">
            <w:pPr>
              <w:pageBreakBefore w:val="0"/>
              <w:kinsoku/>
              <w:overflowPunct/>
              <w:autoSpaceDE w:val="0"/>
              <w:autoSpaceDN w:val="0"/>
              <w:bidi w:val="0"/>
              <w:spacing w:line="240" w:lineRule="auto"/>
              <w:ind w:left="-2" w:leftChars="-1" w:firstLine="2"/>
              <w:contextualSpacing/>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突发事件应急预案（0-5分）</w:t>
            </w:r>
          </w:p>
        </w:tc>
        <w:tc>
          <w:tcPr>
            <w:tcW w:w="4828" w:type="dxa"/>
            <w:noWrap w:val="0"/>
            <w:vAlign w:val="center"/>
          </w:tcPr>
          <w:p w14:paraId="5BE03EC0">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包括突发事件、防汛、重大活动、重要检查及各级业务主管部门安排的临时性工作等突发情况制定应急方案。</w:t>
            </w:r>
          </w:p>
          <w:p w14:paraId="73393F54">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应急方案完善、可行性强的得5分；</w:t>
            </w:r>
          </w:p>
          <w:p w14:paraId="764801F1">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应急方案较完善、可行性较强的得3分；</w:t>
            </w:r>
          </w:p>
          <w:p w14:paraId="696466B2">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应急方案一般完善、可行性一般的得1分；</w:t>
            </w:r>
          </w:p>
          <w:p w14:paraId="463A08C3">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应急方案缺项得0分。</w:t>
            </w:r>
          </w:p>
        </w:tc>
      </w:tr>
      <w:tr w14:paraId="6AD6E58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1100" w:type="dxa"/>
            <w:vMerge w:val="continue"/>
            <w:tcBorders>
              <w:right w:val="single" w:color="auto" w:sz="4" w:space="0"/>
            </w:tcBorders>
            <w:noWrap w:val="0"/>
            <w:vAlign w:val="center"/>
          </w:tcPr>
          <w:p w14:paraId="2E8C4A88">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1055" w:type="dxa"/>
            <w:vMerge w:val="continue"/>
            <w:tcBorders>
              <w:left w:val="single" w:color="auto" w:sz="4" w:space="0"/>
            </w:tcBorders>
            <w:noWrap w:val="0"/>
            <w:vAlign w:val="center"/>
          </w:tcPr>
          <w:p w14:paraId="3AFDDF3E">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2383" w:type="dxa"/>
            <w:gridSpan w:val="2"/>
            <w:noWrap w:val="0"/>
            <w:vAlign w:val="center"/>
          </w:tcPr>
          <w:p w14:paraId="4993C7F6">
            <w:pPr>
              <w:pageBreakBefore w:val="0"/>
              <w:kinsoku/>
              <w:overflowPunct/>
              <w:autoSpaceDE w:val="0"/>
              <w:autoSpaceDN w:val="0"/>
              <w:bidi w:val="0"/>
              <w:spacing w:line="240" w:lineRule="auto"/>
              <w:ind w:left="-2" w:leftChars="-1" w:firstLine="2"/>
              <w:contextualSpacing/>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重难点问题分析方案（0-5分）</w:t>
            </w:r>
          </w:p>
        </w:tc>
        <w:tc>
          <w:tcPr>
            <w:tcW w:w="4828" w:type="dxa"/>
            <w:noWrap w:val="0"/>
            <w:vAlign w:val="center"/>
          </w:tcPr>
          <w:p w14:paraId="68D59C7C">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对项目重难点问题进行分析全面，解决方案合理、可行，得5分；</w:t>
            </w:r>
          </w:p>
          <w:p w14:paraId="1B3D19BF">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对项目重难点问题进行分析较全面，解决方案较合理、较可行，得3分；</w:t>
            </w:r>
          </w:p>
          <w:p w14:paraId="7923078E">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对项目重难点问题进行分析一般全面，解决方案一般合理、一般可行，得1分；</w:t>
            </w:r>
          </w:p>
          <w:p w14:paraId="536CEE57">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对项目重难点问题进行分析缺项得0分。</w:t>
            </w:r>
          </w:p>
        </w:tc>
      </w:tr>
      <w:tr w14:paraId="20F6BD6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1100" w:type="dxa"/>
            <w:vMerge w:val="restart"/>
            <w:tcBorders>
              <w:right w:val="single" w:color="auto" w:sz="4" w:space="0"/>
            </w:tcBorders>
            <w:noWrap w:val="0"/>
            <w:vAlign w:val="center"/>
          </w:tcPr>
          <w:p w14:paraId="70643D06">
            <w:pPr>
              <w:pageBreakBefore w:val="0"/>
              <w:kinsoku/>
              <w:overflowPunct/>
              <w:autoSpaceDE w:val="0"/>
              <w:autoSpaceDN w:val="0"/>
              <w:bidi w:val="0"/>
              <w:spacing w:line="240" w:lineRule="auto"/>
              <w:ind w:left="0" w:leftChars="0" w:firstLine="0"/>
              <w:contextualSpacing/>
              <w:jc w:val="center"/>
              <w:rPr>
                <w:rFonts w:hint="eastAsia" w:ascii="宋体" w:hAnsi="宋体" w:eastAsia="宋体" w:cs="宋体"/>
                <w:color w:val="auto"/>
                <w:sz w:val="21"/>
                <w:szCs w:val="21"/>
                <w:highlight w:val="none"/>
                <w:lang w:val="en-US" w:eastAsia="zh-CN"/>
              </w:rPr>
            </w:pPr>
          </w:p>
          <w:p w14:paraId="0F69FAA3">
            <w:pPr>
              <w:pageBreakBefore w:val="0"/>
              <w:kinsoku/>
              <w:overflowPunct/>
              <w:autoSpaceDE w:val="0"/>
              <w:autoSpaceDN w:val="0"/>
              <w:bidi w:val="0"/>
              <w:spacing w:line="240" w:lineRule="auto"/>
              <w:ind w:left="0" w:leftChars="0" w:firstLine="0"/>
              <w:contextualSpacing/>
              <w:jc w:val="center"/>
              <w:rPr>
                <w:rFonts w:hint="eastAsia" w:ascii="宋体" w:hAnsi="宋体" w:eastAsia="宋体" w:cs="宋体"/>
                <w:color w:val="auto"/>
                <w:sz w:val="21"/>
                <w:szCs w:val="21"/>
                <w:highlight w:val="none"/>
                <w:lang w:val="en-US" w:eastAsia="zh-CN"/>
              </w:rPr>
            </w:pPr>
          </w:p>
          <w:p w14:paraId="22A616B7">
            <w:pPr>
              <w:pageBreakBefore w:val="0"/>
              <w:kinsoku/>
              <w:overflowPunct/>
              <w:autoSpaceDE w:val="0"/>
              <w:autoSpaceDN w:val="0"/>
              <w:bidi w:val="0"/>
              <w:spacing w:line="240" w:lineRule="auto"/>
              <w:ind w:left="0" w:leftChars="0" w:firstLine="0"/>
              <w:contextualSpacing/>
              <w:jc w:val="center"/>
              <w:rPr>
                <w:rFonts w:hint="eastAsia" w:ascii="宋体" w:hAnsi="宋体" w:eastAsia="宋体" w:cs="宋体"/>
                <w:color w:val="auto"/>
                <w:sz w:val="21"/>
                <w:szCs w:val="21"/>
                <w:highlight w:val="none"/>
                <w:lang w:val="en-US" w:eastAsia="zh-CN"/>
              </w:rPr>
            </w:pPr>
          </w:p>
          <w:p w14:paraId="22383CE5">
            <w:pPr>
              <w:pageBreakBefore w:val="0"/>
              <w:kinsoku/>
              <w:overflowPunct/>
              <w:autoSpaceDE w:val="0"/>
              <w:autoSpaceDN w:val="0"/>
              <w:bidi w:val="0"/>
              <w:spacing w:line="240" w:lineRule="auto"/>
              <w:ind w:left="0" w:leftChars="0" w:firstLine="0"/>
              <w:contextualSpacing/>
              <w:jc w:val="center"/>
              <w:rPr>
                <w:rFonts w:hint="eastAsia" w:ascii="宋体" w:hAnsi="宋体" w:eastAsia="宋体" w:cs="宋体"/>
                <w:color w:val="auto"/>
                <w:sz w:val="21"/>
                <w:szCs w:val="21"/>
                <w:highlight w:val="none"/>
                <w:lang w:val="en-US" w:eastAsia="zh-CN"/>
              </w:rPr>
            </w:pPr>
          </w:p>
          <w:p w14:paraId="6577C3F3">
            <w:pPr>
              <w:pageBreakBefore w:val="0"/>
              <w:kinsoku/>
              <w:overflowPunct/>
              <w:autoSpaceDE w:val="0"/>
              <w:autoSpaceDN w:val="0"/>
              <w:bidi w:val="0"/>
              <w:spacing w:line="240" w:lineRule="auto"/>
              <w:ind w:left="0" w:leftChars="0" w:firstLine="0"/>
              <w:contextualSpacing/>
              <w:jc w:val="center"/>
              <w:rPr>
                <w:rFonts w:hint="eastAsia" w:ascii="宋体" w:hAnsi="宋体" w:eastAsia="宋体" w:cs="宋体"/>
                <w:color w:val="auto"/>
                <w:sz w:val="21"/>
                <w:szCs w:val="21"/>
                <w:highlight w:val="none"/>
                <w:lang w:val="en-US" w:eastAsia="zh-CN"/>
              </w:rPr>
            </w:pPr>
          </w:p>
          <w:p w14:paraId="403A3612">
            <w:pPr>
              <w:pageBreakBefore w:val="0"/>
              <w:kinsoku/>
              <w:overflowPunct/>
              <w:autoSpaceDE w:val="0"/>
              <w:autoSpaceDN w:val="0"/>
              <w:bidi w:val="0"/>
              <w:spacing w:line="240" w:lineRule="auto"/>
              <w:ind w:left="0" w:leftChars="0" w:firstLine="0"/>
              <w:contextualSpacing/>
              <w:jc w:val="center"/>
              <w:rPr>
                <w:rFonts w:hint="eastAsia" w:ascii="宋体" w:hAnsi="宋体" w:eastAsia="宋体" w:cs="宋体"/>
                <w:color w:val="auto"/>
                <w:sz w:val="21"/>
                <w:szCs w:val="21"/>
                <w:highlight w:val="none"/>
                <w:lang w:val="en-US" w:eastAsia="zh-CN"/>
              </w:rPr>
            </w:pPr>
          </w:p>
          <w:p w14:paraId="11F6D769">
            <w:pPr>
              <w:pageBreakBefore w:val="0"/>
              <w:kinsoku/>
              <w:overflowPunct/>
              <w:autoSpaceDE w:val="0"/>
              <w:autoSpaceDN w:val="0"/>
              <w:bidi w:val="0"/>
              <w:spacing w:line="240" w:lineRule="auto"/>
              <w:ind w:left="0" w:leftChars="0" w:firstLine="0"/>
              <w:contextualSpacing/>
              <w:jc w:val="center"/>
              <w:rPr>
                <w:rFonts w:hint="eastAsia" w:ascii="宋体" w:hAnsi="宋体" w:eastAsia="宋体" w:cs="宋体"/>
                <w:color w:val="auto"/>
                <w:sz w:val="21"/>
                <w:szCs w:val="21"/>
                <w:highlight w:val="none"/>
                <w:lang w:val="en-US" w:eastAsia="zh-CN"/>
              </w:rPr>
            </w:pPr>
          </w:p>
          <w:p w14:paraId="4AB443DC">
            <w:pPr>
              <w:pageBreakBefore w:val="0"/>
              <w:kinsoku/>
              <w:overflowPunct/>
              <w:autoSpaceDE w:val="0"/>
              <w:autoSpaceDN w:val="0"/>
              <w:bidi w:val="0"/>
              <w:spacing w:line="240" w:lineRule="auto"/>
              <w:ind w:left="0" w:leftChars="0" w:firstLine="0"/>
              <w:contextualSpacing/>
              <w:jc w:val="center"/>
              <w:rPr>
                <w:rFonts w:hint="eastAsia" w:ascii="宋体" w:hAnsi="宋体" w:eastAsia="宋体" w:cs="宋体"/>
                <w:color w:val="auto"/>
                <w:sz w:val="21"/>
                <w:szCs w:val="21"/>
                <w:highlight w:val="none"/>
                <w:lang w:val="en-US" w:eastAsia="zh-CN"/>
              </w:rPr>
            </w:pPr>
          </w:p>
          <w:p w14:paraId="56A87D80">
            <w:pPr>
              <w:pageBreakBefore w:val="0"/>
              <w:kinsoku/>
              <w:overflowPunct/>
              <w:autoSpaceDE w:val="0"/>
              <w:autoSpaceDN w:val="0"/>
              <w:bidi w:val="0"/>
              <w:spacing w:line="240" w:lineRule="auto"/>
              <w:ind w:left="0" w:leftChars="0" w:firstLine="0"/>
              <w:contextualSpacing/>
              <w:jc w:val="center"/>
              <w:rPr>
                <w:rFonts w:hint="eastAsia" w:ascii="宋体" w:hAnsi="宋体" w:eastAsia="宋体" w:cs="宋体"/>
                <w:color w:val="auto"/>
                <w:sz w:val="21"/>
                <w:szCs w:val="21"/>
                <w:highlight w:val="none"/>
                <w:lang w:val="en-US" w:eastAsia="zh-CN"/>
              </w:rPr>
            </w:pPr>
          </w:p>
          <w:p w14:paraId="7961ABCE">
            <w:pPr>
              <w:pageBreakBefore w:val="0"/>
              <w:kinsoku/>
              <w:overflowPunct/>
              <w:autoSpaceDE w:val="0"/>
              <w:autoSpaceDN w:val="0"/>
              <w:bidi w:val="0"/>
              <w:spacing w:line="240" w:lineRule="auto"/>
              <w:ind w:left="0" w:leftChars="0" w:firstLine="0"/>
              <w:contextualSpacing/>
              <w:jc w:val="center"/>
              <w:rPr>
                <w:rFonts w:hint="eastAsia" w:ascii="宋体" w:hAnsi="宋体" w:eastAsia="宋体" w:cs="宋体"/>
                <w:color w:val="auto"/>
                <w:sz w:val="21"/>
                <w:szCs w:val="21"/>
                <w:highlight w:val="none"/>
                <w:lang w:val="en-US" w:eastAsia="zh-CN"/>
              </w:rPr>
            </w:pPr>
          </w:p>
          <w:p w14:paraId="13CA775F">
            <w:pPr>
              <w:pageBreakBefore w:val="0"/>
              <w:kinsoku/>
              <w:overflowPunct/>
              <w:autoSpaceDE w:val="0"/>
              <w:autoSpaceDN w:val="0"/>
              <w:bidi w:val="0"/>
              <w:spacing w:line="240" w:lineRule="auto"/>
              <w:ind w:left="0" w:leftChars="0" w:firstLine="0"/>
              <w:contextualSpacing/>
              <w:jc w:val="center"/>
              <w:rPr>
                <w:rFonts w:hint="eastAsia" w:ascii="宋体" w:hAnsi="宋体" w:eastAsia="宋体" w:cs="宋体"/>
                <w:color w:val="auto"/>
                <w:sz w:val="21"/>
                <w:szCs w:val="21"/>
                <w:highlight w:val="none"/>
                <w:lang w:val="en-US" w:eastAsia="zh-CN"/>
              </w:rPr>
            </w:pPr>
          </w:p>
          <w:p w14:paraId="679C0F06">
            <w:pPr>
              <w:pageBreakBefore w:val="0"/>
              <w:kinsoku/>
              <w:overflowPunct/>
              <w:autoSpaceDE w:val="0"/>
              <w:autoSpaceDN w:val="0"/>
              <w:bidi w:val="0"/>
              <w:spacing w:line="240" w:lineRule="auto"/>
              <w:ind w:left="0" w:leftChars="0" w:firstLine="0"/>
              <w:contextualSpacing/>
              <w:jc w:val="center"/>
              <w:rPr>
                <w:rFonts w:hint="eastAsia" w:ascii="宋体" w:hAnsi="宋体" w:eastAsia="宋体" w:cs="宋体"/>
                <w:color w:val="auto"/>
                <w:sz w:val="21"/>
                <w:szCs w:val="21"/>
                <w:highlight w:val="none"/>
                <w:lang w:val="en-US" w:eastAsia="zh-CN"/>
              </w:rPr>
            </w:pPr>
          </w:p>
          <w:p w14:paraId="67CAC3DC">
            <w:pPr>
              <w:pageBreakBefore w:val="0"/>
              <w:kinsoku/>
              <w:overflowPunct/>
              <w:autoSpaceDE w:val="0"/>
              <w:autoSpaceDN w:val="0"/>
              <w:bidi w:val="0"/>
              <w:spacing w:line="240" w:lineRule="auto"/>
              <w:ind w:left="0" w:leftChars="0" w:firstLine="0"/>
              <w:contextualSpacing/>
              <w:jc w:val="center"/>
              <w:rPr>
                <w:rFonts w:hint="eastAsia" w:ascii="宋体" w:hAnsi="宋体" w:eastAsia="宋体" w:cs="宋体"/>
                <w:color w:val="auto"/>
                <w:sz w:val="21"/>
                <w:szCs w:val="21"/>
                <w:highlight w:val="none"/>
                <w:lang w:val="en-US" w:eastAsia="zh-CN"/>
              </w:rPr>
            </w:pPr>
          </w:p>
          <w:p w14:paraId="6C9A26D0">
            <w:pPr>
              <w:pageBreakBefore w:val="0"/>
              <w:kinsoku/>
              <w:overflowPunct/>
              <w:autoSpaceDE w:val="0"/>
              <w:autoSpaceDN w:val="0"/>
              <w:bidi w:val="0"/>
              <w:spacing w:line="240" w:lineRule="auto"/>
              <w:ind w:left="0" w:leftChars="0" w:firstLine="0"/>
              <w:contextualSpacing/>
              <w:jc w:val="center"/>
              <w:rPr>
                <w:rFonts w:hint="eastAsia" w:ascii="宋体" w:hAnsi="宋体" w:eastAsia="宋体" w:cs="宋体"/>
                <w:color w:val="auto"/>
                <w:sz w:val="21"/>
                <w:szCs w:val="21"/>
                <w:highlight w:val="none"/>
                <w:lang w:val="en-US" w:eastAsia="zh-CN"/>
              </w:rPr>
            </w:pPr>
          </w:p>
          <w:p w14:paraId="65F44DA5">
            <w:pPr>
              <w:pageBreakBefore w:val="0"/>
              <w:kinsoku/>
              <w:overflowPunct/>
              <w:autoSpaceDE w:val="0"/>
              <w:autoSpaceDN w:val="0"/>
              <w:bidi w:val="0"/>
              <w:spacing w:line="240" w:lineRule="auto"/>
              <w:ind w:left="0" w:leftChars="0" w:firstLine="0"/>
              <w:contextualSpacing/>
              <w:jc w:val="center"/>
              <w:rPr>
                <w:rFonts w:hint="eastAsia" w:ascii="宋体" w:hAnsi="宋体" w:eastAsia="宋体" w:cs="宋体"/>
                <w:color w:val="auto"/>
                <w:sz w:val="21"/>
                <w:szCs w:val="21"/>
                <w:highlight w:val="none"/>
                <w:lang w:val="en-US" w:eastAsia="zh-CN"/>
              </w:rPr>
            </w:pPr>
          </w:p>
          <w:p w14:paraId="44BF042F">
            <w:pPr>
              <w:pageBreakBefore w:val="0"/>
              <w:kinsoku/>
              <w:overflowPunct/>
              <w:autoSpaceDE w:val="0"/>
              <w:autoSpaceDN w:val="0"/>
              <w:bidi w:val="0"/>
              <w:spacing w:line="240" w:lineRule="auto"/>
              <w:ind w:left="0" w:leftChars="0" w:firstLine="0"/>
              <w:contextualSpacing/>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2.2.2</w:t>
            </w:r>
          </w:p>
          <w:p w14:paraId="0DE22D1C">
            <w:pPr>
              <w:pageBreakBefore w:val="0"/>
              <w:kinsoku/>
              <w:overflowPunct/>
              <w:autoSpaceDE w:val="0"/>
              <w:autoSpaceDN w:val="0"/>
              <w:bidi w:val="0"/>
              <w:spacing w:line="240" w:lineRule="auto"/>
              <w:ind w:left="0" w:leftChars="0" w:firstLine="0"/>
              <w:contextualSpacing/>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055" w:type="dxa"/>
            <w:vMerge w:val="restart"/>
            <w:tcBorders>
              <w:left w:val="single" w:color="auto" w:sz="4" w:space="0"/>
            </w:tcBorders>
            <w:noWrap w:val="0"/>
            <w:vAlign w:val="center"/>
          </w:tcPr>
          <w:p w14:paraId="0D35E768">
            <w:pPr>
              <w:pageBreakBefore w:val="0"/>
              <w:kinsoku/>
              <w:overflowPunct/>
              <w:autoSpaceDE w:val="0"/>
              <w:autoSpaceDN w:val="0"/>
              <w:bidi w:val="0"/>
              <w:spacing w:line="240" w:lineRule="auto"/>
              <w:ind w:left="0" w:leftChars="0" w:firstLine="0"/>
              <w:contextualSpacing/>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综合部分评分标准 （20分）</w:t>
            </w:r>
          </w:p>
        </w:tc>
        <w:tc>
          <w:tcPr>
            <w:tcW w:w="2383" w:type="dxa"/>
            <w:gridSpan w:val="2"/>
            <w:vMerge w:val="restart"/>
            <w:noWrap w:val="0"/>
            <w:vAlign w:val="center"/>
          </w:tcPr>
          <w:p w14:paraId="607CD0B7">
            <w:pPr>
              <w:pageBreakBefore w:val="0"/>
              <w:kinsoku/>
              <w:overflowPunct/>
              <w:autoSpaceDE w:val="0"/>
              <w:autoSpaceDN w:val="0"/>
              <w:bidi w:val="0"/>
              <w:spacing w:line="240" w:lineRule="auto"/>
              <w:ind w:left="-2" w:leftChars="-1" w:firstLine="2"/>
              <w:contextualSpacing/>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服务承诺（16分）</w:t>
            </w:r>
          </w:p>
        </w:tc>
        <w:tc>
          <w:tcPr>
            <w:tcW w:w="4828" w:type="dxa"/>
            <w:noWrap w:val="0"/>
            <w:vAlign w:val="top"/>
          </w:tcPr>
          <w:p w14:paraId="1B551D69">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1.养护期内投入充足人员、设备，保证服务质量的承诺及措施</w:t>
            </w:r>
            <w:r>
              <w:rPr>
                <w:rFonts w:hint="eastAsia" w:ascii="宋体" w:hAnsi="宋体" w:cs="宋体"/>
                <w:b/>
                <w:bCs/>
                <w:color w:val="auto"/>
                <w:sz w:val="21"/>
                <w:szCs w:val="21"/>
                <w:highlight w:val="none"/>
                <w:lang w:val="en-US" w:eastAsia="zh-CN"/>
              </w:rPr>
              <w:t>（3分）</w:t>
            </w:r>
            <w:r>
              <w:rPr>
                <w:rFonts w:hint="eastAsia" w:ascii="宋体" w:hAnsi="宋体" w:eastAsia="宋体" w:cs="宋体"/>
                <w:b/>
                <w:bCs/>
                <w:color w:val="auto"/>
                <w:sz w:val="21"/>
                <w:szCs w:val="21"/>
                <w:highlight w:val="none"/>
                <w:lang w:val="en-US" w:eastAsia="zh-CN"/>
              </w:rPr>
              <w:t>：</w:t>
            </w:r>
          </w:p>
          <w:p w14:paraId="7202BB2B">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承诺及措施内容详尽、完善、合理的得3分；</w:t>
            </w:r>
          </w:p>
          <w:p w14:paraId="26FED520">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承诺及措施内容较详尽、较完善、较合理的得2分；</w:t>
            </w:r>
          </w:p>
          <w:p w14:paraId="0FB966FA">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内容一般详尽、一般完善、一般合理的得1分；</w:t>
            </w:r>
          </w:p>
          <w:p w14:paraId="34268A95">
            <w:pPr>
              <w:pageBreakBefore w:val="0"/>
              <w:kinsoku/>
              <w:overflowPunct/>
              <w:autoSpaceDE w:val="0"/>
              <w:autoSpaceDN w:val="0"/>
              <w:bidi w:val="0"/>
              <w:spacing w:line="240" w:lineRule="auto"/>
              <w:ind w:left="-2" w:leftChars="-1" w:firstLine="2"/>
              <w:contextualSpacing/>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内容缺项得0分。</w:t>
            </w:r>
          </w:p>
        </w:tc>
      </w:tr>
      <w:tr w14:paraId="71FFFA5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1100" w:type="dxa"/>
            <w:vMerge w:val="continue"/>
            <w:tcBorders>
              <w:right w:val="single" w:color="auto" w:sz="4" w:space="0"/>
            </w:tcBorders>
            <w:noWrap w:val="0"/>
            <w:vAlign w:val="center"/>
          </w:tcPr>
          <w:p w14:paraId="35BF0FE2">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1055" w:type="dxa"/>
            <w:vMerge w:val="continue"/>
            <w:tcBorders>
              <w:left w:val="single" w:color="auto" w:sz="4" w:space="0"/>
            </w:tcBorders>
            <w:noWrap w:val="0"/>
            <w:vAlign w:val="center"/>
          </w:tcPr>
          <w:p w14:paraId="2F710D60">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2383" w:type="dxa"/>
            <w:gridSpan w:val="2"/>
            <w:vMerge w:val="continue"/>
            <w:noWrap w:val="0"/>
            <w:vAlign w:val="center"/>
          </w:tcPr>
          <w:p w14:paraId="72278B31">
            <w:pPr>
              <w:pageBreakBefore w:val="0"/>
              <w:kinsoku/>
              <w:overflowPunct/>
              <w:bidi w:val="0"/>
              <w:spacing w:line="240" w:lineRule="auto"/>
              <w:ind w:leftChars="0" w:firstLine="0"/>
              <w:jc w:val="center"/>
              <w:rPr>
                <w:rFonts w:hint="eastAsia" w:ascii="宋体" w:hAnsi="宋体" w:eastAsia="宋体" w:cs="宋体"/>
                <w:color w:val="auto"/>
                <w:sz w:val="21"/>
                <w:szCs w:val="21"/>
                <w:highlight w:val="none"/>
                <w:lang w:val="en-US" w:eastAsia="zh-CN"/>
              </w:rPr>
            </w:pPr>
          </w:p>
        </w:tc>
        <w:tc>
          <w:tcPr>
            <w:tcW w:w="4828" w:type="dxa"/>
            <w:noWrap w:val="0"/>
            <w:vAlign w:val="center"/>
          </w:tcPr>
          <w:p w14:paraId="179A4922">
            <w:pPr>
              <w:widowControl/>
              <w:spacing w:line="400" w:lineRule="exact"/>
              <w:jc w:val="left"/>
              <w:rPr>
                <w:rFonts w:hint="eastAsia" w:ascii="宋体" w:hAnsi="宋体" w:eastAsia="宋体" w:cs="宋体"/>
                <w:b/>
                <w:bCs/>
                <w:szCs w:val="21"/>
                <w:highlight w:val="none"/>
              </w:rPr>
            </w:pPr>
            <w:r>
              <w:rPr>
                <w:rFonts w:hint="eastAsia" w:ascii="宋体" w:hAnsi="宋体" w:eastAsia="宋体" w:cs="宋体"/>
                <w:b/>
                <w:bCs/>
                <w:szCs w:val="21"/>
                <w:highlight w:val="none"/>
              </w:rPr>
              <w:t>2.人员执业的规范性</w:t>
            </w:r>
            <w:r>
              <w:rPr>
                <w:rFonts w:hint="eastAsia" w:ascii="宋体" w:hAnsi="宋体" w:cs="宋体"/>
                <w:b/>
                <w:bCs/>
                <w:szCs w:val="21"/>
                <w:highlight w:val="none"/>
                <w:lang w:eastAsia="zh-CN"/>
              </w:rPr>
              <w:t>（</w:t>
            </w:r>
            <w:r>
              <w:rPr>
                <w:rFonts w:hint="eastAsia" w:ascii="宋体" w:hAnsi="宋体" w:cs="宋体"/>
                <w:b/>
                <w:bCs/>
                <w:szCs w:val="21"/>
                <w:highlight w:val="none"/>
                <w:lang w:val="en-US" w:eastAsia="zh-CN"/>
              </w:rPr>
              <w:t>3分</w:t>
            </w:r>
            <w:r>
              <w:rPr>
                <w:rFonts w:hint="eastAsia" w:ascii="宋体" w:hAnsi="宋体" w:cs="宋体"/>
                <w:b/>
                <w:bCs/>
                <w:szCs w:val="21"/>
                <w:highlight w:val="none"/>
                <w:lang w:eastAsia="zh-CN"/>
              </w:rPr>
              <w:t>）</w:t>
            </w:r>
            <w:r>
              <w:rPr>
                <w:rFonts w:hint="eastAsia" w:ascii="宋体" w:hAnsi="宋体" w:eastAsia="宋体" w:cs="宋体"/>
                <w:b/>
                <w:bCs/>
                <w:szCs w:val="21"/>
                <w:highlight w:val="none"/>
              </w:rPr>
              <w:t>：</w:t>
            </w:r>
          </w:p>
          <w:p w14:paraId="2CA83DD9">
            <w:pPr>
              <w:widowControl/>
              <w:spacing w:line="400" w:lineRule="exact"/>
              <w:jc w:val="left"/>
              <w:rPr>
                <w:rFonts w:hint="eastAsia" w:ascii="宋体" w:hAnsi="宋体" w:eastAsia="宋体" w:cs="宋体"/>
                <w:szCs w:val="21"/>
                <w:highlight w:val="none"/>
              </w:rPr>
            </w:pPr>
            <w:r>
              <w:rPr>
                <w:rFonts w:hint="eastAsia" w:ascii="宋体" w:hAnsi="宋体" w:eastAsia="宋体" w:cs="宋体"/>
                <w:szCs w:val="21"/>
                <w:highlight w:val="none"/>
              </w:rPr>
              <w:t>承诺遵守国家、省、市作业标准，工作人员在工作中遵守制度、遵守岗位职责、作业标准、职业道德规范、文明服务，具有相应的管理措施；</w:t>
            </w:r>
          </w:p>
          <w:p w14:paraId="1BA75FA3">
            <w:pPr>
              <w:widowControl/>
              <w:spacing w:line="400" w:lineRule="exact"/>
              <w:jc w:val="left"/>
              <w:rPr>
                <w:rFonts w:hint="eastAsia" w:ascii="宋体" w:hAnsi="宋体" w:eastAsia="宋体" w:cs="宋体"/>
                <w:szCs w:val="21"/>
                <w:highlight w:val="none"/>
              </w:rPr>
            </w:pPr>
            <w:r>
              <w:rPr>
                <w:rFonts w:hint="eastAsia" w:ascii="宋体" w:hAnsi="宋体" w:eastAsia="宋体" w:cs="宋体"/>
                <w:szCs w:val="21"/>
                <w:highlight w:val="none"/>
              </w:rPr>
              <w:t>内容详尽、完善，措施合理、可行的得3分；</w:t>
            </w:r>
          </w:p>
          <w:p w14:paraId="29E47CA1">
            <w:pPr>
              <w:widowControl/>
              <w:spacing w:line="400" w:lineRule="exact"/>
              <w:jc w:val="left"/>
              <w:rPr>
                <w:rFonts w:hint="eastAsia" w:ascii="宋体" w:hAnsi="宋体" w:eastAsia="宋体" w:cs="宋体"/>
                <w:szCs w:val="21"/>
                <w:highlight w:val="none"/>
              </w:rPr>
            </w:pPr>
            <w:r>
              <w:rPr>
                <w:rFonts w:hint="eastAsia" w:ascii="宋体" w:hAnsi="宋体" w:eastAsia="宋体" w:cs="宋体"/>
                <w:szCs w:val="21"/>
                <w:highlight w:val="none"/>
              </w:rPr>
              <w:t>内容较详尽、较完善，措施较合理、较可行的得2分；</w:t>
            </w:r>
          </w:p>
          <w:p w14:paraId="2CCBBE55">
            <w:pPr>
              <w:widowControl/>
              <w:spacing w:line="400" w:lineRule="exact"/>
              <w:jc w:val="left"/>
              <w:rPr>
                <w:rFonts w:hint="eastAsia" w:ascii="宋体" w:hAnsi="宋体" w:eastAsia="宋体" w:cs="宋体"/>
                <w:szCs w:val="21"/>
                <w:highlight w:val="none"/>
              </w:rPr>
            </w:pPr>
            <w:r>
              <w:rPr>
                <w:rFonts w:hint="eastAsia" w:ascii="宋体" w:hAnsi="宋体" w:eastAsia="宋体" w:cs="宋体"/>
                <w:szCs w:val="21"/>
                <w:highlight w:val="none"/>
              </w:rPr>
              <w:t>内容一般完善，措施一般合理、可行性一般的得1分；</w:t>
            </w:r>
          </w:p>
          <w:p w14:paraId="712547FC">
            <w:pPr>
              <w:widowControl/>
              <w:spacing w:line="40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szCs w:val="21"/>
                <w:highlight w:val="none"/>
              </w:rPr>
              <w:t>内容缺项得0分。</w:t>
            </w:r>
          </w:p>
        </w:tc>
      </w:tr>
      <w:tr w14:paraId="24226A2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1100" w:type="dxa"/>
            <w:vMerge w:val="continue"/>
            <w:tcBorders>
              <w:right w:val="single" w:color="auto" w:sz="4" w:space="0"/>
            </w:tcBorders>
            <w:noWrap w:val="0"/>
            <w:vAlign w:val="center"/>
          </w:tcPr>
          <w:p w14:paraId="02EA8F34">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1055" w:type="dxa"/>
            <w:vMerge w:val="continue"/>
            <w:tcBorders>
              <w:left w:val="single" w:color="auto" w:sz="4" w:space="0"/>
            </w:tcBorders>
            <w:noWrap w:val="0"/>
            <w:vAlign w:val="center"/>
          </w:tcPr>
          <w:p w14:paraId="715F1269">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2383" w:type="dxa"/>
            <w:gridSpan w:val="2"/>
            <w:vMerge w:val="continue"/>
            <w:noWrap w:val="0"/>
            <w:vAlign w:val="center"/>
          </w:tcPr>
          <w:p w14:paraId="42DD5B0F">
            <w:pPr>
              <w:pageBreakBefore w:val="0"/>
              <w:kinsoku/>
              <w:overflowPunct/>
              <w:bidi w:val="0"/>
              <w:spacing w:line="240" w:lineRule="auto"/>
              <w:ind w:leftChars="0" w:firstLine="0"/>
              <w:jc w:val="center"/>
              <w:rPr>
                <w:rFonts w:hint="eastAsia" w:ascii="宋体" w:hAnsi="宋体" w:eastAsia="宋体" w:cs="宋体"/>
                <w:color w:val="auto"/>
                <w:sz w:val="21"/>
                <w:szCs w:val="21"/>
                <w:highlight w:val="none"/>
                <w:lang w:val="en-US" w:eastAsia="zh-CN"/>
              </w:rPr>
            </w:pPr>
          </w:p>
        </w:tc>
        <w:tc>
          <w:tcPr>
            <w:tcW w:w="4828" w:type="dxa"/>
            <w:noWrap w:val="0"/>
            <w:vAlign w:val="center"/>
          </w:tcPr>
          <w:p w14:paraId="4677A482">
            <w:pPr>
              <w:widowControl/>
              <w:spacing w:line="400" w:lineRule="exact"/>
              <w:jc w:val="left"/>
              <w:rPr>
                <w:rFonts w:hint="eastAsia" w:ascii="宋体" w:hAnsi="宋体" w:eastAsia="宋体" w:cs="宋体"/>
                <w:b/>
                <w:bCs/>
                <w:szCs w:val="21"/>
                <w:highlight w:val="none"/>
              </w:rPr>
            </w:pPr>
            <w:r>
              <w:rPr>
                <w:rFonts w:hint="eastAsia" w:ascii="宋体" w:hAnsi="宋体" w:eastAsia="宋体" w:cs="宋体"/>
                <w:b/>
                <w:bCs/>
                <w:szCs w:val="21"/>
                <w:highlight w:val="none"/>
              </w:rPr>
              <w:t>3.不拖欠人员工资的承诺</w:t>
            </w:r>
            <w:r>
              <w:rPr>
                <w:rFonts w:hint="eastAsia" w:ascii="宋体" w:hAnsi="宋体" w:cs="宋体"/>
                <w:b/>
                <w:bCs/>
                <w:szCs w:val="21"/>
                <w:highlight w:val="none"/>
                <w:lang w:eastAsia="zh-CN"/>
              </w:rPr>
              <w:t>（</w:t>
            </w:r>
            <w:r>
              <w:rPr>
                <w:rFonts w:hint="eastAsia" w:ascii="宋体" w:hAnsi="宋体" w:cs="宋体"/>
                <w:b/>
                <w:bCs/>
                <w:szCs w:val="21"/>
                <w:highlight w:val="none"/>
                <w:lang w:val="en-US" w:eastAsia="zh-CN"/>
              </w:rPr>
              <w:t>2分</w:t>
            </w:r>
            <w:r>
              <w:rPr>
                <w:rFonts w:hint="eastAsia" w:ascii="宋体" w:hAnsi="宋体" w:cs="宋体"/>
                <w:b/>
                <w:bCs/>
                <w:szCs w:val="21"/>
                <w:highlight w:val="none"/>
                <w:lang w:eastAsia="zh-CN"/>
              </w:rPr>
              <w:t>）</w:t>
            </w:r>
            <w:r>
              <w:rPr>
                <w:rFonts w:hint="eastAsia" w:ascii="宋体" w:hAnsi="宋体" w:eastAsia="宋体" w:cs="宋体"/>
                <w:b/>
                <w:bCs/>
                <w:szCs w:val="21"/>
                <w:highlight w:val="none"/>
              </w:rPr>
              <w:t>：</w:t>
            </w:r>
          </w:p>
          <w:p w14:paraId="26A66C26">
            <w:pPr>
              <w:widowControl/>
              <w:spacing w:line="400" w:lineRule="exact"/>
              <w:jc w:val="left"/>
              <w:rPr>
                <w:rFonts w:hint="eastAsia" w:ascii="宋体" w:hAnsi="宋体" w:eastAsia="宋体" w:cs="宋体"/>
                <w:szCs w:val="21"/>
                <w:highlight w:val="none"/>
              </w:rPr>
            </w:pPr>
            <w:r>
              <w:rPr>
                <w:rFonts w:hint="eastAsia" w:ascii="宋体" w:hAnsi="宋体" w:eastAsia="宋体" w:cs="宋体"/>
                <w:szCs w:val="21"/>
                <w:highlight w:val="none"/>
              </w:rPr>
              <w:t>承诺不拖欠人员工资；按照《劳动法》、《民法典》、《职工带薪年假条例》及市政府要求，发放高温津贴、带薪年休假、支付加班或者延长工作时间工资，并具有相应的实施方案。</w:t>
            </w:r>
          </w:p>
          <w:p w14:paraId="0D755907">
            <w:pPr>
              <w:widowControl/>
              <w:spacing w:line="400" w:lineRule="exact"/>
              <w:jc w:val="left"/>
              <w:rPr>
                <w:rFonts w:hint="eastAsia" w:ascii="宋体" w:hAnsi="宋体" w:eastAsia="宋体" w:cs="宋体"/>
                <w:szCs w:val="21"/>
                <w:highlight w:val="none"/>
              </w:rPr>
            </w:pPr>
            <w:r>
              <w:rPr>
                <w:rFonts w:hint="eastAsia" w:ascii="宋体" w:hAnsi="宋体" w:eastAsia="宋体" w:cs="宋体"/>
                <w:szCs w:val="21"/>
                <w:highlight w:val="none"/>
              </w:rPr>
              <w:t>内容完善，实施方案科学、合理、可行的得</w:t>
            </w: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分；</w:t>
            </w:r>
          </w:p>
          <w:p w14:paraId="12603DEA">
            <w:pPr>
              <w:widowControl/>
              <w:spacing w:line="400" w:lineRule="exact"/>
              <w:jc w:val="left"/>
              <w:rPr>
                <w:rFonts w:hint="eastAsia" w:ascii="宋体" w:hAnsi="宋体" w:eastAsia="宋体" w:cs="宋体"/>
                <w:szCs w:val="21"/>
                <w:highlight w:val="none"/>
              </w:rPr>
            </w:pPr>
            <w:r>
              <w:rPr>
                <w:rFonts w:hint="eastAsia" w:ascii="宋体" w:hAnsi="宋体" w:eastAsia="宋体" w:cs="宋体"/>
                <w:szCs w:val="21"/>
                <w:highlight w:val="none"/>
              </w:rPr>
              <w:t>内容一般完善，实施方案一般合理、可行性一般的得1分；</w:t>
            </w:r>
          </w:p>
          <w:p w14:paraId="06DF72DB">
            <w:pPr>
              <w:widowControl/>
              <w:spacing w:line="40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szCs w:val="21"/>
                <w:highlight w:val="none"/>
              </w:rPr>
              <w:t>内容缺项得0分。</w:t>
            </w:r>
          </w:p>
        </w:tc>
      </w:tr>
      <w:tr w14:paraId="2D63900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1100" w:type="dxa"/>
            <w:vMerge w:val="continue"/>
            <w:tcBorders>
              <w:right w:val="single" w:color="auto" w:sz="4" w:space="0"/>
            </w:tcBorders>
            <w:noWrap w:val="0"/>
            <w:vAlign w:val="center"/>
          </w:tcPr>
          <w:p w14:paraId="3ADB4D5A">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1055" w:type="dxa"/>
            <w:vMerge w:val="continue"/>
            <w:tcBorders>
              <w:left w:val="single" w:color="auto" w:sz="4" w:space="0"/>
            </w:tcBorders>
            <w:noWrap w:val="0"/>
            <w:vAlign w:val="center"/>
          </w:tcPr>
          <w:p w14:paraId="3187F334">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2383" w:type="dxa"/>
            <w:gridSpan w:val="2"/>
            <w:vMerge w:val="continue"/>
            <w:noWrap w:val="0"/>
            <w:vAlign w:val="center"/>
          </w:tcPr>
          <w:p w14:paraId="4879F4B9">
            <w:pPr>
              <w:pageBreakBefore w:val="0"/>
              <w:kinsoku/>
              <w:overflowPunct/>
              <w:bidi w:val="0"/>
              <w:spacing w:line="240" w:lineRule="auto"/>
              <w:ind w:leftChars="0" w:firstLine="0"/>
              <w:jc w:val="center"/>
              <w:rPr>
                <w:rFonts w:hint="eastAsia" w:ascii="宋体" w:hAnsi="宋体" w:eastAsia="宋体" w:cs="宋体"/>
                <w:color w:val="auto"/>
                <w:sz w:val="21"/>
                <w:szCs w:val="21"/>
                <w:highlight w:val="none"/>
                <w:lang w:val="en-US" w:eastAsia="zh-CN"/>
              </w:rPr>
            </w:pPr>
          </w:p>
        </w:tc>
        <w:tc>
          <w:tcPr>
            <w:tcW w:w="4828" w:type="dxa"/>
            <w:noWrap w:val="0"/>
            <w:vAlign w:val="center"/>
          </w:tcPr>
          <w:p w14:paraId="1C6A3D1A">
            <w:pPr>
              <w:widowControl/>
              <w:spacing w:line="400" w:lineRule="exact"/>
              <w:jc w:val="left"/>
              <w:rPr>
                <w:rFonts w:hint="eastAsia" w:ascii="宋体" w:hAnsi="宋体" w:eastAsia="宋体" w:cs="宋体"/>
                <w:b/>
                <w:bCs/>
                <w:szCs w:val="21"/>
                <w:highlight w:val="none"/>
              </w:rPr>
            </w:pPr>
            <w:r>
              <w:rPr>
                <w:rFonts w:hint="eastAsia" w:ascii="宋体" w:hAnsi="宋体" w:eastAsia="宋体" w:cs="宋体"/>
                <w:b/>
                <w:bCs/>
                <w:szCs w:val="21"/>
                <w:highlight w:val="none"/>
              </w:rPr>
              <w:t>4.违约责任划分及整改措施</w:t>
            </w:r>
            <w:r>
              <w:rPr>
                <w:rFonts w:hint="eastAsia" w:ascii="宋体" w:hAnsi="宋体" w:cs="宋体"/>
                <w:b/>
                <w:bCs/>
                <w:szCs w:val="21"/>
                <w:highlight w:val="none"/>
                <w:lang w:eastAsia="zh-CN"/>
              </w:rPr>
              <w:t>（</w:t>
            </w:r>
            <w:r>
              <w:rPr>
                <w:rFonts w:hint="eastAsia" w:ascii="宋体" w:hAnsi="宋体" w:cs="宋体"/>
                <w:b/>
                <w:bCs/>
                <w:szCs w:val="21"/>
                <w:highlight w:val="none"/>
                <w:lang w:val="en-US" w:eastAsia="zh-CN"/>
              </w:rPr>
              <w:t>3分</w:t>
            </w:r>
            <w:r>
              <w:rPr>
                <w:rFonts w:hint="eastAsia" w:ascii="宋体" w:hAnsi="宋体" w:cs="宋体"/>
                <w:b/>
                <w:bCs/>
                <w:szCs w:val="21"/>
                <w:highlight w:val="none"/>
                <w:lang w:eastAsia="zh-CN"/>
              </w:rPr>
              <w:t>）</w:t>
            </w:r>
            <w:r>
              <w:rPr>
                <w:rFonts w:hint="eastAsia" w:ascii="宋体" w:hAnsi="宋体" w:eastAsia="宋体" w:cs="宋体"/>
                <w:b/>
                <w:bCs/>
                <w:szCs w:val="21"/>
                <w:highlight w:val="none"/>
              </w:rPr>
              <w:t>：</w:t>
            </w:r>
          </w:p>
          <w:p w14:paraId="55F843BC">
            <w:pPr>
              <w:widowControl/>
              <w:spacing w:line="400" w:lineRule="exact"/>
              <w:jc w:val="left"/>
              <w:rPr>
                <w:rFonts w:hint="eastAsia" w:ascii="宋体" w:hAnsi="宋体" w:eastAsia="宋体" w:cs="宋体"/>
                <w:szCs w:val="21"/>
                <w:highlight w:val="none"/>
              </w:rPr>
            </w:pPr>
            <w:r>
              <w:rPr>
                <w:rFonts w:hint="eastAsia" w:ascii="宋体" w:hAnsi="宋体" w:eastAsia="宋体" w:cs="宋体"/>
                <w:szCs w:val="21"/>
                <w:highlight w:val="none"/>
              </w:rPr>
              <w:t>违约责任划分及整改措施完善，符合本项目实际情况的得3分；</w:t>
            </w:r>
          </w:p>
          <w:p w14:paraId="34DFF505">
            <w:pPr>
              <w:widowControl/>
              <w:spacing w:line="400" w:lineRule="exact"/>
              <w:jc w:val="left"/>
              <w:rPr>
                <w:rFonts w:hint="eastAsia" w:ascii="宋体" w:hAnsi="宋体" w:eastAsia="宋体" w:cs="宋体"/>
                <w:szCs w:val="21"/>
                <w:highlight w:val="none"/>
              </w:rPr>
            </w:pPr>
            <w:r>
              <w:rPr>
                <w:rFonts w:hint="eastAsia" w:ascii="宋体" w:hAnsi="宋体" w:eastAsia="宋体" w:cs="宋体"/>
                <w:szCs w:val="21"/>
                <w:highlight w:val="none"/>
              </w:rPr>
              <w:t>违约责任划分及整改措施较完善，较符合本项目实际情况的得2分；</w:t>
            </w:r>
          </w:p>
          <w:p w14:paraId="47C41F14">
            <w:pPr>
              <w:widowControl/>
              <w:spacing w:line="400" w:lineRule="exact"/>
              <w:jc w:val="left"/>
              <w:rPr>
                <w:rFonts w:hint="eastAsia" w:ascii="宋体" w:hAnsi="宋体" w:eastAsia="宋体" w:cs="宋体"/>
                <w:szCs w:val="21"/>
                <w:highlight w:val="none"/>
              </w:rPr>
            </w:pPr>
            <w:r>
              <w:rPr>
                <w:rFonts w:hint="eastAsia" w:ascii="宋体" w:hAnsi="宋体" w:eastAsia="宋体" w:cs="宋体"/>
                <w:szCs w:val="21"/>
                <w:highlight w:val="none"/>
              </w:rPr>
              <w:t>违约责任划分及整改措施一般完善，基本符合本项目实际情况的得1分；</w:t>
            </w:r>
          </w:p>
          <w:p w14:paraId="0A4AE796">
            <w:pPr>
              <w:widowControl/>
              <w:spacing w:line="40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szCs w:val="21"/>
                <w:highlight w:val="none"/>
              </w:rPr>
              <w:t>违约责任划分及整改措施缺项得0分。</w:t>
            </w:r>
          </w:p>
        </w:tc>
      </w:tr>
      <w:tr w14:paraId="0562351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1100" w:type="dxa"/>
            <w:vMerge w:val="continue"/>
            <w:tcBorders>
              <w:right w:val="single" w:color="auto" w:sz="4" w:space="0"/>
            </w:tcBorders>
            <w:noWrap w:val="0"/>
            <w:vAlign w:val="center"/>
          </w:tcPr>
          <w:p w14:paraId="21F5BAAA">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1055" w:type="dxa"/>
            <w:vMerge w:val="continue"/>
            <w:tcBorders>
              <w:left w:val="single" w:color="auto" w:sz="4" w:space="0"/>
            </w:tcBorders>
            <w:noWrap w:val="0"/>
            <w:vAlign w:val="center"/>
          </w:tcPr>
          <w:p w14:paraId="68FB7273">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2383" w:type="dxa"/>
            <w:gridSpan w:val="2"/>
            <w:vMerge w:val="continue"/>
            <w:noWrap w:val="0"/>
            <w:vAlign w:val="center"/>
          </w:tcPr>
          <w:p w14:paraId="0C5758B9">
            <w:pPr>
              <w:pageBreakBefore w:val="0"/>
              <w:kinsoku/>
              <w:overflowPunct/>
              <w:bidi w:val="0"/>
              <w:spacing w:line="240" w:lineRule="auto"/>
              <w:ind w:leftChars="0" w:firstLine="0"/>
              <w:jc w:val="center"/>
              <w:rPr>
                <w:rFonts w:hint="eastAsia" w:ascii="宋体" w:hAnsi="宋体" w:eastAsia="宋体" w:cs="宋体"/>
                <w:color w:val="auto"/>
                <w:sz w:val="21"/>
                <w:szCs w:val="21"/>
                <w:highlight w:val="none"/>
                <w:lang w:val="en-US" w:eastAsia="zh-CN"/>
              </w:rPr>
            </w:pPr>
          </w:p>
        </w:tc>
        <w:tc>
          <w:tcPr>
            <w:tcW w:w="4828" w:type="dxa"/>
            <w:noWrap w:val="0"/>
            <w:vAlign w:val="center"/>
          </w:tcPr>
          <w:p w14:paraId="0CB6E0BE">
            <w:pPr>
              <w:widowControl/>
              <w:spacing w:line="400" w:lineRule="exact"/>
              <w:jc w:val="left"/>
              <w:rPr>
                <w:rFonts w:hint="eastAsia" w:ascii="宋体" w:hAnsi="宋体" w:eastAsia="宋体" w:cs="宋体"/>
                <w:b/>
                <w:bCs/>
                <w:szCs w:val="21"/>
                <w:highlight w:val="none"/>
              </w:rPr>
            </w:pPr>
            <w:r>
              <w:rPr>
                <w:rFonts w:hint="eastAsia" w:ascii="宋体" w:hAnsi="宋体" w:eastAsia="宋体" w:cs="宋体"/>
                <w:b/>
                <w:bCs/>
                <w:szCs w:val="21"/>
                <w:highlight w:val="none"/>
              </w:rPr>
              <w:t>5.前期接管承诺及合同到期时的交接承诺</w:t>
            </w:r>
            <w:r>
              <w:rPr>
                <w:rFonts w:hint="eastAsia" w:ascii="宋体" w:hAnsi="宋体" w:cs="宋体"/>
                <w:b/>
                <w:bCs/>
                <w:szCs w:val="21"/>
                <w:highlight w:val="none"/>
                <w:lang w:eastAsia="zh-CN"/>
              </w:rPr>
              <w:t>（</w:t>
            </w:r>
            <w:r>
              <w:rPr>
                <w:rFonts w:hint="eastAsia" w:ascii="宋体" w:hAnsi="宋体" w:cs="宋体"/>
                <w:b/>
                <w:bCs/>
                <w:szCs w:val="21"/>
                <w:highlight w:val="none"/>
                <w:lang w:val="en-US" w:eastAsia="zh-CN"/>
              </w:rPr>
              <w:t>1分</w:t>
            </w:r>
            <w:r>
              <w:rPr>
                <w:rFonts w:hint="eastAsia" w:ascii="宋体" w:hAnsi="宋体" w:cs="宋体"/>
                <w:b/>
                <w:bCs/>
                <w:szCs w:val="21"/>
                <w:highlight w:val="none"/>
                <w:lang w:eastAsia="zh-CN"/>
              </w:rPr>
              <w:t>）</w:t>
            </w:r>
            <w:r>
              <w:rPr>
                <w:rFonts w:hint="eastAsia" w:ascii="宋体" w:hAnsi="宋体" w:eastAsia="宋体" w:cs="宋体"/>
                <w:b/>
                <w:bCs/>
                <w:szCs w:val="21"/>
                <w:highlight w:val="none"/>
              </w:rPr>
              <w:t>：</w:t>
            </w:r>
          </w:p>
          <w:p w14:paraId="175F5713">
            <w:pPr>
              <w:widowControl/>
              <w:spacing w:line="40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szCs w:val="21"/>
                <w:highlight w:val="none"/>
              </w:rPr>
              <w:t>有合理的前期接管承诺及合同到期时的交接承诺的得1分，没有不得分。</w:t>
            </w:r>
          </w:p>
        </w:tc>
      </w:tr>
      <w:tr w14:paraId="6FAB9C3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1100" w:type="dxa"/>
            <w:vMerge w:val="continue"/>
            <w:tcBorders>
              <w:right w:val="single" w:color="auto" w:sz="4" w:space="0"/>
            </w:tcBorders>
            <w:noWrap w:val="0"/>
            <w:vAlign w:val="center"/>
          </w:tcPr>
          <w:p w14:paraId="1FEDCD5A">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1055" w:type="dxa"/>
            <w:vMerge w:val="continue"/>
            <w:tcBorders>
              <w:left w:val="single" w:color="auto" w:sz="4" w:space="0"/>
            </w:tcBorders>
            <w:noWrap w:val="0"/>
            <w:vAlign w:val="center"/>
          </w:tcPr>
          <w:p w14:paraId="4026ACF8">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2383" w:type="dxa"/>
            <w:gridSpan w:val="2"/>
            <w:vMerge w:val="continue"/>
            <w:noWrap w:val="0"/>
            <w:vAlign w:val="center"/>
          </w:tcPr>
          <w:p w14:paraId="166125A1">
            <w:pPr>
              <w:pageBreakBefore w:val="0"/>
              <w:kinsoku/>
              <w:overflowPunct/>
              <w:bidi w:val="0"/>
              <w:spacing w:line="240" w:lineRule="auto"/>
              <w:ind w:leftChars="0" w:firstLine="0"/>
              <w:jc w:val="center"/>
              <w:rPr>
                <w:rFonts w:hint="eastAsia" w:ascii="宋体" w:hAnsi="宋体" w:eastAsia="宋体" w:cs="宋体"/>
                <w:color w:val="auto"/>
                <w:sz w:val="21"/>
                <w:szCs w:val="21"/>
                <w:highlight w:val="none"/>
                <w:lang w:val="en-US" w:eastAsia="zh-CN"/>
              </w:rPr>
            </w:pPr>
          </w:p>
        </w:tc>
        <w:tc>
          <w:tcPr>
            <w:tcW w:w="4828" w:type="dxa"/>
            <w:noWrap w:val="0"/>
            <w:vAlign w:val="center"/>
          </w:tcPr>
          <w:p w14:paraId="39D986E8">
            <w:pPr>
              <w:widowControl/>
              <w:spacing w:line="400" w:lineRule="exact"/>
              <w:jc w:val="left"/>
              <w:rPr>
                <w:rFonts w:hint="eastAsia" w:ascii="宋体" w:hAnsi="宋体" w:eastAsia="宋体" w:cs="宋体"/>
                <w:b/>
                <w:bCs/>
                <w:szCs w:val="21"/>
                <w:highlight w:val="none"/>
              </w:rPr>
            </w:pPr>
            <w:r>
              <w:rPr>
                <w:rFonts w:hint="eastAsia" w:ascii="宋体" w:hAnsi="宋体" w:eastAsia="宋体" w:cs="宋体"/>
                <w:b/>
                <w:bCs/>
                <w:szCs w:val="21"/>
                <w:highlight w:val="none"/>
              </w:rPr>
              <w:t>6.人员数量及年龄的承诺</w:t>
            </w:r>
            <w:r>
              <w:rPr>
                <w:rFonts w:hint="eastAsia" w:ascii="宋体" w:hAnsi="宋体" w:cs="宋体"/>
                <w:b/>
                <w:bCs/>
                <w:szCs w:val="21"/>
                <w:highlight w:val="none"/>
                <w:lang w:eastAsia="zh-CN"/>
              </w:rPr>
              <w:t>（</w:t>
            </w:r>
            <w:r>
              <w:rPr>
                <w:rFonts w:hint="eastAsia" w:ascii="宋体" w:hAnsi="宋体" w:cs="宋体"/>
                <w:b/>
                <w:bCs/>
                <w:szCs w:val="21"/>
                <w:highlight w:val="none"/>
                <w:lang w:val="en-US" w:eastAsia="zh-CN"/>
              </w:rPr>
              <w:t>1分</w:t>
            </w:r>
            <w:r>
              <w:rPr>
                <w:rFonts w:hint="eastAsia" w:ascii="宋体" w:hAnsi="宋体" w:cs="宋体"/>
                <w:b/>
                <w:bCs/>
                <w:szCs w:val="21"/>
                <w:highlight w:val="none"/>
                <w:lang w:eastAsia="zh-CN"/>
              </w:rPr>
              <w:t>）</w:t>
            </w:r>
            <w:r>
              <w:rPr>
                <w:rFonts w:hint="eastAsia" w:ascii="宋体" w:hAnsi="宋体" w:eastAsia="宋体" w:cs="宋体"/>
                <w:b/>
                <w:bCs/>
                <w:szCs w:val="21"/>
                <w:highlight w:val="none"/>
              </w:rPr>
              <w:t>：</w:t>
            </w:r>
          </w:p>
          <w:p w14:paraId="415A4D27">
            <w:pPr>
              <w:widowControl/>
              <w:spacing w:line="400" w:lineRule="exact"/>
              <w:jc w:val="left"/>
              <w:rPr>
                <w:rFonts w:hint="eastAsia" w:ascii="宋体" w:hAnsi="宋体" w:eastAsia="宋体" w:cs="宋体"/>
                <w:szCs w:val="21"/>
                <w:highlight w:val="none"/>
              </w:rPr>
            </w:pPr>
            <w:r>
              <w:rPr>
                <w:rFonts w:hint="eastAsia" w:ascii="宋体" w:hAnsi="宋体" w:eastAsia="宋体" w:cs="宋体"/>
                <w:szCs w:val="21"/>
                <w:highlight w:val="none"/>
              </w:rPr>
              <w:t>承诺拟派本项目作业人员均满18周岁以上、60周岁以下、具备履行职责的身体条件。</w:t>
            </w:r>
          </w:p>
          <w:p w14:paraId="02F29E0A">
            <w:pPr>
              <w:widowControl/>
              <w:spacing w:line="40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szCs w:val="21"/>
                <w:highlight w:val="none"/>
              </w:rPr>
              <w:t>承诺拟配备作业人员满足上述要求得1分，不满足或缺项得0分。</w:t>
            </w:r>
          </w:p>
        </w:tc>
      </w:tr>
      <w:tr w14:paraId="77319D6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1100" w:type="dxa"/>
            <w:vMerge w:val="continue"/>
            <w:tcBorders>
              <w:right w:val="single" w:color="auto" w:sz="4" w:space="0"/>
            </w:tcBorders>
            <w:noWrap w:val="0"/>
            <w:vAlign w:val="center"/>
          </w:tcPr>
          <w:p w14:paraId="5F54640A">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1055" w:type="dxa"/>
            <w:vMerge w:val="continue"/>
            <w:tcBorders>
              <w:left w:val="single" w:color="auto" w:sz="4" w:space="0"/>
            </w:tcBorders>
            <w:noWrap w:val="0"/>
            <w:vAlign w:val="center"/>
          </w:tcPr>
          <w:p w14:paraId="68A13F75">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2383" w:type="dxa"/>
            <w:gridSpan w:val="2"/>
            <w:vMerge w:val="continue"/>
            <w:noWrap w:val="0"/>
            <w:vAlign w:val="center"/>
          </w:tcPr>
          <w:p w14:paraId="174307A1">
            <w:pPr>
              <w:pageBreakBefore w:val="0"/>
              <w:kinsoku/>
              <w:overflowPunct/>
              <w:bidi w:val="0"/>
              <w:spacing w:line="240" w:lineRule="auto"/>
              <w:ind w:leftChars="0" w:firstLine="0"/>
              <w:jc w:val="center"/>
              <w:rPr>
                <w:rFonts w:hint="eastAsia" w:ascii="宋体" w:hAnsi="宋体" w:eastAsia="宋体" w:cs="宋体"/>
                <w:color w:val="auto"/>
                <w:sz w:val="21"/>
                <w:szCs w:val="21"/>
                <w:highlight w:val="none"/>
                <w:lang w:val="en-US" w:eastAsia="zh-CN"/>
              </w:rPr>
            </w:pPr>
          </w:p>
        </w:tc>
        <w:tc>
          <w:tcPr>
            <w:tcW w:w="4828" w:type="dxa"/>
            <w:noWrap w:val="0"/>
            <w:vAlign w:val="center"/>
          </w:tcPr>
          <w:p w14:paraId="0ED56C12">
            <w:pPr>
              <w:widowControl/>
              <w:spacing w:line="400" w:lineRule="exact"/>
              <w:jc w:val="left"/>
              <w:rPr>
                <w:rFonts w:hint="eastAsia" w:ascii="宋体" w:hAnsi="宋体" w:eastAsia="宋体" w:cs="宋体"/>
                <w:b/>
                <w:bCs/>
                <w:szCs w:val="21"/>
                <w:highlight w:val="none"/>
              </w:rPr>
            </w:pPr>
            <w:r>
              <w:rPr>
                <w:rFonts w:hint="eastAsia" w:ascii="宋体" w:hAnsi="宋体" w:eastAsia="宋体" w:cs="宋体"/>
                <w:b/>
                <w:bCs/>
                <w:szCs w:val="21"/>
                <w:highlight w:val="none"/>
              </w:rPr>
              <w:t>7.其他实质性承诺</w:t>
            </w:r>
            <w:r>
              <w:rPr>
                <w:rFonts w:hint="eastAsia" w:ascii="宋体" w:hAnsi="宋体" w:cs="宋体"/>
                <w:b/>
                <w:bCs/>
                <w:szCs w:val="21"/>
                <w:highlight w:val="none"/>
                <w:lang w:eastAsia="zh-CN"/>
              </w:rPr>
              <w:t>（</w:t>
            </w:r>
            <w:r>
              <w:rPr>
                <w:rFonts w:hint="eastAsia" w:ascii="宋体" w:hAnsi="宋体" w:cs="宋体"/>
                <w:b/>
                <w:bCs/>
                <w:szCs w:val="21"/>
                <w:highlight w:val="none"/>
                <w:lang w:val="en-US" w:eastAsia="zh-CN"/>
              </w:rPr>
              <w:t>3分</w:t>
            </w:r>
            <w:r>
              <w:rPr>
                <w:rFonts w:hint="eastAsia" w:ascii="宋体" w:hAnsi="宋体" w:cs="宋体"/>
                <w:b/>
                <w:bCs/>
                <w:szCs w:val="21"/>
                <w:highlight w:val="none"/>
                <w:lang w:eastAsia="zh-CN"/>
              </w:rPr>
              <w:t>）</w:t>
            </w:r>
            <w:r>
              <w:rPr>
                <w:rFonts w:hint="eastAsia" w:ascii="宋体" w:hAnsi="宋体" w:eastAsia="宋体" w:cs="宋体"/>
                <w:b/>
                <w:bCs/>
                <w:szCs w:val="21"/>
                <w:highlight w:val="none"/>
              </w:rPr>
              <w:t>：</w:t>
            </w:r>
          </w:p>
          <w:p w14:paraId="5975AD7E">
            <w:pPr>
              <w:widowControl/>
              <w:spacing w:line="400" w:lineRule="exact"/>
              <w:jc w:val="left"/>
              <w:rPr>
                <w:rFonts w:hint="eastAsia" w:ascii="宋体" w:hAnsi="宋体" w:eastAsia="宋体" w:cs="宋体"/>
                <w:szCs w:val="21"/>
                <w:highlight w:val="none"/>
              </w:rPr>
            </w:pPr>
            <w:r>
              <w:rPr>
                <w:rFonts w:hint="eastAsia" w:ascii="宋体" w:hAnsi="宋体" w:eastAsia="宋体" w:cs="宋体"/>
                <w:szCs w:val="21"/>
                <w:highlight w:val="none"/>
              </w:rPr>
              <w:t>其他实质性承诺符合本项目实际情况，可操作性强的得3分；</w:t>
            </w:r>
          </w:p>
          <w:p w14:paraId="5AAD7F2E">
            <w:pPr>
              <w:widowControl/>
              <w:spacing w:line="400" w:lineRule="exact"/>
              <w:jc w:val="left"/>
              <w:rPr>
                <w:rFonts w:hint="eastAsia" w:ascii="宋体" w:hAnsi="宋体" w:eastAsia="宋体" w:cs="宋体"/>
                <w:szCs w:val="21"/>
                <w:highlight w:val="none"/>
              </w:rPr>
            </w:pPr>
            <w:r>
              <w:rPr>
                <w:rFonts w:hint="eastAsia" w:ascii="宋体" w:hAnsi="宋体" w:eastAsia="宋体" w:cs="宋体"/>
                <w:szCs w:val="21"/>
                <w:highlight w:val="none"/>
              </w:rPr>
              <w:t>其他实质性承诺比较符合本项目实际情况，可操作性较强的得2分；</w:t>
            </w:r>
          </w:p>
          <w:p w14:paraId="361F8A32">
            <w:pPr>
              <w:widowControl/>
              <w:spacing w:line="400" w:lineRule="exact"/>
              <w:jc w:val="left"/>
              <w:rPr>
                <w:rFonts w:hint="eastAsia" w:ascii="宋体" w:hAnsi="宋体" w:eastAsia="宋体" w:cs="宋体"/>
                <w:szCs w:val="21"/>
                <w:highlight w:val="none"/>
              </w:rPr>
            </w:pPr>
            <w:r>
              <w:rPr>
                <w:rFonts w:hint="eastAsia" w:ascii="宋体" w:hAnsi="宋体" w:eastAsia="宋体" w:cs="宋体"/>
                <w:szCs w:val="21"/>
                <w:highlight w:val="none"/>
              </w:rPr>
              <w:t>其他实质性承诺一般符合本项目实际情况，可操作性一般的得1分；</w:t>
            </w:r>
          </w:p>
          <w:p w14:paraId="22309A07">
            <w:pPr>
              <w:widowControl/>
              <w:spacing w:line="40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szCs w:val="21"/>
                <w:highlight w:val="none"/>
              </w:rPr>
              <w:t>缺项得0分。</w:t>
            </w:r>
          </w:p>
        </w:tc>
      </w:tr>
      <w:tr w14:paraId="76A55E5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1100" w:type="dxa"/>
            <w:vMerge w:val="continue"/>
            <w:tcBorders>
              <w:right w:val="single" w:color="auto" w:sz="4" w:space="0"/>
            </w:tcBorders>
            <w:noWrap w:val="0"/>
            <w:vAlign w:val="center"/>
          </w:tcPr>
          <w:p w14:paraId="7F7A74EF">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1055" w:type="dxa"/>
            <w:vMerge w:val="continue"/>
            <w:tcBorders>
              <w:left w:val="single" w:color="auto" w:sz="4" w:space="0"/>
            </w:tcBorders>
            <w:noWrap w:val="0"/>
            <w:vAlign w:val="center"/>
          </w:tcPr>
          <w:p w14:paraId="0FCC55E8">
            <w:pPr>
              <w:pageBreakBefore w:val="0"/>
              <w:kinsoku/>
              <w:overflowPunct/>
              <w:bidi w:val="0"/>
              <w:spacing w:line="240" w:lineRule="auto"/>
              <w:jc w:val="center"/>
              <w:rPr>
                <w:rFonts w:hint="eastAsia" w:ascii="宋体" w:hAnsi="宋体" w:eastAsia="宋体" w:cs="宋体"/>
                <w:b w:val="0"/>
                <w:bCs/>
                <w:color w:val="auto"/>
                <w:sz w:val="21"/>
                <w:szCs w:val="21"/>
                <w:highlight w:val="none"/>
              </w:rPr>
            </w:pPr>
          </w:p>
        </w:tc>
        <w:tc>
          <w:tcPr>
            <w:tcW w:w="2383" w:type="dxa"/>
            <w:gridSpan w:val="2"/>
            <w:noWrap w:val="0"/>
            <w:vAlign w:val="center"/>
          </w:tcPr>
          <w:p w14:paraId="73C310DE">
            <w:pPr>
              <w:pageBreakBefore w:val="0"/>
              <w:kinsoku/>
              <w:overflowPunct/>
              <w:bidi w:val="0"/>
              <w:spacing w:line="240" w:lineRule="auto"/>
              <w:ind w:leftChars="0" w:firstLine="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企业业绩</w:t>
            </w:r>
          </w:p>
          <w:p w14:paraId="647C4725">
            <w:pPr>
              <w:pageBreakBefore w:val="0"/>
              <w:kinsoku/>
              <w:overflowPunct/>
              <w:bidi w:val="0"/>
              <w:spacing w:line="240" w:lineRule="auto"/>
              <w:ind w:leftChars="0" w:firstLine="0"/>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(0-4分)</w:t>
            </w:r>
          </w:p>
        </w:tc>
        <w:tc>
          <w:tcPr>
            <w:tcW w:w="4828" w:type="dxa"/>
            <w:noWrap w:val="0"/>
            <w:vAlign w:val="center"/>
          </w:tcPr>
          <w:p w14:paraId="54B4AED3">
            <w:pPr>
              <w:pageBreakBefore w:val="0"/>
              <w:kinsoku/>
              <w:overflowPunct/>
              <w:bidi w:val="0"/>
              <w:spacing w:line="240" w:lineRule="auto"/>
              <w:ind w:leftChars="0" w:firstLine="0"/>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202</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年1月1日至今承担过类似项目的业绩，每提供一项得2分，最多得4分。需提供合同清晰的扫描件，以合同</w:t>
            </w:r>
            <w:r>
              <w:rPr>
                <w:rFonts w:hint="eastAsia" w:ascii="宋体" w:hAnsi="宋体" w:cs="宋体"/>
                <w:color w:val="auto"/>
                <w:sz w:val="21"/>
                <w:szCs w:val="21"/>
                <w:highlight w:val="none"/>
                <w:lang w:val="en-US" w:eastAsia="zh-CN"/>
              </w:rPr>
              <w:t>签订</w:t>
            </w:r>
            <w:r>
              <w:rPr>
                <w:rFonts w:hint="eastAsia" w:ascii="宋体" w:hAnsi="宋体" w:eastAsia="宋体" w:cs="宋体"/>
                <w:color w:val="auto"/>
                <w:sz w:val="21"/>
                <w:szCs w:val="21"/>
                <w:highlight w:val="none"/>
                <w:lang w:val="en-US" w:eastAsia="zh-CN"/>
              </w:rPr>
              <w:t>日期为准。</w:t>
            </w:r>
          </w:p>
        </w:tc>
      </w:tr>
      <w:tr w14:paraId="1FD488C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9366" w:type="dxa"/>
            <w:gridSpan w:val="5"/>
            <w:noWrap w:val="0"/>
            <w:vAlign w:val="center"/>
          </w:tcPr>
          <w:p w14:paraId="35BB8C33">
            <w:pPr>
              <w:pageBreakBefore w:val="0"/>
              <w:kinsoku/>
              <w:overflowPunct/>
              <w:bidi w:val="0"/>
              <w:spacing w:line="24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注：1、</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综合得分=投标报价得分+施工组织设计得分＋综合部分得分。</w:t>
            </w:r>
          </w:p>
          <w:p w14:paraId="5F60F6A5">
            <w:pPr>
              <w:pageBreakBefore w:val="0"/>
              <w:kinsoku/>
              <w:overflowPunct/>
              <w:bidi w:val="0"/>
              <w:spacing w:line="240" w:lineRule="auto"/>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的最终得分：（1）在评标委员会完成对技术标、商务标和综合标的汇总后，取算术平均值，作为该</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的最终得分。（2）以上评分计算最终保留两位小数，第三位四舍五入，比值不足1%时，使用插值法。</w:t>
            </w:r>
          </w:p>
          <w:p w14:paraId="37937617">
            <w:pPr>
              <w:pageBreakBefore w:val="0"/>
              <w:kinsoku/>
              <w:overflowPunct/>
              <w:bidi w:val="0"/>
              <w:spacing w:line="24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不再提供原始证件，以投标文件中清晰的复印件或影印件为准。</w:t>
            </w:r>
          </w:p>
        </w:tc>
      </w:tr>
      <w:tr w14:paraId="6FF639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7" w:hRule="atLeast"/>
          <w:jc w:val="center"/>
        </w:trPr>
        <w:tc>
          <w:tcPr>
            <w:tcW w:w="2646" w:type="dxa"/>
            <w:gridSpan w:val="3"/>
            <w:vMerge w:val="restart"/>
            <w:tcBorders>
              <w:top w:val="single" w:color="auto" w:sz="4" w:space="0"/>
              <w:right w:val="single" w:color="auto" w:sz="4" w:space="0"/>
            </w:tcBorders>
            <w:noWrap w:val="0"/>
            <w:vAlign w:val="center"/>
          </w:tcPr>
          <w:p w14:paraId="052A48F0">
            <w:pPr>
              <w:pStyle w:val="18"/>
              <w:spacing w:before="0" w:beforeAutospacing="0" w:after="120" w:afterAutospacing="0" w:line="360" w:lineRule="auto"/>
              <w:jc w:val="center"/>
              <w:rPr>
                <w:rFonts w:hint="eastAsia" w:ascii="宋体" w:hAnsi="宋体" w:eastAsia="宋体" w:cs="宋体"/>
                <w:sz w:val="21"/>
                <w:szCs w:val="21"/>
                <w:highlight w:val="none"/>
              </w:rPr>
            </w:pPr>
            <w:r>
              <w:rPr>
                <w:rFonts w:hint="eastAsia" w:ascii="宋体" w:hAnsi="宋体" w:eastAsia="宋体" w:cs="宋体"/>
                <w:color w:val="auto"/>
                <w:sz w:val="21"/>
                <w:szCs w:val="21"/>
                <w:highlight w:val="none"/>
              </w:rPr>
              <w:t>废标条件</w:t>
            </w:r>
          </w:p>
        </w:tc>
        <w:tc>
          <w:tcPr>
            <w:tcW w:w="6720" w:type="dxa"/>
            <w:gridSpan w:val="2"/>
            <w:tcBorders>
              <w:top w:val="single" w:color="auto" w:sz="4" w:space="0"/>
              <w:left w:val="single" w:color="auto" w:sz="4" w:space="0"/>
              <w:bottom w:val="single" w:color="auto" w:sz="4" w:space="0"/>
            </w:tcBorders>
            <w:noWrap w:val="0"/>
            <w:vAlign w:val="center"/>
          </w:tcPr>
          <w:p w14:paraId="47294733">
            <w:pPr>
              <w:pStyle w:val="13"/>
              <w:spacing w:line="500" w:lineRule="exact"/>
              <w:rPr>
                <w:rFonts w:hint="eastAsia" w:ascii="宋体" w:hAnsi="宋体" w:eastAsia="宋体" w:cs="宋体"/>
                <w:sz w:val="21"/>
                <w:szCs w:val="21"/>
                <w:highlight w:val="none"/>
              </w:rPr>
            </w:pPr>
            <w:r>
              <w:rPr>
                <w:rFonts w:hint="eastAsia" w:ascii="宋体" w:hAnsi="宋体" w:eastAsia="宋体" w:cs="宋体"/>
                <w:color w:val="auto"/>
                <w:sz w:val="21"/>
                <w:szCs w:val="21"/>
                <w:highlight w:val="none"/>
              </w:rPr>
              <w:t>1.当</w:t>
            </w:r>
            <w:r>
              <w:rPr>
                <w:rFonts w:hint="eastAsia" w:hAnsi="宋体" w:cs="宋体"/>
                <w:color w:val="auto"/>
                <w:sz w:val="21"/>
                <w:szCs w:val="21"/>
                <w:highlight w:val="none"/>
                <w:lang w:eastAsia="zh-CN"/>
              </w:rPr>
              <w:t>供应商</w:t>
            </w:r>
            <w:r>
              <w:rPr>
                <w:rFonts w:hint="eastAsia" w:ascii="宋体" w:hAnsi="宋体" w:eastAsia="宋体" w:cs="宋体"/>
                <w:color w:val="auto"/>
                <w:sz w:val="21"/>
                <w:szCs w:val="21"/>
                <w:highlight w:val="none"/>
              </w:rPr>
              <w:t>制作的投标文件机器码一致时，按废标处理。</w:t>
            </w:r>
          </w:p>
        </w:tc>
      </w:tr>
      <w:tr w14:paraId="67BE9E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7" w:hRule="atLeast"/>
          <w:jc w:val="center"/>
        </w:trPr>
        <w:tc>
          <w:tcPr>
            <w:tcW w:w="2646" w:type="dxa"/>
            <w:gridSpan w:val="3"/>
            <w:vMerge w:val="continue"/>
            <w:tcBorders>
              <w:right w:val="single" w:color="auto" w:sz="4" w:space="0"/>
            </w:tcBorders>
            <w:noWrap w:val="0"/>
            <w:vAlign w:val="center"/>
          </w:tcPr>
          <w:p w14:paraId="3F1B963F">
            <w:pPr>
              <w:pStyle w:val="18"/>
              <w:spacing w:before="0" w:beforeAutospacing="0" w:after="120" w:afterAutospacing="0" w:line="360" w:lineRule="auto"/>
              <w:rPr>
                <w:rFonts w:hint="eastAsia" w:ascii="宋体" w:hAnsi="宋体" w:eastAsia="宋体" w:cs="宋体"/>
                <w:sz w:val="21"/>
                <w:szCs w:val="21"/>
                <w:highlight w:val="none"/>
              </w:rPr>
            </w:pPr>
          </w:p>
        </w:tc>
        <w:tc>
          <w:tcPr>
            <w:tcW w:w="6720" w:type="dxa"/>
            <w:gridSpan w:val="2"/>
            <w:tcBorders>
              <w:top w:val="single" w:color="auto" w:sz="4" w:space="0"/>
              <w:left w:val="single" w:color="auto" w:sz="4" w:space="0"/>
              <w:bottom w:val="single" w:color="auto" w:sz="4" w:space="0"/>
            </w:tcBorders>
            <w:noWrap w:val="0"/>
            <w:vAlign w:val="center"/>
          </w:tcPr>
          <w:p w14:paraId="4F1064D6">
            <w:pPr>
              <w:pStyle w:val="13"/>
              <w:spacing w:line="500" w:lineRule="exact"/>
              <w:rPr>
                <w:rFonts w:hint="eastAsia" w:ascii="宋体" w:hAnsi="宋体" w:eastAsia="宋体" w:cs="宋体"/>
                <w:sz w:val="21"/>
                <w:szCs w:val="21"/>
                <w:highlight w:val="none"/>
              </w:rPr>
            </w:pPr>
            <w:r>
              <w:rPr>
                <w:rFonts w:hint="eastAsia" w:ascii="宋体" w:hAnsi="宋体" w:eastAsia="宋体" w:cs="宋体"/>
                <w:color w:val="auto"/>
                <w:sz w:val="21"/>
                <w:szCs w:val="21"/>
                <w:highlight w:val="none"/>
              </w:rPr>
              <w:t>2.串通投标或弄虚作假或有其他违法行为的，按废标处理。</w:t>
            </w:r>
          </w:p>
        </w:tc>
      </w:tr>
      <w:tr w14:paraId="2105B8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7" w:hRule="atLeast"/>
          <w:jc w:val="center"/>
        </w:trPr>
        <w:tc>
          <w:tcPr>
            <w:tcW w:w="2646" w:type="dxa"/>
            <w:gridSpan w:val="3"/>
            <w:vMerge w:val="continue"/>
            <w:tcBorders>
              <w:right w:val="single" w:color="auto" w:sz="4" w:space="0"/>
            </w:tcBorders>
            <w:noWrap w:val="0"/>
            <w:vAlign w:val="center"/>
          </w:tcPr>
          <w:p w14:paraId="5BCD660F">
            <w:pPr>
              <w:pStyle w:val="18"/>
              <w:spacing w:before="0" w:beforeAutospacing="0" w:after="120" w:afterAutospacing="0" w:line="360" w:lineRule="auto"/>
              <w:rPr>
                <w:rFonts w:hint="eastAsia" w:ascii="宋体" w:hAnsi="宋体" w:eastAsia="宋体" w:cs="宋体"/>
                <w:sz w:val="21"/>
                <w:szCs w:val="21"/>
                <w:highlight w:val="none"/>
              </w:rPr>
            </w:pPr>
          </w:p>
        </w:tc>
        <w:tc>
          <w:tcPr>
            <w:tcW w:w="6720" w:type="dxa"/>
            <w:gridSpan w:val="2"/>
            <w:tcBorders>
              <w:top w:val="single" w:color="auto" w:sz="4" w:space="0"/>
              <w:left w:val="single" w:color="auto" w:sz="4" w:space="0"/>
            </w:tcBorders>
            <w:noWrap w:val="0"/>
            <w:vAlign w:val="center"/>
          </w:tcPr>
          <w:p w14:paraId="4CF92F44">
            <w:pPr>
              <w:pStyle w:val="13"/>
              <w:spacing w:line="500" w:lineRule="exact"/>
              <w:rPr>
                <w:rFonts w:hint="eastAsia" w:ascii="宋体" w:hAnsi="宋体" w:eastAsia="宋体" w:cs="宋体"/>
                <w:sz w:val="21"/>
                <w:szCs w:val="21"/>
                <w:highlight w:val="none"/>
              </w:rPr>
            </w:pPr>
            <w:r>
              <w:rPr>
                <w:rFonts w:hint="eastAsia" w:ascii="宋体" w:hAnsi="宋体" w:eastAsia="宋体" w:cs="宋体"/>
                <w:color w:val="auto"/>
                <w:sz w:val="21"/>
                <w:szCs w:val="21"/>
                <w:highlight w:val="none"/>
              </w:rPr>
              <w:t>3.不按评标委员会要求澄清、说明或补正的，按废标处理。</w:t>
            </w:r>
          </w:p>
        </w:tc>
      </w:tr>
    </w:tbl>
    <w:p w14:paraId="6F3A43A7">
      <w:pPr>
        <w:rPr>
          <w:rFonts w:hint="eastAsia" w:ascii="宋体" w:hAnsi="宋体" w:eastAsia="宋体" w:cs="宋体"/>
          <w:highlight w:val="none"/>
          <w:lang w:eastAsia="zh-CN"/>
        </w:rPr>
      </w:pPr>
      <w:r>
        <w:rPr>
          <w:rFonts w:hint="eastAsia" w:ascii="宋体" w:hAnsi="宋体" w:eastAsia="宋体" w:cs="宋体"/>
          <w:highlight w:val="none"/>
          <w:lang w:eastAsia="zh-CN"/>
        </w:rPr>
        <w:br w:type="page"/>
      </w:r>
    </w:p>
    <w:p w14:paraId="0714F8EE">
      <w:pPr>
        <w:pStyle w:val="4"/>
        <w:numPr>
          <w:ilvl w:val="0"/>
          <w:numId w:val="2"/>
        </w:numPr>
        <w:rPr>
          <w:rFonts w:hint="eastAsia" w:ascii="宋体" w:hAnsi="宋体" w:eastAsia="宋体" w:cs="宋体"/>
          <w:sz w:val="24"/>
          <w:szCs w:val="24"/>
          <w:highlight w:val="none"/>
        </w:rPr>
      </w:pPr>
      <w:bookmarkStart w:id="53" w:name="_Toc22922"/>
      <w:bookmarkStart w:id="54" w:name="_Toc25935"/>
      <w:bookmarkStart w:id="55" w:name="_Toc19328"/>
      <w:bookmarkStart w:id="56" w:name="_Toc5114"/>
      <w:bookmarkStart w:id="57" w:name="_Toc11182"/>
      <w:bookmarkStart w:id="58" w:name="_Toc15298"/>
      <w:bookmarkStart w:id="59" w:name="_Toc5241"/>
      <w:bookmarkStart w:id="60" w:name="_Toc23063"/>
      <w:r>
        <w:rPr>
          <w:rFonts w:hint="eastAsia" w:ascii="宋体" w:hAnsi="宋体" w:eastAsia="宋体" w:cs="宋体"/>
          <w:sz w:val="24"/>
          <w:szCs w:val="24"/>
          <w:highlight w:val="none"/>
        </w:rPr>
        <w:t>评标办法</w:t>
      </w:r>
      <w:bookmarkEnd w:id="53"/>
      <w:bookmarkEnd w:id="54"/>
      <w:bookmarkEnd w:id="55"/>
      <w:bookmarkEnd w:id="56"/>
      <w:bookmarkEnd w:id="57"/>
      <w:bookmarkEnd w:id="58"/>
      <w:bookmarkEnd w:id="59"/>
      <w:bookmarkEnd w:id="60"/>
    </w:p>
    <w:p w14:paraId="339DAA66">
      <w:pPr>
        <w:autoSpaceDE w:val="0"/>
        <w:autoSpaceDN w:val="0"/>
        <w:adjustRightInd w:val="0"/>
        <w:spacing w:line="360" w:lineRule="auto"/>
        <w:ind w:right="-23" w:firstLine="420" w:firstLineChars="20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本次招标采用综合评分法评标，投标文件满足招标文件全部实质性要求，且按照评审因素的量化指标评审得分最高的</w:t>
      </w:r>
      <w:r>
        <w:rPr>
          <w:rFonts w:hint="eastAsia" w:ascii="宋体" w:hAnsi="宋体" w:cs="宋体"/>
          <w:kern w:val="0"/>
          <w:szCs w:val="21"/>
          <w:highlight w:val="none"/>
          <w:lang w:eastAsia="zh-CN"/>
        </w:rPr>
        <w:t>供应商</w:t>
      </w:r>
      <w:r>
        <w:rPr>
          <w:rFonts w:hint="eastAsia" w:ascii="宋体" w:hAnsi="宋体" w:eastAsia="宋体" w:cs="宋体"/>
          <w:kern w:val="0"/>
          <w:szCs w:val="21"/>
          <w:highlight w:val="none"/>
        </w:rPr>
        <w:t>为中标候选人的评标方法。</w:t>
      </w:r>
    </w:p>
    <w:p w14:paraId="4B8B9C5B">
      <w:pPr>
        <w:pStyle w:val="4"/>
        <w:numPr>
          <w:ilvl w:val="0"/>
          <w:numId w:val="2"/>
        </w:numPr>
        <w:rPr>
          <w:rFonts w:hint="eastAsia" w:ascii="宋体" w:hAnsi="宋体" w:eastAsia="宋体" w:cs="宋体"/>
          <w:sz w:val="24"/>
          <w:szCs w:val="24"/>
          <w:highlight w:val="none"/>
        </w:rPr>
      </w:pPr>
      <w:bookmarkStart w:id="61" w:name="_Toc20861"/>
      <w:bookmarkStart w:id="62" w:name="_Toc6135"/>
      <w:bookmarkStart w:id="63" w:name="_Toc29751"/>
      <w:bookmarkStart w:id="64" w:name="_Toc4469"/>
      <w:bookmarkStart w:id="65" w:name="_Toc26533"/>
      <w:bookmarkStart w:id="66" w:name="_Toc3406"/>
      <w:bookmarkStart w:id="67" w:name="_Toc20590"/>
      <w:bookmarkStart w:id="68" w:name="_Toc15517"/>
      <w:bookmarkStart w:id="69" w:name="_Toc15170"/>
      <w:bookmarkStart w:id="70" w:name="_Toc4003"/>
      <w:bookmarkStart w:id="71" w:name="_Toc25766"/>
      <w:bookmarkStart w:id="72" w:name="_Toc4802"/>
      <w:bookmarkStart w:id="73" w:name="_Toc5920"/>
      <w:r>
        <w:rPr>
          <w:rFonts w:hint="eastAsia" w:ascii="宋体" w:hAnsi="宋体" w:eastAsia="宋体" w:cs="宋体"/>
          <w:sz w:val="24"/>
          <w:szCs w:val="24"/>
          <w:highlight w:val="none"/>
        </w:rPr>
        <w:t>评审标准</w:t>
      </w:r>
      <w:bookmarkEnd w:id="61"/>
      <w:bookmarkEnd w:id="62"/>
      <w:bookmarkEnd w:id="63"/>
      <w:bookmarkEnd w:id="64"/>
      <w:bookmarkEnd w:id="65"/>
      <w:bookmarkEnd w:id="66"/>
      <w:bookmarkEnd w:id="67"/>
      <w:bookmarkEnd w:id="68"/>
      <w:bookmarkEnd w:id="69"/>
      <w:bookmarkEnd w:id="70"/>
      <w:bookmarkEnd w:id="71"/>
      <w:bookmarkEnd w:id="72"/>
      <w:bookmarkEnd w:id="73"/>
    </w:p>
    <w:p w14:paraId="3AB35D33">
      <w:pPr>
        <w:pStyle w:val="4"/>
        <w:rPr>
          <w:rFonts w:hint="eastAsia" w:ascii="宋体" w:hAnsi="宋体" w:eastAsia="宋体" w:cs="宋体"/>
          <w:highlight w:val="none"/>
        </w:rPr>
      </w:pPr>
      <w:bookmarkStart w:id="74" w:name="_Toc12847"/>
      <w:bookmarkStart w:id="75" w:name="_Toc25614"/>
      <w:bookmarkStart w:id="76" w:name="_Toc10568"/>
      <w:bookmarkStart w:id="77" w:name="_Toc27782"/>
      <w:bookmarkStart w:id="78" w:name="_Toc21567"/>
      <w:bookmarkStart w:id="79" w:name="_Toc23245"/>
      <w:bookmarkStart w:id="80" w:name="_Toc24699"/>
      <w:bookmarkStart w:id="81" w:name="_Toc15959"/>
      <w:bookmarkStart w:id="82" w:name="_Toc4247"/>
      <w:bookmarkStart w:id="83" w:name="_Toc26458"/>
      <w:bookmarkStart w:id="84" w:name="_Toc20701"/>
      <w:bookmarkStart w:id="85" w:name="_Toc6703"/>
      <w:bookmarkStart w:id="86" w:name="_Toc13690"/>
      <w:r>
        <w:rPr>
          <w:rFonts w:hint="eastAsia" w:ascii="宋体" w:hAnsi="宋体" w:eastAsia="宋体" w:cs="宋体"/>
          <w:highlight w:val="none"/>
        </w:rPr>
        <w:t>2.1符合性评审</w:t>
      </w:r>
      <w:bookmarkEnd w:id="74"/>
      <w:bookmarkEnd w:id="75"/>
      <w:bookmarkEnd w:id="76"/>
      <w:bookmarkEnd w:id="77"/>
      <w:bookmarkEnd w:id="78"/>
      <w:bookmarkEnd w:id="79"/>
      <w:bookmarkEnd w:id="80"/>
      <w:bookmarkEnd w:id="81"/>
      <w:bookmarkEnd w:id="82"/>
      <w:bookmarkEnd w:id="83"/>
      <w:bookmarkEnd w:id="84"/>
      <w:bookmarkEnd w:id="85"/>
      <w:bookmarkEnd w:id="86"/>
    </w:p>
    <w:p w14:paraId="21AEFEAF">
      <w:pPr>
        <w:autoSpaceDE w:val="0"/>
        <w:autoSpaceDN w:val="0"/>
        <w:adjustRightInd w:val="0"/>
        <w:spacing w:line="360" w:lineRule="auto"/>
        <w:ind w:left="522" w:right="-23"/>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符合性审查标准：见评标办法前附表。</w:t>
      </w:r>
    </w:p>
    <w:p w14:paraId="59B85DA5">
      <w:pPr>
        <w:pStyle w:val="4"/>
        <w:rPr>
          <w:rFonts w:hint="eastAsia" w:ascii="宋体" w:hAnsi="宋体" w:eastAsia="宋体" w:cs="宋体"/>
          <w:highlight w:val="none"/>
        </w:rPr>
      </w:pPr>
      <w:bookmarkStart w:id="87" w:name="_Toc31651"/>
      <w:bookmarkStart w:id="88" w:name="_Toc26407"/>
      <w:bookmarkStart w:id="89" w:name="_Toc17735"/>
      <w:bookmarkStart w:id="90" w:name="_Toc27691"/>
      <w:bookmarkStart w:id="91" w:name="_Toc28336"/>
      <w:bookmarkStart w:id="92" w:name="_Toc29139"/>
      <w:bookmarkStart w:id="93" w:name="_Toc3493"/>
      <w:bookmarkStart w:id="94" w:name="_Toc26096"/>
      <w:bookmarkStart w:id="95" w:name="_Toc31413"/>
      <w:bookmarkStart w:id="96" w:name="_Toc12877"/>
      <w:bookmarkStart w:id="97" w:name="_Toc27480"/>
      <w:bookmarkStart w:id="98" w:name="_Toc7259"/>
      <w:bookmarkStart w:id="99" w:name="_Toc19134"/>
      <w:r>
        <w:rPr>
          <w:rFonts w:hint="eastAsia" w:ascii="宋体" w:hAnsi="宋体" w:eastAsia="宋体" w:cs="宋体"/>
          <w:highlight w:val="none"/>
        </w:rPr>
        <w:t>2.2分值构成与评分标准</w:t>
      </w:r>
      <w:bookmarkEnd w:id="87"/>
      <w:bookmarkEnd w:id="88"/>
      <w:bookmarkEnd w:id="89"/>
      <w:bookmarkEnd w:id="90"/>
      <w:bookmarkEnd w:id="91"/>
      <w:bookmarkEnd w:id="92"/>
      <w:bookmarkEnd w:id="93"/>
      <w:bookmarkEnd w:id="94"/>
      <w:bookmarkEnd w:id="95"/>
      <w:bookmarkEnd w:id="96"/>
      <w:bookmarkEnd w:id="97"/>
      <w:bookmarkEnd w:id="98"/>
      <w:bookmarkEnd w:id="99"/>
    </w:p>
    <w:p w14:paraId="310DEEB2">
      <w:pPr>
        <w:autoSpaceDE w:val="0"/>
        <w:autoSpaceDN w:val="0"/>
        <w:adjustRightInd w:val="0"/>
        <w:spacing w:line="360" w:lineRule="auto"/>
        <w:ind w:left="520" w:right="-2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2.2.1分</w:t>
      </w:r>
      <w:r>
        <w:rPr>
          <w:rFonts w:hint="eastAsia" w:ascii="宋体" w:hAnsi="宋体" w:eastAsia="宋体" w:cs="宋体"/>
          <w:spacing w:val="-2"/>
          <w:kern w:val="0"/>
          <w:szCs w:val="21"/>
          <w:highlight w:val="none"/>
        </w:rPr>
        <w:t>值</w:t>
      </w:r>
      <w:r>
        <w:rPr>
          <w:rFonts w:hint="eastAsia" w:ascii="宋体" w:hAnsi="宋体" w:eastAsia="宋体" w:cs="宋体"/>
          <w:kern w:val="0"/>
          <w:szCs w:val="21"/>
          <w:highlight w:val="none"/>
        </w:rPr>
        <w:t>构成</w:t>
      </w:r>
    </w:p>
    <w:p w14:paraId="6250AA38">
      <w:pPr>
        <w:numPr>
          <w:ilvl w:val="0"/>
          <w:numId w:val="3"/>
        </w:numPr>
        <w:autoSpaceDE w:val="0"/>
        <w:autoSpaceDN w:val="0"/>
        <w:adjustRightInd w:val="0"/>
        <w:spacing w:line="360" w:lineRule="auto"/>
        <w:ind w:left="0" w:right="40" w:firstLine="420" w:firstLineChars="20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投标报价：见评标办法前附表；</w:t>
      </w:r>
    </w:p>
    <w:p w14:paraId="1623B542">
      <w:pPr>
        <w:numPr>
          <w:ilvl w:val="0"/>
          <w:numId w:val="3"/>
        </w:numPr>
        <w:autoSpaceDE w:val="0"/>
        <w:autoSpaceDN w:val="0"/>
        <w:adjustRightInd w:val="0"/>
        <w:spacing w:line="360" w:lineRule="auto"/>
        <w:ind w:left="0" w:right="40" w:firstLine="420" w:firstLineChars="20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技术部分：见评标办法前附表；</w:t>
      </w:r>
    </w:p>
    <w:p w14:paraId="6CCE4F1E">
      <w:pPr>
        <w:numPr>
          <w:ilvl w:val="0"/>
          <w:numId w:val="3"/>
        </w:numPr>
        <w:autoSpaceDE w:val="0"/>
        <w:autoSpaceDN w:val="0"/>
        <w:adjustRightInd w:val="0"/>
        <w:spacing w:line="360" w:lineRule="auto"/>
        <w:ind w:left="0" w:right="40" w:firstLine="420" w:firstLineChars="200"/>
        <w:jc w:val="left"/>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综合部分</w:t>
      </w:r>
      <w:r>
        <w:rPr>
          <w:rFonts w:hint="eastAsia" w:ascii="宋体" w:hAnsi="宋体" w:eastAsia="宋体" w:cs="宋体"/>
          <w:kern w:val="0"/>
          <w:szCs w:val="21"/>
          <w:highlight w:val="none"/>
        </w:rPr>
        <w:t>：见评标办法前附表；</w:t>
      </w:r>
    </w:p>
    <w:p w14:paraId="3406F88F">
      <w:pPr>
        <w:autoSpaceDE w:val="0"/>
        <w:autoSpaceDN w:val="0"/>
        <w:adjustRightInd w:val="0"/>
        <w:spacing w:before="7" w:line="360" w:lineRule="auto"/>
        <w:ind w:left="520" w:right="-2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2.2.2评</w:t>
      </w:r>
      <w:r>
        <w:rPr>
          <w:rFonts w:hint="eastAsia" w:ascii="宋体" w:hAnsi="宋体" w:eastAsia="宋体" w:cs="宋体"/>
          <w:spacing w:val="-2"/>
          <w:kern w:val="0"/>
          <w:szCs w:val="21"/>
          <w:highlight w:val="none"/>
        </w:rPr>
        <w:t>分</w:t>
      </w:r>
      <w:r>
        <w:rPr>
          <w:rFonts w:hint="eastAsia" w:ascii="宋体" w:hAnsi="宋体" w:eastAsia="宋体" w:cs="宋体"/>
          <w:kern w:val="0"/>
          <w:szCs w:val="21"/>
          <w:highlight w:val="none"/>
        </w:rPr>
        <w:t>标准</w:t>
      </w:r>
    </w:p>
    <w:p w14:paraId="634D7DF1">
      <w:pPr>
        <w:numPr>
          <w:ilvl w:val="0"/>
          <w:numId w:val="4"/>
        </w:numPr>
        <w:autoSpaceDE w:val="0"/>
        <w:autoSpaceDN w:val="0"/>
        <w:adjustRightInd w:val="0"/>
        <w:spacing w:line="360" w:lineRule="auto"/>
        <w:ind w:left="0" w:right="40" w:firstLine="420" w:firstLineChars="20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投标报价</w:t>
      </w:r>
      <w:r>
        <w:rPr>
          <w:rFonts w:hint="eastAsia" w:ascii="宋体" w:hAnsi="宋体" w:eastAsia="宋体" w:cs="宋体"/>
          <w:kern w:val="0"/>
          <w:szCs w:val="21"/>
          <w:highlight w:val="none"/>
          <w:lang w:val="en-US" w:eastAsia="zh-CN"/>
        </w:rPr>
        <w:t>评分标准</w:t>
      </w:r>
      <w:r>
        <w:rPr>
          <w:rFonts w:hint="eastAsia" w:ascii="宋体" w:hAnsi="宋体" w:eastAsia="宋体" w:cs="宋体"/>
          <w:kern w:val="0"/>
          <w:szCs w:val="21"/>
          <w:highlight w:val="none"/>
        </w:rPr>
        <w:t>：见评标办法前附表；</w:t>
      </w:r>
    </w:p>
    <w:p w14:paraId="5BF0B82D">
      <w:pPr>
        <w:numPr>
          <w:ilvl w:val="0"/>
          <w:numId w:val="4"/>
        </w:numPr>
        <w:autoSpaceDE w:val="0"/>
        <w:autoSpaceDN w:val="0"/>
        <w:adjustRightInd w:val="0"/>
        <w:spacing w:line="360" w:lineRule="auto"/>
        <w:ind w:left="0" w:right="40" w:firstLine="420" w:firstLineChars="20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技术部分</w:t>
      </w:r>
      <w:r>
        <w:rPr>
          <w:rFonts w:hint="eastAsia" w:ascii="宋体" w:hAnsi="宋体" w:eastAsia="宋体" w:cs="宋体"/>
          <w:kern w:val="0"/>
          <w:szCs w:val="21"/>
          <w:highlight w:val="none"/>
          <w:lang w:val="en-US" w:eastAsia="zh-CN"/>
        </w:rPr>
        <w:t>评分标准</w:t>
      </w:r>
      <w:r>
        <w:rPr>
          <w:rFonts w:hint="eastAsia" w:ascii="宋体" w:hAnsi="宋体" w:eastAsia="宋体" w:cs="宋体"/>
          <w:kern w:val="0"/>
          <w:szCs w:val="21"/>
          <w:highlight w:val="none"/>
        </w:rPr>
        <w:t>：见评标办法前附表；</w:t>
      </w:r>
    </w:p>
    <w:p w14:paraId="0F24A7FE">
      <w:pPr>
        <w:numPr>
          <w:ilvl w:val="0"/>
          <w:numId w:val="4"/>
        </w:numPr>
        <w:autoSpaceDE w:val="0"/>
        <w:autoSpaceDN w:val="0"/>
        <w:adjustRightInd w:val="0"/>
        <w:spacing w:line="360" w:lineRule="auto"/>
        <w:ind w:left="0" w:right="40" w:firstLine="420" w:firstLineChars="200"/>
        <w:jc w:val="left"/>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综合部分评分标准</w:t>
      </w:r>
      <w:r>
        <w:rPr>
          <w:rFonts w:hint="eastAsia" w:ascii="宋体" w:hAnsi="宋体" w:eastAsia="宋体" w:cs="宋体"/>
          <w:kern w:val="0"/>
          <w:szCs w:val="21"/>
          <w:highlight w:val="none"/>
        </w:rPr>
        <w:t>：见评标办法前附表；</w:t>
      </w:r>
    </w:p>
    <w:p w14:paraId="6738ABA3">
      <w:pPr>
        <w:pStyle w:val="4"/>
        <w:numPr>
          <w:ilvl w:val="0"/>
          <w:numId w:val="2"/>
        </w:numPr>
        <w:rPr>
          <w:rFonts w:hint="eastAsia" w:ascii="宋体" w:hAnsi="宋体" w:eastAsia="宋体" w:cs="宋体"/>
          <w:sz w:val="24"/>
          <w:szCs w:val="24"/>
          <w:highlight w:val="none"/>
        </w:rPr>
      </w:pPr>
      <w:bookmarkStart w:id="100" w:name="_Toc17552"/>
      <w:bookmarkStart w:id="101" w:name="_Toc28110"/>
      <w:bookmarkStart w:id="102" w:name="_Toc13556"/>
      <w:bookmarkStart w:id="103" w:name="_Toc21732"/>
      <w:bookmarkStart w:id="104" w:name="_Toc26726"/>
      <w:bookmarkStart w:id="105" w:name="_Toc16356"/>
      <w:bookmarkStart w:id="106" w:name="_Toc28724"/>
      <w:bookmarkStart w:id="107" w:name="_Toc11872"/>
      <w:bookmarkStart w:id="108" w:name="_Toc31723"/>
      <w:bookmarkStart w:id="109" w:name="_Toc31855"/>
      <w:bookmarkStart w:id="110" w:name="_Toc11650"/>
      <w:bookmarkStart w:id="111" w:name="_Toc4338"/>
      <w:bookmarkStart w:id="112" w:name="_Toc1279"/>
      <w:r>
        <w:rPr>
          <w:rFonts w:hint="eastAsia" w:ascii="宋体" w:hAnsi="宋体" w:eastAsia="宋体" w:cs="宋体"/>
          <w:sz w:val="24"/>
          <w:szCs w:val="24"/>
          <w:highlight w:val="none"/>
        </w:rPr>
        <w:t>评审程序</w:t>
      </w:r>
      <w:bookmarkEnd w:id="100"/>
      <w:bookmarkEnd w:id="101"/>
      <w:bookmarkEnd w:id="102"/>
      <w:bookmarkEnd w:id="103"/>
      <w:bookmarkEnd w:id="104"/>
      <w:bookmarkEnd w:id="105"/>
      <w:bookmarkEnd w:id="106"/>
      <w:bookmarkEnd w:id="107"/>
      <w:bookmarkEnd w:id="108"/>
      <w:bookmarkEnd w:id="109"/>
      <w:bookmarkEnd w:id="110"/>
      <w:bookmarkEnd w:id="111"/>
      <w:bookmarkEnd w:id="112"/>
    </w:p>
    <w:p w14:paraId="2DE8B61C">
      <w:pPr>
        <w:pStyle w:val="4"/>
        <w:rPr>
          <w:rFonts w:hint="eastAsia" w:ascii="宋体" w:hAnsi="宋体" w:eastAsia="宋体" w:cs="宋体"/>
          <w:highlight w:val="none"/>
        </w:rPr>
      </w:pPr>
      <w:bookmarkStart w:id="113" w:name="_Toc24545"/>
      <w:bookmarkStart w:id="114" w:name="_Toc1654"/>
      <w:bookmarkStart w:id="115" w:name="_Toc10682"/>
      <w:bookmarkStart w:id="116" w:name="_Toc25200"/>
      <w:bookmarkStart w:id="117" w:name="_Toc5708"/>
      <w:bookmarkStart w:id="118" w:name="_Toc9443"/>
      <w:bookmarkStart w:id="119" w:name="_Toc4311"/>
      <w:bookmarkStart w:id="120" w:name="_Toc32083"/>
      <w:bookmarkStart w:id="121" w:name="_Toc3555"/>
      <w:bookmarkStart w:id="122" w:name="_Toc2428"/>
      <w:bookmarkStart w:id="123" w:name="_Toc30609"/>
      <w:bookmarkStart w:id="124" w:name="_Toc30777"/>
      <w:bookmarkStart w:id="125" w:name="_Toc5835"/>
      <w:r>
        <w:rPr>
          <w:rFonts w:hint="eastAsia" w:ascii="宋体" w:hAnsi="宋体" w:eastAsia="宋体" w:cs="宋体"/>
          <w:highlight w:val="none"/>
        </w:rPr>
        <w:t>3.1符合性审查</w:t>
      </w:r>
      <w:bookmarkEnd w:id="113"/>
      <w:bookmarkEnd w:id="114"/>
      <w:bookmarkEnd w:id="115"/>
      <w:bookmarkEnd w:id="116"/>
      <w:bookmarkEnd w:id="117"/>
      <w:bookmarkEnd w:id="118"/>
      <w:bookmarkEnd w:id="119"/>
      <w:bookmarkEnd w:id="120"/>
      <w:bookmarkEnd w:id="121"/>
      <w:bookmarkEnd w:id="122"/>
      <w:bookmarkEnd w:id="123"/>
      <w:bookmarkEnd w:id="124"/>
      <w:bookmarkEnd w:id="125"/>
    </w:p>
    <w:p w14:paraId="0EBAF80B">
      <w:pPr>
        <w:autoSpaceDE w:val="0"/>
        <w:autoSpaceDN w:val="0"/>
        <w:adjustRightInd w:val="0"/>
        <w:spacing w:line="360" w:lineRule="auto"/>
        <w:ind w:left="100" w:right="40" w:firstLine="420"/>
        <w:jc w:val="left"/>
        <w:rPr>
          <w:rFonts w:hint="eastAsia" w:ascii="宋体" w:hAnsi="宋体" w:eastAsia="宋体" w:cs="宋体"/>
          <w:b/>
          <w:spacing w:val="-2"/>
          <w:kern w:val="0"/>
          <w:szCs w:val="21"/>
          <w:highlight w:val="none"/>
        </w:rPr>
      </w:pPr>
      <w:r>
        <w:rPr>
          <w:rFonts w:hint="eastAsia" w:ascii="宋体" w:hAnsi="宋体" w:eastAsia="宋体" w:cs="宋体"/>
          <w:kern w:val="0"/>
          <w:szCs w:val="21"/>
          <w:highlight w:val="none"/>
        </w:rPr>
        <w:t>评</w:t>
      </w:r>
      <w:r>
        <w:rPr>
          <w:rFonts w:hint="eastAsia" w:ascii="宋体" w:hAnsi="宋体" w:eastAsia="宋体" w:cs="宋体"/>
          <w:spacing w:val="-2"/>
          <w:kern w:val="0"/>
          <w:szCs w:val="21"/>
          <w:highlight w:val="none"/>
        </w:rPr>
        <w:t>标</w:t>
      </w:r>
      <w:r>
        <w:rPr>
          <w:rFonts w:hint="eastAsia" w:ascii="宋体" w:hAnsi="宋体" w:eastAsia="宋体" w:cs="宋体"/>
          <w:kern w:val="0"/>
          <w:szCs w:val="21"/>
          <w:highlight w:val="none"/>
        </w:rPr>
        <w:t>委</w:t>
      </w:r>
      <w:r>
        <w:rPr>
          <w:rFonts w:hint="eastAsia" w:ascii="宋体" w:hAnsi="宋体" w:eastAsia="宋体" w:cs="宋体"/>
          <w:spacing w:val="-2"/>
          <w:kern w:val="0"/>
          <w:szCs w:val="21"/>
          <w:highlight w:val="none"/>
        </w:rPr>
        <w:t>员</w:t>
      </w:r>
      <w:r>
        <w:rPr>
          <w:rFonts w:hint="eastAsia" w:ascii="宋体" w:hAnsi="宋体" w:eastAsia="宋体" w:cs="宋体"/>
          <w:kern w:val="0"/>
          <w:szCs w:val="21"/>
          <w:highlight w:val="none"/>
        </w:rPr>
        <w:t>会</w:t>
      </w:r>
      <w:r>
        <w:rPr>
          <w:rFonts w:hint="eastAsia" w:ascii="宋体" w:hAnsi="宋体" w:eastAsia="宋体" w:cs="宋体"/>
          <w:spacing w:val="-2"/>
          <w:kern w:val="0"/>
          <w:szCs w:val="21"/>
          <w:highlight w:val="none"/>
        </w:rPr>
        <w:t>依</w:t>
      </w:r>
      <w:r>
        <w:rPr>
          <w:rFonts w:hint="eastAsia" w:ascii="宋体" w:hAnsi="宋体" w:eastAsia="宋体" w:cs="宋体"/>
          <w:kern w:val="0"/>
          <w:szCs w:val="21"/>
          <w:highlight w:val="none"/>
        </w:rPr>
        <w:t>据本</w:t>
      </w:r>
      <w:r>
        <w:rPr>
          <w:rFonts w:hint="eastAsia" w:ascii="宋体" w:hAnsi="宋体" w:eastAsia="宋体" w:cs="宋体"/>
          <w:spacing w:val="-2"/>
          <w:kern w:val="0"/>
          <w:szCs w:val="21"/>
          <w:highlight w:val="none"/>
        </w:rPr>
        <w:t>章</w:t>
      </w:r>
      <w:r>
        <w:rPr>
          <w:rFonts w:hint="eastAsia" w:ascii="宋体" w:hAnsi="宋体" w:eastAsia="宋体" w:cs="宋体"/>
          <w:kern w:val="0"/>
          <w:szCs w:val="21"/>
          <w:highlight w:val="none"/>
        </w:rPr>
        <w:t>评标办法前附表</w:t>
      </w:r>
      <w:r>
        <w:rPr>
          <w:rFonts w:hint="eastAsia" w:ascii="宋体" w:hAnsi="宋体" w:eastAsia="宋体" w:cs="宋体"/>
          <w:spacing w:val="-2"/>
          <w:kern w:val="0"/>
          <w:szCs w:val="21"/>
          <w:highlight w:val="none"/>
        </w:rPr>
        <w:t>规</w:t>
      </w:r>
      <w:r>
        <w:rPr>
          <w:rFonts w:hint="eastAsia" w:ascii="宋体" w:hAnsi="宋体" w:eastAsia="宋体" w:cs="宋体"/>
          <w:kern w:val="0"/>
          <w:szCs w:val="21"/>
          <w:highlight w:val="none"/>
        </w:rPr>
        <w:t>定</w:t>
      </w:r>
      <w:r>
        <w:rPr>
          <w:rFonts w:hint="eastAsia" w:ascii="宋体" w:hAnsi="宋体" w:eastAsia="宋体" w:cs="宋体"/>
          <w:spacing w:val="-2"/>
          <w:kern w:val="0"/>
          <w:szCs w:val="21"/>
          <w:highlight w:val="none"/>
        </w:rPr>
        <w:t>的标</w:t>
      </w:r>
      <w:r>
        <w:rPr>
          <w:rFonts w:hint="eastAsia" w:ascii="宋体" w:hAnsi="宋体" w:eastAsia="宋体" w:cs="宋体"/>
          <w:kern w:val="0"/>
          <w:szCs w:val="21"/>
          <w:highlight w:val="none"/>
        </w:rPr>
        <w:t>准，对</w:t>
      </w:r>
      <w:r>
        <w:rPr>
          <w:rFonts w:hint="eastAsia" w:ascii="宋体" w:hAnsi="宋体" w:eastAsia="宋体" w:cs="宋体"/>
          <w:spacing w:val="-2"/>
          <w:kern w:val="0"/>
          <w:szCs w:val="21"/>
          <w:highlight w:val="none"/>
        </w:rPr>
        <w:t>符合资格的</w:t>
      </w:r>
      <w:r>
        <w:rPr>
          <w:rFonts w:hint="eastAsia" w:ascii="宋体" w:hAnsi="宋体" w:cs="宋体"/>
          <w:spacing w:val="-2"/>
          <w:kern w:val="0"/>
          <w:szCs w:val="21"/>
          <w:highlight w:val="none"/>
          <w:lang w:eastAsia="zh-CN"/>
        </w:rPr>
        <w:t>供应商</w:t>
      </w:r>
      <w:r>
        <w:rPr>
          <w:rFonts w:hint="eastAsia" w:ascii="宋体" w:hAnsi="宋体" w:eastAsia="宋体" w:cs="宋体"/>
          <w:spacing w:val="-2"/>
          <w:kern w:val="0"/>
          <w:szCs w:val="21"/>
          <w:highlight w:val="none"/>
        </w:rPr>
        <w:t>的投标文件进行符合性审查，以确定其是否满足招标文件的实质性要求</w:t>
      </w:r>
      <w:r>
        <w:rPr>
          <w:rFonts w:hint="eastAsia" w:ascii="宋体" w:hAnsi="宋体" w:eastAsia="宋体" w:cs="宋体"/>
          <w:kern w:val="0"/>
          <w:szCs w:val="21"/>
          <w:highlight w:val="none"/>
        </w:rPr>
        <w:t>，</w:t>
      </w:r>
      <w:r>
        <w:rPr>
          <w:rFonts w:hint="eastAsia" w:ascii="宋体" w:hAnsi="宋体" w:eastAsia="宋体" w:cs="宋体"/>
          <w:spacing w:val="-2"/>
          <w:kern w:val="0"/>
          <w:szCs w:val="21"/>
          <w:highlight w:val="none"/>
        </w:rPr>
        <w:t>有</w:t>
      </w:r>
      <w:r>
        <w:rPr>
          <w:rFonts w:hint="eastAsia" w:ascii="宋体" w:hAnsi="宋体" w:eastAsia="宋体" w:cs="宋体"/>
          <w:kern w:val="0"/>
          <w:szCs w:val="21"/>
          <w:highlight w:val="none"/>
        </w:rPr>
        <w:t>一</w:t>
      </w:r>
      <w:r>
        <w:rPr>
          <w:rFonts w:hint="eastAsia" w:ascii="宋体" w:hAnsi="宋体" w:eastAsia="宋体" w:cs="宋体"/>
          <w:spacing w:val="-2"/>
          <w:kern w:val="0"/>
          <w:szCs w:val="21"/>
          <w:highlight w:val="none"/>
        </w:rPr>
        <w:t>项</w:t>
      </w:r>
      <w:r>
        <w:rPr>
          <w:rFonts w:hint="eastAsia" w:ascii="宋体" w:hAnsi="宋体" w:eastAsia="宋体" w:cs="宋体"/>
          <w:kern w:val="0"/>
          <w:szCs w:val="21"/>
          <w:highlight w:val="none"/>
        </w:rPr>
        <w:t>不</w:t>
      </w:r>
      <w:r>
        <w:rPr>
          <w:rFonts w:hint="eastAsia" w:ascii="宋体" w:hAnsi="宋体" w:eastAsia="宋体" w:cs="宋体"/>
          <w:spacing w:val="-2"/>
          <w:kern w:val="0"/>
          <w:szCs w:val="21"/>
          <w:highlight w:val="none"/>
        </w:rPr>
        <w:t>符</w:t>
      </w:r>
      <w:r>
        <w:rPr>
          <w:rFonts w:hint="eastAsia" w:ascii="宋体" w:hAnsi="宋体" w:eastAsia="宋体" w:cs="宋体"/>
          <w:kern w:val="0"/>
          <w:szCs w:val="21"/>
          <w:highlight w:val="none"/>
        </w:rPr>
        <w:t>合评审</w:t>
      </w:r>
      <w:r>
        <w:rPr>
          <w:rFonts w:hint="eastAsia" w:ascii="宋体" w:hAnsi="宋体" w:eastAsia="宋体" w:cs="宋体"/>
          <w:spacing w:val="-2"/>
          <w:kern w:val="0"/>
          <w:szCs w:val="21"/>
          <w:highlight w:val="none"/>
        </w:rPr>
        <w:t>标</w:t>
      </w:r>
      <w:r>
        <w:rPr>
          <w:rFonts w:hint="eastAsia" w:ascii="宋体" w:hAnsi="宋体" w:eastAsia="宋体" w:cs="宋体"/>
          <w:kern w:val="0"/>
          <w:szCs w:val="21"/>
          <w:highlight w:val="none"/>
        </w:rPr>
        <w:t>准</w:t>
      </w:r>
      <w:r>
        <w:rPr>
          <w:rFonts w:hint="eastAsia" w:ascii="宋体" w:hAnsi="宋体" w:eastAsia="宋体" w:cs="宋体"/>
          <w:spacing w:val="-2"/>
          <w:kern w:val="0"/>
          <w:szCs w:val="21"/>
          <w:highlight w:val="none"/>
        </w:rPr>
        <w:t>的</w:t>
      </w:r>
      <w:r>
        <w:rPr>
          <w:rFonts w:hint="eastAsia" w:ascii="宋体" w:hAnsi="宋体" w:eastAsia="宋体" w:cs="宋体"/>
          <w:kern w:val="0"/>
          <w:szCs w:val="21"/>
          <w:highlight w:val="none"/>
        </w:rPr>
        <w:t>，</w:t>
      </w:r>
      <w:r>
        <w:rPr>
          <w:rFonts w:hint="eastAsia" w:ascii="宋体" w:hAnsi="宋体" w:eastAsia="宋体" w:cs="宋体"/>
          <w:spacing w:val="-2"/>
          <w:kern w:val="0"/>
          <w:szCs w:val="21"/>
          <w:highlight w:val="none"/>
        </w:rPr>
        <w:t>评</w:t>
      </w:r>
      <w:r>
        <w:rPr>
          <w:rFonts w:hint="eastAsia" w:ascii="宋体" w:hAnsi="宋体" w:eastAsia="宋体" w:cs="宋体"/>
          <w:kern w:val="0"/>
          <w:szCs w:val="21"/>
          <w:highlight w:val="none"/>
        </w:rPr>
        <w:t>标</w:t>
      </w:r>
      <w:r>
        <w:rPr>
          <w:rFonts w:hint="eastAsia" w:ascii="宋体" w:hAnsi="宋体" w:eastAsia="宋体" w:cs="宋体"/>
          <w:spacing w:val="-2"/>
          <w:kern w:val="0"/>
          <w:szCs w:val="21"/>
          <w:highlight w:val="none"/>
        </w:rPr>
        <w:t>委</w:t>
      </w:r>
      <w:r>
        <w:rPr>
          <w:rFonts w:hint="eastAsia" w:ascii="宋体" w:hAnsi="宋体" w:eastAsia="宋体" w:cs="宋体"/>
          <w:kern w:val="0"/>
          <w:szCs w:val="21"/>
          <w:highlight w:val="none"/>
        </w:rPr>
        <w:t>员</w:t>
      </w:r>
      <w:r>
        <w:rPr>
          <w:rFonts w:hint="eastAsia" w:ascii="宋体" w:hAnsi="宋体" w:eastAsia="宋体" w:cs="宋体"/>
          <w:spacing w:val="-2"/>
          <w:kern w:val="0"/>
          <w:szCs w:val="21"/>
          <w:highlight w:val="none"/>
        </w:rPr>
        <w:t>会</w:t>
      </w:r>
      <w:r>
        <w:rPr>
          <w:rFonts w:hint="eastAsia" w:ascii="宋体" w:hAnsi="宋体" w:eastAsia="宋体" w:cs="宋体"/>
          <w:kern w:val="0"/>
          <w:szCs w:val="21"/>
          <w:highlight w:val="none"/>
        </w:rPr>
        <w:t>应当</w:t>
      </w:r>
      <w:r>
        <w:rPr>
          <w:rFonts w:hint="eastAsia" w:ascii="宋体" w:hAnsi="宋体" w:eastAsia="宋体" w:cs="宋体"/>
          <w:szCs w:val="21"/>
          <w:highlight w:val="none"/>
        </w:rPr>
        <w:t>认定其投标无效</w:t>
      </w:r>
      <w:r>
        <w:rPr>
          <w:rFonts w:hint="eastAsia" w:ascii="宋体" w:hAnsi="宋体" w:eastAsia="宋体" w:cs="宋体"/>
          <w:spacing w:val="-2"/>
          <w:kern w:val="0"/>
          <w:szCs w:val="21"/>
          <w:highlight w:val="none"/>
        </w:rPr>
        <w:t>。</w:t>
      </w:r>
    </w:p>
    <w:p w14:paraId="0E046EB0">
      <w:pPr>
        <w:autoSpaceDE w:val="0"/>
        <w:autoSpaceDN w:val="0"/>
        <w:adjustRightInd w:val="0"/>
        <w:spacing w:before="40" w:line="360" w:lineRule="auto"/>
        <w:ind w:left="65" w:leftChars="31" w:right="140" w:firstLine="207" w:firstLineChars="98"/>
        <w:jc w:val="left"/>
        <w:rPr>
          <w:rFonts w:hint="eastAsia" w:ascii="宋体" w:hAnsi="宋体" w:eastAsia="宋体" w:cs="宋体"/>
          <w:b/>
          <w:kern w:val="0"/>
          <w:szCs w:val="21"/>
          <w:highlight w:val="none"/>
        </w:rPr>
      </w:pPr>
      <w:r>
        <w:rPr>
          <w:rFonts w:hint="eastAsia" w:ascii="宋体" w:hAnsi="宋体" w:eastAsia="宋体" w:cs="宋体"/>
          <w:b/>
          <w:kern w:val="0"/>
          <w:szCs w:val="21"/>
          <w:highlight w:val="none"/>
        </w:rPr>
        <w:t>3.1.1投</w:t>
      </w:r>
      <w:r>
        <w:rPr>
          <w:rFonts w:hint="eastAsia" w:ascii="宋体" w:hAnsi="宋体" w:eastAsia="宋体" w:cs="宋体"/>
          <w:b/>
          <w:spacing w:val="-2"/>
          <w:kern w:val="0"/>
          <w:szCs w:val="21"/>
          <w:highlight w:val="none"/>
        </w:rPr>
        <w:t>标</w:t>
      </w:r>
      <w:r>
        <w:rPr>
          <w:rFonts w:hint="eastAsia" w:ascii="宋体" w:hAnsi="宋体" w:eastAsia="宋体" w:cs="宋体"/>
          <w:b/>
          <w:kern w:val="0"/>
          <w:szCs w:val="21"/>
          <w:highlight w:val="none"/>
        </w:rPr>
        <w:t>报</w:t>
      </w:r>
      <w:r>
        <w:rPr>
          <w:rFonts w:hint="eastAsia" w:ascii="宋体" w:hAnsi="宋体" w:eastAsia="宋体" w:cs="宋体"/>
          <w:b/>
          <w:spacing w:val="-2"/>
          <w:kern w:val="0"/>
          <w:szCs w:val="21"/>
          <w:highlight w:val="none"/>
        </w:rPr>
        <w:t>价</w:t>
      </w:r>
      <w:r>
        <w:rPr>
          <w:rFonts w:hint="eastAsia" w:ascii="宋体" w:hAnsi="宋体" w:eastAsia="宋体" w:cs="宋体"/>
          <w:b/>
          <w:kern w:val="0"/>
          <w:szCs w:val="21"/>
          <w:highlight w:val="none"/>
        </w:rPr>
        <w:t>有</w:t>
      </w:r>
      <w:r>
        <w:rPr>
          <w:rFonts w:hint="eastAsia" w:ascii="宋体" w:hAnsi="宋体" w:eastAsia="宋体" w:cs="宋体"/>
          <w:b/>
          <w:spacing w:val="-2"/>
          <w:kern w:val="0"/>
          <w:szCs w:val="21"/>
          <w:highlight w:val="none"/>
        </w:rPr>
        <w:t>算</w:t>
      </w:r>
      <w:r>
        <w:rPr>
          <w:rFonts w:hint="eastAsia" w:ascii="宋体" w:hAnsi="宋体" w:eastAsia="宋体" w:cs="宋体"/>
          <w:b/>
          <w:kern w:val="0"/>
          <w:szCs w:val="21"/>
          <w:highlight w:val="none"/>
        </w:rPr>
        <w:t>术</w:t>
      </w:r>
      <w:r>
        <w:rPr>
          <w:rFonts w:hint="eastAsia" w:ascii="宋体" w:hAnsi="宋体" w:eastAsia="宋体" w:cs="宋体"/>
          <w:b/>
          <w:spacing w:val="-2"/>
          <w:kern w:val="0"/>
          <w:szCs w:val="21"/>
          <w:highlight w:val="none"/>
        </w:rPr>
        <w:t>错误</w:t>
      </w:r>
      <w:r>
        <w:rPr>
          <w:rFonts w:hint="eastAsia" w:ascii="宋体" w:hAnsi="宋体" w:eastAsia="宋体" w:cs="宋体"/>
          <w:b/>
          <w:kern w:val="0"/>
          <w:szCs w:val="21"/>
          <w:highlight w:val="none"/>
        </w:rPr>
        <w:t>及其</w:t>
      </w:r>
      <w:r>
        <w:rPr>
          <w:rFonts w:hint="eastAsia" w:ascii="宋体" w:hAnsi="宋体" w:eastAsia="宋体" w:cs="宋体"/>
          <w:b/>
          <w:spacing w:val="-2"/>
          <w:kern w:val="0"/>
          <w:szCs w:val="21"/>
          <w:highlight w:val="none"/>
        </w:rPr>
        <w:t>他</w:t>
      </w:r>
      <w:r>
        <w:rPr>
          <w:rFonts w:hint="eastAsia" w:ascii="宋体" w:hAnsi="宋体" w:eastAsia="宋体" w:cs="宋体"/>
          <w:b/>
          <w:kern w:val="0"/>
          <w:szCs w:val="21"/>
          <w:highlight w:val="none"/>
        </w:rPr>
        <w:t>错</w:t>
      </w:r>
      <w:r>
        <w:rPr>
          <w:rFonts w:hint="eastAsia" w:ascii="宋体" w:hAnsi="宋体" w:eastAsia="宋体" w:cs="宋体"/>
          <w:b/>
          <w:spacing w:val="-2"/>
          <w:kern w:val="0"/>
          <w:szCs w:val="21"/>
          <w:highlight w:val="none"/>
        </w:rPr>
        <w:t>误的</w:t>
      </w:r>
      <w:r>
        <w:rPr>
          <w:rFonts w:hint="eastAsia" w:ascii="宋体" w:hAnsi="宋体" w:eastAsia="宋体" w:cs="宋体"/>
          <w:b/>
          <w:spacing w:val="-74"/>
          <w:kern w:val="0"/>
          <w:szCs w:val="21"/>
          <w:highlight w:val="none"/>
        </w:rPr>
        <w:t>，</w:t>
      </w:r>
      <w:r>
        <w:rPr>
          <w:rFonts w:hint="eastAsia" w:ascii="宋体" w:hAnsi="宋体" w:eastAsia="宋体" w:cs="宋体"/>
          <w:b/>
          <w:spacing w:val="-2"/>
          <w:kern w:val="0"/>
          <w:szCs w:val="21"/>
          <w:highlight w:val="none"/>
        </w:rPr>
        <w:t>评</w:t>
      </w:r>
      <w:r>
        <w:rPr>
          <w:rFonts w:hint="eastAsia" w:ascii="宋体" w:hAnsi="宋体" w:eastAsia="宋体" w:cs="宋体"/>
          <w:b/>
          <w:kern w:val="0"/>
          <w:szCs w:val="21"/>
          <w:highlight w:val="none"/>
        </w:rPr>
        <w:t>标</w:t>
      </w:r>
      <w:r>
        <w:rPr>
          <w:rFonts w:hint="eastAsia" w:ascii="宋体" w:hAnsi="宋体" w:eastAsia="宋体" w:cs="宋体"/>
          <w:b/>
          <w:spacing w:val="-2"/>
          <w:kern w:val="0"/>
          <w:szCs w:val="21"/>
          <w:highlight w:val="none"/>
        </w:rPr>
        <w:t>委</w:t>
      </w:r>
      <w:r>
        <w:rPr>
          <w:rFonts w:hint="eastAsia" w:ascii="宋体" w:hAnsi="宋体" w:eastAsia="宋体" w:cs="宋体"/>
          <w:b/>
          <w:kern w:val="0"/>
          <w:szCs w:val="21"/>
          <w:highlight w:val="none"/>
        </w:rPr>
        <w:t>员</w:t>
      </w:r>
      <w:r>
        <w:rPr>
          <w:rFonts w:hint="eastAsia" w:ascii="宋体" w:hAnsi="宋体" w:eastAsia="宋体" w:cs="宋体"/>
          <w:b/>
          <w:spacing w:val="-2"/>
          <w:kern w:val="0"/>
          <w:szCs w:val="21"/>
          <w:highlight w:val="none"/>
        </w:rPr>
        <w:t>会</w:t>
      </w:r>
      <w:r>
        <w:rPr>
          <w:rFonts w:hint="eastAsia" w:ascii="宋体" w:hAnsi="宋体" w:eastAsia="宋体" w:cs="宋体"/>
          <w:b/>
          <w:kern w:val="0"/>
          <w:szCs w:val="21"/>
          <w:highlight w:val="none"/>
        </w:rPr>
        <w:t>按以</w:t>
      </w:r>
      <w:r>
        <w:rPr>
          <w:rFonts w:hint="eastAsia" w:ascii="宋体" w:hAnsi="宋体" w:eastAsia="宋体" w:cs="宋体"/>
          <w:b/>
          <w:spacing w:val="-2"/>
          <w:kern w:val="0"/>
          <w:szCs w:val="21"/>
          <w:highlight w:val="none"/>
        </w:rPr>
        <w:t>下</w:t>
      </w:r>
      <w:r>
        <w:rPr>
          <w:rFonts w:hint="eastAsia" w:ascii="宋体" w:hAnsi="宋体" w:eastAsia="宋体" w:cs="宋体"/>
          <w:b/>
          <w:kern w:val="0"/>
          <w:szCs w:val="21"/>
          <w:highlight w:val="none"/>
        </w:rPr>
        <w:t>原</w:t>
      </w:r>
      <w:r>
        <w:rPr>
          <w:rFonts w:hint="eastAsia" w:ascii="宋体" w:hAnsi="宋体" w:eastAsia="宋体" w:cs="宋体"/>
          <w:b/>
          <w:spacing w:val="-2"/>
          <w:kern w:val="0"/>
          <w:szCs w:val="21"/>
          <w:highlight w:val="none"/>
        </w:rPr>
        <w:t>则</w:t>
      </w:r>
      <w:r>
        <w:rPr>
          <w:rFonts w:hint="eastAsia" w:ascii="宋体" w:hAnsi="宋体" w:eastAsia="宋体" w:cs="宋体"/>
          <w:b/>
          <w:kern w:val="0"/>
          <w:szCs w:val="21"/>
          <w:highlight w:val="none"/>
        </w:rPr>
        <w:t>要</w:t>
      </w:r>
      <w:r>
        <w:rPr>
          <w:rFonts w:hint="eastAsia" w:ascii="宋体" w:hAnsi="宋体" w:eastAsia="宋体" w:cs="宋体"/>
          <w:b/>
          <w:spacing w:val="-2"/>
          <w:kern w:val="0"/>
          <w:szCs w:val="21"/>
          <w:highlight w:val="none"/>
        </w:rPr>
        <w:t>求</w:t>
      </w:r>
      <w:r>
        <w:rPr>
          <w:rFonts w:hint="eastAsia" w:ascii="宋体" w:hAnsi="宋体" w:cs="宋体"/>
          <w:b/>
          <w:kern w:val="0"/>
          <w:szCs w:val="21"/>
          <w:highlight w:val="none"/>
          <w:lang w:eastAsia="zh-CN"/>
        </w:rPr>
        <w:t>供应商</w:t>
      </w:r>
      <w:r>
        <w:rPr>
          <w:rFonts w:hint="eastAsia" w:ascii="宋体" w:hAnsi="宋体" w:eastAsia="宋体" w:cs="宋体"/>
          <w:b/>
          <w:spacing w:val="-2"/>
          <w:kern w:val="0"/>
          <w:szCs w:val="21"/>
          <w:highlight w:val="none"/>
        </w:rPr>
        <w:t>对</w:t>
      </w:r>
      <w:r>
        <w:rPr>
          <w:rFonts w:hint="eastAsia" w:ascii="宋体" w:hAnsi="宋体" w:eastAsia="宋体" w:cs="宋体"/>
          <w:b/>
          <w:kern w:val="0"/>
          <w:szCs w:val="21"/>
          <w:highlight w:val="none"/>
        </w:rPr>
        <w:t>投标</w:t>
      </w:r>
      <w:r>
        <w:rPr>
          <w:rFonts w:hint="eastAsia" w:ascii="宋体" w:hAnsi="宋体" w:eastAsia="宋体" w:cs="宋体"/>
          <w:b/>
          <w:spacing w:val="-2"/>
          <w:kern w:val="0"/>
          <w:szCs w:val="21"/>
          <w:highlight w:val="none"/>
        </w:rPr>
        <w:t>报</w:t>
      </w:r>
      <w:r>
        <w:rPr>
          <w:rFonts w:hint="eastAsia" w:ascii="宋体" w:hAnsi="宋体" w:eastAsia="宋体" w:cs="宋体"/>
          <w:b/>
          <w:kern w:val="0"/>
          <w:szCs w:val="21"/>
          <w:highlight w:val="none"/>
        </w:rPr>
        <w:t>价进行修</w:t>
      </w:r>
      <w:r>
        <w:rPr>
          <w:rFonts w:hint="eastAsia" w:ascii="宋体" w:hAnsi="宋体" w:eastAsia="宋体" w:cs="宋体"/>
          <w:b/>
          <w:spacing w:val="-2"/>
          <w:kern w:val="0"/>
          <w:szCs w:val="21"/>
          <w:highlight w:val="none"/>
        </w:rPr>
        <w:t>正</w:t>
      </w:r>
    </w:p>
    <w:p w14:paraId="22822C4D">
      <w:pPr>
        <w:numPr>
          <w:ilvl w:val="0"/>
          <w:numId w:val="5"/>
        </w:numPr>
        <w:autoSpaceDE w:val="0"/>
        <w:autoSpaceDN w:val="0"/>
        <w:adjustRightInd w:val="0"/>
        <w:spacing w:line="360" w:lineRule="auto"/>
        <w:ind w:left="0" w:right="40" w:firstLine="420" w:firstLineChars="20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投标文件中开标一览表（报价表）内容与投标文件中相应内容不一致的，以开标一览表（报价表）为准；</w:t>
      </w:r>
    </w:p>
    <w:p w14:paraId="28E4CDD8">
      <w:pPr>
        <w:numPr>
          <w:ilvl w:val="0"/>
          <w:numId w:val="5"/>
        </w:numPr>
        <w:autoSpaceDE w:val="0"/>
        <w:autoSpaceDN w:val="0"/>
        <w:adjustRightInd w:val="0"/>
        <w:spacing w:line="360" w:lineRule="auto"/>
        <w:ind w:left="0" w:right="40" w:firstLine="420" w:firstLineChars="20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大写金额和小写金额不一致的，以大写金额为准；</w:t>
      </w:r>
    </w:p>
    <w:p w14:paraId="0E32CBBC">
      <w:pPr>
        <w:numPr>
          <w:ilvl w:val="0"/>
          <w:numId w:val="5"/>
        </w:numPr>
        <w:autoSpaceDE w:val="0"/>
        <w:autoSpaceDN w:val="0"/>
        <w:adjustRightInd w:val="0"/>
        <w:spacing w:line="360" w:lineRule="auto"/>
        <w:ind w:left="0" w:right="40" w:firstLine="420" w:firstLineChars="20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单价金额小数点或者百分比有明显错位的，以开标一览表的总价为准，并修改单价；</w:t>
      </w:r>
    </w:p>
    <w:p w14:paraId="7D6CC9FD">
      <w:pPr>
        <w:numPr>
          <w:ilvl w:val="0"/>
          <w:numId w:val="5"/>
        </w:numPr>
        <w:autoSpaceDE w:val="0"/>
        <w:autoSpaceDN w:val="0"/>
        <w:adjustRightInd w:val="0"/>
        <w:spacing w:line="360" w:lineRule="auto"/>
        <w:ind w:left="0" w:right="40" w:firstLine="420" w:firstLineChars="20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总价金额与按单价汇总金额不一致的，以单价金额计算结果为准。</w:t>
      </w:r>
    </w:p>
    <w:p w14:paraId="5AB16E5B">
      <w:pPr>
        <w:numPr>
          <w:ilvl w:val="0"/>
          <w:numId w:val="5"/>
        </w:numPr>
        <w:autoSpaceDE w:val="0"/>
        <w:autoSpaceDN w:val="0"/>
        <w:adjustRightInd w:val="0"/>
        <w:spacing w:line="360" w:lineRule="auto"/>
        <w:ind w:left="0" w:right="40" w:firstLine="420" w:firstLineChars="20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同时出现两种以上不一致的，按照前款规定的顺序修正。修正后的报价应当采用书面形式，并加盖公章，或者由法定代表人或其授权的代表签字，</w:t>
      </w:r>
      <w:r>
        <w:rPr>
          <w:rFonts w:hint="eastAsia" w:ascii="宋体" w:hAnsi="宋体" w:cs="宋体"/>
          <w:kern w:val="0"/>
          <w:szCs w:val="21"/>
          <w:highlight w:val="none"/>
          <w:lang w:eastAsia="zh-CN"/>
        </w:rPr>
        <w:t>供应商</w:t>
      </w:r>
      <w:r>
        <w:rPr>
          <w:rFonts w:hint="eastAsia" w:ascii="宋体" w:hAnsi="宋体" w:eastAsia="宋体" w:cs="宋体"/>
          <w:kern w:val="0"/>
          <w:szCs w:val="21"/>
          <w:highlight w:val="none"/>
        </w:rPr>
        <w:t>不确认的，其投标无效。</w:t>
      </w:r>
    </w:p>
    <w:p w14:paraId="62545BBC">
      <w:pPr>
        <w:pStyle w:val="4"/>
        <w:rPr>
          <w:rFonts w:hint="eastAsia" w:ascii="宋体" w:hAnsi="宋体" w:eastAsia="宋体" w:cs="宋体"/>
          <w:highlight w:val="none"/>
        </w:rPr>
      </w:pPr>
      <w:bookmarkStart w:id="126" w:name="_Toc14607"/>
      <w:bookmarkStart w:id="127" w:name="_Toc22365"/>
      <w:bookmarkStart w:id="128" w:name="_Toc20484"/>
      <w:bookmarkStart w:id="129" w:name="_Toc14717"/>
      <w:bookmarkStart w:id="130" w:name="_Toc11546"/>
      <w:bookmarkStart w:id="131" w:name="_Toc24585"/>
      <w:bookmarkStart w:id="132" w:name="_Toc10132"/>
      <w:bookmarkStart w:id="133" w:name="_Toc30428"/>
      <w:bookmarkStart w:id="134" w:name="_Toc26719"/>
      <w:bookmarkStart w:id="135" w:name="_Toc1221"/>
      <w:bookmarkStart w:id="136" w:name="_Toc13336"/>
      <w:bookmarkStart w:id="137" w:name="_Toc18705"/>
      <w:bookmarkStart w:id="138" w:name="_Toc11293"/>
      <w:r>
        <w:rPr>
          <w:rFonts w:hint="eastAsia" w:ascii="宋体" w:hAnsi="宋体" w:eastAsia="宋体" w:cs="宋体"/>
          <w:highlight w:val="none"/>
        </w:rPr>
        <w:t>3.2详细评审</w:t>
      </w:r>
      <w:bookmarkEnd w:id="126"/>
      <w:bookmarkEnd w:id="127"/>
      <w:bookmarkEnd w:id="128"/>
      <w:bookmarkEnd w:id="129"/>
      <w:bookmarkEnd w:id="130"/>
      <w:bookmarkEnd w:id="131"/>
      <w:bookmarkEnd w:id="132"/>
      <w:bookmarkEnd w:id="133"/>
      <w:bookmarkEnd w:id="134"/>
      <w:bookmarkEnd w:id="135"/>
      <w:bookmarkEnd w:id="136"/>
      <w:bookmarkEnd w:id="137"/>
      <w:bookmarkEnd w:id="138"/>
    </w:p>
    <w:p w14:paraId="26F9FB7D">
      <w:pPr>
        <w:autoSpaceDE w:val="0"/>
        <w:autoSpaceDN w:val="0"/>
        <w:adjustRightInd w:val="0"/>
        <w:spacing w:before="42" w:line="360" w:lineRule="auto"/>
        <w:ind w:left="520" w:right="-20"/>
        <w:jc w:val="left"/>
        <w:rPr>
          <w:rFonts w:hint="eastAsia" w:ascii="宋体" w:hAnsi="宋体" w:eastAsia="宋体" w:cs="宋体"/>
          <w:spacing w:val="-2"/>
          <w:kern w:val="0"/>
          <w:szCs w:val="21"/>
          <w:highlight w:val="none"/>
        </w:rPr>
      </w:pPr>
      <w:r>
        <w:rPr>
          <w:rFonts w:hint="eastAsia" w:ascii="宋体" w:hAnsi="宋体" w:eastAsia="宋体" w:cs="宋体"/>
          <w:spacing w:val="-2"/>
          <w:kern w:val="0"/>
          <w:szCs w:val="21"/>
          <w:highlight w:val="none"/>
        </w:rPr>
        <w:t>3.2.1评标委员会按本章评标方法规定的量化因素和分值进行打分，并计算出综合得分。</w:t>
      </w:r>
    </w:p>
    <w:p w14:paraId="76F3DB93">
      <w:pPr>
        <w:numPr>
          <w:ilvl w:val="0"/>
          <w:numId w:val="6"/>
        </w:numPr>
        <w:autoSpaceDE w:val="0"/>
        <w:autoSpaceDN w:val="0"/>
        <w:adjustRightInd w:val="0"/>
        <w:spacing w:line="360" w:lineRule="auto"/>
        <w:ind w:left="0" w:right="40" w:firstLine="420" w:firstLineChars="20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按本章第2.2.2（1）目规定的评审因素和分值对投标报价计算出得分A；</w:t>
      </w:r>
    </w:p>
    <w:p w14:paraId="06F155DB">
      <w:pPr>
        <w:numPr>
          <w:ilvl w:val="0"/>
          <w:numId w:val="6"/>
        </w:numPr>
        <w:autoSpaceDE w:val="0"/>
        <w:autoSpaceDN w:val="0"/>
        <w:adjustRightInd w:val="0"/>
        <w:spacing w:line="360" w:lineRule="auto"/>
        <w:ind w:left="0" w:right="40" w:firstLine="420" w:firstLineChars="20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按本章第2.2.2（2）目规定的评审因素和分值对技术部分计算出得分B；</w:t>
      </w:r>
    </w:p>
    <w:p w14:paraId="53609DC0">
      <w:pPr>
        <w:numPr>
          <w:ilvl w:val="0"/>
          <w:numId w:val="6"/>
        </w:numPr>
        <w:autoSpaceDE w:val="0"/>
        <w:autoSpaceDN w:val="0"/>
        <w:adjustRightInd w:val="0"/>
        <w:spacing w:line="360" w:lineRule="auto"/>
        <w:ind w:left="0" w:right="40" w:firstLine="420" w:firstLineChars="20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按本章第2.2.2（3）目规定的评审因素和分值对</w:t>
      </w:r>
      <w:r>
        <w:rPr>
          <w:rFonts w:hint="eastAsia" w:ascii="宋体" w:hAnsi="宋体" w:eastAsia="宋体" w:cs="宋体"/>
          <w:kern w:val="0"/>
          <w:szCs w:val="21"/>
          <w:highlight w:val="none"/>
          <w:lang w:val="en-US" w:eastAsia="zh-CN"/>
        </w:rPr>
        <w:t>综合</w:t>
      </w:r>
      <w:r>
        <w:rPr>
          <w:rFonts w:hint="eastAsia" w:ascii="宋体" w:hAnsi="宋体" w:eastAsia="宋体" w:cs="宋体"/>
          <w:kern w:val="0"/>
          <w:szCs w:val="21"/>
          <w:highlight w:val="none"/>
        </w:rPr>
        <w:t>部分计算出得分C。</w:t>
      </w:r>
    </w:p>
    <w:p w14:paraId="5C04EBED">
      <w:pPr>
        <w:autoSpaceDE w:val="0"/>
        <w:autoSpaceDN w:val="0"/>
        <w:adjustRightInd w:val="0"/>
        <w:spacing w:before="42" w:line="360" w:lineRule="auto"/>
        <w:ind w:left="520" w:right="-2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3.2.2评</w:t>
      </w:r>
      <w:r>
        <w:rPr>
          <w:rFonts w:hint="eastAsia" w:ascii="宋体" w:hAnsi="宋体" w:eastAsia="宋体" w:cs="宋体"/>
          <w:spacing w:val="-2"/>
          <w:kern w:val="0"/>
          <w:szCs w:val="21"/>
          <w:highlight w:val="none"/>
        </w:rPr>
        <w:t>分</w:t>
      </w:r>
      <w:r>
        <w:rPr>
          <w:rFonts w:hint="eastAsia" w:ascii="宋体" w:hAnsi="宋体" w:eastAsia="宋体" w:cs="宋体"/>
          <w:kern w:val="0"/>
          <w:szCs w:val="21"/>
          <w:highlight w:val="none"/>
        </w:rPr>
        <w:t>分</w:t>
      </w:r>
      <w:r>
        <w:rPr>
          <w:rFonts w:hint="eastAsia" w:ascii="宋体" w:hAnsi="宋体" w:eastAsia="宋体" w:cs="宋体"/>
          <w:spacing w:val="-2"/>
          <w:kern w:val="0"/>
          <w:szCs w:val="21"/>
          <w:highlight w:val="none"/>
        </w:rPr>
        <w:t>值</w:t>
      </w:r>
      <w:r>
        <w:rPr>
          <w:rFonts w:hint="eastAsia" w:ascii="宋体" w:hAnsi="宋体" w:eastAsia="宋体" w:cs="宋体"/>
          <w:kern w:val="0"/>
          <w:szCs w:val="21"/>
          <w:highlight w:val="none"/>
        </w:rPr>
        <w:t>计</w:t>
      </w:r>
      <w:r>
        <w:rPr>
          <w:rFonts w:hint="eastAsia" w:ascii="宋体" w:hAnsi="宋体" w:eastAsia="宋体" w:cs="宋体"/>
          <w:spacing w:val="-2"/>
          <w:kern w:val="0"/>
          <w:szCs w:val="21"/>
          <w:highlight w:val="none"/>
        </w:rPr>
        <w:t>算</w:t>
      </w:r>
      <w:r>
        <w:rPr>
          <w:rFonts w:hint="eastAsia" w:ascii="宋体" w:hAnsi="宋体" w:eastAsia="宋体" w:cs="宋体"/>
          <w:kern w:val="0"/>
          <w:szCs w:val="21"/>
          <w:highlight w:val="none"/>
        </w:rPr>
        <w:t>保</w:t>
      </w:r>
      <w:r>
        <w:rPr>
          <w:rFonts w:hint="eastAsia" w:ascii="宋体" w:hAnsi="宋体" w:eastAsia="宋体" w:cs="宋体"/>
          <w:spacing w:val="-2"/>
          <w:kern w:val="0"/>
          <w:szCs w:val="21"/>
          <w:highlight w:val="none"/>
        </w:rPr>
        <w:t>留小</w:t>
      </w:r>
      <w:r>
        <w:rPr>
          <w:rFonts w:hint="eastAsia" w:ascii="宋体" w:hAnsi="宋体" w:eastAsia="宋体" w:cs="宋体"/>
          <w:kern w:val="0"/>
          <w:szCs w:val="21"/>
          <w:highlight w:val="none"/>
        </w:rPr>
        <w:t>数点</w:t>
      </w:r>
      <w:r>
        <w:rPr>
          <w:rFonts w:hint="eastAsia" w:ascii="宋体" w:hAnsi="宋体" w:eastAsia="宋体" w:cs="宋体"/>
          <w:spacing w:val="-2"/>
          <w:kern w:val="0"/>
          <w:szCs w:val="21"/>
          <w:highlight w:val="none"/>
        </w:rPr>
        <w:t>后</w:t>
      </w:r>
      <w:r>
        <w:rPr>
          <w:rFonts w:hint="eastAsia" w:ascii="宋体" w:hAnsi="宋体" w:eastAsia="宋体" w:cs="宋体"/>
          <w:kern w:val="0"/>
          <w:szCs w:val="21"/>
          <w:highlight w:val="none"/>
        </w:rPr>
        <w:t>两</w:t>
      </w:r>
      <w:r>
        <w:rPr>
          <w:rFonts w:hint="eastAsia" w:ascii="宋体" w:hAnsi="宋体" w:eastAsia="宋体" w:cs="宋体"/>
          <w:spacing w:val="-2"/>
          <w:kern w:val="0"/>
          <w:szCs w:val="21"/>
          <w:highlight w:val="none"/>
        </w:rPr>
        <w:t>位</w:t>
      </w:r>
      <w:r>
        <w:rPr>
          <w:rFonts w:hint="eastAsia" w:ascii="宋体" w:hAnsi="宋体" w:eastAsia="宋体" w:cs="宋体"/>
          <w:kern w:val="0"/>
          <w:szCs w:val="21"/>
          <w:highlight w:val="none"/>
        </w:rPr>
        <w:t>，</w:t>
      </w:r>
      <w:r>
        <w:rPr>
          <w:rFonts w:hint="eastAsia" w:ascii="宋体" w:hAnsi="宋体" w:eastAsia="宋体" w:cs="宋体"/>
          <w:spacing w:val="-2"/>
          <w:kern w:val="0"/>
          <w:szCs w:val="21"/>
          <w:highlight w:val="none"/>
        </w:rPr>
        <w:t>小</w:t>
      </w:r>
      <w:r>
        <w:rPr>
          <w:rFonts w:hint="eastAsia" w:ascii="宋体" w:hAnsi="宋体" w:eastAsia="宋体" w:cs="宋体"/>
          <w:kern w:val="0"/>
          <w:szCs w:val="21"/>
          <w:highlight w:val="none"/>
        </w:rPr>
        <w:t>数</w:t>
      </w:r>
      <w:r>
        <w:rPr>
          <w:rFonts w:hint="eastAsia" w:ascii="宋体" w:hAnsi="宋体" w:eastAsia="宋体" w:cs="宋体"/>
          <w:spacing w:val="-2"/>
          <w:kern w:val="0"/>
          <w:szCs w:val="21"/>
          <w:highlight w:val="none"/>
        </w:rPr>
        <w:t>点</w:t>
      </w:r>
      <w:r>
        <w:rPr>
          <w:rFonts w:hint="eastAsia" w:ascii="宋体" w:hAnsi="宋体" w:eastAsia="宋体" w:cs="宋体"/>
          <w:kern w:val="0"/>
          <w:szCs w:val="21"/>
          <w:highlight w:val="none"/>
        </w:rPr>
        <w:t>后</w:t>
      </w:r>
      <w:r>
        <w:rPr>
          <w:rFonts w:hint="eastAsia" w:ascii="宋体" w:hAnsi="宋体" w:eastAsia="宋体" w:cs="宋体"/>
          <w:spacing w:val="-2"/>
          <w:kern w:val="0"/>
          <w:szCs w:val="21"/>
          <w:highlight w:val="none"/>
        </w:rPr>
        <w:t>第</w:t>
      </w:r>
      <w:r>
        <w:rPr>
          <w:rFonts w:hint="eastAsia" w:ascii="宋体" w:hAnsi="宋体" w:eastAsia="宋体" w:cs="宋体"/>
          <w:kern w:val="0"/>
          <w:szCs w:val="21"/>
          <w:highlight w:val="none"/>
        </w:rPr>
        <w:t>三位</w:t>
      </w:r>
      <w:r>
        <w:rPr>
          <w:rFonts w:hint="eastAsia" w:ascii="宋体" w:hAnsi="宋体" w:eastAsia="宋体" w:cs="宋体"/>
          <w:spacing w:val="-3"/>
          <w:kern w:val="0"/>
          <w:szCs w:val="21"/>
          <w:highlight w:val="none"/>
        </w:rPr>
        <w:t>“</w:t>
      </w:r>
      <w:r>
        <w:rPr>
          <w:rFonts w:hint="eastAsia" w:ascii="宋体" w:hAnsi="宋体" w:eastAsia="宋体" w:cs="宋体"/>
          <w:kern w:val="0"/>
          <w:szCs w:val="21"/>
          <w:highlight w:val="none"/>
        </w:rPr>
        <w:t>四</w:t>
      </w:r>
      <w:r>
        <w:rPr>
          <w:rFonts w:hint="eastAsia" w:ascii="宋体" w:hAnsi="宋体" w:eastAsia="宋体" w:cs="宋体"/>
          <w:spacing w:val="-2"/>
          <w:kern w:val="0"/>
          <w:szCs w:val="21"/>
          <w:highlight w:val="none"/>
        </w:rPr>
        <w:t>舍</w:t>
      </w:r>
      <w:r>
        <w:rPr>
          <w:rFonts w:hint="eastAsia" w:ascii="宋体" w:hAnsi="宋体" w:eastAsia="宋体" w:cs="宋体"/>
          <w:kern w:val="0"/>
          <w:szCs w:val="21"/>
          <w:highlight w:val="none"/>
        </w:rPr>
        <w:t>五入</w:t>
      </w:r>
      <w:r>
        <w:rPr>
          <w:rFonts w:hint="eastAsia" w:ascii="宋体" w:hAnsi="宋体" w:eastAsia="宋体" w:cs="宋体"/>
          <w:spacing w:val="-3"/>
          <w:kern w:val="0"/>
          <w:szCs w:val="21"/>
          <w:highlight w:val="none"/>
        </w:rPr>
        <w:t>”</w:t>
      </w:r>
      <w:r>
        <w:rPr>
          <w:rFonts w:hint="eastAsia" w:ascii="宋体" w:hAnsi="宋体" w:eastAsia="宋体" w:cs="宋体"/>
          <w:kern w:val="0"/>
          <w:szCs w:val="21"/>
          <w:highlight w:val="none"/>
        </w:rPr>
        <w:t>。</w:t>
      </w:r>
    </w:p>
    <w:p w14:paraId="57362715">
      <w:pPr>
        <w:autoSpaceDE w:val="0"/>
        <w:autoSpaceDN w:val="0"/>
        <w:adjustRightInd w:val="0"/>
        <w:spacing w:before="42" w:line="360" w:lineRule="auto"/>
        <w:ind w:left="520" w:right="-2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3.2.3</w:t>
      </w:r>
      <w:r>
        <w:rPr>
          <w:rFonts w:hint="eastAsia" w:ascii="宋体" w:hAnsi="宋体" w:cs="宋体"/>
          <w:kern w:val="0"/>
          <w:szCs w:val="21"/>
          <w:highlight w:val="none"/>
          <w:lang w:eastAsia="zh-CN"/>
        </w:rPr>
        <w:t>供应商</w:t>
      </w:r>
      <w:r>
        <w:rPr>
          <w:rFonts w:hint="eastAsia" w:ascii="宋体" w:hAnsi="宋体" w:eastAsia="宋体" w:cs="宋体"/>
          <w:spacing w:val="-2"/>
          <w:kern w:val="0"/>
          <w:szCs w:val="21"/>
          <w:highlight w:val="none"/>
        </w:rPr>
        <w:t>得</w:t>
      </w:r>
      <w:r>
        <w:rPr>
          <w:rFonts w:hint="eastAsia" w:ascii="宋体" w:hAnsi="宋体" w:eastAsia="宋体" w:cs="宋体"/>
          <w:kern w:val="0"/>
          <w:szCs w:val="21"/>
          <w:highlight w:val="none"/>
        </w:rPr>
        <w:t>分</w:t>
      </w:r>
      <w:r>
        <w:rPr>
          <w:rFonts w:hint="eastAsia" w:ascii="宋体" w:hAnsi="宋体" w:eastAsia="宋体" w:cs="宋体"/>
          <w:spacing w:val="-1"/>
          <w:kern w:val="0"/>
          <w:szCs w:val="21"/>
          <w:highlight w:val="none"/>
        </w:rPr>
        <w:t>=A</w:t>
      </w:r>
      <w:r>
        <w:rPr>
          <w:rFonts w:hint="eastAsia" w:ascii="宋体" w:hAnsi="宋体" w:eastAsia="宋体" w:cs="宋体"/>
          <w:spacing w:val="1"/>
          <w:kern w:val="0"/>
          <w:szCs w:val="21"/>
          <w:highlight w:val="none"/>
        </w:rPr>
        <w:t>+</w:t>
      </w:r>
      <w:r>
        <w:rPr>
          <w:rFonts w:hint="eastAsia" w:ascii="宋体" w:hAnsi="宋体" w:eastAsia="宋体" w:cs="宋体"/>
          <w:spacing w:val="-2"/>
          <w:kern w:val="0"/>
          <w:szCs w:val="21"/>
          <w:highlight w:val="none"/>
        </w:rPr>
        <w:t>B</w:t>
      </w:r>
      <w:r>
        <w:rPr>
          <w:rFonts w:hint="eastAsia" w:ascii="宋体" w:hAnsi="宋体" w:eastAsia="宋体" w:cs="宋体"/>
          <w:spacing w:val="-1"/>
          <w:kern w:val="0"/>
          <w:szCs w:val="21"/>
          <w:highlight w:val="none"/>
        </w:rPr>
        <w:t>+</w:t>
      </w:r>
      <w:r>
        <w:rPr>
          <w:rFonts w:hint="eastAsia" w:ascii="宋体" w:hAnsi="宋体" w:eastAsia="宋体" w:cs="宋体"/>
          <w:spacing w:val="-2"/>
          <w:kern w:val="0"/>
          <w:szCs w:val="21"/>
          <w:highlight w:val="none"/>
        </w:rPr>
        <w:t>C</w:t>
      </w:r>
      <w:r>
        <w:rPr>
          <w:rFonts w:hint="eastAsia" w:ascii="宋体" w:hAnsi="宋体" w:eastAsia="宋体" w:cs="宋体"/>
          <w:kern w:val="0"/>
          <w:szCs w:val="21"/>
          <w:highlight w:val="none"/>
        </w:rPr>
        <w:t>。</w:t>
      </w:r>
    </w:p>
    <w:p w14:paraId="692DD544">
      <w:pPr>
        <w:autoSpaceDE w:val="0"/>
        <w:autoSpaceDN w:val="0"/>
        <w:adjustRightInd w:val="0"/>
        <w:spacing w:before="40" w:line="360" w:lineRule="auto"/>
        <w:ind w:left="100" w:right="140" w:firstLine="420"/>
        <w:rPr>
          <w:rFonts w:hint="eastAsia" w:ascii="宋体" w:hAnsi="宋体" w:eastAsia="宋体" w:cs="宋体"/>
          <w:kern w:val="0"/>
          <w:szCs w:val="21"/>
          <w:highlight w:val="none"/>
        </w:rPr>
      </w:pPr>
      <w:r>
        <w:rPr>
          <w:rFonts w:hint="eastAsia" w:ascii="宋体" w:hAnsi="宋体" w:eastAsia="宋体" w:cs="宋体"/>
          <w:kern w:val="0"/>
          <w:szCs w:val="21"/>
          <w:highlight w:val="none"/>
        </w:rPr>
        <w:t>3.2.4评标委员会认为</w:t>
      </w:r>
      <w:r>
        <w:rPr>
          <w:rFonts w:hint="eastAsia" w:ascii="宋体" w:hAnsi="宋体" w:cs="宋体"/>
          <w:kern w:val="0"/>
          <w:szCs w:val="21"/>
          <w:highlight w:val="none"/>
          <w:lang w:eastAsia="zh-CN"/>
        </w:rPr>
        <w:t>供应商</w:t>
      </w:r>
      <w:r>
        <w:rPr>
          <w:rFonts w:hint="eastAsia" w:ascii="宋体" w:hAnsi="宋体" w:eastAsia="宋体" w:cs="宋体"/>
          <w:kern w:val="0"/>
          <w:szCs w:val="21"/>
          <w:highlight w:val="none"/>
        </w:rPr>
        <w:t>的报价明显低于其他通过符合性审查</w:t>
      </w:r>
      <w:r>
        <w:rPr>
          <w:rFonts w:hint="eastAsia" w:ascii="宋体" w:hAnsi="宋体" w:cs="宋体"/>
          <w:kern w:val="0"/>
          <w:szCs w:val="21"/>
          <w:highlight w:val="none"/>
          <w:lang w:eastAsia="zh-CN"/>
        </w:rPr>
        <w:t>供应商</w:t>
      </w:r>
      <w:r>
        <w:rPr>
          <w:rFonts w:hint="eastAsia" w:ascii="宋体" w:hAnsi="宋体" w:eastAsia="宋体" w:cs="宋体"/>
          <w:kern w:val="0"/>
          <w:szCs w:val="21"/>
          <w:highlight w:val="none"/>
        </w:rPr>
        <w:t>的报价，有可能影响产品质量或者不能诚信履约的，应当要求其在评标现场合理的时间内提供书面说明，必要时提交相关证明材料；</w:t>
      </w:r>
      <w:r>
        <w:rPr>
          <w:rFonts w:hint="eastAsia" w:ascii="宋体" w:hAnsi="宋体" w:cs="宋体"/>
          <w:kern w:val="0"/>
          <w:szCs w:val="21"/>
          <w:highlight w:val="none"/>
          <w:lang w:eastAsia="zh-CN"/>
        </w:rPr>
        <w:t>供应商</w:t>
      </w:r>
      <w:r>
        <w:rPr>
          <w:rFonts w:hint="eastAsia" w:ascii="宋体" w:hAnsi="宋体" w:eastAsia="宋体" w:cs="宋体"/>
          <w:kern w:val="0"/>
          <w:szCs w:val="21"/>
          <w:highlight w:val="none"/>
        </w:rPr>
        <w:t>不能证明其报价合理性的，评标委员会应当将其作为无效投标处理。</w:t>
      </w:r>
    </w:p>
    <w:p w14:paraId="3CB819D7">
      <w:pPr>
        <w:pStyle w:val="4"/>
        <w:rPr>
          <w:rFonts w:hint="eastAsia" w:ascii="宋体" w:hAnsi="宋体" w:eastAsia="宋体" w:cs="宋体"/>
          <w:highlight w:val="none"/>
        </w:rPr>
      </w:pPr>
      <w:bookmarkStart w:id="139" w:name="_Toc6100"/>
      <w:bookmarkStart w:id="140" w:name="_Toc4488"/>
      <w:bookmarkStart w:id="141" w:name="_Toc31373"/>
      <w:bookmarkStart w:id="142" w:name="_Toc18083"/>
      <w:bookmarkStart w:id="143" w:name="_Toc5640"/>
      <w:bookmarkStart w:id="144" w:name="_Toc11722"/>
      <w:bookmarkStart w:id="145" w:name="_Toc19690"/>
      <w:bookmarkStart w:id="146" w:name="_Toc19887"/>
      <w:bookmarkStart w:id="147" w:name="_Toc11785"/>
      <w:bookmarkStart w:id="148" w:name="_Toc13854"/>
      <w:bookmarkStart w:id="149" w:name="_Toc31759"/>
      <w:bookmarkStart w:id="150" w:name="_Toc7845"/>
      <w:bookmarkStart w:id="151" w:name="_Toc11516"/>
      <w:r>
        <w:rPr>
          <w:rFonts w:hint="eastAsia" w:ascii="宋体" w:hAnsi="宋体" w:eastAsia="宋体" w:cs="宋体"/>
          <w:highlight w:val="none"/>
        </w:rPr>
        <w:t>3.3投标文件的澄清</w:t>
      </w:r>
      <w:bookmarkEnd w:id="139"/>
      <w:bookmarkEnd w:id="140"/>
      <w:bookmarkEnd w:id="141"/>
      <w:bookmarkEnd w:id="142"/>
      <w:bookmarkEnd w:id="143"/>
      <w:bookmarkEnd w:id="144"/>
      <w:bookmarkEnd w:id="145"/>
      <w:bookmarkEnd w:id="146"/>
      <w:bookmarkEnd w:id="147"/>
      <w:bookmarkEnd w:id="148"/>
      <w:bookmarkEnd w:id="149"/>
      <w:bookmarkEnd w:id="150"/>
      <w:bookmarkEnd w:id="151"/>
    </w:p>
    <w:p w14:paraId="27719BB1">
      <w:pPr>
        <w:autoSpaceDE w:val="0"/>
        <w:autoSpaceDN w:val="0"/>
        <w:adjustRightInd w:val="0"/>
        <w:spacing w:line="360" w:lineRule="auto"/>
        <w:ind w:left="100" w:right="139" w:firstLine="420"/>
        <w:rPr>
          <w:rFonts w:hint="eastAsia" w:ascii="宋体" w:hAnsi="宋体" w:eastAsia="宋体" w:cs="宋体"/>
          <w:kern w:val="0"/>
          <w:szCs w:val="21"/>
          <w:highlight w:val="none"/>
        </w:rPr>
      </w:pPr>
      <w:r>
        <w:rPr>
          <w:rFonts w:hint="eastAsia" w:ascii="宋体" w:hAnsi="宋体" w:eastAsia="宋体" w:cs="宋体"/>
          <w:kern w:val="0"/>
          <w:szCs w:val="21"/>
          <w:highlight w:val="none"/>
        </w:rPr>
        <w:t>3.3.1在</w:t>
      </w:r>
      <w:r>
        <w:rPr>
          <w:rFonts w:hint="eastAsia" w:ascii="宋体" w:hAnsi="宋体" w:eastAsia="宋体" w:cs="宋体"/>
          <w:spacing w:val="-2"/>
          <w:kern w:val="0"/>
          <w:szCs w:val="21"/>
          <w:highlight w:val="none"/>
        </w:rPr>
        <w:t>评</w:t>
      </w:r>
      <w:r>
        <w:rPr>
          <w:rFonts w:hint="eastAsia" w:ascii="宋体" w:hAnsi="宋体" w:eastAsia="宋体" w:cs="宋体"/>
          <w:kern w:val="0"/>
          <w:szCs w:val="21"/>
          <w:highlight w:val="none"/>
        </w:rPr>
        <w:t>标</w:t>
      </w:r>
      <w:r>
        <w:rPr>
          <w:rFonts w:hint="eastAsia" w:ascii="宋体" w:hAnsi="宋体" w:eastAsia="宋体" w:cs="宋体"/>
          <w:spacing w:val="-2"/>
          <w:kern w:val="0"/>
          <w:szCs w:val="21"/>
          <w:highlight w:val="none"/>
        </w:rPr>
        <w:t>过</w:t>
      </w:r>
      <w:r>
        <w:rPr>
          <w:rFonts w:hint="eastAsia" w:ascii="宋体" w:hAnsi="宋体" w:eastAsia="宋体" w:cs="宋体"/>
          <w:kern w:val="0"/>
          <w:szCs w:val="21"/>
          <w:highlight w:val="none"/>
        </w:rPr>
        <w:t>程中</w:t>
      </w:r>
      <w:r>
        <w:rPr>
          <w:rFonts w:hint="eastAsia" w:ascii="宋体" w:hAnsi="宋体" w:eastAsia="宋体" w:cs="宋体"/>
          <w:spacing w:val="-41"/>
          <w:kern w:val="0"/>
          <w:szCs w:val="21"/>
          <w:highlight w:val="none"/>
        </w:rPr>
        <w:t>，</w:t>
      </w:r>
      <w:r>
        <w:rPr>
          <w:rFonts w:hint="eastAsia" w:ascii="宋体" w:hAnsi="宋体" w:eastAsia="宋体" w:cs="宋体"/>
          <w:kern w:val="0"/>
          <w:szCs w:val="21"/>
          <w:highlight w:val="none"/>
        </w:rPr>
        <w:t>评</w:t>
      </w:r>
      <w:r>
        <w:rPr>
          <w:rFonts w:hint="eastAsia" w:ascii="宋体" w:hAnsi="宋体" w:eastAsia="宋体" w:cs="宋体"/>
          <w:spacing w:val="-2"/>
          <w:kern w:val="0"/>
          <w:szCs w:val="21"/>
          <w:highlight w:val="none"/>
        </w:rPr>
        <w:t>标</w:t>
      </w:r>
      <w:r>
        <w:rPr>
          <w:rFonts w:hint="eastAsia" w:ascii="宋体" w:hAnsi="宋体" w:eastAsia="宋体" w:cs="宋体"/>
          <w:kern w:val="0"/>
          <w:szCs w:val="21"/>
          <w:highlight w:val="none"/>
        </w:rPr>
        <w:t>委员</w:t>
      </w:r>
      <w:r>
        <w:rPr>
          <w:rFonts w:hint="eastAsia" w:ascii="宋体" w:hAnsi="宋体" w:eastAsia="宋体" w:cs="宋体"/>
          <w:spacing w:val="-2"/>
          <w:kern w:val="0"/>
          <w:szCs w:val="21"/>
          <w:highlight w:val="none"/>
        </w:rPr>
        <w:t>会</w:t>
      </w:r>
      <w:r>
        <w:rPr>
          <w:rFonts w:hint="eastAsia" w:ascii="宋体" w:hAnsi="宋体" w:eastAsia="宋体" w:cs="宋体"/>
          <w:kern w:val="0"/>
          <w:szCs w:val="21"/>
          <w:highlight w:val="none"/>
        </w:rPr>
        <w:t>可</w:t>
      </w:r>
      <w:r>
        <w:rPr>
          <w:rFonts w:hint="eastAsia" w:ascii="宋体" w:hAnsi="宋体" w:eastAsia="宋体" w:cs="宋体"/>
          <w:spacing w:val="-2"/>
          <w:kern w:val="0"/>
          <w:szCs w:val="21"/>
          <w:highlight w:val="none"/>
        </w:rPr>
        <w:t>以</w:t>
      </w:r>
      <w:r>
        <w:rPr>
          <w:rFonts w:hint="eastAsia" w:ascii="宋体" w:hAnsi="宋体" w:eastAsia="宋体" w:cs="宋体"/>
          <w:kern w:val="0"/>
          <w:szCs w:val="21"/>
          <w:highlight w:val="none"/>
        </w:rPr>
        <w:t>书</w:t>
      </w:r>
      <w:r>
        <w:rPr>
          <w:rFonts w:hint="eastAsia" w:ascii="宋体" w:hAnsi="宋体" w:eastAsia="宋体" w:cs="宋体"/>
          <w:spacing w:val="-2"/>
          <w:kern w:val="0"/>
          <w:szCs w:val="21"/>
          <w:highlight w:val="none"/>
        </w:rPr>
        <w:t>面</w:t>
      </w:r>
      <w:r>
        <w:rPr>
          <w:rFonts w:hint="eastAsia" w:ascii="宋体" w:hAnsi="宋体" w:eastAsia="宋体" w:cs="宋体"/>
          <w:kern w:val="0"/>
          <w:szCs w:val="21"/>
          <w:highlight w:val="none"/>
        </w:rPr>
        <w:t>形</w:t>
      </w:r>
      <w:r>
        <w:rPr>
          <w:rFonts w:hint="eastAsia" w:ascii="宋体" w:hAnsi="宋体" w:eastAsia="宋体" w:cs="宋体"/>
          <w:spacing w:val="-2"/>
          <w:kern w:val="0"/>
          <w:szCs w:val="21"/>
          <w:highlight w:val="none"/>
        </w:rPr>
        <w:t>式</w:t>
      </w:r>
      <w:r>
        <w:rPr>
          <w:rFonts w:hint="eastAsia" w:ascii="宋体" w:hAnsi="宋体" w:eastAsia="宋体" w:cs="宋体"/>
          <w:kern w:val="0"/>
          <w:szCs w:val="21"/>
          <w:highlight w:val="none"/>
        </w:rPr>
        <w:t>要</w:t>
      </w:r>
      <w:r>
        <w:rPr>
          <w:rFonts w:hint="eastAsia" w:ascii="宋体" w:hAnsi="宋体" w:eastAsia="宋体" w:cs="宋体"/>
          <w:spacing w:val="-2"/>
          <w:kern w:val="0"/>
          <w:szCs w:val="21"/>
          <w:highlight w:val="none"/>
        </w:rPr>
        <w:t>求</w:t>
      </w:r>
      <w:r>
        <w:rPr>
          <w:rFonts w:hint="eastAsia" w:ascii="宋体" w:hAnsi="宋体" w:cs="宋体"/>
          <w:kern w:val="0"/>
          <w:szCs w:val="21"/>
          <w:highlight w:val="none"/>
          <w:lang w:eastAsia="zh-CN"/>
        </w:rPr>
        <w:t>供应商</w:t>
      </w:r>
      <w:r>
        <w:rPr>
          <w:rFonts w:hint="eastAsia" w:ascii="宋体" w:hAnsi="宋体" w:eastAsia="宋体" w:cs="宋体"/>
          <w:kern w:val="0"/>
          <w:szCs w:val="21"/>
          <w:highlight w:val="none"/>
        </w:rPr>
        <w:t>对</w:t>
      </w:r>
      <w:r>
        <w:rPr>
          <w:rFonts w:hint="eastAsia" w:ascii="宋体" w:hAnsi="宋体" w:eastAsia="宋体" w:cs="宋体"/>
          <w:spacing w:val="-2"/>
          <w:kern w:val="0"/>
          <w:szCs w:val="21"/>
          <w:highlight w:val="none"/>
        </w:rPr>
        <w:t>投</w:t>
      </w:r>
      <w:r>
        <w:rPr>
          <w:rFonts w:hint="eastAsia" w:ascii="宋体" w:hAnsi="宋体" w:eastAsia="宋体" w:cs="宋体"/>
          <w:kern w:val="0"/>
          <w:szCs w:val="21"/>
          <w:highlight w:val="none"/>
        </w:rPr>
        <w:t>标</w:t>
      </w:r>
      <w:r>
        <w:rPr>
          <w:rFonts w:hint="eastAsia" w:ascii="宋体" w:hAnsi="宋体" w:eastAsia="宋体" w:cs="宋体"/>
          <w:spacing w:val="-2"/>
          <w:kern w:val="0"/>
          <w:szCs w:val="21"/>
          <w:highlight w:val="none"/>
        </w:rPr>
        <w:t>文</w:t>
      </w:r>
      <w:r>
        <w:rPr>
          <w:rFonts w:hint="eastAsia" w:ascii="宋体" w:hAnsi="宋体" w:eastAsia="宋体" w:cs="宋体"/>
          <w:kern w:val="0"/>
          <w:szCs w:val="21"/>
          <w:highlight w:val="none"/>
        </w:rPr>
        <w:t>件</w:t>
      </w:r>
      <w:r>
        <w:rPr>
          <w:rFonts w:hint="eastAsia" w:ascii="宋体" w:hAnsi="宋体" w:eastAsia="宋体" w:cs="宋体"/>
          <w:spacing w:val="-2"/>
          <w:kern w:val="0"/>
          <w:szCs w:val="21"/>
          <w:highlight w:val="none"/>
        </w:rPr>
        <w:t>中</w:t>
      </w:r>
      <w:r>
        <w:rPr>
          <w:rFonts w:hint="eastAsia" w:ascii="宋体" w:hAnsi="宋体" w:eastAsia="宋体" w:cs="宋体"/>
          <w:kern w:val="0"/>
          <w:szCs w:val="21"/>
          <w:highlight w:val="none"/>
        </w:rPr>
        <w:t>含</w:t>
      </w:r>
      <w:r>
        <w:rPr>
          <w:rFonts w:hint="eastAsia" w:ascii="宋体" w:hAnsi="宋体" w:eastAsia="宋体" w:cs="宋体"/>
          <w:spacing w:val="-2"/>
          <w:kern w:val="0"/>
          <w:szCs w:val="21"/>
          <w:highlight w:val="none"/>
        </w:rPr>
        <w:t>义</w:t>
      </w:r>
      <w:r>
        <w:rPr>
          <w:rFonts w:hint="eastAsia" w:ascii="宋体" w:hAnsi="宋体" w:eastAsia="宋体" w:cs="宋体"/>
          <w:kern w:val="0"/>
          <w:szCs w:val="21"/>
          <w:highlight w:val="none"/>
        </w:rPr>
        <w:t>不明</w:t>
      </w:r>
      <w:r>
        <w:rPr>
          <w:rFonts w:hint="eastAsia" w:ascii="宋体" w:hAnsi="宋体" w:eastAsia="宋体" w:cs="宋体"/>
          <w:spacing w:val="-2"/>
          <w:kern w:val="0"/>
          <w:szCs w:val="21"/>
          <w:highlight w:val="none"/>
        </w:rPr>
        <w:t>确</w:t>
      </w:r>
      <w:r>
        <w:rPr>
          <w:rFonts w:hint="eastAsia" w:ascii="宋体" w:hAnsi="宋体" w:eastAsia="宋体" w:cs="宋体"/>
          <w:spacing w:val="-38"/>
          <w:kern w:val="0"/>
          <w:szCs w:val="21"/>
          <w:highlight w:val="none"/>
        </w:rPr>
        <w:t>、</w:t>
      </w:r>
      <w:r>
        <w:rPr>
          <w:rFonts w:hint="eastAsia" w:ascii="宋体" w:hAnsi="宋体" w:eastAsia="宋体" w:cs="宋体"/>
          <w:spacing w:val="-2"/>
          <w:kern w:val="0"/>
          <w:szCs w:val="21"/>
          <w:highlight w:val="none"/>
        </w:rPr>
        <w:t>对</w:t>
      </w:r>
      <w:r>
        <w:rPr>
          <w:rFonts w:hint="eastAsia" w:ascii="宋体" w:hAnsi="宋体" w:eastAsia="宋体" w:cs="宋体"/>
          <w:kern w:val="0"/>
          <w:szCs w:val="21"/>
          <w:highlight w:val="none"/>
        </w:rPr>
        <w:t>同类问题表述不一</w:t>
      </w:r>
      <w:r>
        <w:rPr>
          <w:rFonts w:hint="eastAsia" w:ascii="宋体" w:hAnsi="宋体" w:eastAsia="宋体" w:cs="宋体"/>
          <w:spacing w:val="-2"/>
          <w:kern w:val="0"/>
          <w:szCs w:val="21"/>
          <w:highlight w:val="none"/>
        </w:rPr>
        <w:t>致</w:t>
      </w:r>
      <w:r>
        <w:rPr>
          <w:rFonts w:hint="eastAsia" w:ascii="宋体" w:hAnsi="宋体" w:eastAsia="宋体" w:cs="宋体"/>
          <w:kern w:val="0"/>
          <w:szCs w:val="21"/>
          <w:highlight w:val="none"/>
        </w:rPr>
        <w:t>或者</w:t>
      </w:r>
      <w:r>
        <w:rPr>
          <w:rFonts w:hint="eastAsia" w:ascii="宋体" w:hAnsi="宋体" w:eastAsia="宋体" w:cs="宋体"/>
          <w:spacing w:val="-2"/>
          <w:kern w:val="0"/>
          <w:szCs w:val="21"/>
          <w:highlight w:val="none"/>
        </w:rPr>
        <w:t>有</w:t>
      </w:r>
      <w:r>
        <w:rPr>
          <w:rFonts w:hint="eastAsia" w:ascii="宋体" w:hAnsi="宋体" w:eastAsia="宋体" w:cs="宋体"/>
          <w:kern w:val="0"/>
          <w:szCs w:val="21"/>
          <w:highlight w:val="none"/>
        </w:rPr>
        <w:t>明显文字和计算</w:t>
      </w:r>
      <w:r>
        <w:rPr>
          <w:rFonts w:hint="eastAsia" w:ascii="宋体" w:hAnsi="宋体" w:eastAsia="宋体" w:cs="宋体"/>
          <w:spacing w:val="-2"/>
          <w:kern w:val="0"/>
          <w:szCs w:val="21"/>
          <w:highlight w:val="none"/>
        </w:rPr>
        <w:t>错</w:t>
      </w:r>
      <w:r>
        <w:rPr>
          <w:rFonts w:hint="eastAsia" w:ascii="宋体" w:hAnsi="宋体" w:eastAsia="宋体" w:cs="宋体"/>
          <w:kern w:val="0"/>
          <w:szCs w:val="21"/>
          <w:highlight w:val="none"/>
        </w:rPr>
        <w:t>误的</w:t>
      </w:r>
      <w:r>
        <w:rPr>
          <w:rFonts w:hint="eastAsia" w:ascii="宋体" w:hAnsi="宋体" w:eastAsia="宋体" w:cs="宋体"/>
          <w:spacing w:val="-2"/>
          <w:kern w:val="0"/>
          <w:szCs w:val="21"/>
          <w:highlight w:val="none"/>
        </w:rPr>
        <w:t>内</w:t>
      </w:r>
      <w:r>
        <w:rPr>
          <w:rFonts w:hint="eastAsia" w:ascii="宋体" w:hAnsi="宋体" w:eastAsia="宋体" w:cs="宋体"/>
          <w:kern w:val="0"/>
          <w:szCs w:val="21"/>
          <w:highlight w:val="none"/>
        </w:rPr>
        <w:t>容</w:t>
      </w:r>
      <w:r>
        <w:rPr>
          <w:rFonts w:hint="eastAsia" w:ascii="宋体" w:hAnsi="宋体" w:cs="宋体"/>
          <w:kern w:val="0"/>
          <w:szCs w:val="21"/>
          <w:highlight w:val="none"/>
          <w:lang w:eastAsia="zh-CN"/>
        </w:rPr>
        <w:t>做必要</w:t>
      </w:r>
      <w:r>
        <w:rPr>
          <w:rFonts w:hint="eastAsia" w:ascii="宋体" w:hAnsi="宋体" w:eastAsia="宋体" w:cs="宋体"/>
          <w:kern w:val="0"/>
          <w:szCs w:val="21"/>
          <w:highlight w:val="none"/>
        </w:rPr>
        <w:t>的澄</w:t>
      </w:r>
      <w:r>
        <w:rPr>
          <w:rFonts w:hint="eastAsia" w:ascii="宋体" w:hAnsi="宋体" w:eastAsia="宋体" w:cs="宋体"/>
          <w:spacing w:val="1"/>
          <w:kern w:val="0"/>
          <w:szCs w:val="21"/>
          <w:highlight w:val="none"/>
        </w:rPr>
        <w:t>清</w:t>
      </w:r>
      <w:r>
        <w:rPr>
          <w:rFonts w:hint="eastAsia" w:ascii="宋体" w:hAnsi="宋体" w:eastAsia="宋体" w:cs="宋体"/>
          <w:spacing w:val="-2"/>
          <w:kern w:val="0"/>
          <w:szCs w:val="21"/>
          <w:highlight w:val="none"/>
        </w:rPr>
        <w:t>、</w:t>
      </w:r>
      <w:r>
        <w:rPr>
          <w:rFonts w:hint="eastAsia" w:ascii="宋体" w:hAnsi="宋体" w:eastAsia="宋体" w:cs="宋体"/>
          <w:kern w:val="0"/>
          <w:szCs w:val="21"/>
          <w:highlight w:val="none"/>
        </w:rPr>
        <w:t>说明</w:t>
      </w:r>
      <w:r>
        <w:rPr>
          <w:rFonts w:hint="eastAsia" w:ascii="宋体" w:hAnsi="宋体" w:eastAsia="宋体" w:cs="宋体"/>
          <w:spacing w:val="-2"/>
          <w:kern w:val="0"/>
          <w:szCs w:val="21"/>
          <w:highlight w:val="none"/>
        </w:rPr>
        <w:t>或</w:t>
      </w:r>
      <w:r>
        <w:rPr>
          <w:rFonts w:hint="eastAsia" w:ascii="宋体" w:hAnsi="宋体" w:eastAsia="宋体" w:cs="宋体"/>
          <w:kern w:val="0"/>
          <w:szCs w:val="21"/>
          <w:highlight w:val="none"/>
        </w:rPr>
        <w:t>补正。澄</w:t>
      </w:r>
      <w:r>
        <w:rPr>
          <w:rFonts w:hint="eastAsia" w:ascii="宋体" w:hAnsi="宋体" w:eastAsia="宋体" w:cs="宋体"/>
          <w:spacing w:val="1"/>
          <w:kern w:val="0"/>
          <w:szCs w:val="21"/>
          <w:highlight w:val="none"/>
        </w:rPr>
        <w:t>清</w:t>
      </w:r>
      <w:r>
        <w:rPr>
          <w:rFonts w:hint="eastAsia" w:ascii="宋体" w:hAnsi="宋体" w:eastAsia="宋体" w:cs="宋体"/>
          <w:kern w:val="0"/>
          <w:szCs w:val="21"/>
          <w:highlight w:val="none"/>
        </w:rPr>
        <w:t>、</w:t>
      </w:r>
      <w:r>
        <w:rPr>
          <w:rFonts w:hint="eastAsia" w:ascii="宋体" w:hAnsi="宋体" w:eastAsia="宋体" w:cs="宋体"/>
          <w:spacing w:val="-2"/>
          <w:kern w:val="0"/>
          <w:szCs w:val="21"/>
          <w:highlight w:val="none"/>
        </w:rPr>
        <w:t>说</w:t>
      </w:r>
      <w:r>
        <w:rPr>
          <w:rFonts w:hint="eastAsia" w:ascii="宋体" w:hAnsi="宋体" w:eastAsia="宋体" w:cs="宋体"/>
          <w:kern w:val="0"/>
          <w:szCs w:val="21"/>
          <w:highlight w:val="none"/>
        </w:rPr>
        <w:t>明或补</w:t>
      </w:r>
      <w:r>
        <w:rPr>
          <w:rFonts w:hint="eastAsia" w:ascii="宋体" w:hAnsi="宋体" w:eastAsia="宋体" w:cs="宋体"/>
          <w:spacing w:val="-2"/>
          <w:kern w:val="0"/>
          <w:szCs w:val="21"/>
          <w:highlight w:val="none"/>
        </w:rPr>
        <w:t>正</w:t>
      </w:r>
      <w:r>
        <w:rPr>
          <w:rFonts w:hint="eastAsia" w:ascii="宋体" w:hAnsi="宋体" w:eastAsia="宋体" w:cs="宋体"/>
          <w:kern w:val="0"/>
          <w:szCs w:val="21"/>
          <w:highlight w:val="none"/>
        </w:rPr>
        <w:t>应</w:t>
      </w:r>
      <w:r>
        <w:rPr>
          <w:rFonts w:hint="eastAsia" w:ascii="宋体" w:hAnsi="宋体" w:eastAsia="宋体" w:cs="宋体"/>
          <w:spacing w:val="-2"/>
          <w:kern w:val="0"/>
          <w:szCs w:val="21"/>
          <w:highlight w:val="none"/>
        </w:rPr>
        <w:t>以</w:t>
      </w:r>
      <w:r>
        <w:rPr>
          <w:rFonts w:hint="eastAsia" w:ascii="宋体" w:hAnsi="宋体" w:eastAsia="宋体" w:cs="宋体"/>
          <w:kern w:val="0"/>
          <w:szCs w:val="21"/>
          <w:highlight w:val="none"/>
        </w:rPr>
        <w:t>书</w:t>
      </w:r>
      <w:r>
        <w:rPr>
          <w:rFonts w:hint="eastAsia" w:ascii="宋体" w:hAnsi="宋体" w:eastAsia="宋体" w:cs="宋体"/>
          <w:spacing w:val="-2"/>
          <w:kern w:val="0"/>
          <w:szCs w:val="21"/>
          <w:highlight w:val="none"/>
        </w:rPr>
        <w:t>面</w:t>
      </w:r>
      <w:r>
        <w:rPr>
          <w:rFonts w:hint="eastAsia" w:ascii="宋体" w:hAnsi="宋体" w:eastAsia="宋体" w:cs="宋体"/>
          <w:kern w:val="0"/>
          <w:szCs w:val="21"/>
          <w:highlight w:val="none"/>
        </w:rPr>
        <w:t>方</w:t>
      </w:r>
      <w:r>
        <w:rPr>
          <w:rFonts w:hint="eastAsia" w:ascii="宋体" w:hAnsi="宋体" w:eastAsia="宋体" w:cs="宋体"/>
          <w:spacing w:val="-2"/>
          <w:kern w:val="0"/>
          <w:szCs w:val="21"/>
          <w:highlight w:val="none"/>
        </w:rPr>
        <w:t>式</w:t>
      </w:r>
      <w:r>
        <w:rPr>
          <w:rFonts w:hint="eastAsia" w:ascii="宋体" w:hAnsi="宋体" w:eastAsia="宋体" w:cs="宋体"/>
          <w:kern w:val="0"/>
          <w:szCs w:val="21"/>
          <w:highlight w:val="none"/>
        </w:rPr>
        <w:t>进</w:t>
      </w:r>
      <w:r>
        <w:rPr>
          <w:rFonts w:hint="eastAsia" w:ascii="宋体" w:hAnsi="宋体" w:eastAsia="宋体" w:cs="宋体"/>
          <w:spacing w:val="-2"/>
          <w:kern w:val="0"/>
          <w:szCs w:val="21"/>
          <w:highlight w:val="none"/>
        </w:rPr>
        <w:t>行</w:t>
      </w:r>
      <w:r>
        <w:rPr>
          <w:rFonts w:hint="eastAsia" w:ascii="宋体" w:hAnsi="宋体" w:eastAsia="宋体" w:cs="宋体"/>
          <w:szCs w:val="21"/>
          <w:highlight w:val="none"/>
        </w:rPr>
        <w:t>，并加盖公章，或者由法定代表人或其授权的代表签字</w:t>
      </w:r>
      <w:r>
        <w:rPr>
          <w:rFonts w:hint="eastAsia" w:ascii="宋体" w:hAnsi="宋体" w:eastAsia="宋体" w:cs="宋体"/>
          <w:kern w:val="0"/>
          <w:szCs w:val="21"/>
          <w:highlight w:val="none"/>
        </w:rPr>
        <w:t>。评</w:t>
      </w:r>
      <w:r>
        <w:rPr>
          <w:rFonts w:hint="eastAsia" w:ascii="宋体" w:hAnsi="宋体" w:eastAsia="宋体" w:cs="宋体"/>
          <w:spacing w:val="-2"/>
          <w:kern w:val="0"/>
          <w:szCs w:val="21"/>
          <w:highlight w:val="none"/>
        </w:rPr>
        <w:t>标</w:t>
      </w:r>
      <w:r>
        <w:rPr>
          <w:rFonts w:hint="eastAsia" w:ascii="宋体" w:hAnsi="宋体" w:eastAsia="宋体" w:cs="宋体"/>
          <w:kern w:val="0"/>
          <w:szCs w:val="21"/>
          <w:highlight w:val="none"/>
        </w:rPr>
        <w:t>委</w:t>
      </w:r>
      <w:r>
        <w:rPr>
          <w:rFonts w:hint="eastAsia" w:ascii="宋体" w:hAnsi="宋体" w:eastAsia="宋体" w:cs="宋体"/>
          <w:spacing w:val="-2"/>
          <w:kern w:val="0"/>
          <w:szCs w:val="21"/>
          <w:highlight w:val="none"/>
        </w:rPr>
        <w:t>员</w:t>
      </w:r>
      <w:r>
        <w:rPr>
          <w:rFonts w:hint="eastAsia" w:ascii="宋体" w:hAnsi="宋体" w:eastAsia="宋体" w:cs="宋体"/>
          <w:kern w:val="0"/>
          <w:szCs w:val="21"/>
          <w:highlight w:val="none"/>
        </w:rPr>
        <w:t>会</w:t>
      </w:r>
      <w:r>
        <w:rPr>
          <w:rFonts w:hint="eastAsia" w:ascii="宋体" w:hAnsi="宋体" w:eastAsia="宋体" w:cs="宋体"/>
          <w:spacing w:val="-2"/>
          <w:kern w:val="0"/>
          <w:szCs w:val="21"/>
          <w:highlight w:val="none"/>
        </w:rPr>
        <w:t>不</w:t>
      </w:r>
      <w:r>
        <w:rPr>
          <w:rFonts w:hint="eastAsia" w:ascii="宋体" w:hAnsi="宋体" w:eastAsia="宋体" w:cs="宋体"/>
          <w:kern w:val="0"/>
          <w:szCs w:val="21"/>
          <w:highlight w:val="none"/>
        </w:rPr>
        <w:t>接</w:t>
      </w:r>
      <w:r>
        <w:rPr>
          <w:rFonts w:hint="eastAsia" w:ascii="宋体" w:hAnsi="宋体" w:eastAsia="宋体" w:cs="宋体"/>
          <w:spacing w:val="-2"/>
          <w:kern w:val="0"/>
          <w:szCs w:val="21"/>
          <w:highlight w:val="none"/>
        </w:rPr>
        <w:t>受</w:t>
      </w:r>
      <w:r>
        <w:rPr>
          <w:rFonts w:hint="eastAsia" w:ascii="宋体" w:hAnsi="宋体" w:cs="宋体"/>
          <w:kern w:val="0"/>
          <w:szCs w:val="21"/>
          <w:highlight w:val="none"/>
          <w:lang w:eastAsia="zh-CN"/>
        </w:rPr>
        <w:t>供应商</w:t>
      </w:r>
      <w:r>
        <w:rPr>
          <w:rFonts w:hint="eastAsia" w:ascii="宋体" w:hAnsi="宋体" w:eastAsia="宋体" w:cs="宋体"/>
          <w:kern w:val="0"/>
          <w:szCs w:val="21"/>
          <w:highlight w:val="none"/>
        </w:rPr>
        <w:t>主</w:t>
      </w:r>
      <w:r>
        <w:rPr>
          <w:rFonts w:hint="eastAsia" w:ascii="宋体" w:hAnsi="宋体" w:eastAsia="宋体" w:cs="宋体"/>
          <w:spacing w:val="-2"/>
          <w:kern w:val="0"/>
          <w:szCs w:val="21"/>
          <w:highlight w:val="none"/>
        </w:rPr>
        <w:t>动</w:t>
      </w:r>
      <w:r>
        <w:rPr>
          <w:rFonts w:hint="eastAsia" w:ascii="宋体" w:hAnsi="宋体" w:eastAsia="宋体" w:cs="宋体"/>
          <w:kern w:val="0"/>
          <w:szCs w:val="21"/>
          <w:highlight w:val="none"/>
        </w:rPr>
        <w:t>提</w:t>
      </w:r>
      <w:r>
        <w:rPr>
          <w:rFonts w:hint="eastAsia" w:ascii="宋体" w:hAnsi="宋体" w:eastAsia="宋体" w:cs="宋体"/>
          <w:spacing w:val="-2"/>
          <w:kern w:val="0"/>
          <w:szCs w:val="21"/>
          <w:highlight w:val="none"/>
        </w:rPr>
        <w:t>出</w:t>
      </w:r>
      <w:r>
        <w:rPr>
          <w:rFonts w:hint="eastAsia" w:ascii="宋体" w:hAnsi="宋体" w:eastAsia="宋体" w:cs="宋体"/>
          <w:kern w:val="0"/>
          <w:szCs w:val="21"/>
          <w:highlight w:val="none"/>
        </w:rPr>
        <w:t>的</w:t>
      </w:r>
      <w:r>
        <w:rPr>
          <w:rFonts w:hint="eastAsia" w:ascii="宋体" w:hAnsi="宋体" w:eastAsia="宋体" w:cs="宋体"/>
          <w:spacing w:val="-2"/>
          <w:kern w:val="0"/>
          <w:szCs w:val="21"/>
          <w:highlight w:val="none"/>
        </w:rPr>
        <w:t>澄</w:t>
      </w:r>
      <w:r>
        <w:rPr>
          <w:rFonts w:hint="eastAsia" w:ascii="宋体" w:hAnsi="宋体" w:eastAsia="宋体" w:cs="宋体"/>
          <w:kern w:val="0"/>
          <w:szCs w:val="21"/>
          <w:highlight w:val="none"/>
        </w:rPr>
        <w:t>清</w:t>
      </w:r>
      <w:r>
        <w:rPr>
          <w:rFonts w:hint="eastAsia" w:ascii="宋体" w:hAnsi="宋体" w:eastAsia="宋体" w:cs="宋体"/>
          <w:spacing w:val="-2"/>
          <w:kern w:val="0"/>
          <w:szCs w:val="21"/>
          <w:highlight w:val="none"/>
        </w:rPr>
        <w:t>、</w:t>
      </w:r>
      <w:r>
        <w:rPr>
          <w:rFonts w:hint="eastAsia" w:ascii="宋体" w:hAnsi="宋体" w:eastAsia="宋体" w:cs="宋体"/>
          <w:kern w:val="0"/>
          <w:szCs w:val="21"/>
          <w:highlight w:val="none"/>
        </w:rPr>
        <w:t>说</w:t>
      </w:r>
      <w:r>
        <w:rPr>
          <w:rFonts w:hint="eastAsia" w:ascii="宋体" w:hAnsi="宋体" w:eastAsia="宋体" w:cs="宋体"/>
          <w:spacing w:val="-2"/>
          <w:kern w:val="0"/>
          <w:szCs w:val="21"/>
          <w:highlight w:val="none"/>
        </w:rPr>
        <w:t>明</w:t>
      </w:r>
      <w:r>
        <w:rPr>
          <w:rFonts w:hint="eastAsia" w:ascii="宋体" w:hAnsi="宋体" w:eastAsia="宋体" w:cs="宋体"/>
          <w:kern w:val="0"/>
          <w:szCs w:val="21"/>
          <w:highlight w:val="none"/>
        </w:rPr>
        <w:t>或补</w:t>
      </w:r>
      <w:r>
        <w:rPr>
          <w:rFonts w:hint="eastAsia" w:ascii="宋体" w:hAnsi="宋体" w:eastAsia="宋体" w:cs="宋体"/>
          <w:spacing w:val="-2"/>
          <w:kern w:val="0"/>
          <w:szCs w:val="21"/>
          <w:highlight w:val="none"/>
        </w:rPr>
        <w:t>正</w:t>
      </w:r>
      <w:r>
        <w:rPr>
          <w:rFonts w:hint="eastAsia" w:ascii="宋体" w:hAnsi="宋体" w:eastAsia="宋体" w:cs="宋体"/>
          <w:kern w:val="0"/>
          <w:szCs w:val="21"/>
          <w:highlight w:val="none"/>
        </w:rPr>
        <w:t>。</w:t>
      </w:r>
    </w:p>
    <w:p w14:paraId="4EE23959">
      <w:pPr>
        <w:autoSpaceDE w:val="0"/>
        <w:autoSpaceDN w:val="0"/>
        <w:adjustRightInd w:val="0"/>
        <w:spacing w:before="10" w:line="360" w:lineRule="auto"/>
        <w:ind w:left="100" w:right="139" w:firstLine="420"/>
        <w:rPr>
          <w:rFonts w:hint="eastAsia" w:ascii="宋体" w:hAnsi="宋体" w:eastAsia="宋体" w:cs="宋体"/>
          <w:kern w:val="0"/>
          <w:szCs w:val="21"/>
          <w:highlight w:val="none"/>
        </w:rPr>
      </w:pPr>
      <w:r>
        <w:rPr>
          <w:rFonts w:hint="eastAsia" w:ascii="宋体" w:hAnsi="宋体" w:eastAsia="宋体" w:cs="宋体"/>
          <w:kern w:val="0"/>
          <w:szCs w:val="21"/>
          <w:highlight w:val="none"/>
        </w:rPr>
        <w:t>3.3.2澄清</w:t>
      </w:r>
      <w:r>
        <w:rPr>
          <w:rFonts w:hint="eastAsia" w:ascii="宋体" w:hAnsi="宋体" w:eastAsia="宋体" w:cs="宋体"/>
          <w:spacing w:val="-41"/>
          <w:kern w:val="0"/>
          <w:szCs w:val="21"/>
          <w:highlight w:val="none"/>
        </w:rPr>
        <w:t>、</w:t>
      </w:r>
      <w:r>
        <w:rPr>
          <w:rFonts w:hint="eastAsia" w:ascii="宋体" w:hAnsi="宋体" w:eastAsia="宋体" w:cs="宋体"/>
          <w:kern w:val="0"/>
          <w:szCs w:val="21"/>
          <w:highlight w:val="none"/>
        </w:rPr>
        <w:t>说</w:t>
      </w:r>
      <w:r>
        <w:rPr>
          <w:rFonts w:hint="eastAsia" w:ascii="宋体" w:hAnsi="宋体" w:eastAsia="宋体" w:cs="宋体"/>
          <w:spacing w:val="-2"/>
          <w:kern w:val="0"/>
          <w:szCs w:val="21"/>
          <w:highlight w:val="none"/>
        </w:rPr>
        <w:t>明</w:t>
      </w:r>
      <w:r>
        <w:rPr>
          <w:rFonts w:hint="eastAsia" w:ascii="宋体" w:hAnsi="宋体" w:eastAsia="宋体" w:cs="宋体"/>
          <w:kern w:val="0"/>
          <w:szCs w:val="21"/>
          <w:highlight w:val="none"/>
        </w:rPr>
        <w:t>或</w:t>
      </w:r>
      <w:r>
        <w:rPr>
          <w:rFonts w:hint="eastAsia" w:ascii="宋体" w:hAnsi="宋体" w:eastAsia="宋体" w:cs="宋体"/>
          <w:spacing w:val="-2"/>
          <w:kern w:val="0"/>
          <w:szCs w:val="21"/>
          <w:highlight w:val="none"/>
        </w:rPr>
        <w:t>补</w:t>
      </w:r>
      <w:r>
        <w:rPr>
          <w:rFonts w:hint="eastAsia" w:ascii="宋体" w:hAnsi="宋体" w:eastAsia="宋体" w:cs="宋体"/>
          <w:kern w:val="0"/>
          <w:szCs w:val="21"/>
          <w:highlight w:val="none"/>
        </w:rPr>
        <w:t>正</w:t>
      </w:r>
      <w:r>
        <w:rPr>
          <w:rFonts w:hint="eastAsia" w:ascii="宋体" w:hAnsi="宋体" w:eastAsia="宋体" w:cs="宋体"/>
          <w:spacing w:val="-2"/>
          <w:kern w:val="0"/>
          <w:szCs w:val="21"/>
          <w:highlight w:val="none"/>
        </w:rPr>
        <w:t>不</w:t>
      </w:r>
      <w:r>
        <w:rPr>
          <w:rFonts w:hint="eastAsia" w:ascii="宋体" w:hAnsi="宋体" w:eastAsia="宋体" w:cs="宋体"/>
          <w:kern w:val="0"/>
          <w:szCs w:val="21"/>
          <w:highlight w:val="none"/>
        </w:rPr>
        <w:t>得超</w:t>
      </w:r>
      <w:r>
        <w:rPr>
          <w:rFonts w:hint="eastAsia" w:ascii="宋体" w:hAnsi="宋体" w:eastAsia="宋体" w:cs="宋体"/>
          <w:spacing w:val="-2"/>
          <w:kern w:val="0"/>
          <w:szCs w:val="21"/>
          <w:highlight w:val="none"/>
        </w:rPr>
        <w:t>出</w:t>
      </w:r>
      <w:r>
        <w:rPr>
          <w:rFonts w:hint="eastAsia" w:ascii="宋体" w:hAnsi="宋体" w:eastAsia="宋体" w:cs="宋体"/>
          <w:kern w:val="0"/>
          <w:szCs w:val="21"/>
          <w:highlight w:val="none"/>
        </w:rPr>
        <w:t>投</w:t>
      </w:r>
      <w:r>
        <w:rPr>
          <w:rFonts w:hint="eastAsia" w:ascii="宋体" w:hAnsi="宋体" w:eastAsia="宋体" w:cs="宋体"/>
          <w:spacing w:val="-2"/>
          <w:kern w:val="0"/>
          <w:szCs w:val="21"/>
          <w:highlight w:val="none"/>
        </w:rPr>
        <w:t>标</w:t>
      </w:r>
      <w:r>
        <w:rPr>
          <w:rFonts w:hint="eastAsia" w:ascii="宋体" w:hAnsi="宋体" w:eastAsia="宋体" w:cs="宋体"/>
          <w:kern w:val="0"/>
          <w:szCs w:val="21"/>
          <w:highlight w:val="none"/>
        </w:rPr>
        <w:t>文</w:t>
      </w:r>
      <w:r>
        <w:rPr>
          <w:rFonts w:hint="eastAsia" w:ascii="宋体" w:hAnsi="宋体" w:eastAsia="宋体" w:cs="宋体"/>
          <w:spacing w:val="-2"/>
          <w:kern w:val="0"/>
          <w:szCs w:val="21"/>
          <w:highlight w:val="none"/>
        </w:rPr>
        <w:t>件</w:t>
      </w:r>
      <w:r>
        <w:rPr>
          <w:rFonts w:hint="eastAsia" w:ascii="宋体" w:hAnsi="宋体" w:eastAsia="宋体" w:cs="宋体"/>
          <w:kern w:val="0"/>
          <w:szCs w:val="21"/>
          <w:highlight w:val="none"/>
        </w:rPr>
        <w:t>的</w:t>
      </w:r>
      <w:r>
        <w:rPr>
          <w:rFonts w:hint="eastAsia" w:ascii="宋体" w:hAnsi="宋体" w:eastAsia="宋体" w:cs="宋体"/>
          <w:spacing w:val="-2"/>
          <w:kern w:val="0"/>
          <w:szCs w:val="21"/>
          <w:highlight w:val="none"/>
        </w:rPr>
        <w:t>范</w:t>
      </w:r>
      <w:r>
        <w:rPr>
          <w:rFonts w:hint="eastAsia" w:ascii="宋体" w:hAnsi="宋体" w:eastAsia="宋体" w:cs="宋体"/>
          <w:kern w:val="0"/>
          <w:szCs w:val="21"/>
          <w:highlight w:val="none"/>
        </w:rPr>
        <w:t>围</w:t>
      </w:r>
      <w:r>
        <w:rPr>
          <w:rFonts w:hint="eastAsia" w:ascii="宋体" w:hAnsi="宋体" w:eastAsia="宋体" w:cs="宋体"/>
          <w:spacing w:val="-2"/>
          <w:kern w:val="0"/>
          <w:szCs w:val="21"/>
          <w:highlight w:val="none"/>
        </w:rPr>
        <w:t>且</w:t>
      </w:r>
      <w:r>
        <w:rPr>
          <w:rFonts w:hint="eastAsia" w:ascii="宋体" w:hAnsi="宋体" w:eastAsia="宋体" w:cs="宋体"/>
          <w:kern w:val="0"/>
          <w:szCs w:val="21"/>
          <w:highlight w:val="none"/>
        </w:rPr>
        <w:t>不得</w:t>
      </w:r>
      <w:r>
        <w:rPr>
          <w:rFonts w:hint="eastAsia" w:ascii="宋体" w:hAnsi="宋体" w:eastAsia="宋体" w:cs="宋体"/>
          <w:spacing w:val="-2"/>
          <w:kern w:val="0"/>
          <w:szCs w:val="21"/>
          <w:highlight w:val="none"/>
        </w:rPr>
        <w:t>改</w:t>
      </w:r>
      <w:r>
        <w:rPr>
          <w:rFonts w:hint="eastAsia" w:ascii="宋体" w:hAnsi="宋体" w:eastAsia="宋体" w:cs="宋体"/>
          <w:kern w:val="0"/>
          <w:szCs w:val="21"/>
          <w:highlight w:val="none"/>
        </w:rPr>
        <w:t>变</w:t>
      </w:r>
      <w:r>
        <w:rPr>
          <w:rFonts w:hint="eastAsia" w:ascii="宋体" w:hAnsi="宋体" w:eastAsia="宋体" w:cs="宋体"/>
          <w:spacing w:val="-2"/>
          <w:kern w:val="0"/>
          <w:szCs w:val="21"/>
          <w:highlight w:val="none"/>
        </w:rPr>
        <w:t>投</w:t>
      </w:r>
      <w:r>
        <w:rPr>
          <w:rFonts w:hint="eastAsia" w:ascii="宋体" w:hAnsi="宋体" w:eastAsia="宋体" w:cs="宋体"/>
          <w:kern w:val="0"/>
          <w:szCs w:val="21"/>
          <w:highlight w:val="none"/>
        </w:rPr>
        <w:t>标</w:t>
      </w:r>
      <w:r>
        <w:rPr>
          <w:rFonts w:hint="eastAsia" w:ascii="宋体" w:hAnsi="宋体" w:eastAsia="宋体" w:cs="宋体"/>
          <w:spacing w:val="-2"/>
          <w:kern w:val="0"/>
          <w:szCs w:val="21"/>
          <w:highlight w:val="none"/>
        </w:rPr>
        <w:t>文</w:t>
      </w:r>
      <w:r>
        <w:rPr>
          <w:rFonts w:hint="eastAsia" w:ascii="宋体" w:hAnsi="宋体" w:eastAsia="宋体" w:cs="宋体"/>
          <w:kern w:val="0"/>
          <w:szCs w:val="21"/>
          <w:highlight w:val="none"/>
        </w:rPr>
        <w:t>件</w:t>
      </w:r>
      <w:r>
        <w:rPr>
          <w:rFonts w:hint="eastAsia" w:ascii="宋体" w:hAnsi="宋体" w:eastAsia="宋体" w:cs="宋体"/>
          <w:spacing w:val="-2"/>
          <w:kern w:val="0"/>
          <w:szCs w:val="21"/>
          <w:highlight w:val="none"/>
        </w:rPr>
        <w:t>的</w:t>
      </w:r>
      <w:r>
        <w:rPr>
          <w:rFonts w:hint="eastAsia" w:ascii="宋体" w:hAnsi="宋体" w:eastAsia="宋体" w:cs="宋体"/>
          <w:kern w:val="0"/>
          <w:szCs w:val="21"/>
          <w:highlight w:val="none"/>
        </w:rPr>
        <w:t>实</w:t>
      </w:r>
      <w:r>
        <w:rPr>
          <w:rFonts w:hint="eastAsia" w:ascii="宋体" w:hAnsi="宋体" w:eastAsia="宋体" w:cs="宋体"/>
          <w:spacing w:val="-2"/>
          <w:kern w:val="0"/>
          <w:szCs w:val="21"/>
          <w:highlight w:val="none"/>
        </w:rPr>
        <w:t>质</w:t>
      </w:r>
      <w:r>
        <w:rPr>
          <w:rFonts w:hint="eastAsia" w:ascii="宋体" w:hAnsi="宋体" w:eastAsia="宋体" w:cs="宋体"/>
          <w:kern w:val="0"/>
          <w:szCs w:val="21"/>
          <w:highlight w:val="none"/>
        </w:rPr>
        <w:t>性内</w:t>
      </w:r>
      <w:r>
        <w:rPr>
          <w:rFonts w:hint="eastAsia" w:ascii="宋体" w:hAnsi="宋体" w:eastAsia="宋体" w:cs="宋体"/>
          <w:spacing w:val="-2"/>
          <w:kern w:val="0"/>
          <w:szCs w:val="21"/>
          <w:highlight w:val="none"/>
        </w:rPr>
        <w:t>容</w:t>
      </w:r>
      <w:r>
        <w:rPr>
          <w:rFonts w:hint="eastAsia" w:ascii="宋体" w:hAnsi="宋体" w:eastAsia="宋体" w:cs="宋体"/>
          <w:spacing w:val="-38"/>
          <w:kern w:val="0"/>
          <w:szCs w:val="21"/>
          <w:highlight w:val="none"/>
        </w:rPr>
        <w:t>，</w:t>
      </w:r>
      <w:r>
        <w:rPr>
          <w:rFonts w:hint="eastAsia" w:ascii="宋体" w:hAnsi="宋体" w:eastAsia="宋体" w:cs="宋体"/>
          <w:spacing w:val="-2"/>
          <w:kern w:val="0"/>
          <w:szCs w:val="21"/>
          <w:highlight w:val="none"/>
        </w:rPr>
        <w:t>并</w:t>
      </w:r>
      <w:r>
        <w:rPr>
          <w:rFonts w:hint="eastAsia" w:ascii="宋体" w:hAnsi="宋体" w:eastAsia="宋体" w:cs="宋体"/>
          <w:kern w:val="0"/>
          <w:szCs w:val="21"/>
          <w:highlight w:val="none"/>
        </w:rPr>
        <w:t>构成投</w:t>
      </w:r>
      <w:r>
        <w:rPr>
          <w:rFonts w:hint="eastAsia" w:ascii="宋体" w:hAnsi="宋体" w:eastAsia="宋体" w:cs="宋体"/>
          <w:spacing w:val="-2"/>
          <w:kern w:val="0"/>
          <w:szCs w:val="21"/>
          <w:highlight w:val="none"/>
        </w:rPr>
        <w:t>标</w:t>
      </w:r>
      <w:r>
        <w:rPr>
          <w:rFonts w:hint="eastAsia" w:ascii="宋体" w:hAnsi="宋体" w:eastAsia="宋体" w:cs="宋体"/>
          <w:kern w:val="0"/>
          <w:szCs w:val="21"/>
          <w:highlight w:val="none"/>
        </w:rPr>
        <w:t>文</w:t>
      </w:r>
      <w:r>
        <w:rPr>
          <w:rFonts w:hint="eastAsia" w:ascii="宋体" w:hAnsi="宋体" w:eastAsia="宋体" w:cs="宋体"/>
          <w:spacing w:val="-2"/>
          <w:kern w:val="0"/>
          <w:szCs w:val="21"/>
          <w:highlight w:val="none"/>
        </w:rPr>
        <w:t>件</w:t>
      </w:r>
      <w:r>
        <w:rPr>
          <w:rFonts w:hint="eastAsia" w:ascii="宋体" w:hAnsi="宋体" w:eastAsia="宋体" w:cs="宋体"/>
          <w:kern w:val="0"/>
          <w:szCs w:val="21"/>
          <w:highlight w:val="none"/>
        </w:rPr>
        <w:t>的</w:t>
      </w:r>
      <w:r>
        <w:rPr>
          <w:rFonts w:hint="eastAsia" w:ascii="宋体" w:hAnsi="宋体" w:eastAsia="宋体" w:cs="宋体"/>
          <w:spacing w:val="-2"/>
          <w:kern w:val="0"/>
          <w:szCs w:val="21"/>
          <w:highlight w:val="none"/>
        </w:rPr>
        <w:t>组</w:t>
      </w:r>
      <w:r>
        <w:rPr>
          <w:rFonts w:hint="eastAsia" w:ascii="宋体" w:hAnsi="宋体" w:eastAsia="宋体" w:cs="宋体"/>
          <w:kern w:val="0"/>
          <w:szCs w:val="21"/>
          <w:highlight w:val="none"/>
        </w:rPr>
        <w:t>成</w:t>
      </w:r>
      <w:r>
        <w:rPr>
          <w:rFonts w:hint="eastAsia" w:ascii="宋体" w:hAnsi="宋体" w:eastAsia="宋体" w:cs="宋体"/>
          <w:spacing w:val="-2"/>
          <w:kern w:val="0"/>
          <w:szCs w:val="21"/>
          <w:highlight w:val="none"/>
        </w:rPr>
        <w:t>部</w:t>
      </w:r>
      <w:r>
        <w:rPr>
          <w:rFonts w:hint="eastAsia" w:ascii="宋体" w:hAnsi="宋体" w:eastAsia="宋体" w:cs="宋体"/>
          <w:kern w:val="0"/>
          <w:szCs w:val="21"/>
          <w:highlight w:val="none"/>
        </w:rPr>
        <w:t>分。</w:t>
      </w:r>
    </w:p>
    <w:p w14:paraId="21F267AD">
      <w:pPr>
        <w:autoSpaceDE w:val="0"/>
        <w:autoSpaceDN w:val="0"/>
        <w:adjustRightInd w:val="0"/>
        <w:spacing w:before="11" w:line="360" w:lineRule="auto"/>
        <w:ind w:left="100" w:right="34" w:firstLine="42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3.3.3评</w:t>
      </w:r>
      <w:r>
        <w:rPr>
          <w:rFonts w:hint="eastAsia" w:ascii="宋体" w:hAnsi="宋体" w:eastAsia="宋体" w:cs="宋体"/>
          <w:spacing w:val="-2"/>
          <w:kern w:val="0"/>
          <w:szCs w:val="21"/>
          <w:highlight w:val="none"/>
        </w:rPr>
        <w:t>标</w:t>
      </w:r>
      <w:r>
        <w:rPr>
          <w:rFonts w:hint="eastAsia" w:ascii="宋体" w:hAnsi="宋体" w:eastAsia="宋体" w:cs="宋体"/>
          <w:kern w:val="0"/>
          <w:szCs w:val="21"/>
          <w:highlight w:val="none"/>
        </w:rPr>
        <w:t>委</w:t>
      </w:r>
      <w:r>
        <w:rPr>
          <w:rFonts w:hint="eastAsia" w:ascii="宋体" w:hAnsi="宋体" w:eastAsia="宋体" w:cs="宋体"/>
          <w:spacing w:val="-2"/>
          <w:kern w:val="0"/>
          <w:szCs w:val="21"/>
          <w:highlight w:val="none"/>
        </w:rPr>
        <w:t>员</w:t>
      </w:r>
      <w:r>
        <w:rPr>
          <w:rFonts w:hint="eastAsia" w:ascii="宋体" w:hAnsi="宋体" w:eastAsia="宋体" w:cs="宋体"/>
          <w:kern w:val="0"/>
          <w:szCs w:val="21"/>
          <w:highlight w:val="none"/>
        </w:rPr>
        <w:t>会</w:t>
      </w:r>
      <w:r>
        <w:rPr>
          <w:rFonts w:hint="eastAsia" w:ascii="宋体" w:hAnsi="宋体" w:eastAsia="宋体" w:cs="宋体"/>
          <w:spacing w:val="-2"/>
          <w:kern w:val="0"/>
          <w:szCs w:val="21"/>
          <w:highlight w:val="none"/>
        </w:rPr>
        <w:t>对</w:t>
      </w:r>
      <w:r>
        <w:rPr>
          <w:rFonts w:hint="eastAsia" w:ascii="宋体" w:hAnsi="宋体" w:cs="宋体"/>
          <w:kern w:val="0"/>
          <w:szCs w:val="21"/>
          <w:highlight w:val="none"/>
          <w:lang w:eastAsia="zh-CN"/>
        </w:rPr>
        <w:t>供应商</w:t>
      </w:r>
      <w:r>
        <w:rPr>
          <w:rFonts w:hint="eastAsia" w:ascii="宋体" w:hAnsi="宋体" w:eastAsia="宋体" w:cs="宋体"/>
          <w:kern w:val="0"/>
          <w:szCs w:val="21"/>
          <w:highlight w:val="none"/>
        </w:rPr>
        <w:t>提交</w:t>
      </w:r>
      <w:r>
        <w:rPr>
          <w:rFonts w:hint="eastAsia" w:ascii="宋体" w:hAnsi="宋体" w:eastAsia="宋体" w:cs="宋体"/>
          <w:spacing w:val="-2"/>
          <w:kern w:val="0"/>
          <w:szCs w:val="21"/>
          <w:highlight w:val="none"/>
        </w:rPr>
        <w:t>的</w:t>
      </w:r>
      <w:r>
        <w:rPr>
          <w:rFonts w:hint="eastAsia" w:ascii="宋体" w:hAnsi="宋体" w:eastAsia="宋体" w:cs="宋体"/>
          <w:kern w:val="0"/>
          <w:szCs w:val="21"/>
          <w:highlight w:val="none"/>
        </w:rPr>
        <w:t>澄清</w:t>
      </w:r>
      <w:r>
        <w:rPr>
          <w:rFonts w:hint="eastAsia" w:ascii="宋体" w:hAnsi="宋体" w:eastAsia="宋体" w:cs="宋体"/>
          <w:spacing w:val="-94"/>
          <w:kern w:val="0"/>
          <w:szCs w:val="21"/>
          <w:highlight w:val="none"/>
        </w:rPr>
        <w:t>、</w:t>
      </w:r>
      <w:r>
        <w:rPr>
          <w:rFonts w:hint="eastAsia" w:ascii="宋体" w:hAnsi="宋体" w:eastAsia="宋体" w:cs="宋体"/>
          <w:kern w:val="0"/>
          <w:szCs w:val="21"/>
          <w:highlight w:val="none"/>
        </w:rPr>
        <w:t>说</w:t>
      </w:r>
      <w:r>
        <w:rPr>
          <w:rFonts w:hint="eastAsia" w:ascii="宋体" w:hAnsi="宋体" w:eastAsia="宋体" w:cs="宋体"/>
          <w:spacing w:val="-2"/>
          <w:kern w:val="0"/>
          <w:szCs w:val="21"/>
          <w:highlight w:val="none"/>
        </w:rPr>
        <w:t>明</w:t>
      </w:r>
      <w:r>
        <w:rPr>
          <w:rFonts w:hint="eastAsia" w:ascii="宋体" w:hAnsi="宋体" w:eastAsia="宋体" w:cs="宋体"/>
          <w:kern w:val="0"/>
          <w:szCs w:val="21"/>
          <w:highlight w:val="none"/>
        </w:rPr>
        <w:t>或</w:t>
      </w:r>
      <w:r>
        <w:rPr>
          <w:rFonts w:hint="eastAsia" w:ascii="宋体" w:hAnsi="宋体" w:eastAsia="宋体" w:cs="宋体"/>
          <w:spacing w:val="-2"/>
          <w:kern w:val="0"/>
          <w:szCs w:val="21"/>
          <w:highlight w:val="none"/>
        </w:rPr>
        <w:t>补</w:t>
      </w:r>
      <w:r>
        <w:rPr>
          <w:rFonts w:hint="eastAsia" w:ascii="宋体" w:hAnsi="宋体" w:eastAsia="宋体" w:cs="宋体"/>
          <w:kern w:val="0"/>
          <w:szCs w:val="21"/>
          <w:highlight w:val="none"/>
        </w:rPr>
        <w:t>正</w:t>
      </w:r>
      <w:r>
        <w:rPr>
          <w:rFonts w:hint="eastAsia" w:ascii="宋体" w:hAnsi="宋体" w:eastAsia="宋体" w:cs="宋体"/>
          <w:spacing w:val="-2"/>
          <w:kern w:val="0"/>
          <w:szCs w:val="21"/>
          <w:highlight w:val="none"/>
        </w:rPr>
        <w:t>有</w:t>
      </w:r>
      <w:r>
        <w:rPr>
          <w:rFonts w:hint="eastAsia" w:ascii="宋体" w:hAnsi="宋体" w:eastAsia="宋体" w:cs="宋体"/>
          <w:kern w:val="0"/>
          <w:szCs w:val="21"/>
          <w:highlight w:val="none"/>
        </w:rPr>
        <w:t>疑问的</w:t>
      </w:r>
      <w:r>
        <w:rPr>
          <w:rFonts w:hint="eastAsia" w:ascii="宋体" w:hAnsi="宋体" w:eastAsia="宋体" w:cs="宋体"/>
          <w:spacing w:val="-94"/>
          <w:kern w:val="0"/>
          <w:szCs w:val="21"/>
          <w:highlight w:val="none"/>
        </w:rPr>
        <w:t>，</w:t>
      </w:r>
      <w:r>
        <w:rPr>
          <w:rFonts w:hint="eastAsia" w:ascii="宋体" w:hAnsi="宋体" w:eastAsia="宋体" w:cs="宋体"/>
          <w:kern w:val="0"/>
          <w:szCs w:val="21"/>
          <w:highlight w:val="none"/>
        </w:rPr>
        <w:t>可</w:t>
      </w:r>
      <w:r>
        <w:rPr>
          <w:rFonts w:hint="eastAsia" w:ascii="宋体" w:hAnsi="宋体" w:eastAsia="宋体" w:cs="宋体"/>
          <w:spacing w:val="-2"/>
          <w:kern w:val="0"/>
          <w:szCs w:val="21"/>
          <w:highlight w:val="none"/>
        </w:rPr>
        <w:t>以</w:t>
      </w:r>
      <w:r>
        <w:rPr>
          <w:rFonts w:hint="eastAsia" w:ascii="宋体" w:hAnsi="宋体" w:eastAsia="宋体" w:cs="宋体"/>
          <w:kern w:val="0"/>
          <w:szCs w:val="21"/>
          <w:highlight w:val="none"/>
        </w:rPr>
        <w:t>要</w:t>
      </w:r>
      <w:r>
        <w:rPr>
          <w:rFonts w:hint="eastAsia" w:ascii="宋体" w:hAnsi="宋体" w:eastAsia="宋体" w:cs="宋体"/>
          <w:spacing w:val="-2"/>
          <w:kern w:val="0"/>
          <w:szCs w:val="21"/>
          <w:highlight w:val="none"/>
        </w:rPr>
        <w:t>求</w:t>
      </w:r>
      <w:r>
        <w:rPr>
          <w:rFonts w:hint="eastAsia" w:ascii="宋体" w:hAnsi="宋体" w:cs="宋体"/>
          <w:kern w:val="0"/>
          <w:szCs w:val="21"/>
          <w:highlight w:val="none"/>
          <w:lang w:eastAsia="zh-CN"/>
        </w:rPr>
        <w:t>供应商</w:t>
      </w:r>
      <w:r>
        <w:rPr>
          <w:rFonts w:hint="eastAsia" w:ascii="宋体" w:hAnsi="宋体" w:eastAsia="宋体" w:cs="宋体"/>
          <w:spacing w:val="-2"/>
          <w:kern w:val="0"/>
          <w:szCs w:val="21"/>
          <w:highlight w:val="none"/>
        </w:rPr>
        <w:t>进</w:t>
      </w:r>
      <w:r>
        <w:rPr>
          <w:rFonts w:hint="eastAsia" w:ascii="宋体" w:hAnsi="宋体" w:eastAsia="宋体" w:cs="宋体"/>
          <w:kern w:val="0"/>
          <w:szCs w:val="21"/>
          <w:highlight w:val="none"/>
        </w:rPr>
        <w:t>一步</w:t>
      </w:r>
      <w:r>
        <w:rPr>
          <w:rFonts w:hint="eastAsia" w:ascii="宋体" w:hAnsi="宋体" w:eastAsia="宋体" w:cs="宋体"/>
          <w:spacing w:val="-2"/>
          <w:kern w:val="0"/>
          <w:szCs w:val="21"/>
          <w:highlight w:val="none"/>
        </w:rPr>
        <w:t>澄</w:t>
      </w:r>
      <w:r>
        <w:rPr>
          <w:rFonts w:hint="eastAsia" w:ascii="宋体" w:hAnsi="宋体" w:eastAsia="宋体" w:cs="宋体"/>
          <w:kern w:val="0"/>
          <w:szCs w:val="21"/>
          <w:highlight w:val="none"/>
        </w:rPr>
        <w:t>清、说明</w:t>
      </w:r>
      <w:r>
        <w:rPr>
          <w:rFonts w:hint="eastAsia" w:ascii="宋体" w:hAnsi="宋体" w:eastAsia="宋体" w:cs="宋体"/>
          <w:spacing w:val="-2"/>
          <w:kern w:val="0"/>
          <w:szCs w:val="21"/>
          <w:highlight w:val="none"/>
        </w:rPr>
        <w:t>或</w:t>
      </w:r>
      <w:r>
        <w:rPr>
          <w:rFonts w:hint="eastAsia" w:ascii="宋体" w:hAnsi="宋体" w:eastAsia="宋体" w:cs="宋体"/>
          <w:kern w:val="0"/>
          <w:szCs w:val="21"/>
          <w:highlight w:val="none"/>
        </w:rPr>
        <w:t>补</w:t>
      </w:r>
      <w:r>
        <w:rPr>
          <w:rFonts w:hint="eastAsia" w:ascii="宋体" w:hAnsi="宋体" w:eastAsia="宋体" w:cs="宋体"/>
          <w:spacing w:val="-3"/>
          <w:kern w:val="0"/>
          <w:szCs w:val="21"/>
          <w:highlight w:val="none"/>
        </w:rPr>
        <w:t>正</w:t>
      </w:r>
      <w:r>
        <w:rPr>
          <w:rFonts w:hint="eastAsia" w:ascii="宋体" w:hAnsi="宋体" w:eastAsia="宋体" w:cs="宋体"/>
          <w:kern w:val="0"/>
          <w:szCs w:val="21"/>
          <w:highlight w:val="none"/>
        </w:rPr>
        <w:t>，</w:t>
      </w:r>
      <w:r>
        <w:rPr>
          <w:rFonts w:hint="eastAsia" w:ascii="宋体" w:hAnsi="宋体" w:eastAsia="宋体" w:cs="宋体"/>
          <w:spacing w:val="-2"/>
          <w:kern w:val="0"/>
          <w:szCs w:val="21"/>
          <w:highlight w:val="none"/>
        </w:rPr>
        <w:t>直</w:t>
      </w:r>
      <w:r>
        <w:rPr>
          <w:rFonts w:hint="eastAsia" w:ascii="宋体" w:hAnsi="宋体" w:eastAsia="宋体" w:cs="宋体"/>
          <w:kern w:val="0"/>
          <w:szCs w:val="21"/>
          <w:highlight w:val="none"/>
        </w:rPr>
        <w:t>至</w:t>
      </w:r>
      <w:r>
        <w:rPr>
          <w:rFonts w:hint="eastAsia" w:ascii="宋体" w:hAnsi="宋体" w:eastAsia="宋体" w:cs="宋体"/>
          <w:spacing w:val="-2"/>
          <w:kern w:val="0"/>
          <w:szCs w:val="21"/>
          <w:highlight w:val="none"/>
        </w:rPr>
        <w:t>满</w:t>
      </w:r>
      <w:r>
        <w:rPr>
          <w:rFonts w:hint="eastAsia" w:ascii="宋体" w:hAnsi="宋体" w:eastAsia="宋体" w:cs="宋体"/>
          <w:kern w:val="0"/>
          <w:szCs w:val="21"/>
          <w:highlight w:val="none"/>
        </w:rPr>
        <w:t>足</w:t>
      </w:r>
      <w:r>
        <w:rPr>
          <w:rFonts w:hint="eastAsia" w:ascii="宋体" w:hAnsi="宋体" w:eastAsia="宋体" w:cs="宋体"/>
          <w:spacing w:val="-2"/>
          <w:kern w:val="0"/>
          <w:szCs w:val="21"/>
          <w:highlight w:val="none"/>
        </w:rPr>
        <w:t>评</w:t>
      </w:r>
      <w:r>
        <w:rPr>
          <w:rFonts w:hint="eastAsia" w:ascii="宋体" w:hAnsi="宋体" w:eastAsia="宋体" w:cs="宋体"/>
          <w:kern w:val="0"/>
          <w:szCs w:val="21"/>
          <w:highlight w:val="none"/>
        </w:rPr>
        <w:t>标委</w:t>
      </w:r>
      <w:r>
        <w:rPr>
          <w:rFonts w:hint="eastAsia" w:ascii="宋体" w:hAnsi="宋体" w:eastAsia="宋体" w:cs="宋体"/>
          <w:spacing w:val="-2"/>
          <w:kern w:val="0"/>
          <w:szCs w:val="21"/>
          <w:highlight w:val="none"/>
        </w:rPr>
        <w:t>员</w:t>
      </w:r>
      <w:r>
        <w:rPr>
          <w:rFonts w:hint="eastAsia" w:ascii="宋体" w:hAnsi="宋体" w:eastAsia="宋体" w:cs="宋体"/>
          <w:kern w:val="0"/>
          <w:szCs w:val="21"/>
          <w:highlight w:val="none"/>
        </w:rPr>
        <w:t>会</w:t>
      </w:r>
      <w:r>
        <w:rPr>
          <w:rFonts w:hint="eastAsia" w:ascii="宋体" w:hAnsi="宋体" w:eastAsia="宋体" w:cs="宋体"/>
          <w:spacing w:val="-2"/>
          <w:kern w:val="0"/>
          <w:szCs w:val="21"/>
          <w:highlight w:val="none"/>
        </w:rPr>
        <w:t>的</w:t>
      </w:r>
      <w:r>
        <w:rPr>
          <w:rFonts w:hint="eastAsia" w:ascii="宋体" w:hAnsi="宋体" w:eastAsia="宋体" w:cs="宋体"/>
          <w:kern w:val="0"/>
          <w:szCs w:val="21"/>
          <w:highlight w:val="none"/>
        </w:rPr>
        <w:t>要</w:t>
      </w:r>
      <w:r>
        <w:rPr>
          <w:rFonts w:hint="eastAsia" w:ascii="宋体" w:hAnsi="宋体" w:eastAsia="宋体" w:cs="宋体"/>
          <w:spacing w:val="-2"/>
          <w:kern w:val="0"/>
          <w:szCs w:val="21"/>
          <w:highlight w:val="none"/>
        </w:rPr>
        <w:t>求</w:t>
      </w:r>
      <w:r>
        <w:rPr>
          <w:rFonts w:hint="eastAsia" w:ascii="宋体" w:hAnsi="宋体" w:eastAsia="宋体" w:cs="宋体"/>
          <w:kern w:val="0"/>
          <w:szCs w:val="21"/>
          <w:highlight w:val="none"/>
        </w:rPr>
        <w:t>。</w:t>
      </w:r>
    </w:p>
    <w:p w14:paraId="3B139064">
      <w:pPr>
        <w:pStyle w:val="4"/>
        <w:rPr>
          <w:rFonts w:hint="eastAsia" w:ascii="宋体" w:hAnsi="宋体" w:eastAsia="宋体" w:cs="宋体"/>
          <w:highlight w:val="none"/>
        </w:rPr>
      </w:pPr>
      <w:bookmarkStart w:id="152" w:name="_Toc10336"/>
      <w:bookmarkStart w:id="153" w:name="_Toc27845"/>
      <w:bookmarkStart w:id="154" w:name="_Toc19751"/>
      <w:bookmarkStart w:id="155" w:name="_Toc19426"/>
      <w:bookmarkStart w:id="156" w:name="_Toc26739"/>
      <w:bookmarkStart w:id="157" w:name="_Toc21477"/>
      <w:bookmarkStart w:id="158" w:name="_Toc25857"/>
      <w:bookmarkStart w:id="159" w:name="_Toc25449"/>
      <w:bookmarkStart w:id="160" w:name="_Toc12108"/>
      <w:bookmarkStart w:id="161" w:name="_Toc21885"/>
      <w:bookmarkStart w:id="162" w:name="_Toc29432"/>
      <w:bookmarkStart w:id="163" w:name="_Toc10707"/>
      <w:bookmarkStart w:id="164" w:name="_Toc21133"/>
      <w:r>
        <w:rPr>
          <w:rFonts w:hint="eastAsia" w:ascii="宋体" w:hAnsi="宋体" w:eastAsia="宋体" w:cs="宋体"/>
          <w:highlight w:val="none"/>
        </w:rPr>
        <w:t>3.4评标结果</w:t>
      </w:r>
      <w:bookmarkEnd w:id="152"/>
      <w:bookmarkEnd w:id="153"/>
      <w:bookmarkEnd w:id="154"/>
      <w:bookmarkEnd w:id="155"/>
      <w:bookmarkEnd w:id="156"/>
      <w:bookmarkEnd w:id="157"/>
      <w:bookmarkEnd w:id="158"/>
      <w:bookmarkEnd w:id="159"/>
      <w:bookmarkEnd w:id="160"/>
      <w:bookmarkEnd w:id="161"/>
      <w:bookmarkEnd w:id="162"/>
      <w:bookmarkEnd w:id="163"/>
      <w:bookmarkEnd w:id="164"/>
    </w:p>
    <w:p w14:paraId="2402E267">
      <w:pPr>
        <w:autoSpaceDE w:val="0"/>
        <w:autoSpaceDN w:val="0"/>
        <w:adjustRightInd w:val="0"/>
        <w:spacing w:line="360" w:lineRule="auto"/>
        <w:ind w:left="100" w:right="142" w:firstLine="420"/>
        <w:rPr>
          <w:rFonts w:hint="eastAsia" w:ascii="宋体" w:hAnsi="宋体" w:eastAsia="宋体" w:cs="宋体"/>
          <w:kern w:val="0"/>
          <w:szCs w:val="21"/>
          <w:highlight w:val="none"/>
        </w:rPr>
      </w:pPr>
      <w:r>
        <w:rPr>
          <w:rFonts w:hint="eastAsia" w:ascii="宋体" w:hAnsi="宋体" w:eastAsia="宋体" w:cs="宋体"/>
          <w:kern w:val="0"/>
          <w:szCs w:val="21"/>
          <w:highlight w:val="none"/>
        </w:rPr>
        <w:t>3.4.1除</w:t>
      </w:r>
      <w:r>
        <w:rPr>
          <w:rFonts w:hint="eastAsia" w:ascii="宋体" w:hAnsi="宋体" w:eastAsia="宋体" w:cs="宋体"/>
          <w:spacing w:val="-2"/>
          <w:kern w:val="0"/>
          <w:szCs w:val="21"/>
          <w:highlight w:val="none"/>
        </w:rPr>
        <w:t>采购人</w:t>
      </w:r>
      <w:r>
        <w:rPr>
          <w:rFonts w:hint="eastAsia" w:ascii="宋体" w:hAnsi="宋体" w:eastAsia="宋体" w:cs="宋体"/>
          <w:kern w:val="0"/>
          <w:szCs w:val="21"/>
          <w:highlight w:val="none"/>
        </w:rPr>
        <w:t>授</w:t>
      </w:r>
      <w:r>
        <w:rPr>
          <w:rFonts w:hint="eastAsia" w:ascii="宋体" w:hAnsi="宋体" w:eastAsia="宋体" w:cs="宋体"/>
          <w:spacing w:val="-2"/>
          <w:kern w:val="0"/>
          <w:szCs w:val="21"/>
          <w:highlight w:val="none"/>
        </w:rPr>
        <w:t>权</w:t>
      </w:r>
      <w:r>
        <w:rPr>
          <w:rFonts w:hint="eastAsia" w:ascii="宋体" w:hAnsi="宋体" w:eastAsia="宋体" w:cs="宋体"/>
          <w:kern w:val="0"/>
          <w:szCs w:val="21"/>
          <w:highlight w:val="none"/>
        </w:rPr>
        <w:t>直</w:t>
      </w:r>
      <w:r>
        <w:rPr>
          <w:rFonts w:hint="eastAsia" w:ascii="宋体" w:hAnsi="宋体" w:eastAsia="宋体" w:cs="宋体"/>
          <w:spacing w:val="-2"/>
          <w:kern w:val="0"/>
          <w:szCs w:val="21"/>
          <w:highlight w:val="none"/>
        </w:rPr>
        <w:t>接</w:t>
      </w:r>
      <w:r>
        <w:rPr>
          <w:rFonts w:hint="eastAsia" w:ascii="宋体" w:hAnsi="宋体" w:eastAsia="宋体" w:cs="宋体"/>
          <w:kern w:val="0"/>
          <w:szCs w:val="21"/>
          <w:highlight w:val="none"/>
        </w:rPr>
        <w:t>确</w:t>
      </w:r>
      <w:r>
        <w:rPr>
          <w:rFonts w:hint="eastAsia" w:ascii="宋体" w:hAnsi="宋体" w:eastAsia="宋体" w:cs="宋体"/>
          <w:spacing w:val="-2"/>
          <w:kern w:val="0"/>
          <w:szCs w:val="21"/>
          <w:highlight w:val="none"/>
        </w:rPr>
        <w:t>定中</w:t>
      </w:r>
      <w:r>
        <w:rPr>
          <w:rFonts w:hint="eastAsia" w:ascii="宋体" w:hAnsi="宋体" w:eastAsia="宋体" w:cs="宋体"/>
          <w:kern w:val="0"/>
          <w:szCs w:val="21"/>
          <w:highlight w:val="none"/>
        </w:rPr>
        <w:t>标人</w:t>
      </w:r>
      <w:r>
        <w:rPr>
          <w:rFonts w:hint="eastAsia" w:ascii="宋体" w:hAnsi="宋体" w:eastAsia="宋体" w:cs="宋体"/>
          <w:spacing w:val="-2"/>
          <w:kern w:val="0"/>
          <w:szCs w:val="21"/>
          <w:highlight w:val="none"/>
        </w:rPr>
        <w:t>外</w:t>
      </w:r>
      <w:r>
        <w:rPr>
          <w:rFonts w:hint="eastAsia" w:ascii="宋体" w:hAnsi="宋体" w:eastAsia="宋体" w:cs="宋体"/>
          <w:spacing w:val="-53"/>
          <w:kern w:val="0"/>
          <w:szCs w:val="21"/>
          <w:highlight w:val="none"/>
        </w:rPr>
        <w:t>，</w:t>
      </w:r>
      <w:r>
        <w:rPr>
          <w:rFonts w:hint="eastAsia" w:ascii="宋体" w:hAnsi="宋体" w:eastAsia="宋体" w:cs="宋体"/>
          <w:kern w:val="0"/>
          <w:szCs w:val="21"/>
          <w:highlight w:val="none"/>
        </w:rPr>
        <w:t>评</w:t>
      </w:r>
      <w:r>
        <w:rPr>
          <w:rFonts w:hint="eastAsia" w:ascii="宋体" w:hAnsi="宋体" w:eastAsia="宋体" w:cs="宋体"/>
          <w:spacing w:val="-2"/>
          <w:kern w:val="0"/>
          <w:szCs w:val="21"/>
          <w:highlight w:val="none"/>
        </w:rPr>
        <w:t>标</w:t>
      </w:r>
      <w:r>
        <w:rPr>
          <w:rFonts w:hint="eastAsia" w:ascii="宋体" w:hAnsi="宋体" w:eastAsia="宋体" w:cs="宋体"/>
          <w:kern w:val="0"/>
          <w:szCs w:val="21"/>
          <w:highlight w:val="none"/>
        </w:rPr>
        <w:t>委</w:t>
      </w:r>
      <w:r>
        <w:rPr>
          <w:rFonts w:hint="eastAsia" w:ascii="宋体" w:hAnsi="宋体" w:eastAsia="宋体" w:cs="宋体"/>
          <w:spacing w:val="-2"/>
          <w:kern w:val="0"/>
          <w:szCs w:val="21"/>
          <w:highlight w:val="none"/>
        </w:rPr>
        <w:t>员</w:t>
      </w:r>
      <w:r>
        <w:rPr>
          <w:rFonts w:hint="eastAsia" w:ascii="宋体" w:hAnsi="宋体" w:eastAsia="宋体" w:cs="宋体"/>
          <w:kern w:val="0"/>
          <w:szCs w:val="21"/>
          <w:highlight w:val="none"/>
        </w:rPr>
        <w:t>会</w:t>
      </w:r>
      <w:r>
        <w:rPr>
          <w:rFonts w:hint="eastAsia" w:ascii="宋体" w:hAnsi="宋体" w:eastAsia="宋体" w:cs="宋体"/>
          <w:spacing w:val="-2"/>
          <w:kern w:val="0"/>
          <w:szCs w:val="21"/>
          <w:highlight w:val="none"/>
        </w:rPr>
        <w:t>按照各评委</w:t>
      </w:r>
      <w:r>
        <w:rPr>
          <w:rFonts w:hint="eastAsia" w:ascii="宋体" w:hAnsi="宋体" w:eastAsia="宋体" w:cs="宋体"/>
          <w:highlight w:val="none"/>
        </w:rPr>
        <w:t>评分的算术平均值</w:t>
      </w:r>
      <w:r>
        <w:rPr>
          <w:rFonts w:hint="eastAsia" w:ascii="宋体" w:hAnsi="宋体" w:eastAsia="宋体" w:cs="宋体"/>
          <w:kern w:val="0"/>
          <w:szCs w:val="21"/>
          <w:highlight w:val="none"/>
        </w:rPr>
        <w:t>得分</w:t>
      </w:r>
      <w:r>
        <w:rPr>
          <w:rFonts w:hint="eastAsia" w:ascii="宋体" w:hAnsi="宋体" w:eastAsia="宋体" w:cs="宋体"/>
          <w:spacing w:val="-2"/>
          <w:kern w:val="0"/>
          <w:szCs w:val="21"/>
          <w:highlight w:val="none"/>
        </w:rPr>
        <w:t>由</w:t>
      </w:r>
      <w:r>
        <w:rPr>
          <w:rFonts w:hint="eastAsia" w:ascii="宋体" w:hAnsi="宋体" w:eastAsia="宋体" w:cs="宋体"/>
          <w:kern w:val="0"/>
          <w:szCs w:val="21"/>
          <w:highlight w:val="none"/>
        </w:rPr>
        <w:t>高</w:t>
      </w:r>
      <w:r>
        <w:rPr>
          <w:rFonts w:hint="eastAsia" w:ascii="宋体" w:hAnsi="宋体" w:eastAsia="宋体" w:cs="宋体"/>
          <w:spacing w:val="-2"/>
          <w:kern w:val="0"/>
          <w:szCs w:val="21"/>
          <w:highlight w:val="none"/>
        </w:rPr>
        <w:t>到</w:t>
      </w:r>
      <w:r>
        <w:rPr>
          <w:rFonts w:hint="eastAsia" w:ascii="宋体" w:hAnsi="宋体" w:eastAsia="宋体" w:cs="宋体"/>
          <w:kern w:val="0"/>
          <w:szCs w:val="21"/>
          <w:highlight w:val="none"/>
        </w:rPr>
        <w:t>低的顺</w:t>
      </w:r>
      <w:r>
        <w:rPr>
          <w:rFonts w:hint="eastAsia" w:ascii="宋体" w:hAnsi="宋体" w:eastAsia="宋体" w:cs="宋体"/>
          <w:spacing w:val="-2"/>
          <w:kern w:val="0"/>
          <w:szCs w:val="21"/>
          <w:highlight w:val="none"/>
        </w:rPr>
        <w:t>序</w:t>
      </w:r>
      <w:r>
        <w:rPr>
          <w:rFonts w:hint="eastAsia" w:ascii="宋体" w:hAnsi="宋体" w:eastAsia="宋体" w:cs="宋体"/>
          <w:kern w:val="0"/>
          <w:szCs w:val="21"/>
          <w:highlight w:val="none"/>
        </w:rPr>
        <w:t>推</w:t>
      </w:r>
      <w:r>
        <w:rPr>
          <w:rFonts w:hint="eastAsia" w:ascii="宋体" w:hAnsi="宋体" w:eastAsia="宋体" w:cs="宋体"/>
          <w:spacing w:val="-2"/>
          <w:kern w:val="0"/>
          <w:szCs w:val="21"/>
          <w:highlight w:val="none"/>
        </w:rPr>
        <w:t>荐3名</w:t>
      </w:r>
      <w:r>
        <w:rPr>
          <w:rFonts w:hint="eastAsia" w:ascii="宋体" w:hAnsi="宋体" w:eastAsia="宋体" w:cs="宋体"/>
          <w:kern w:val="0"/>
          <w:szCs w:val="21"/>
          <w:highlight w:val="none"/>
        </w:rPr>
        <w:t>中</w:t>
      </w:r>
      <w:r>
        <w:rPr>
          <w:rFonts w:hint="eastAsia" w:ascii="宋体" w:hAnsi="宋体" w:eastAsia="宋体" w:cs="宋体"/>
          <w:spacing w:val="-2"/>
          <w:kern w:val="0"/>
          <w:szCs w:val="21"/>
          <w:highlight w:val="none"/>
        </w:rPr>
        <w:t>标</w:t>
      </w:r>
      <w:r>
        <w:rPr>
          <w:rFonts w:hint="eastAsia" w:ascii="宋体" w:hAnsi="宋体" w:eastAsia="宋体" w:cs="宋体"/>
          <w:kern w:val="0"/>
          <w:szCs w:val="21"/>
          <w:highlight w:val="none"/>
        </w:rPr>
        <w:t>候</w:t>
      </w:r>
      <w:r>
        <w:rPr>
          <w:rFonts w:hint="eastAsia" w:ascii="宋体" w:hAnsi="宋体" w:eastAsia="宋体" w:cs="宋体"/>
          <w:spacing w:val="-2"/>
          <w:kern w:val="0"/>
          <w:szCs w:val="21"/>
          <w:highlight w:val="none"/>
        </w:rPr>
        <w:t>选</w:t>
      </w:r>
      <w:r>
        <w:rPr>
          <w:rFonts w:hint="eastAsia" w:ascii="宋体" w:hAnsi="宋体" w:eastAsia="宋体" w:cs="宋体"/>
          <w:kern w:val="0"/>
          <w:szCs w:val="21"/>
          <w:highlight w:val="none"/>
        </w:rPr>
        <w:t>人</w:t>
      </w:r>
      <w:r>
        <w:rPr>
          <w:rFonts w:hint="eastAsia" w:ascii="宋体" w:hAnsi="宋体" w:eastAsia="宋体" w:cs="宋体"/>
          <w:spacing w:val="-2"/>
          <w:kern w:val="0"/>
          <w:szCs w:val="21"/>
          <w:highlight w:val="none"/>
        </w:rPr>
        <w:t>，</w:t>
      </w:r>
      <w:r>
        <w:rPr>
          <w:rFonts w:hint="eastAsia" w:ascii="宋体" w:hAnsi="宋体" w:eastAsia="宋体" w:cs="宋体"/>
          <w:szCs w:val="21"/>
          <w:highlight w:val="none"/>
        </w:rPr>
        <w:t>得分相同的，按投标报价由低到高顺序排列。得分且投标报价相同的并列。投标文件满足招标文件全部实质性要求，且按照评审因素的量化指标评审得分最高的</w:t>
      </w:r>
      <w:r>
        <w:rPr>
          <w:rFonts w:hint="eastAsia" w:ascii="宋体" w:hAnsi="宋体" w:cs="宋体"/>
          <w:szCs w:val="21"/>
          <w:highlight w:val="none"/>
          <w:lang w:eastAsia="zh-CN"/>
        </w:rPr>
        <w:t>供应商</w:t>
      </w:r>
      <w:r>
        <w:rPr>
          <w:rFonts w:hint="eastAsia" w:ascii="宋体" w:hAnsi="宋体" w:eastAsia="宋体" w:cs="宋体"/>
          <w:szCs w:val="21"/>
          <w:highlight w:val="none"/>
        </w:rPr>
        <w:t>为排名第一的中标候选人。</w:t>
      </w:r>
    </w:p>
    <w:p w14:paraId="3AF4A903">
      <w:pPr>
        <w:autoSpaceDE w:val="0"/>
        <w:autoSpaceDN w:val="0"/>
        <w:adjustRightInd w:val="0"/>
        <w:spacing w:before="40" w:line="360" w:lineRule="auto"/>
        <w:ind w:left="100" w:right="140" w:firstLine="420"/>
        <w:rPr>
          <w:rFonts w:hint="eastAsia" w:ascii="宋体" w:hAnsi="宋体" w:eastAsia="宋体" w:cs="宋体"/>
          <w:kern w:val="0"/>
          <w:szCs w:val="21"/>
          <w:highlight w:val="none"/>
        </w:rPr>
        <w:sectPr>
          <w:headerReference r:id="rId4" w:type="default"/>
          <w:footerReference r:id="rId5" w:type="default"/>
          <w:pgSz w:w="11906" w:h="16838"/>
          <w:pgMar w:top="1417" w:right="1249" w:bottom="1417" w:left="1417" w:header="777" w:footer="641" w:gutter="0"/>
          <w:pgNumType w:fmt="decimal"/>
          <w:cols w:space="720" w:num="1"/>
        </w:sectPr>
      </w:pPr>
      <w:r>
        <w:rPr>
          <w:rFonts w:hint="eastAsia" w:ascii="宋体" w:hAnsi="宋体" w:eastAsia="宋体" w:cs="宋体"/>
          <w:kern w:val="0"/>
          <w:szCs w:val="21"/>
          <w:highlight w:val="none"/>
        </w:rPr>
        <w:t>3.4.2评</w:t>
      </w:r>
      <w:r>
        <w:rPr>
          <w:rFonts w:hint="eastAsia" w:ascii="宋体" w:hAnsi="宋体" w:eastAsia="宋体" w:cs="宋体"/>
          <w:spacing w:val="-2"/>
          <w:kern w:val="0"/>
          <w:szCs w:val="21"/>
          <w:highlight w:val="none"/>
        </w:rPr>
        <w:t>标</w:t>
      </w:r>
      <w:r>
        <w:rPr>
          <w:rFonts w:hint="eastAsia" w:ascii="宋体" w:hAnsi="宋体" w:eastAsia="宋体" w:cs="宋体"/>
          <w:kern w:val="0"/>
          <w:szCs w:val="21"/>
          <w:highlight w:val="none"/>
        </w:rPr>
        <w:t>委</w:t>
      </w:r>
      <w:r>
        <w:rPr>
          <w:rFonts w:hint="eastAsia" w:ascii="宋体" w:hAnsi="宋体" w:eastAsia="宋体" w:cs="宋体"/>
          <w:spacing w:val="-2"/>
          <w:kern w:val="0"/>
          <w:szCs w:val="21"/>
          <w:highlight w:val="none"/>
        </w:rPr>
        <w:t>员</w:t>
      </w:r>
      <w:r>
        <w:rPr>
          <w:rFonts w:hint="eastAsia" w:ascii="宋体" w:hAnsi="宋体" w:eastAsia="宋体" w:cs="宋体"/>
          <w:kern w:val="0"/>
          <w:szCs w:val="21"/>
          <w:highlight w:val="none"/>
        </w:rPr>
        <w:t>会</w:t>
      </w:r>
      <w:r>
        <w:rPr>
          <w:rFonts w:hint="eastAsia" w:ascii="宋体" w:hAnsi="宋体" w:eastAsia="宋体" w:cs="宋体"/>
          <w:spacing w:val="-2"/>
          <w:kern w:val="0"/>
          <w:szCs w:val="21"/>
          <w:highlight w:val="none"/>
        </w:rPr>
        <w:t>完</w:t>
      </w:r>
      <w:r>
        <w:rPr>
          <w:rFonts w:hint="eastAsia" w:ascii="宋体" w:hAnsi="宋体" w:eastAsia="宋体" w:cs="宋体"/>
          <w:kern w:val="0"/>
          <w:szCs w:val="21"/>
          <w:highlight w:val="none"/>
        </w:rPr>
        <w:t>成</w:t>
      </w:r>
      <w:r>
        <w:rPr>
          <w:rFonts w:hint="eastAsia" w:ascii="宋体" w:hAnsi="宋体" w:eastAsia="宋体" w:cs="宋体"/>
          <w:spacing w:val="-2"/>
          <w:kern w:val="0"/>
          <w:szCs w:val="21"/>
          <w:highlight w:val="none"/>
        </w:rPr>
        <w:t>评标</w:t>
      </w:r>
      <w:r>
        <w:rPr>
          <w:rFonts w:hint="eastAsia" w:ascii="宋体" w:hAnsi="宋体" w:eastAsia="宋体" w:cs="宋体"/>
          <w:kern w:val="0"/>
          <w:szCs w:val="21"/>
          <w:highlight w:val="none"/>
        </w:rPr>
        <w:t>后，</w:t>
      </w:r>
      <w:r>
        <w:rPr>
          <w:rFonts w:hint="eastAsia" w:ascii="宋体" w:hAnsi="宋体" w:eastAsia="宋体" w:cs="宋体"/>
          <w:spacing w:val="-2"/>
          <w:kern w:val="0"/>
          <w:szCs w:val="21"/>
          <w:highlight w:val="none"/>
        </w:rPr>
        <w:t>应</w:t>
      </w:r>
      <w:r>
        <w:rPr>
          <w:rFonts w:hint="eastAsia" w:ascii="宋体" w:hAnsi="宋体" w:eastAsia="宋体" w:cs="宋体"/>
          <w:kern w:val="0"/>
          <w:szCs w:val="21"/>
          <w:highlight w:val="none"/>
        </w:rPr>
        <w:t>当</w:t>
      </w:r>
      <w:r>
        <w:rPr>
          <w:rFonts w:hint="eastAsia" w:ascii="宋体" w:hAnsi="宋体" w:eastAsia="宋体" w:cs="宋体"/>
          <w:spacing w:val="-2"/>
          <w:kern w:val="0"/>
          <w:szCs w:val="21"/>
          <w:highlight w:val="none"/>
        </w:rPr>
        <w:t>向</w:t>
      </w:r>
      <w:r>
        <w:rPr>
          <w:rFonts w:hint="eastAsia" w:ascii="宋体" w:hAnsi="宋体" w:eastAsia="宋体" w:cs="宋体"/>
          <w:kern w:val="0"/>
          <w:szCs w:val="21"/>
          <w:highlight w:val="none"/>
        </w:rPr>
        <w:t>采购人</w:t>
      </w:r>
      <w:r>
        <w:rPr>
          <w:rFonts w:hint="eastAsia" w:ascii="宋体" w:hAnsi="宋体" w:eastAsia="宋体" w:cs="宋体"/>
          <w:spacing w:val="-2"/>
          <w:kern w:val="0"/>
          <w:szCs w:val="21"/>
          <w:highlight w:val="none"/>
        </w:rPr>
        <w:t>提</w:t>
      </w:r>
      <w:r>
        <w:rPr>
          <w:rFonts w:hint="eastAsia" w:ascii="宋体" w:hAnsi="宋体" w:eastAsia="宋体" w:cs="宋体"/>
          <w:kern w:val="0"/>
          <w:szCs w:val="21"/>
          <w:highlight w:val="none"/>
        </w:rPr>
        <w:t>交</w:t>
      </w:r>
      <w:r>
        <w:rPr>
          <w:rFonts w:hint="eastAsia" w:ascii="宋体" w:hAnsi="宋体" w:eastAsia="宋体" w:cs="宋体"/>
          <w:spacing w:val="-2"/>
          <w:kern w:val="0"/>
          <w:szCs w:val="21"/>
          <w:highlight w:val="none"/>
        </w:rPr>
        <w:t>书</w:t>
      </w:r>
      <w:r>
        <w:rPr>
          <w:rFonts w:hint="eastAsia" w:ascii="宋体" w:hAnsi="宋体" w:eastAsia="宋体" w:cs="宋体"/>
          <w:kern w:val="0"/>
          <w:szCs w:val="21"/>
          <w:highlight w:val="none"/>
        </w:rPr>
        <w:t>面评</w:t>
      </w:r>
      <w:r>
        <w:rPr>
          <w:rFonts w:hint="eastAsia" w:ascii="宋体" w:hAnsi="宋体" w:eastAsia="宋体" w:cs="宋体"/>
          <w:spacing w:val="-2"/>
          <w:kern w:val="0"/>
          <w:szCs w:val="21"/>
          <w:highlight w:val="none"/>
        </w:rPr>
        <w:t>标</w:t>
      </w:r>
      <w:r>
        <w:rPr>
          <w:rFonts w:hint="eastAsia" w:ascii="宋体" w:hAnsi="宋体" w:eastAsia="宋体" w:cs="宋体"/>
          <w:kern w:val="0"/>
          <w:szCs w:val="21"/>
          <w:highlight w:val="none"/>
        </w:rPr>
        <w:t>报</w:t>
      </w:r>
      <w:r>
        <w:rPr>
          <w:rFonts w:hint="eastAsia" w:ascii="宋体" w:hAnsi="宋体" w:eastAsia="宋体" w:cs="宋体"/>
          <w:spacing w:val="-2"/>
          <w:kern w:val="0"/>
          <w:szCs w:val="21"/>
          <w:highlight w:val="none"/>
        </w:rPr>
        <w:t>告</w:t>
      </w:r>
      <w:r>
        <w:rPr>
          <w:rFonts w:hint="eastAsia" w:ascii="宋体" w:hAnsi="宋体" w:eastAsia="宋体" w:cs="宋体"/>
          <w:kern w:val="0"/>
          <w:szCs w:val="21"/>
          <w:highlight w:val="none"/>
        </w:rPr>
        <w:t>和</w:t>
      </w:r>
      <w:r>
        <w:rPr>
          <w:rFonts w:hint="eastAsia" w:ascii="宋体" w:hAnsi="宋体" w:eastAsia="宋体" w:cs="宋体"/>
          <w:spacing w:val="-2"/>
          <w:kern w:val="0"/>
          <w:szCs w:val="21"/>
          <w:highlight w:val="none"/>
        </w:rPr>
        <w:t>中</w:t>
      </w:r>
      <w:r>
        <w:rPr>
          <w:rFonts w:hint="eastAsia" w:ascii="宋体" w:hAnsi="宋体" w:eastAsia="宋体" w:cs="宋体"/>
          <w:kern w:val="0"/>
          <w:szCs w:val="21"/>
          <w:highlight w:val="none"/>
        </w:rPr>
        <w:t>标</w:t>
      </w:r>
      <w:r>
        <w:rPr>
          <w:rFonts w:hint="eastAsia" w:ascii="宋体" w:hAnsi="宋体" w:eastAsia="宋体" w:cs="宋体"/>
          <w:spacing w:val="-2"/>
          <w:kern w:val="0"/>
          <w:szCs w:val="21"/>
          <w:highlight w:val="none"/>
        </w:rPr>
        <w:t>候</w:t>
      </w:r>
      <w:r>
        <w:rPr>
          <w:rFonts w:hint="eastAsia" w:ascii="宋体" w:hAnsi="宋体" w:eastAsia="宋体" w:cs="宋体"/>
          <w:kern w:val="0"/>
          <w:szCs w:val="21"/>
          <w:highlight w:val="none"/>
        </w:rPr>
        <w:t>选</w:t>
      </w:r>
      <w:r>
        <w:rPr>
          <w:rFonts w:hint="eastAsia" w:ascii="宋体" w:hAnsi="宋体" w:eastAsia="宋体" w:cs="宋体"/>
          <w:spacing w:val="-2"/>
          <w:kern w:val="0"/>
          <w:szCs w:val="21"/>
          <w:highlight w:val="none"/>
        </w:rPr>
        <w:t>人</w:t>
      </w:r>
      <w:r>
        <w:rPr>
          <w:rFonts w:hint="eastAsia" w:ascii="宋体" w:hAnsi="宋体" w:eastAsia="宋体" w:cs="宋体"/>
          <w:kern w:val="0"/>
          <w:szCs w:val="21"/>
          <w:highlight w:val="none"/>
        </w:rPr>
        <w:t>名单。</w:t>
      </w:r>
    </w:p>
    <w:p w14:paraId="75E24AC5">
      <w:pPr>
        <w:pStyle w:val="2"/>
        <w:bidi w:val="0"/>
        <w:jc w:val="center"/>
        <w:rPr>
          <w:rFonts w:hint="eastAsia" w:ascii="宋体" w:hAnsi="宋体" w:eastAsia="宋体" w:cs="宋体"/>
          <w:highlight w:val="none"/>
          <w:lang w:val="en-US" w:eastAsia="zh-CN"/>
        </w:rPr>
      </w:pPr>
      <w:bookmarkStart w:id="165" w:name="_Toc22380"/>
      <w:bookmarkStart w:id="166" w:name="_Toc19837"/>
      <w:r>
        <w:rPr>
          <w:rFonts w:hint="eastAsia" w:ascii="宋体" w:hAnsi="宋体" w:eastAsia="宋体" w:cs="宋体"/>
          <w:highlight w:val="none"/>
          <w:lang w:val="en-US" w:eastAsia="zh-CN"/>
        </w:rPr>
        <w:t xml:space="preserve">第四章 </w:t>
      </w:r>
      <w:bookmarkStart w:id="167" w:name="_Toc22638"/>
      <w:r>
        <w:rPr>
          <w:rFonts w:hint="eastAsia" w:ascii="宋体" w:hAnsi="宋体" w:eastAsia="宋体" w:cs="宋体"/>
          <w:highlight w:val="none"/>
          <w:lang w:val="en-US" w:eastAsia="zh-CN"/>
        </w:rPr>
        <w:t>合同条款及格式</w:t>
      </w:r>
      <w:bookmarkEnd w:id="165"/>
      <w:bookmarkEnd w:id="166"/>
      <w:bookmarkEnd w:id="167"/>
    </w:p>
    <w:p w14:paraId="33F28603">
      <w:pPr>
        <w:jc w:val="center"/>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z w:val="28"/>
          <w:szCs w:val="28"/>
          <w:highlight w:val="none"/>
          <w:lang w:val="en-US" w:eastAsia="zh-CN"/>
        </w:rPr>
        <w:t>以实际签订合同为准</w:t>
      </w:r>
      <w:r>
        <w:rPr>
          <w:rFonts w:hint="eastAsia" w:ascii="宋体" w:hAnsi="宋体" w:eastAsia="宋体" w:cs="宋体"/>
          <w:b/>
          <w:bCs/>
          <w:color w:val="auto"/>
          <w:sz w:val="28"/>
          <w:szCs w:val="28"/>
          <w:highlight w:val="none"/>
          <w:lang w:eastAsia="zh-CN"/>
        </w:rPr>
        <w:t>）</w:t>
      </w:r>
    </w:p>
    <w:p w14:paraId="3FAE45AA">
      <w:pPr>
        <w:jc w:val="center"/>
        <w:rPr>
          <w:rFonts w:hint="eastAsia" w:ascii="宋体" w:hAnsi="宋体" w:eastAsia="宋体" w:cs="宋体"/>
          <w:b/>
          <w:sz w:val="44"/>
          <w:szCs w:val="44"/>
          <w:highlight w:val="none"/>
        </w:rPr>
      </w:pPr>
      <w:r>
        <w:rPr>
          <w:rFonts w:hint="eastAsia" w:ascii="宋体" w:hAnsi="宋体" w:eastAsia="宋体" w:cs="宋体"/>
          <w:b/>
          <w:sz w:val="44"/>
          <w:szCs w:val="44"/>
          <w:highlight w:val="none"/>
          <w:lang w:val="en-US" w:eastAsia="zh-CN"/>
        </w:rPr>
        <w:t>荥阳市林业局城郊生态廊道养护项目</w:t>
      </w:r>
    </w:p>
    <w:p w14:paraId="075C2CAC">
      <w:pPr>
        <w:jc w:val="center"/>
        <w:rPr>
          <w:rFonts w:hint="eastAsia" w:ascii="宋体" w:hAnsi="宋体" w:eastAsia="宋体" w:cs="宋体"/>
          <w:b/>
          <w:sz w:val="44"/>
          <w:szCs w:val="44"/>
          <w:highlight w:val="none"/>
        </w:rPr>
      </w:pPr>
      <w:r>
        <w:rPr>
          <w:rFonts w:hint="eastAsia" w:ascii="宋体" w:hAnsi="宋体" w:eastAsia="宋体" w:cs="宋体"/>
          <w:b/>
          <w:sz w:val="44"/>
          <w:szCs w:val="44"/>
          <w:highlight w:val="none"/>
        </w:rPr>
        <w:t>承包合同</w:t>
      </w:r>
    </w:p>
    <w:p w14:paraId="2B964992">
      <w:pPr>
        <w:jc w:val="center"/>
        <w:rPr>
          <w:rFonts w:hint="eastAsia" w:ascii="宋体" w:hAnsi="宋体" w:eastAsia="宋体" w:cs="宋体"/>
          <w:sz w:val="44"/>
          <w:szCs w:val="44"/>
          <w:highlight w:val="none"/>
        </w:rPr>
      </w:pPr>
    </w:p>
    <w:p w14:paraId="72C5F923">
      <w:pPr>
        <w:rPr>
          <w:rFonts w:hint="eastAsia" w:ascii="宋体" w:hAnsi="宋体" w:eastAsia="宋体" w:cs="宋体"/>
          <w:sz w:val="32"/>
          <w:highlight w:val="none"/>
        </w:rPr>
      </w:pPr>
    </w:p>
    <w:p w14:paraId="11F8D434">
      <w:pPr>
        <w:rPr>
          <w:rFonts w:hint="eastAsia" w:ascii="宋体" w:hAnsi="宋体" w:eastAsia="宋体" w:cs="宋体"/>
          <w:sz w:val="32"/>
          <w:szCs w:val="32"/>
          <w:highlight w:val="none"/>
        </w:rPr>
      </w:pPr>
    </w:p>
    <w:p w14:paraId="2A0EFF7F">
      <w:pPr>
        <w:rPr>
          <w:rFonts w:hint="eastAsia" w:ascii="宋体" w:hAnsi="宋体" w:eastAsia="宋体" w:cs="宋体"/>
          <w:b/>
          <w:sz w:val="32"/>
          <w:szCs w:val="32"/>
          <w:highlight w:val="none"/>
          <w:u w:val="single"/>
        </w:rPr>
      </w:pPr>
      <w:r>
        <w:rPr>
          <w:rFonts w:hint="eastAsia" w:ascii="宋体" w:hAnsi="宋体" w:eastAsia="宋体" w:cs="宋体"/>
          <w:b/>
          <w:sz w:val="32"/>
          <w:szCs w:val="32"/>
          <w:highlight w:val="none"/>
        </w:rPr>
        <w:t>甲方（发包人）:</w:t>
      </w:r>
      <w:r>
        <w:rPr>
          <w:rFonts w:hint="eastAsia" w:ascii="宋体" w:hAnsi="宋体" w:eastAsia="宋体" w:cs="宋体"/>
          <w:b/>
          <w:sz w:val="32"/>
          <w:szCs w:val="32"/>
          <w:highlight w:val="none"/>
          <w:u w:val="single"/>
        </w:rPr>
        <w:t xml:space="preserve">  荥阳市林业局               </w:t>
      </w:r>
      <w:r>
        <w:rPr>
          <w:rFonts w:hint="eastAsia" w:ascii="宋体" w:hAnsi="宋体" w:cs="宋体"/>
          <w:b/>
          <w:sz w:val="32"/>
          <w:szCs w:val="32"/>
          <w:highlight w:val="none"/>
          <w:u w:val="single"/>
          <w:lang w:val="en-US" w:eastAsia="zh-CN"/>
        </w:rPr>
        <w:t xml:space="preserve">  </w:t>
      </w:r>
      <w:r>
        <w:rPr>
          <w:rFonts w:hint="eastAsia" w:ascii="宋体" w:hAnsi="宋体" w:eastAsia="宋体" w:cs="宋体"/>
          <w:b/>
          <w:sz w:val="32"/>
          <w:szCs w:val="32"/>
          <w:highlight w:val="none"/>
          <w:u w:val="single"/>
        </w:rPr>
        <w:t xml:space="preserve"> </w:t>
      </w:r>
    </w:p>
    <w:p w14:paraId="140A3E2B">
      <w:pPr>
        <w:rPr>
          <w:rFonts w:hint="eastAsia" w:ascii="宋体" w:hAnsi="宋体" w:eastAsia="宋体" w:cs="宋体"/>
          <w:sz w:val="32"/>
          <w:szCs w:val="32"/>
          <w:highlight w:val="none"/>
        </w:rPr>
      </w:pPr>
    </w:p>
    <w:p w14:paraId="43EA24AF">
      <w:pPr>
        <w:rPr>
          <w:rFonts w:hint="eastAsia" w:ascii="宋体" w:hAnsi="宋体" w:eastAsia="宋体" w:cs="宋体"/>
          <w:b/>
          <w:color w:val="000000"/>
          <w:sz w:val="32"/>
          <w:szCs w:val="32"/>
          <w:highlight w:val="none"/>
          <w:u w:val="single"/>
        </w:rPr>
      </w:pPr>
      <w:r>
        <w:rPr>
          <w:rFonts w:hint="eastAsia" w:ascii="宋体" w:hAnsi="宋体" w:eastAsia="宋体" w:cs="宋体"/>
          <w:b/>
          <w:sz w:val="32"/>
          <w:szCs w:val="32"/>
          <w:highlight w:val="none"/>
        </w:rPr>
        <w:t>乙方（承包人）：</w:t>
      </w:r>
      <w:r>
        <w:rPr>
          <w:rFonts w:hint="eastAsia" w:ascii="宋体" w:hAnsi="宋体" w:eastAsia="宋体" w:cs="宋体"/>
          <w:b/>
          <w:color w:val="000000"/>
          <w:sz w:val="32"/>
          <w:szCs w:val="32"/>
          <w:highlight w:val="none"/>
          <w:u w:val="single"/>
        </w:rPr>
        <w:t xml:space="preserve">                           </w:t>
      </w:r>
      <w:r>
        <w:rPr>
          <w:rFonts w:hint="eastAsia" w:ascii="宋体" w:hAnsi="宋体" w:cs="宋体"/>
          <w:b/>
          <w:color w:val="000000"/>
          <w:sz w:val="32"/>
          <w:szCs w:val="32"/>
          <w:highlight w:val="none"/>
          <w:u w:val="single"/>
          <w:lang w:val="en-US" w:eastAsia="zh-CN"/>
        </w:rPr>
        <w:t xml:space="preserve"> </w:t>
      </w:r>
      <w:r>
        <w:rPr>
          <w:rFonts w:hint="eastAsia" w:ascii="宋体" w:hAnsi="宋体" w:eastAsia="宋体" w:cs="宋体"/>
          <w:b/>
          <w:color w:val="000000"/>
          <w:sz w:val="32"/>
          <w:szCs w:val="32"/>
          <w:highlight w:val="none"/>
          <w:u w:val="single"/>
        </w:rPr>
        <w:t xml:space="preserve">   </w:t>
      </w:r>
    </w:p>
    <w:p w14:paraId="464CCE26">
      <w:pPr>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 xml:space="preserve"> </w:t>
      </w:r>
    </w:p>
    <w:p w14:paraId="41A6C3F6">
      <w:pPr>
        <w:rPr>
          <w:rFonts w:hint="eastAsia" w:ascii="宋体" w:hAnsi="宋体" w:eastAsia="宋体" w:cs="宋体"/>
          <w:b/>
          <w:sz w:val="32"/>
          <w:szCs w:val="32"/>
          <w:highlight w:val="none"/>
          <w:u w:val="single"/>
        </w:rPr>
      </w:pPr>
      <w:r>
        <w:rPr>
          <w:rFonts w:hint="eastAsia" w:ascii="宋体" w:hAnsi="宋体" w:eastAsia="宋体" w:cs="宋体"/>
          <w:b/>
          <w:sz w:val="32"/>
          <w:szCs w:val="32"/>
          <w:highlight w:val="none"/>
        </w:rPr>
        <w:t>项目名称：</w:t>
      </w:r>
      <w:r>
        <w:rPr>
          <w:rFonts w:hint="eastAsia" w:ascii="宋体" w:hAnsi="宋体" w:eastAsia="宋体" w:cs="宋体"/>
          <w:b/>
          <w:sz w:val="32"/>
          <w:szCs w:val="32"/>
          <w:highlight w:val="none"/>
          <w:u w:val="single"/>
          <w:lang w:val="en-US" w:eastAsia="zh-CN"/>
        </w:rPr>
        <w:t>荥阳市林业局城郊生态廊道养护项</w:t>
      </w:r>
      <w:r>
        <w:rPr>
          <w:rFonts w:hint="eastAsia" w:ascii="宋体" w:hAnsi="宋体" w:eastAsia="宋体" w:cs="宋体"/>
          <w:b/>
          <w:color w:val="000000"/>
          <w:sz w:val="32"/>
          <w:szCs w:val="32"/>
          <w:highlight w:val="none"/>
          <w:u w:val="single"/>
          <w:lang w:val="en-US" w:eastAsia="zh-CN"/>
        </w:rPr>
        <w:t>目</w:t>
      </w:r>
      <w:r>
        <w:rPr>
          <w:rFonts w:hint="eastAsia" w:ascii="宋体" w:hAnsi="宋体" w:eastAsia="宋体" w:cs="宋体"/>
          <w:b/>
          <w:color w:val="000000"/>
          <w:sz w:val="32"/>
          <w:szCs w:val="32"/>
          <w:highlight w:val="none"/>
          <w:u w:val="single"/>
        </w:rPr>
        <w:t xml:space="preserve">     标段</w:t>
      </w:r>
    </w:p>
    <w:p w14:paraId="03EFB94E">
      <w:pPr>
        <w:rPr>
          <w:rFonts w:hint="eastAsia" w:ascii="宋体" w:hAnsi="宋体" w:eastAsia="宋体" w:cs="宋体"/>
          <w:sz w:val="32"/>
          <w:szCs w:val="32"/>
          <w:highlight w:val="none"/>
        </w:rPr>
      </w:pPr>
    </w:p>
    <w:p w14:paraId="7CD15712">
      <w:pPr>
        <w:rPr>
          <w:rFonts w:hint="eastAsia" w:ascii="宋体" w:hAnsi="宋体" w:eastAsia="宋体" w:cs="宋体"/>
          <w:b/>
          <w:sz w:val="32"/>
          <w:szCs w:val="32"/>
          <w:highlight w:val="none"/>
        </w:rPr>
      </w:pPr>
      <w:r>
        <w:rPr>
          <w:rFonts w:hint="eastAsia" w:ascii="宋体" w:hAnsi="宋体" w:eastAsia="宋体" w:cs="宋体"/>
          <w:b/>
          <w:sz w:val="32"/>
          <w:szCs w:val="32"/>
          <w:highlight w:val="none"/>
        </w:rPr>
        <w:t>承包期限：</w:t>
      </w:r>
      <w:r>
        <w:rPr>
          <w:rFonts w:hint="eastAsia" w:ascii="宋体" w:hAnsi="宋体" w:cs="宋体"/>
          <w:b/>
          <w:sz w:val="32"/>
          <w:szCs w:val="32"/>
          <w:highlight w:val="none"/>
          <w:u w:val="single"/>
          <w:lang w:val="en-US" w:eastAsia="zh-CN"/>
        </w:rPr>
        <w:t xml:space="preserve">    </w:t>
      </w:r>
      <w:r>
        <w:rPr>
          <w:rFonts w:hint="eastAsia" w:ascii="宋体" w:hAnsi="宋体" w:eastAsia="宋体" w:cs="宋体"/>
          <w:b/>
          <w:sz w:val="32"/>
          <w:szCs w:val="32"/>
          <w:highlight w:val="none"/>
        </w:rPr>
        <w:t>年</w:t>
      </w:r>
      <w:r>
        <w:rPr>
          <w:rFonts w:hint="eastAsia" w:ascii="宋体" w:hAnsi="宋体" w:eastAsia="宋体" w:cs="宋体"/>
          <w:b/>
          <w:sz w:val="32"/>
          <w:szCs w:val="32"/>
          <w:highlight w:val="none"/>
          <w:lang w:val="en-US" w:eastAsia="zh-CN"/>
        </w:rPr>
        <w:t xml:space="preserve"> </w:t>
      </w:r>
      <w:r>
        <w:rPr>
          <w:rFonts w:hint="eastAsia" w:ascii="宋体" w:hAnsi="宋体" w:eastAsia="宋体" w:cs="宋体"/>
          <w:b/>
          <w:sz w:val="32"/>
          <w:szCs w:val="32"/>
          <w:highlight w:val="none"/>
          <w:u w:val="single"/>
          <w:lang w:val="en-US" w:eastAsia="zh-CN"/>
        </w:rPr>
        <w:t xml:space="preserve">  </w:t>
      </w:r>
      <w:r>
        <w:rPr>
          <w:rFonts w:hint="eastAsia" w:ascii="宋体" w:hAnsi="宋体" w:eastAsia="宋体" w:cs="宋体"/>
          <w:b/>
          <w:sz w:val="32"/>
          <w:szCs w:val="32"/>
          <w:highlight w:val="none"/>
        </w:rPr>
        <w:t>月</w:t>
      </w:r>
      <w:r>
        <w:rPr>
          <w:rFonts w:hint="eastAsia" w:ascii="宋体" w:hAnsi="宋体" w:eastAsia="宋体" w:cs="宋体"/>
          <w:b/>
          <w:sz w:val="32"/>
          <w:szCs w:val="32"/>
          <w:highlight w:val="none"/>
          <w:u w:val="single"/>
          <w:lang w:val="en-US" w:eastAsia="zh-CN"/>
        </w:rPr>
        <w:t xml:space="preserve">  </w:t>
      </w:r>
      <w:r>
        <w:rPr>
          <w:rFonts w:hint="eastAsia" w:ascii="宋体" w:hAnsi="宋体" w:eastAsia="宋体" w:cs="宋体"/>
          <w:b/>
          <w:sz w:val="32"/>
          <w:szCs w:val="32"/>
          <w:highlight w:val="none"/>
        </w:rPr>
        <w:t>日起至</w:t>
      </w:r>
      <w:r>
        <w:rPr>
          <w:rFonts w:hint="eastAsia" w:ascii="宋体" w:hAnsi="宋体" w:cs="宋体"/>
          <w:b/>
          <w:sz w:val="32"/>
          <w:szCs w:val="32"/>
          <w:highlight w:val="none"/>
          <w:u w:val="single"/>
          <w:lang w:val="en-US" w:eastAsia="zh-CN"/>
        </w:rPr>
        <w:t xml:space="preserve">    </w:t>
      </w:r>
      <w:r>
        <w:rPr>
          <w:rFonts w:hint="eastAsia" w:ascii="宋体" w:hAnsi="宋体" w:eastAsia="宋体" w:cs="宋体"/>
          <w:b/>
          <w:sz w:val="32"/>
          <w:szCs w:val="32"/>
          <w:highlight w:val="none"/>
        </w:rPr>
        <w:t>年</w:t>
      </w:r>
      <w:r>
        <w:rPr>
          <w:rFonts w:hint="eastAsia" w:ascii="宋体" w:hAnsi="宋体" w:eastAsia="宋体" w:cs="宋体"/>
          <w:b/>
          <w:sz w:val="32"/>
          <w:szCs w:val="32"/>
          <w:highlight w:val="none"/>
          <w:u w:val="single"/>
          <w:lang w:val="en-US" w:eastAsia="zh-CN"/>
        </w:rPr>
        <w:t xml:space="preserve">  </w:t>
      </w:r>
      <w:r>
        <w:rPr>
          <w:rFonts w:hint="eastAsia" w:ascii="宋体" w:hAnsi="宋体" w:eastAsia="宋体" w:cs="宋体"/>
          <w:b/>
          <w:sz w:val="32"/>
          <w:szCs w:val="32"/>
          <w:highlight w:val="none"/>
        </w:rPr>
        <w:t>月</w:t>
      </w:r>
      <w:r>
        <w:rPr>
          <w:rFonts w:hint="eastAsia" w:ascii="宋体" w:hAnsi="宋体" w:eastAsia="宋体" w:cs="宋体"/>
          <w:b/>
          <w:sz w:val="32"/>
          <w:szCs w:val="32"/>
          <w:highlight w:val="none"/>
          <w:u w:val="single"/>
          <w:lang w:val="en-US" w:eastAsia="zh-CN"/>
        </w:rPr>
        <w:t xml:space="preserve">  </w:t>
      </w:r>
      <w:r>
        <w:rPr>
          <w:rFonts w:hint="eastAsia" w:ascii="宋体" w:hAnsi="宋体" w:eastAsia="宋体" w:cs="宋体"/>
          <w:b/>
          <w:sz w:val="32"/>
          <w:szCs w:val="32"/>
          <w:highlight w:val="none"/>
        </w:rPr>
        <w:t>日止</w:t>
      </w:r>
    </w:p>
    <w:p w14:paraId="0FAF3220">
      <w:pPr>
        <w:rPr>
          <w:rFonts w:hint="eastAsia" w:ascii="宋体" w:hAnsi="宋体" w:eastAsia="宋体" w:cs="宋体"/>
          <w:sz w:val="32"/>
          <w:szCs w:val="32"/>
          <w:highlight w:val="none"/>
        </w:rPr>
      </w:pPr>
    </w:p>
    <w:p w14:paraId="69448205">
      <w:pPr>
        <w:rPr>
          <w:rFonts w:hint="eastAsia" w:ascii="宋体" w:hAnsi="宋体" w:eastAsia="宋体" w:cs="宋体"/>
          <w:sz w:val="32"/>
          <w:szCs w:val="32"/>
          <w:highlight w:val="none"/>
        </w:rPr>
      </w:pPr>
    </w:p>
    <w:p w14:paraId="29F60A27">
      <w:pPr>
        <w:ind w:right="600"/>
        <w:rPr>
          <w:rFonts w:hint="eastAsia" w:ascii="宋体" w:hAnsi="宋体" w:eastAsia="宋体" w:cs="宋体"/>
          <w:b/>
          <w:sz w:val="32"/>
          <w:szCs w:val="32"/>
          <w:highlight w:val="none"/>
          <w:u w:val="single"/>
        </w:rPr>
      </w:pPr>
    </w:p>
    <w:p w14:paraId="2C82B3D2">
      <w:pPr>
        <w:ind w:right="270"/>
        <w:jc w:val="center"/>
        <w:rPr>
          <w:rFonts w:hint="eastAsia" w:ascii="宋体" w:hAnsi="宋体" w:eastAsia="宋体" w:cs="宋体"/>
          <w:b/>
          <w:sz w:val="32"/>
          <w:szCs w:val="32"/>
          <w:highlight w:val="none"/>
          <w:u w:val="single"/>
        </w:rPr>
      </w:pPr>
      <w:r>
        <w:rPr>
          <w:rFonts w:hint="eastAsia" w:ascii="宋体" w:hAnsi="宋体" w:cs="宋体"/>
          <w:b/>
          <w:sz w:val="32"/>
          <w:szCs w:val="32"/>
          <w:highlight w:val="none"/>
          <w:lang w:eastAsia="zh-CN"/>
        </w:rPr>
        <w:t>签订</w:t>
      </w:r>
      <w:r>
        <w:rPr>
          <w:rFonts w:hint="eastAsia" w:ascii="宋体" w:hAnsi="宋体" w:eastAsia="宋体" w:cs="宋体"/>
          <w:b/>
          <w:sz w:val="32"/>
          <w:szCs w:val="32"/>
          <w:highlight w:val="none"/>
        </w:rPr>
        <w:t>日期：</w:t>
      </w:r>
      <w:r>
        <w:rPr>
          <w:rFonts w:hint="eastAsia" w:ascii="宋体" w:hAnsi="宋体" w:eastAsia="宋体" w:cs="宋体"/>
          <w:b/>
          <w:sz w:val="32"/>
          <w:szCs w:val="32"/>
          <w:highlight w:val="none"/>
          <w:u w:val="single"/>
        </w:rPr>
        <w:t xml:space="preserve"> </w:t>
      </w:r>
      <w:r>
        <w:rPr>
          <w:rFonts w:hint="eastAsia" w:ascii="宋体" w:hAnsi="宋体" w:cs="宋体"/>
          <w:b/>
          <w:sz w:val="32"/>
          <w:szCs w:val="32"/>
          <w:highlight w:val="none"/>
          <w:u w:val="single"/>
          <w:lang w:val="en-US" w:eastAsia="zh-CN"/>
        </w:rPr>
        <w:t xml:space="preserve">    </w:t>
      </w:r>
      <w:r>
        <w:rPr>
          <w:rFonts w:hint="eastAsia" w:ascii="宋体" w:hAnsi="宋体" w:eastAsia="宋体" w:cs="宋体"/>
          <w:b/>
          <w:sz w:val="32"/>
          <w:szCs w:val="32"/>
          <w:highlight w:val="none"/>
          <w:u w:val="single"/>
        </w:rPr>
        <w:t>年</w:t>
      </w:r>
      <w:r>
        <w:rPr>
          <w:rFonts w:hint="eastAsia" w:ascii="宋体" w:hAnsi="宋体" w:eastAsia="宋体" w:cs="宋体"/>
          <w:b/>
          <w:sz w:val="32"/>
          <w:szCs w:val="32"/>
          <w:highlight w:val="none"/>
          <w:u w:val="single"/>
          <w:lang w:val="en-US" w:eastAsia="zh-CN"/>
        </w:rPr>
        <w:t xml:space="preserve">  </w:t>
      </w:r>
      <w:r>
        <w:rPr>
          <w:rFonts w:hint="eastAsia" w:ascii="宋体" w:hAnsi="宋体" w:eastAsia="宋体" w:cs="宋体"/>
          <w:b/>
          <w:sz w:val="32"/>
          <w:szCs w:val="32"/>
          <w:highlight w:val="none"/>
          <w:u w:val="single"/>
        </w:rPr>
        <w:t>月</w:t>
      </w:r>
      <w:r>
        <w:rPr>
          <w:rFonts w:hint="eastAsia" w:ascii="宋体" w:hAnsi="宋体" w:eastAsia="宋体" w:cs="宋体"/>
          <w:b/>
          <w:sz w:val="32"/>
          <w:szCs w:val="32"/>
          <w:highlight w:val="none"/>
          <w:u w:val="single"/>
          <w:lang w:val="en-US" w:eastAsia="zh-CN"/>
        </w:rPr>
        <w:t xml:space="preserve">  </w:t>
      </w:r>
      <w:r>
        <w:rPr>
          <w:rFonts w:hint="eastAsia" w:ascii="宋体" w:hAnsi="宋体" w:eastAsia="宋体" w:cs="宋体"/>
          <w:b/>
          <w:sz w:val="32"/>
          <w:szCs w:val="32"/>
          <w:highlight w:val="none"/>
          <w:u w:val="single"/>
        </w:rPr>
        <w:t xml:space="preserve">日 </w:t>
      </w:r>
    </w:p>
    <w:p w14:paraId="2601464D">
      <w:pPr>
        <w:jc w:val="center"/>
        <w:rPr>
          <w:rFonts w:hint="eastAsia" w:ascii="宋体" w:hAnsi="宋体" w:eastAsia="宋体" w:cs="宋体"/>
          <w:b/>
          <w:sz w:val="32"/>
          <w:szCs w:val="32"/>
          <w:highlight w:val="none"/>
        </w:rPr>
        <w:sectPr>
          <w:headerReference r:id="rId6" w:type="default"/>
          <w:footerReference r:id="rId7" w:type="default"/>
          <w:footerReference r:id="rId8" w:type="even"/>
          <w:pgSz w:w="11906" w:h="16838"/>
          <w:pgMar w:top="1701" w:right="1588" w:bottom="1474" w:left="1588" w:header="851" w:footer="992" w:gutter="0"/>
          <w:pgNumType w:fmt="decimal"/>
          <w:cols w:space="720" w:num="1"/>
          <w:titlePg/>
          <w:docGrid w:type="lines" w:linePitch="317" w:charSpace="0"/>
        </w:sectPr>
      </w:pPr>
    </w:p>
    <w:p w14:paraId="28D9EBD4">
      <w:pPr>
        <w:spacing w:line="540" w:lineRule="exact"/>
        <w:jc w:val="center"/>
        <w:rPr>
          <w:rFonts w:hint="eastAsia" w:ascii="宋体" w:hAnsi="宋体" w:eastAsia="宋体" w:cs="宋体"/>
          <w:b/>
          <w:sz w:val="44"/>
          <w:szCs w:val="44"/>
          <w:highlight w:val="none"/>
          <w:lang w:val="en-US" w:eastAsia="zh-CN"/>
        </w:rPr>
      </w:pPr>
      <w:r>
        <w:rPr>
          <w:rFonts w:hint="eastAsia" w:ascii="宋体" w:hAnsi="宋体" w:eastAsia="宋体" w:cs="宋体"/>
          <w:b/>
          <w:sz w:val="44"/>
          <w:szCs w:val="44"/>
          <w:highlight w:val="none"/>
          <w:lang w:val="en-US" w:eastAsia="zh-CN"/>
        </w:rPr>
        <w:t>荥阳市林业局城郊生态廊道养护项目</w:t>
      </w:r>
    </w:p>
    <w:p w14:paraId="09F8483D">
      <w:pPr>
        <w:spacing w:line="540" w:lineRule="exact"/>
        <w:jc w:val="center"/>
        <w:rPr>
          <w:rFonts w:hint="eastAsia" w:ascii="宋体" w:hAnsi="宋体" w:eastAsia="宋体" w:cs="宋体"/>
          <w:b/>
          <w:sz w:val="44"/>
          <w:szCs w:val="44"/>
          <w:highlight w:val="none"/>
        </w:rPr>
      </w:pPr>
      <w:r>
        <w:rPr>
          <w:rFonts w:hint="eastAsia" w:ascii="宋体" w:hAnsi="宋体" w:eastAsia="宋体" w:cs="宋体"/>
          <w:b/>
          <w:sz w:val="44"/>
          <w:szCs w:val="44"/>
          <w:highlight w:val="none"/>
        </w:rPr>
        <w:t>承包合同</w:t>
      </w:r>
    </w:p>
    <w:p w14:paraId="2A6F219E">
      <w:pPr>
        <w:spacing w:line="540" w:lineRule="exact"/>
        <w:jc w:val="center"/>
        <w:rPr>
          <w:rFonts w:hint="eastAsia" w:ascii="宋体" w:hAnsi="宋体" w:eastAsia="宋体" w:cs="宋体"/>
          <w:b/>
          <w:sz w:val="32"/>
          <w:szCs w:val="32"/>
          <w:highlight w:val="none"/>
        </w:rPr>
      </w:pPr>
    </w:p>
    <w:p w14:paraId="5D12DE8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甲方（发包人）:</w:t>
      </w:r>
      <w:r>
        <w:rPr>
          <w:rFonts w:hint="eastAsia" w:ascii="宋体" w:hAnsi="宋体" w:eastAsia="宋体" w:cs="宋体"/>
          <w:sz w:val="24"/>
          <w:szCs w:val="24"/>
          <w:highlight w:val="none"/>
          <w:u w:val="single"/>
        </w:rPr>
        <w:t xml:space="preserve"> 荥阳市林业局                 </w:t>
      </w:r>
    </w:p>
    <w:p w14:paraId="6DB04DC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乙方（承包人）:</w:t>
      </w:r>
      <w:r>
        <w:rPr>
          <w:rFonts w:hint="eastAsia" w:ascii="宋体" w:hAnsi="宋体" w:eastAsia="宋体" w:cs="宋体"/>
          <w:sz w:val="24"/>
          <w:szCs w:val="24"/>
          <w:highlight w:val="none"/>
          <w:u w:val="single"/>
        </w:rPr>
        <w:t xml:space="preserve">                              </w:t>
      </w:r>
    </w:p>
    <w:p w14:paraId="51239A8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sz w:val="24"/>
          <w:szCs w:val="24"/>
          <w:highlight w:val="none"/>
          <w:u w:val="single"/>
        </w:rPr>
      </w:pPr>
    </w:p>
    <w:p w14:paraId="4C18E81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为做好</w:t>
      </w:r>
      <w:r>
        <w:rPr>
          <w:rFonts w:hint="eastAsia" w:ascii="宋体" w:hAnsi="宋体" w:eastAsia="宋体" w:cs="宋体"/>
          <w:sz w:val="24"/>
          <w:szCs w:val="24"/>
          <w:highlight w:val="none"/>
          <w:lang w:val="en-US" w:eastAsia="zh-CN"/>
        </w:rPr>
        <w:t>生态廊道建养护</w:t>
      </w:r>
      <w:r>
        <w:rPr>
          <w:rFonts w:hint="eastAsia" w:ascii="宋体" w:hAnsi="宋体" w:eastAsia="宋体" w:cs="宋体"/>
          <w:sz w:val="24"/>
          <w:szCs w:val="24"/>
          <w:highlight w:val="none"/>
        </w:rPr>
        <w:t>工作，按照《中华人民共和国合同法》、《中华人民共和国招投标法》及其他有关规定，遵循平等、自愿、公平和诚实信用的原则，</w:t>
      </w:r>
      <w:r>
        <w:rPr>
          <w:rFonts w:hint="eastAsia" w:ascii="宋体" w:hAnsi="宋体" w:eastAsia="宋体" w:cs="宋体"/>
          <w:color w:val="000000"/>
          <w:kern w:val="0"/>
          <w:sz w:val="24"/>
          <w:szCs w:val="24"/>
          <w:highlight w:val="none"/>
        </w:rPr>
        <w:t>双方就</w:t>
      </w:r>
      <w:r>
        <w:rPr>
          <w:rFonts w:hint="eastAsia" w:ascii="宋体" w:hAnsi="宋体" w:cs="宋体"/>
          <w:b/>
          <w:sz w:val="32"/>
          <w:szCs w:val="32"/>
          <w:highlight w:val="none"/>
          <w:u w:val="single"/>
          <w:lang w:val="en-US" w:eastAsia="zh-CN"/>
        </w:rPr>
        <w:t xml:space="preserve"> </w:t>
      </w:r>
      <w:r>
        <w:rPr>
          <w:rFonts w:hint="eastAsia" w:ascii="宋体" w:hAnsi="宋体" w:eastAsia="宋体" w:cs="宋体"/>
          <w:color w:val="000000"/>
          <w:kern w:val="0"/>
          <w:sz w:val="24"/>
          <w:szCs w:val="24"/>
          <w:highlight w:val="none"/>
          <w:u w:val="single"/>
          <w:lang w:val="en-US" w:eastAsia="zh-CN"/>
        </w:rPr>
        <w:t>荥阳市林业局城郊生态廊道养护项目</w:t>
      </w:r>
      <w:r>
        <w:rPr>
          <w:rFonts w:hint="eastAsia" w:ascii="宋体" w:hAnsi="宋体" w:eastAsia="宋体" w:cs="宋体"/>
          <w:color w:val="000000"/>
          <w:kern w:val="0"/>
          <w:sz w:val="24"/>
          <w:szCs w:val="24"/>
          <w:highlight w:val="none"/>
          <w:u w:val="single"/>
        </w:rPr>
        <w:t xml:space="preserve">  </w:t>
      </w:r>
      <w:r>
        <w:rPr>
          <w:rFonts w:hint="eastAsia" w:ascii="宋体" w:hAnsi="宋体" w:cs="宋体"/>
          <w:color w:val="000000"/>
          <w:kern w:val="0"/>
          <w:sz w:val="24"/>
          <w:szCs w:val="24"/>
          <w:highlight w:val="none"/>
          <w:u w:val="single"/>
          <w:lang w:val="en-US" w:eastAsia="zh-CN"/>
        </w:rPr>
        <w:t xml:space="preserve">  </w:t>
      </w:r>
      <w:r>
        <w:rPr>
          <w:rFonts w:hint="eastAsia" w:ascii="宋体" w:hAnsi="宋体" w:eastAsia="宋体" w:cs="宋体"/>
          <w:color w:val="000000"/>
          <w:kern w:val="0"/>
          <w:sz w:val="24"/>
          <w:szCs w:val="24"/>
          <w:highlight w:val="none"/>
          <w:u w:val="single"/>
        </w:rPr>
        <w:t>标段</w:t>
      </w:r>
      <w:r>
        <w:rPr>
          <w:rFonts w:hint="eastAsia" w:ascii="宋体" w:hAnsi="宋体" w:eastAsia="宋体" w:cs="宋体"/>
          <w:sz w:val="24"/>
          <w:szCs w:val="24"/>
          <w:highlight w:val="none"/>
          <w:u w:val="single"/>
        </w:rPr>
        <w:t xml:space="preserve"> </w:t>
      </w:r>
      <w:r>
        <w:rPr>
          <w:rFonts w:hint="eastAsia" w:ascii="宋体" w:hAnsi="宋体" w:eastAsia="宋体" w:cs="宋体"/>
          <w:color w:val="000000"/>
          <w:kern w:val="0"/>
          <w:sz w:val="24"/>
          <w:szCs w:val="24"/>
          <w:highlight w:val="none"/>
        </w:rPr>
        <w:t>的管理养护事宜协商一致，</w:t>
      </w:r>
      <w:r>
        <w:rPr>
          <w:rFonts w:hint="eastAsia" w:ascii="宋体" w:hAnsi="宋体" w:eastAsia="宋体" w:cs="宋体"/>
          <w:sz w:val="24"/>
          <w:szCs w:val="24"/>
          <w:highlight w:val="none"/>
        </w:rPr>
        <w:t>订立本合同。</w:t>
      </w:r>
    </w:p>
    <w:p w14:paraId="2E364252">
      <w:pPr>
        <w:pStyle w:val="9"/>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一、承包范围</w:t>
      </w:r>
    </w:p>
    <w:p w14:paraId="73D6CDA5">
      <w:pPr>
        <w:pStyle w:val="9"/>
        <w:keepNext w:val="0"/>
        <w:keepLines w:val="0"/>
        <w:pageBreakBefore w:val="0"/>
        <w:kinsoku/>
        <w:wordWrap/>
        <w:overflowPunct/>
        <w:topLinePunct w:val="0"/>
        <w:autoSpaceDE/>
        <w:autoSpaceDN/>
        <w:bidi w:val="0"/>
        <w:adjustRightInd/>
        <w:snapToGrid/>
        <w:spacing w:line="360" w:lineRule="auto"/>
        <w:ind w:firstLine="600" w:firstLineChars="25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生态廊道，范围（始终点）：</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交界，</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，全长约</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公里两侧绿化带，管养面积约</w:t>
      </w:r>
      <w:r>
        <w:rPr>
          <w:rFonts w:hint="eastAsia" w:ascii="宋体" w:hAnsi="宋体" w:eastAsia="宋体" w:cs="宋体"/>
          <w:sz w:val="24"/>
          <w:szCs w:val="24"/>
          <w:highlight w:val="none"/>
          <w:u w:val="single"/>
        </w:rPr>
        <w:t xml:space="preserve">         万  </w:t>
      </w:r>
      <w:r>
        <w:rPr>
          <w:rFonts w:hint="eastAsia" w:ascii="宋体" w:hAnsi="宋体" w:eastAsia="宋体" w:cs="宋体"/>
          <w:sz w:val="24"/>
          <w:szCs w:val="24"/>
          <w:highlight w:val="none"/>
        </w:rPr>
        <w:t>㎡。</w:t>
      </w:r>
    </w:p>
    <w:p w14:paraId="71ABB2EF">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二、承包内容</w:t>
      </w:r>
    </w:p>
    <w:p w14:paraId="35CCEE4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本合同所称的</w:t>
      </w:r>
      <w:r>
        <w:rPr>
          <w:rFonts w:hint="eastAsia" w:ascii="宋体" w:hAnsi="宋体" w:eastAsia="宋体" w:cs="宋体"/>
          <w:sz w:val="24"/>
          <w:szCs w:val="24"/>
          <w:highlight w:val="none"/>
          <w:lang w:val="en-US" w:eastAsia="zh-CN"/>
        </w:rPr>
        <w:t>荥阳市林业局城郊生态廊道养护项目</w:t>
      </w:r>
      <w:r>
        <w:rPr>
          <w:rFonts w:hint="eastAsia" w:ascii="宋体" w:hAnsi="宋体" w:eastAsia="宋体" w:cs="宋体"/>
          <w:sz w:val="24"/>
          <w:szCs w:val="24"/>
          <w:highlight w:val="none"/>
        </w:rPr>
        <w:t>指的是绿化植物(草坪、灌木、花卉、乔木) 管养（</w:t>
      </w:r>
      <w:r>
        <w:rPr>
          <w:rFonts w:hint="eastAsia" w:ascii="宋体" w:hAnsi="宋体" w:eastAsia="宋体" w:cs="宋体"/>
          <w:b w:val="0"/>
          <w:bCs w:val="0"/>
          <w:color w:val="auto"/>
          <w:sz w:val="24"/>
          <w:szCs w:val="24"/>
          <w:highlight w:val="none"/>
          <w:lang w:val="en-US" w:eastAsia="zh-CN"/>
        </w:rPr>
        <w:t>养护方式包括修枝、割灌、清理廊道内枯枝、杂草、落叶</w:t>
      </w:r>
      <w:r>
        <w:rPr>
          <w:rFonts w:hint="eastAsia" w:ascii="宋体" w:hAnsi="宋体" w:eastAsia="宋体" w:cs="宋体"/>
          <w:sz w:val="24"/>
          <w:szCs w:val="24"/>
          <w:highlight w:val="none"/>
        </w:rPr>
        <w:t>），及上述范围内的环境卫生、垃圾</w:t>
      </w:r>
      <w:r>
        <w:rPr>
          <w:rFonts w:hint="eastAsia" w:ascii="宋体" w:hAnsi="宋体" w:eastAsia="宋体" w:cs="宋体"/>
          <w:sz w:val="24"/>
          <w:szCs w:val="24"/>
          <w:highlight w:val="none"/>
          <w:lang w:eastAsia="zh-CN"/>
        </w:rPr>
        <w:t>、废弃物</w:t>
      </w:r>
      <w:r>
        <w:rPr>
          <w:rFonts w:hint="eastAsia" w:ascii="宋体" w:hAnsi="宋体" w:eastAsia="宋体" w:cs="宋体"/>
          <w:sz w:val="24"/>
          <w:szCs w:val="24"/>
          <w:highlight w:val="none"/>
        </w:rPr>
        <w:t>清运。</w:t>
      </w:r>
    </w:p>
    <w:p w14:paraId="6771B622">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三、承包方式</w:t>
      </w:r>
    </w:p>
    <w:p w14:paraId="1F174C0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1、乙方在确定的范围内以包工、包料、包机械工具、包水电费、包质量、包安全的方式实施管养总承包。</w:t>
      </w:r>
    </w:p>
    <w:p w14:paraId="2605FEE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cs="宋体"/>
          <w:sz w:val="24"/>
          <w:szCs w:val="24"/>
          <w:highlight w:val="none"/>
          <w:lang w:val="en-US" w:eastAsia="zh-CN"/>
        </w:rPr>
        <w:t>养护</w:t>
      </w:r>
      <w:r>
        <w:rPr>
          <w:rFonts w:hint="eastAsia" w:ascii="宋体" w:hAnsi="宋体" w:eastAsia="宋体" w:cs="宋体"/>
          <w:sz w:val="24"/>
          <w:szCs w:val="24"/>
          <w:highlight w:val="none"/>
        </w:rPr>
        <w:t>所需的材料、设备等，均由乙方自行解决，但必须符合国家有关绿化管养作业技术规程、规范要求。</w:t>
      </w:r>
    </w:p>
    <w:p w14:paraId="13AC93D5">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四、承包金及支付方式</w:t>
      </w:r>
    </w:p>
    <w:p w14:paraId="663B4AB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1、承包金单价（中标单价）：</w:t>
      </w:r>
      <w:r>
        <w:rPr>
          <w:rFonts w:hint="eastAsia" w:ascii="宋体" w:hAnsi="宋体" w:eastAsia="宋体" w:cs="宋体"/>
          <w:color w:val="000000"/>
          <w:sz w:val="24"/>
          <w:szCs w:val="24"/>
          <w:highlight w:val="none"/>
          <w:u w:val="single"/>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元/平方米，</w:t>
      </w:r>
    </w:p>
    <w:p w14:paraId="0AACBB2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2971800</wp:posOffset>
                </wp:positionH>
                <wp:positionV relativeFrom="paragraph">
                  <wp:posOffset>603885</wp:posOffset>
                </wp:positionV>
                <wp:extent cx="635" cy="0"/>
                <wp:effectExtent l="0" t="4445" r="0" b="5080"/>
                <wp:wrapNone/>
                <wp:docPr id="7" name="直接连接符 7"/>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34pt;margin-top:47.55pt;height:0pt;width:0.05pt;z-index:251660288;mso-width-relative:page;mso-height-relative:page;" filled="f" stroked="t" coordsize="21600,21600" o:gfxdata="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NRUI/fWAAAACQEAAA8AAAAAAAAAAQAgAAAAIgAAAGRycy9kb3ducmV2LnhtbFBLAQIUABQA&#10;AAAIAIdO4kA4GqPt8gEAAOADAAAOAAAAAAAAAAEAIAAAACUBAABkcnMvZTJvRG9jLnhtbFBLBQYA&#10;AAAABgAGAFkBAACJBQAAAAA=&#10;">
                <v:fill on="f" focussize="0,0"/>
                <v:stroke color="#000000" joinstyle="round"/>
                <v:imagedata o:title=""/>
                <o:lock v:ext="edit" aspectratio="f"/>
              </v:line>
            </w:pict>
          </mc:Fallback>
        </mc:AlternateContent>
      </w:r>
      <w:r>
        <w:rPr>
          <w:rFonts w:hint="eastAsia" w:ascii="宋体" w:hAnsi="宋体" w:eastAsia="宋体" w:cs="宋体"/>
          <w:sz w:val="24"/>
          <w:szCs w:val="24"/>
          <w:highlight w:val="none"/>
        </w:rPr>
        <mc:AlternateContent>
          <mc:Choice Requires="wps">
            <w:drawing>
              <wp:anchor distT="0" distB="0" distL="114300" distR="114300" simplePos="0" relativeHeight="251659264" behindDoc="0" locked="0" layoutInCell="1" allowOverlap="1">
                <wp:simplePos x="0" y="0"/>
                <wp:positionH relativeFrom="column">
                  <wp:posOffset>3771900</wp:posOffset>
                </wp:positionH>
                <wp:positionV relativeFrom="paragraph">
                  <wp:posOffset>396240</wp:posOffset>
                </wp:positionV>
                <wp:extent cx="635"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97pt;margin-top:31.2pt;height:0pt;width:0.05pt;z-index:251659264;mso-width-relative:page;mso-height-relative:page;" filled="f" stroked="t" coordsize="21600,21600" o:gfxdata="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sxIZN1gAAAAkBAAAPAAAAAAAAAAEAIAAAACIAAABkcnMvZG93bnJldi54bWxQSwECFAAUAAAA&#10;CACHTuJAeN9u1/ABAADgAwAADgAAAAAAAAABACAAAAAlAQAAZHJzL2Uyb0RvYy54bWxQSwUGAAAA&#10;AAYABgBZAQAAhwUAAAAA&#10;">
                <v:fill on="f" focussize="0,0"/>
                <v:stroke color="#000000" joinstyle="round"/>
                <v:imagedata o:title=""/>
                <o:lock v:ext="edit" aspectratio="f"/>
              </v:line>
            </w:pict>
          </mc:Fallback>
        </mc:AlternateContent>
      </w:r>
      <w:r>
        <w:rPr>
          <w:rFonts w:hint="eastAsia" w:ascii="宋体" w:hAnsi="宋体" w:eastAsia="宋体" w:cs="宋体"/>
          <w:sz w:val="24"/>
          <w:szCs w:val="24"/>
          <w:highlight w:val="none"/>
        </w:rPr>
        <w:t>大写：</w:t>
      </w:r>
      <w:r>
        <w:rPr>
          <w:rFonts w:hint="eastAsia" w:ascii="宋体" w:hAnsi="宋体" w:eastAsia="宋体" w:cs="宋体"/>
          <w:color w:val="000000"/>
          <w:sz w:val="24"/>
          <w:szCs w:val="24"/>
          <w:highlight w:val="none"/>
          <w:u w:val="single"/>
        </w:rPr>
        <w:t xml:space="preserve">                      </w:t>
      </w:r>
      <w:r>
        <w:rPr>
          <w:rFonts w:hint="eastAsia" w:ascii="宋体" w:hAnsi="宋体" w:eastAsia="宋体" w:cs="宋体"/>
          <w:sz w:val="24"/>
          <w:szCs w:val="24"/>
          <w:highlight w:val="none"/>
        </w:rPr>
        <w:t>/平方米；</w:t>
      </w:r>
    </w:p>
    <w:p w14:paraId="4002A52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本次</w:t>
      </w:r>
      <w:r>
        <w:rPr>
          <w:rFonts w:hint="eastAsia" w:ascii="宋体" w:hAnsi="宋体" w:eastAsia="宋体" w:cs="宋体"/>
          <w:sz w:val="24"/>
          <w:szCs w:val="24"/>
          <w:highlight w:val="none"/>
        </w:rPr>
        <w:t>承包金约</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元</w:t>
      </w:r>
      <w:r>
        <w:rPr>
          <w:rFonts w:hint="eastAsia" w:ascii="宋体" w:hAnsi="宋体" w:eastAsia="宋体" w:cs="宋体"/>
          <w:sz w:val="24"/>
          <w:szCs w:val="24"/>
          <w:highlight w:val="none"/>
          <w:lang w:eastAsia="zh-CN"/>
        </w:rPr>
        <w:t>。</w:t>
      </w:r>
    </w:p>
    <w:p w14:paraId="67A0BF8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727D29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2、支付方式</w:t>
      </w:r>
    </w:p>
    <w:p w14:paraId="63FFB0D0">
      <w:pPr>
        <w:keepNext w:val="0"/>
        <w:keepLines w:val="0"/>
        <w:pageBreakBefore w:val="0"/>
        <w:widowControl w:val="0"/>
        <w:kinsoku/>
        <w:wordWrap/>
        <w:overflowPunct/>
        <w:topLinePunct w:val="0"/>
        <w:autoSpaceDE/>
        <w:autoSpaceDN/>
        <w:bidi w:val="0"/>
        <w:adjustRightInd/>
        <w:snapToGrid/>
        <w:spacing w:line="360" w:lineRule="auto"/>
        <w:ind w:firstLine="645"/>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管养期间甲方对乙方</w:t>
      </w:r>
      <w:r>
        <w:rPr>
          <w:rFonts w:hint="eastAsia" w:ascii="宋体" w:hAnsi="宋体" w:eastAsia="宋体" w:cs="宋体"/>
          <w:sz w:val="24"/>
          <w:szCs w:val="24"/>
          <w:highlight w:val="none"/>
        </w:rPr>
        <w:t>日常</w:t>
      </w:r>
      <w:r>
        <w:rPr>
          <w:rFonts w:hint="eastAsia" w:ascii="宋体" w:hAnsi="宋体" w:eastAsia="宋体" w:cs="宋体"/>
          <w:sz w:val="24"/>
          <w:szCs w:val="24"/>
          <w:highlight w:val="none"/>
          <w:lang w:eastAsia="zh-CN"/>
        </w:rPr>
        <w:t>养护进行</w:t>
      </w:r>
      <w:r>
        <w:rPr>
          <w:rFonts w:hint="eastAsia" w:ascii="宋体" w:hAnsi="宋体" w:eastAsia="宋体" w:cs="宋体"/>
          <w:sz w:val="24"/>
          <w:szCs w:val="24"/>
          <w:highlight w:val="none"/>
        </w:rPr>
        <w:t>考核</w:t>
      </w:r>
      <w:r>
        <w:rPr>
          <w:rFonts w:hint="eastAsia" w:ascii="宋体" w:hAnsi="宋体" w:eastAsia="宋体" w:cs="宋体"/>
          <w:sz w:val="24"/>
          <w:szCs w:val="24"/>
          <w:highlight w:val="none"/>
          <w:lang w:eastAsia="zh-CN"/>
        </w:rPr>
        <w:t>，管养完成，通过甲方验收后，</w:t>
      </w:r>
      <w:r>
        <w:rPr>
          <w:rFonts w:hint="eastAsia" w:ascii="宋体" w:hAnsi="宋体" w:eastAsia="宋体" w:cs="宋体"/>
          <w:sz w:val="24"/>
          <w:szCs w:val="24"/>
          <w:highlight w:val="none"/>
        </w:rPr>
        <w:t>甲方按程序审批</w:t>
      </w:r>
      <w:r>
        <w:rPr>
          <w:rFonts w:hint="eastAsia" w:ascii="宋体" w:hAnsi="宋体" w:eastAsia="宋体" w:cs="宋体"/>
          <w:sz w:val="24"/>
          <w:szCs w:val="24"/>
          <w:highlight w:val="none"/>
          <w:lang w:eastAsia="zh-CN"/>
        </w:rPr>
        <w:t>一次性</w:t>
      </w:r>
      <w:r>
        <w:rPr>
          <w:rFonts w:hint="eastAsia" w:ascii="宋体" w:hAnsi="宋体" w:eastAsia="宋体" w:cs="宋体"/>
          <w:sz w:val="24"/>
          <w:szCs w:val="24"/>
          <w:highlight w:val="none"/>
        </w:rPr>
        <w:t>拨付，遇国家法定节假日或其它特殊情况时，时间向后顺延。</w:t>
      </w:r>
    </w:p>
    <w:p w14:paraId="7BC6AD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支付价款前，乙方应向甲方发包人出具正式的税务发票。</w:t>
      </w:r>
    </w:p>
    <w:p w14:paraId="094C93B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五、承包期限</w:t>
      </w:r>
    </w:p>
    <w:p w14:paraId="11C82ECF">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承包期限为</w:t>
      </w:r>
      <w:r>
        <w:rPr>
          <w:rFonts w:hint="eastAsia" w:ascii="宋体" w:hAnsi="宋体" w:eastAsia="宋体" w:cs="宋体"/>
          <w:sz w:val="24"/>
          <w:szCs w:val="24"/>
          <w:highlight w:val="none"/>
          <w:lang w:eastAsia="zh-CN"/>
        </w:rPr>
        <w:t>三个月</w:t>
      </w:r>
      <w:r>
        <w:rPr>
          <w:rFonts w:hint="eastAsia" w:ascii="宋体" w:hAnsi="宋体" w:eastAsia="宋体" w:cs="宋体"/>
          <w:sz w:val="24"/>
          <w:szCs w:val="24"/>
          <w:highlight w:val="none"/>
        </w:rPr>
        <w:t>，从</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日起,至</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日止。</w:t>
      </w:r>
    </w:p>
    <w:p w14:paraId="282934C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highlight w:val="none"/>
          <w:lang w:val="en-GB"/>
        </w:rPr>
      </w:pPr>
      <w:r>
        <w:rPr>
          <w:rFonts w:hint="eastAsia" w:ascii="宋体" w:hAnsi="宋体" w:eastAsia="宋体" w:cs="宋体"/>
          <w:b/>
          <w:sz w:val="24"/>
          <w:szCs w:val="24"/>
          <w:highlight w:val="none"/>
          <w:lang w:val="en-GB"/>
        </w:rPr>
        <w:t>六、履约保证金</w:t>
      </w:r>
    </w:p>
    <w:p w14:paraId="52FDFF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GB"/>
        </w:rPr>
      </w:pPr>
      <w:r>
        <w:rPr>
          <w:rFonts w:hint="eastAsia" w:ascii="宋体" w:hAnsi="宋体" w:eastAsia="宋体" w:cs="宋体"/>
          <w:sz w:val="24"/>
          <w:szCs w:val="24"/>
          <w:highlight w:val="none"/>
        </w:rPr>
        <w:t>1、</w:t>
      </w:r>
      <w:r>
        <w:rPr>
          <w:rFonts w:hint="eastAsia" w:ascii="宋体" w:hAnsi="宋体" w:cs="宋体"/>
          <w:sz w:val="24"/>
          <w:szCs w:val="24"/>
          <w:highlight w:val="none"/>
          <w:lang w:val="en-GB" w:eastAsia="zh-CN"/>
        </w:rPr>
        <w:t>签订</w:t>
      </w:r>
      <w:r>
        <w:rPr>
          <w:rFonts w:hint="eastAsia" w:ascii="宋体" w:hAnsi="宋体" w:eastAsia="宋体" w:cs="宋体"/>
          <w:sz w:val="24"/>
          <w:szCs w:val="24"/>
          <w:highlight w:val="none"/>
          <w:lang w:val="en-GB"/>
        </w:rPr>
        <w:t>合同时，乙方需向甲方发包人交纳承包金的3%做为履约保证金。</w:t>
      </w:r>
    </w:p>
    <w:p w14:paraId="07F276C7">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乙方依照本合同应当向甲方发包人支付的违约金、赔偿金、罚金及其他相关费用或乙方在养护期间对第三方造成财产和人身损害等，乙方应予支付而不支付或怠于支付，经甲方发包人催告后，乙方仍不支付，甲方发包人可以扣除履约保证金或承包金，支付上述费用。</w:t>
      </w:r>
    </w:p>
    <w:p w14:paraId="1234A6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3、本合同期满，办理交接手续1个月后，甲方监管人确认乙方未遗留相关的处理事项后，将履约保证金无息退还给乙方。如乙方不履行合同或中途违约被解除合同的，乙方所交履约保证金不予退还。</w:t>
      </w:r>
    </w:p>
    <w:p w14:paraId="40C7923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七、养护人员的配备</w:t>
      </w:r>
    </w:p>
    <w:p w14:paraId="5B2345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为做好生态廊道养护工作，养护管理人员、技术人员登记备案，养护人员的养护服装</w:t>
      </w:r>
      <w:r>
        <w:rPr>
          <w:rFonts w:hint="eastAsia" w:ascii="宋体" w:hAnsi="宋体" w:eastAsia="宋体" w:cs="宋体"/>
          <w:sz w:val="24"/>
          <w:szCs w:val="24"/>
          <w:highlight w:val="none"/>
          <w:lang w:val="en-GB" w:eastAsia="zh-CN"/>
        </w:rPr>
        <w:t>按</w:t>
      </w:r>
      <w:r>
        <w:rPr>
          <w:rFonts w:hint="eastAsia" w:ascii="宋体" w:hAnsi="宋体" w:eastAsia="宋体" w:cs="宋体"/>
          <w:sz w:val="24"/>
          <w:szCs w:val="24"/>
          <w:highlight w:val="none"/>
          <w:lang w:val="en-GB"/>
        </w:rPr>
        <w:t>甲方</w:t>
      </w:r>
      <w:r>
        <w:rPr>
          <w:rFonts w:hint="eastAsia" w:ascii="宋体" w:hAnsi="宋体" w:eastAsia="宋体" w:cs="宋体"/>
          <w:sz w:val="24"/>
          <w:szCs w:val="24"/>
          <w:highlight w:val="none"/>
          <w:lang w:val="en-GB" w:eastAsia="zh-CN"/>
        </w:rPr>
        <w:t>要求</w:t>
      </w:r>
      <w:r>
        <w:rPr>
          <w:rFonts w:hint="eastAsia" w:ascii="宋体" w:hAnsi="宋体" w:eastAsia="宋体" w:cs="宋体"/>
          <w:sz w:val="24"/>
          <w:szCs w:val="24"/>
          <w:highlight w:val="none"/>
          <w:lang w:val="en-GB"/>
        </w:rPr>
        <w:t>统一制作并编号，费用由乙方支付。</w:t>
      </w:r>
    </w:p>
    <w:p w14:paraId="2DB4012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每个养护标段至少配备一名专职绿化养护技术人员。</w:t>
      </w:r>
    </w:p>
    <w:p w14:paraId="548F8F1E">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八、甲方权利和义务</w:t>
      </w:r>
    </w:p>
    <w:p w14:paraId="75E1A1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1、甲方对乙方实施日常监管。</w:t>
      </w:r>
      <w:r>
        <w:rPr>
          <w:rFonts w:hint="eastAsia" w:ascii="宋体" w:hAnsi="宋体" w:eastAsia="宋体" w:cs="宋体"/>
          <w:sz w:val="24"/>
          <w:szCs w:val="24"/>
          <w:highlight w:val="none"/>
          <w:lang w:val="en-GB"/>
        </w:rPr>
        <w:t>承包期内，甲方负责乙方作业质量的考评。甲方依据制定的日常管理养护标准及考核办法，对乙方作业任务进行日常巡查和考核，结合检查得分情况计算乙方考评结果。</w:t>
      </w:r>
    </w:p>
    <w:p w14:paraId="35E10388">
      <w:pPr>
        <w:keepNext w:val="0"/>
        <w:keepLines w:val="0"/>
        <w:pageBreakBefore w:val="0"/>
        <w:widowControl/>
        <w:kinsoku/>
        <w:wordWrap/>
        <w:overflowPunct/>
        <w:topLinePunct w:val="0"/>
        <w:autoSpaceDE/>
        <w:autoSpaceDN/>
        <w:bidi w:val="0"/>
        <w:adjustRightInd/>
        <w:snapToGrid/>
        <w:spacing w:line="360" w:lineRule="auto"/>
        <w:ind w:firstLine="6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2、甲方、乙方对养护工程区域内的树木、草坪、花卉、绿篱、园林设施、水电设施及其它需要养护的设施列明范围和清单，</w:t>
      </w:r>
      <w:r>
        <w:rPr>
          <w:rFonts w:hint="eastAsia" w:ascii="宋体" w:hAnsi="宋体" w:eastAsia="宋体" w:cs="宋体"/>
          <w:color w:val="000000"/>
          <w:sz w:val="24"/>
          <w:szCs w:val="24"/>
          <w:highlight w:val="none"/>
          <w:lang w:eastAsia="zh-CN"/>
        </w:rPr>
        <w:t>双</w:t>
      </w:r>
      <w:r>
        <w:rPr>
          <w:rFonts w:hint="eastAsia" w:ascii="宋体" w:hAnsi="宋体" w:eastAsia="宋体" w:cs="宋体"/>
          <w:color w:val="000000"/>
          <w:sz w:val="24"/>
          <w:szCs w:val="24"/>
          <w:highlight w:val="none"/>
        </w:rPr>
        <w:t>方进行现场确认并签字盖章。</w:t>
      </w:r>
    </w:p>
    <w:p w14:paraId="495685CD">
      <w:pPr>
        <w:keepNext w:val="0"/>
        <w:keepLines w:val="0"/>
        <w:pageBreakBefore w:val="0"/>
        <w:widowControl/>
        <w:kinsoku/>
        <w:wordWrap/>
        <w:overflowPunct/>
        <w:topLinePunct w:val="0"/>
        <w:autoSpaceDE/>
        <w:autoSpaceDN/>
        <w:bidi w:val="0"/>
        <w:adjustRightInd/>
        <w:snapToGrid/>
        <w:spacing w:line="360" w:lineRule="auto"/>
        <w:ind w:firstLine="6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w:t>
      </w:r>
      <w:r>
        <w:rPr>
          <w:rFonts w:hint="eastAsia" w:ascii="宋体" w:hAnsi="宋体" w:eastAsia="宋体" w:cs="宋体"/>
          <w:sz w:val="24"/>
          <w:szCs w:val="24"/>
          <w:highlight w:val="none"/>
          <w:lang w:val="en-GB"/>
        </w:rPr>
        <w:t>、甲方对乙方在业务工作中的问题给予积极的协助和指导。</w:t>
      </w:r>
    </w:p>
    <w:p w14:paraId="48B3A4D7">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九、乙方权利和义务</w:t>
      </w:r>
    </w:p>
    <w:p w14:paraId="4E9C8CD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1、乙方保证其具有本协议经营资质且合法有效，保证在经营期限内经营资质持续有效。</w:t>
      </w:r>
    </w:p>
    <w:p w14:paraId="16059BB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乙方需服从甲方的管理和监督，负责落实《荥阳市生态廊道日常管理养护标准》并制定实施细则。如遇突发事件或重大活动，乙方应服从甲方安排并积极配合甲方工作，不予配合或怠于配合的，甲方可自行安排或委托第三方有偿完成此项工作，费用从管养经费中按实际发生额的3倍扣除。</w:t>
      </w:r>
    </w:p>
    <w:p w14:paraId="74256F6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乙方应遵守安全管理养护管理规定，安全、文明、合法作业，对工作人员加强安全教育管理，做好管理养护设备的日常维护保养、安全防护设施的设置维护，合同期内如发生违法违纪、安全责任事故或其他意外事故，均由乙方自行承担责任。乙方或乙方工作人员在履行合同过程中造成甲方或第三人财产或人身损害的，由乙方负责赔偿。</w:t>
      </w:r>
    </w:p>
    <w:p w14:paraId="18EC4E3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4、</w:t>
      </w:r>
      <w:r>
        <w:rPr>
          <w:rFonts w:hint="eastAsia" w:ascii="宋体" w:hAnsi="宋体" w:eastAsia="宋体" w:cs="宋体"/>
          <w:color w:val="000000"/>
          <w:sz w:val="24"/>
          <w:szCs w:val="24"/>
          <w:highlight w:val="none"/>
        </w:rPr>
        <w:t>负责养护工作人员的</w:t>
      </w:r>
      <w:r>
        <w:rPr>
          <w:rFonts w:hint="eastAsia" w:ascii="宋体" w:hAnsi="宋体" w:eastAsia="宋体" w:cs="宋体"/>
          <w:color w:val="000000"/>
          <w:sz w:val="24"/>
          <w:szCs w:val="24"/>
          <w:highlight w:val="none"/>
        </w:rPr>
        <w:fldChar w:fldCharType="begin"/>
      </w:r>
      <w:r>
        <w:rPr>
          <w:rFonts w:hint="eastAsia" w:ascii="宋体" w:hAnsi="宋体" w:eastAsia="宋体" w:cs="宋体"/>
          <w:color w:val="000000"/>
          <w:sz w:val="24"/>
          <w:szCs w:val="24"/>
          <w:highlight w:val="none"/>
        </w:rPr>
        <w:instrText xml:space="preserve"> HYPERLINK "http://china.findlaw.cn/data/ldgs_4327.html" </w:instrText>
      </w:r>
      <w:r>
        <w:rPr>
          <w:rFonts w:hint="eastAsia" w:ascii="宋体" w:hAnsi="宋体" w:eastAsia="宋体" w:cs="宋体"/>
          <w:color w:val="000000"/>
          <w:sz w:val="24"/>
          <w:szCs w:val="24"/>
          <w:highlight w:val="none"/>
        </w:rPr>
        <w:fldChar w:fldCharType="separate"/>
      </w:r>
      <w:r>
        <w:rPr>
          <w:rStyle w:val="24"/>
          <w:rFonts w:hint="eastAsia" w:ascii="宋体" w:hAnsi="宋体" w:eastAsia="宋体" w:cs="宋体"/>
          <w:color w:val="000000"/>
          <w:sz w:val="24"/>
          <w:szCs w:val="24"/>
          <w:highlight w:val="none"/>
        </w:rPr>
        <w:t>劳动保护</w:t>
      </w:r>
      <w:r>
        <w:rPr>
          <w:rFonts w:hint="eastAsia" w:ascii="宋体" w:hAnsi="宋体" w:eastAsia="宋体" w:cs="宋体"/>
          <w:color w:val="000000"/>
          <w:sz w:val="24"/>
          <w:szCs w:val="24"/>
          <w:highlight w:val="none"/>
        </w:rPr>
        <w:fldChar w:fldCharType="end"/>
      </w:r>
      <w:r>
        <w:rPr>
          <w:rFonts w:hint="eastAsia" w:ascii="宋体" w:hAnsi="宋体" w:eastAsia="宋体" w:cs="宋体"/>
          <w:color w:val="000000"/>
          <w:sz w:val="24"/>
          <w:szCs w:val="24"/>
          <w:highlight w:val="none"/>
        </w:rPr>
        <w:t>和人身安全。养护工作人员的餐饮、住宿由乙方自行承担。</w:t>
      </w:r>
      <w:r>
        <w:rPr>
          <w:rFonts w:hint="eastAsia" w:ascii="宋体" w:hAnsi="宋体" w:eastAsia="宋体" w:cs="宋体"/>
          <w:sz w:val="24"/>
          <w:szCs w:val="24"/>
          <w:highlight w:val="none"/>
        </w:rPr>
        <w:t>乙方需与管养工人</w:t>
      </w:r>
      <w:r>
        <w:rPr>
          <w:rFonts w:hint="eastAsia" w:ascii="宋体" w:hAnsi="宋体" w:cs="宋体"/>
          <w:sz w:val="24"/>
          <w:szCs w:val="24"/>
          <w:highlight w:val="none"/>
          <w:lang w:eastAsia="zh-CN"/>
        </w:rPr>
        <w:t>签订</w:t>
      </w:r>
      <w:r>
        <w:rPr>
          <w:rFonts w:hint="eastAsia" w:ascii="宋体" w:hAnsi="宋体" w:eastAsia="宋体" w:cs="宋体"/>
          <w:sz w:val="24"/>
          <w:szCs w:val="24"/>
          <w:highlight w:val="none"/>
        </w:rPr>
        <w:t>用工合同，有关责任应在合同中明确表述。</w:t>
      </w:r>
    </w:p>
    <w:p w14:paraId="34BCAE2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5、乙方应及时支付管护工作人员的报酬待遇及企业人员规定的保险等，</w:t>
      </w:r>
      <w:r>
        <w:rPr>
          <w:rFonts w:hint="eastAsia" w:ascii="宋体" w:hAnsi="宋体" w:eastAsia="宋体" w:cs="宋体"/>
          <w:bCs/>
          <w:sz w:val="24"/>
          <w:szCs w:val="24"/>
          <w:highlight w:val="none"/>
        </w:rPr>
        <w:t>不得出现拖欠农民工工资现象，</w:t>
      </w:r>
      <w:r>
        <w:rPr>
          <w:rFonts w:hint="eastAsia" w:ascii="宋体" w:hAnsi="宋体" w:eastAsia="宋体" w:cs="宋体"/>
          <w:sz w:val="24"/>
          <w:szCs w:val="24"/>
          <w:highlight w:val="none"/>
        </w:rPr>
        <w:t>切实保障工作人员的合法权益，确保工作人员工作的积极性及管理养护的连续性，不得对植物的管护造成不可弥补的损失。乙方聘用工作人员发生的意外事故及劳动纠纷由乙方承担，</w:t>
      </w:r>
      <w:r>
        <w:rPr>
          <w:rFonts w:hint="eastAsia" w:ascii="宋体" w:hAnsi="宋体" w:eastAsia="宋体" w:cs="宋体"/>
          <w:bCs/>
          <w:sz w:val="24"/>
          <w:szCs w:val="24"/>
          <w:highlight w:val="none"/>
        </w:rPr>
        <w:t>甲方可以在付款时扣除代为发放相关费用。</w:t>
      </w:r>
    </w:p>
    <w:p w14:paraId="075FC90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乙方在合同期间必须保证承包范围内原有的植物和设施完好无损，因乙方管养不善或管理不当造成植物死亡、丢失或损坏的，应在甲方监管人规定的时间内更换或补植，否则应按照设施和苗木价值的3倍进行赔偿，甲方发包人有权解除合同。</w:t>
      </w:r>
    </w:p>
    <w:p w14:paraId="718608B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7、建立和健全养护管理档案，对养护管理工作中采集的各种信息、资料及时做好分析整理和归档保存工作，并报送甲方监管人备案。养护管理期满，将养护管理的所有档案资料及养护范围内的各类植物、设施完好地移交给甲方。</w:t>
      </w:r>
    </w:p>
    <w:p w14:paraId="6533C95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8、乙方需按管养绿地情况配备水车、绿篱机、高枝剪、手剪、手锯、草坪修剪机、梳草机、草坪打孔机、打药机械等园林机械。机械情况、数量报甲方监管人备案。</w:t>
      </w:r>
    </w:p>
    <w:p w14:paraId="42250C7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9、乙方应认真做好</w:t>
      </w:r>
      <w:r>
        <w:rPr>
          <w:rFonts w:hint="eastAsia" w:ascii="宋体" w:hAnsi="宋体" w:eastAsia="宋体" w:cs="宋体"/>
          <w:b w:val="0"/>
          <w:bCs w:val="0"/>
          <w:color w:val="auto"/>
          <w:sz w:val="24"/>
          <w:szCs w:val="24"/>
          <w:highlight w:val="none"/>
          <w:lang w:val="en-US" w:eastAsia="zh-CN"/>
        </w:rPr>
        <w:t>修枝、割灌、清理廊道内枯枝、杂草、落叶</w:t>
      </w:r>
      <w:r>
        <w:rPr>
          <w:rFonts w:hint="eastAsia" w:ascii="宋体" w:hAnsi="宋体" w:eastAsia="宋体" w:cs="宋体"/>
          <w:sz w:val="24"/>
          <w:szCs w:val="24"/>
          <w:highlight w:val="none"/>
        </w:rPr>
        <w:t>、恶劣天气防护及垃圾清运等工作，并承担相应费用。</w:t>
      </w:r>
    </w:p>
    <w:p w14:paraId="5BA30CC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10、</w:t>
      </w:r>
      <w:r>
        <w:rPr>
          <w:rFonts w:hint="eastAsia" w:ascii="宋体" w:hAnsi="宋体" w:eastAsia="宋体" w:cs="宋体"/>
          <w:sz w:val="24"/>
          <w:szCs w:val="24"/>
          <w:highlight w:val="none"/>
          <w:lang w:eastAsia="zh-CN"/>
        </w:rPr>
        <w:t>甲方</w:t>
      </w:r>
      <w:r>
        <w:rPr>
          <w:rFonts w:hint="eastAsia" w:ascii="宋体" w:hAnsi="宋体" w:eastAsia="宋体" w:cs="宋体"/>
          <w:sz w:val="24"/>
          <w:szCs w:val="24"/>
          <w:highlight w:val="none"/>
          <w:lang w:val="en-GB"/>
        </w:rPr>
        <w:t>对乙方作业任务进行日常巡查和考核，结合检查得分情况计算乙方考评结果</w:t>
      </w:r>
      <w:r>
        <w:rPr>
          <w:rFonts w:hint="eastAsia" w:ascii="宋体" w:hAnsi="宋体" w:eastAsia="宋体" w:cs="宋体"/>
          <w:sz w:val="24"/>
          <w:szCs w:val="24"/>
          <w:highlight w:val="none"/>
          <w:lang w:val="en-GB" w:eastAsia="zh-CN"/>
        </w:rPr>
        <w:t>，</w:t>
      </w:r>
      <w:r>
        <w:rPr>
          <w:rFonts w:hint="eastAsia" w:ascii="宋体" w:hAnsi="宋体" w:eastAsia="宋体" w:cs="宋体"/>
          <w:sz w:val="24"/>
          <w:szCs w:val="24"/>
          <w:highlight w:val="none"/>
        </w:rPr>
        <w:t>乙方</w:t>
      </w:r>
      <w:r>
        <w:rPr>
          <w:rFonts w:hint="eastAsia" w:ascii="宋体" w:hAnsi="宋体" w:eastAsia="宋体" w:cs="宋体"/>
          <w:sz w:val="24"/>
          <w:szCs w:val="24"/>
          <w:highlight w:val="none"/>
          <w:lang w:eastAsia="zh-CN"/>
        </w:rPr>
        <w:t>依据甲方考评结果及时完成整改或返工，</w:t>
      </w:r>
      <w:r>
        <w:rPr>
          <w:rFonts w:hint="eastAsia" w:ascii="宋体" w:hAnsi="宋体" w:eastAsia="宋体" w:cs="宋体"/>
          <w:sz w:val="24"/>
          <w:szCs w:val="24"/>
          <w:highlight w:val="none"/>
        </w:rPr>
        <w:t>在每月25日前（节假日提前一天）向甲方上报本月工作完成量和下月工作计划。</w:t>
      </w:r>
    </w:p>
    <w:p w14:paraId="6CC01A4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GB"/>
        </w:rPr>
      </w:pPr>
      <w:r>
        <w:rPr>
          <w:rFonts w:hint="eastAsia" w:ascii="宋体" w:hAnsi="宋体" w:eastAsia="宋体" w:cs="宋体"/>
          <w:sz w:val="24"/>
          <w:szCs w:val="24"/>
          <w:highlight w:val="none"/>
        </w:rPr>
        <w:t>11、</w:t>
      </w:r>
      <w:r>
        <w:rPr>
          <w:rFonts w:hint="eastAsia" w:ascii="宋体" w:hAnsi="宋体" w:eastAsia="宋体" w:cs="宋体"/>
          <w:sz w:val="24"/>
          <w:szCs w:val="24"/>
          <w:highlight w:val="none"/>
          <w:lang w:val="en-GB"/>
        </w:rPr>
        <w:t>乙方在合同履行期间不得以任何理由进行转包、分包。</w:t>
      </w:r>
    </w:p>
    <w:p w14:paraId="05B3685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12、在合同履行期内，乙方及其工作人员不得自行或者允许他人非法使用或侵占管养场地及设施，不得对管养的绿地、花草、树木、设施造成损害。</w:t>
      </w:r>
    </w:p>
    <w:p w14:paraId="31875CC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13、</w:t>
      </w:r>
      <w:r>
        <w:rPr>
          <w:rFonts w:hint="eastAsia" w:ascii="宋体" w:hAnsi="宋体" w:eastAsia="宋体" w:cs="宋体"/>
          <w:bCs/>
          <w:sz w:val="24"/>
          <w:szCs w:val="24"/>
          <w:highlight w:val="none"/>
        </w:rPr>
        <w:t>遵守政府主管部门对施工场地交通、施工噪音以及《中华人民共和国安全生产法》有关的管理规定，按规定办理有关手续，并以书面形式通知甲方、监理，严格遵守有关环境保护法律、法规，并按照环境检查审核要求，加强施工现场的环境管理，在施工过程中必须湿法作业，严格落实粉尘、废水等污染防治措施及生态防护、水土保持措施，严格落实大气污染防治有关规定。</w:t>
      </w:r>
    </w:p>
    <w:p w14:paraId="5DAB4B37">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十、违约责任</w:t>
      </w:r>
    </w:p>
    <w:p w14:paraId="63B9BE4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1、乙方未按期足额缴纳履约保证金或被扣除后7个工作日内未补足的，经甲方发包人催告5日内仍未缴纳的，甲方有权解除合同。</w:t>
      </w:r>
    </w:p>
    <w:p w14:paraId="429071B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2、乙方停工或怠于管理养护，经催告次日仍未恢复正常管理养护状态，甲方有权另行组织第三方有偿管理养护，费用从管养经费中按实际发生额的3倍扣除。</w:t>
      </w:r>
    </w:p>
    <w:p w14:paraId="109903C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3、管理养护质量未达到要求的，乙方应及时整改，直至达到质量要求，费用由乙方自行承担，不予整改或怠于整改的，甲方可自行整改或委托第三方有偿整改，费用从管养经费中按实际发生额的3倍扣除。</w:t>
      </w:r>
    </w:p>
    <w:p w14:paraId="7285A61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4、甲方每月对乙方进行考核，</w:t>
      </w:r>
      <w:r>
        <w:rPr>
          <w:rFonts w:hint="eastAsia" w:ascii="宋体" w:hAnsi="宋体" w:eastAsia="宋体" w:cs="宋体"/>
          <w:sz w:val="24"/>
          <w:szCs w:val="24"/>
          <w:highlight w:val="none"/>
          <w:lang w:eastAsia="zh-CN"/>
        </w:rPr>
        <w:t>考核不达标且在规定整改期内整改不到位的</w:t>
      </w:r>
      <w:r>
        <w:rPr>
          <w:rFonts w:hint="eastAsia" w:ascii="宋体" w:hAnsi="宋体" w:eastAsia="宋体" w:cs="宋体"/>
          <w:sz w:val="24"/>
          <w:szCs w:val="24"/>
          <w:highlight w:val="none"/>
        </w:rPr>
        <w:t>公司责令退出，退出公司所负责的管养标段由甲方重新组织招标，被勒令退出的公司列入黑名单，3年内不得参与荥阳市林业绿化项目招投标。</w:t>
      </w:r>
    </w:p>
    <w:p w14:paraId="7B5CD28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5、甲方每月召开一次工作例会，暂定为每月初（以具体通知为准），乙方无故不到会者，每次向甲方支付违约金500元。</w:t>
      </w:r>
    </w:p>
    <w:p w14:paraId="475AB3C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6、甲、乙双方均不得擅自解除本合同，否则，违约方应按承包金的5%向守约方支付违约金，造成损失的，应予赔偿。合同一方如因不可抗力等原因无法履行本合同的，双方可协商解除本合同。</w:t>
      </w:r>
    </w:p>
    <w:p w14:paraId="27113B58">
      <w:pPr>
        <w:keepNext w:val="0"/>
        <w:keepLines w:val="0"/>
        <w:pageBreakBefore w:val="0"/>
        <w:kinsoku/>
        <w:wordWrap/>
        <w:overflowPunct/>
        <w:topLinePunct w:val="0"/>
        <w:autoSpaceDE/>
        <w:autoSpaceDN/>
        <w:bidi w:val="0"/>
        <w:adjustRightInd/>
        <w:snapToGrid/>
        <w:spacing w:line="360" w:lineRule="auto"/>
        <w:ind w:firstLine="540" w:firstLineChars="225"/>
        <w:textAlignment w:val="auto"/>
        <w:rPr>
          <w:rFonts w:hint="eastAsia" w:ascii="宋体" w:hAnsi="宋体" w:eastAsia="宋体" w:cs="宋体"/>
          <w:sz w:val="24"/>
          <w:szCs w:val="24"/>
          <w:highlight w:val="none"/>
          <w:lang w:val="en-GB"/>
        </w:rPr>
      </w:pPr>
      <w:r>
        <w:rPr>
          <w:rFonts w:hint="eastAsia" w:ascii="宋体" w:hAnsi="宋体" w:eastAsia="宋体" w:cs="宋体"/>
          <w:sz w:val="24"/>
          <w:szCs w:val="24"/>
          <w:highlight w:val="none"/>
        </w:rPr>
        <w:t>7、承包期内，乙方</w:t>
      </w:r>
      <w:r>
        <w:rPr>
          <w:rFonts w:hint="eastAsia" w:ascii="宋体" w:hAnsi="宋体" w:eastAsia="宋体" w:cs="宋体"/>
          <w:sz w:val="24"/>
          <w:szCs w:val="24"/>
          <w:highlight w:val="none"/>
          <w:lang w:val="en-GB"/>
        </w:rPr>
        <w:t>私自转包、分包的，甲方有权解除合同，给甲方造成损失的，乙方应予赔偿。</w:t>
      </w:r>
    </w:p>
    <w:p w14:paraId="5B966DF5">
      <w:pPr>
        <w:keepNext w:val="0"/>
        <w:keepLines w:val="0"/>
        <w:pageBreakBefore w:val="0"/>
        <w:kinsoku/>
        <w:wordWrap/>
        <w:overflowPunct/>
        <w:topLinePunct w:val="0"/>
        <w:autoSpaceDE/>
        <w:autoSpaceDN/>
        <w:bidi w:val="0"/>
        <w:adjustRightInd/>
        <w:snapToGrid/>
        <w:spacing w:line="360" w:lineRule="auto"/>
        <w:ind w:firstLine="540" w:firstLineChars="225"/>
        <w:textAlignment w:val="auto"/>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8、乙方未按本合同约定将各项信息、材料移交甲方备案的，</w:t>
      </w:r>
      <w:r>
        <w:rPr>
          <w:rFonts w:hint="eastAsia" w:ascii="宋体" w:hAnsi="宋体" w:eastAsia="宋体" w:cs="宋体"/>
          <w:sz w:val="24"/>
          <w:szCs w:val="24"/>
          <w:highlight w:val="none"/>
        </w:rPr>
        <w:t>应按承包金的5%向甲方支付违约金，给甲方造成损失的，乙方应予赔偿。</w:t>
      </w:r>
    </w:p>
    <w:p w14:paraId="2AA5692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GB"/>
        </w:rPr>
        <w:t>9、在合同履行期内，若乙方及其工作人员自行</w:t>
      </w:r>
      <w:r>
        <w:rPr>
          <w:rFonts w:hint="eastAsia" w:ascii="宋体" w:hAnsi="宋体" w:cs="宋体"/>
          <w:sz w:val="24"/>
          <w:szCs w:val="24"/>
          <w:highlight w:val="none"/>
          <w:lang w:val="en-GB" w:eastAsia="zh-CN"/>
        </w:rPr>
        <w:t>或者</w:t>
      </w:r>
      <w:r>
        <w:rPr>
          <w:rFonts w:hint="eastAsia" w:ascii="宋体" w:hAnsi="宋体" w:eastAsia="宋体" w:cs="宋体"/>
          <w:sz w:val="24"/>
          <w:szCs w:val="24"/>
          <w:highlight w:val="none"/>
          <w:lang w:val="en-GB"/>
        </w:rPr>
        <w:t>允许他人非法使用或侵占管养场地及设施，对管养的绿地、花草、树木、设施造成损害的</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GB"/>
        </w:rPr>
        <w:t>乙方除立即恢复原状外，还应按设施和苗木价值的3-5倍进行赔偿。发生两次以上的，或者怠于恢复原状或赔偿，经甲方催告仍未恢复原状或赔偿的，甲方有权解除合同。</w:t>
      </w:r>
    </w:p>
    <w:p w14:paraId="54C3E770">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val="0"/>
          <w:bCs/>
          <w:sz w:val="24"/>
          <w:szCs w:val="24"/>
          <w:highlight w:val="none"/>
        </w:rPr>
      </w:pPr>
      <w:r>
        <w:rPr>
          <w:rFonts w:hint="eastAsia" w:ascii="宋体" w:hAnsi="宋体" w:eastAsia="宋体" w:cs="宋体"/>
          <w:b/>
          <w:bCs w:val="0"/>
          <w:sz w:val="24"/>
          <w:szCs w:val="24"/>
          <w:highlight w:val="none"/>
        </w:rPr>
        <w:t>十一、</w:t>
      </w:r>
      <w:r>
        <w:rPr>
          <w:rFonts w:hint="eastAsia" w:ascii="宋体" w:hAnsi="宋体" w:eastAsia="宋体" w:cs="宋体"/>
          <w:b w:val="0"/>
          <w:bCs/>
          <w:sz w:val="24"/>
          <w:szCs w:val="24"/>
          <w:highlight w:val="none"/>
        </w:rPr>
        <w:t>合同履行期间，乙方负责管养的绿地，因建设施工和不可抗力造成绿地面积需要增减的，按每平方米每年的合同单价核算。</w:t>
      </w:r>
    </w:p>
    <w:p w14:paraId="63FCB29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1、绿化面积增加的，从当月起甲方按合同经费标准增拨养护经费，由乙方负责新增路段的绿化管养，标准及要求按本协议规定执行，期满后同时终止。</w:t>
      </w:r>
    </w:p>
    <w:p w14:paraId="133648C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2、绿化面积核减的，从合同经费标准进行扣减。</w:t>
      </w:r>
    </w:p>
    <w:p w14:paraId="596B1809">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十二、其他</w:t>
      </w:r>
    </w:p>
    <w:p w14:paraId="68AA23D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1、共同遵守国家有关法律、法规及地方政府规章；如有和国家法律、法规相抵触的条款，以法律、法规为准。</w:t>
      </w:r>
    </w:p>
    <w:p w14:paraId="26C7A16F">
      <w:pPr>
        <w:pStyle w:val="9"/>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p>
    <w:p w14:paraId="6064A425">
      <w:pPr>
        <w:keepNext w:val="0"/>
        <w:keepLines w:val="0"/>
        <w:pageBreakBefore w:val="0"/>
        <w:kinsoku/>
        <w:wordWrap/>
        <w:overflowPunct/>
        <w:topLinePunct w:val="0"/>
        <w:autoSpaceDE/>
        <w:autoSpaceDN/>
        <w:bidi w:val="0"/>
        <w:adjustRightInd/>
        <w:snapToGrid/>
        <w:spacing w:line="360" w:lineRule="auto"/>
        <w:ind w:firstLine="460" w:firstLineChars="192"/>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GB"/>
        </w:rPr>
        <w:t>4</w:t>
      </w:r>
      <w:r>
        <w:rPr>
          <w:rFonts w:hint="eastAsia" w:ascii="宋体" w:hAnsi="宋体" w:eastAsia="宋体" w:cs="宋体"/>
          <w:color w:val="000000"/>
          <w:sz w:val="24"/>
          <w:szCs w:val="24"/>
          <w:highlight w:val="none"/>
        </w:rPr>
        <w:t>、合同期限届满，乙方应当按照甲方的要求在期满后的</w:t>
      </w:r>
      <w:r>
        <w:rPr>
          <w:rFonts w:hint="eastAsia" w:ascii="宋体" w:hAnsi="宋体" w:eastAsia="宋体" w:cs="宋体"/>
          <w:color w:val="000000"/>
          <w:sz w:val="24"/>
          <w:szCs w:val="24"/>
          <w:highlight w:val="none"/>
          <w:lang w:val="en-US" w:eastAsia="zh-CN"/>
        </w:rPr>
        <w:t>15</w:t>
      </w:r>
      <w:r>
        <w:rPr>
          <w:rFonts w:hint="eastAsia" w:ascii="宋体" w:hAnsi="宋体" w:eastAsia="宋体" w:cs="宋体"/>
          <w:color w:val="000000"/>
          <w:sz w:val="24"/>
          <w:szCs w:val="24"/>
          <w:highlight w:val="none"/>
        </w:rPr>
        <w:t>日内向甲方予以移交，移交时应保证甲方所提供的设施处于正常的使用状态，如有损坏或故意毁损，应当予以修缮或赔偿，另外对管理养护移交时的状态，双方应当进行书面确认，因乙方原因，双方未进行书面确认的，视为养护不合格。因乙方违约，甲方解除合同的移交问题参照该款规定，移交的具体时间以甲方送达解除通知书之日起次日计算。</w:t>
      </w:r>
    </w:p>
    <w:p w14:paraId="5EECBFED">
      <w:pPr>
        <w:keepNext w:val="0"/>
        <w:keepLines w:val="0"/>
        <w:pageBreakBefore w:val="0"/>
        <w:kinsoku/>
        <w:wordWrap/>
        <w:overflowPunct/>
        <w:topLinePunct w:val="0"/>
        <w:autoSpaceDE/>
        <w:autoSpaceDN/>
        <w:bidi w:val="0"/>
        <w:adjustRightInd/>
        <w:snapToGrid/>
        <w:spacing w:line="360" w:lineRule="auto"/>
        <w:ind w:firstLine="460" w:firstLineChars="192"/>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w:t>
      </w:r>
      <w:r>
        <w:rPr>
          <w:rFonts w:hint="eastAsia" w:ascii="宋体" w:hAnsi="宋体" w:eastAsia="宋体" w:cs="宋体"/>
          <w:sz w:val="24"/>
          <w:szCs w:val="24"/>
          <w:highlight w:val="none"/>
        </w:rPr>
        <w:t>、合同未尽事宜，协商解决。</w:t>
      </w:r>
    </w:p>
    <w:p w14:paraId="62BE5640">
      <w:pPr>
        <w:keepNext w:val="0"/>
        <w:keepLines w:val="0"/>
        <w:pageBreakBefore w:val="0"/>
        <w:kinsoku/>
        <w:wordWrap/>
        <w:overflowPunct/>
        <w:topLinePunct w:val="0"/>
        <w:autoSpaceDE/>
        <w:autoSpaceDN/>
        <w:bidi w:val="0"/>
        <w:adjustRightInd/>
        <w:snapToGrid/>
        <w:spacing w:line="360" w:lineRule="auto"/>
        <w:ind w:firstLine="460" w:firstLineChars="19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6、本合同一式陆份，甲方执四份，乙方执二份，自双方签字盖章之日起生效。</w:t>
      </w:r>
    </w:p>
    <w:p w14:paraId="25B88C49">
      <w:pPr>
        <w:keepNext w:val="0"/>
        <w:keepLines w:val="0"/>
        <w:pageBreakBefore w:val="0"/>
        <w:tabs>
          <w:tab w:val="left" w:pos="4480"/>
        </w:tabs>
        <w:kinsoku/>
        <w:wordWrap/>
        <w:overflowPunct/>
        <w:topLinePunct w:val="0"/>
        <w:autoSpaceDE/>
        <w:autoSpaceDN/>
        <w:bidi w:val="0"/>
        <w:adjustRightInd/>
        <w:snapToGrid/>
        <w:spacing w:before="100" w:beforeAutospacing="1" w:after="100" w:afterAutospacing="1" w:line="360" w:lineRule="auto"/>
        <w:textAlignment w:val="auto"/>
        <w:rPr>
          <w:rFonts w:hint="eastAsia" w:ascii="宋体" w:hAnsi="宋体" w:eastAsia="宋体" w:cs="宋体"/>
          <w:sz w:val="24"/>
          <w:szCs w:val="24"/>
          <w:highlight w:val="none"/>
        </w:rPr>
      </w:pPr>
    </w:p>
    <w:p w14:paraId="6D522ED8">
      <w:pPr>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14:paraId="0A212A40">
      <w:pPr>
        <w:keepNext w:val="0"/>
        <w:keepLines w:val="0"/>
        <w:pageBreakBefore w:val="0"/>
        <w:tabs>
          <w:tab w:val="left" w:pos="4480"/>
        </w:tabs>
        <w:kinsoku/>
        <w:wordWrap/>
        <w:overflowPunct/>
        <w:topLinePunct w:val="0"/>
        <w:autoSpaceDE/>
        <w:autoSpaceDN/>
        <w:bidi w:val="0"/>
        <w:adjustRightInd/>
        <w:snapToGrid/>
        <w:spacing w:before="100" w:beforeAutospacing="1" w:after="100" w:afterAutospacing="1"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甲方发包人：（公章）        </w:t>
      </w:r>
      <w:r>
        <w:rPr>
          <w:rFonts w:hint="eastAsia" w:ascii="宋体" w:hAnsi="宋体" w:eastAsia="宋体" w:cs="宋体"/>
          <w:sz w:val="24"/>
          <w:szCs w:val="24"/>
          <w:highlight w:val="none"/>
        </w:rPr>
        <w:tab/>
      </w:r>
      <w:r>
        <w:rPr>
          <w:rFonts w:hint="eastAsia" w:ascii="宋体" w:hAnsi="宋体" w:eastAsia="宋体" w:cs="宋体"/>
          <w:sz w:val="24"/>
          <w:szCs w:val="24"/>
          <w:highlight w:val="none"/>
        </w:rPr>
        <w:t xml:space="preserve">乙方：（公章）  </w:t>
      </w:r>
    </w:p>
    <w:p w14:paraId="3479D9DF">
      <w:pPr>
        <w:keepNext w:val="0"/>
        <w:keepLines w:val="0"/>
        <w:pageBreakBefore w:val="0"/>
        <w:tabs>
          <w:tab w:val="left" w:pos="4320"/>
        </w:tabs>
        <w:kinsoku/>
        <w:wordWrap/>
        <w:overflowPunct/>
        <w:topLinePunct w:val="0"/>
        <w:autoSpaceDE/>
        <w:autoSpaceDN/>
        <w:bidi w:val="0"/>
        <w:adjustRightInd/>
        <w:snapToGrid/>
        <w:spacing w:before="100" w:beforeAutospacing="1" w:after="100" w:afterAutospacing="1"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住所：____________________ </w:t>
      </w:r>
      <w:r>
        <w:rPr>
          <w:rFonts w:hint="eastAsia" w:ascii="宋体" w:hAnsi="宋体" w:eastAsia="宋体" w:cs="宋体"/>
          <w:sz w:val="24"/>
          <w:szCs w:val="24"/>
          <w:highlight w:val="none"/>
        </w:rPr>
        <w:tab/>
      </w:r>
      <w:r>
        <w:rPr>
          <w:rFonts w:hint="eastAsia" w:ascii="宋体" w:hAnsi="宋体" w:eastAsia="宋体" w:cs="宋体"/>
          <w:sz w:val="24"/>
          <w:szCs w:val="24"/>
          <w:highlight w:val="none"/>
        </w:rPr>
        <w:t>住所：____________________</w:t>
      </w:r>
    </w:p>
    <w:p w14:paraId="5DF73D6D">
      <w:pPr>
        <w:keepNext w:val="0"/>
        <w:keepLines w:val="0"/>
        <w:pageBreakBefore w:val="0"/>
        <w:tabs>
          <w:tab w:val="left" w:pos="4320"/>
        </w:tabs>
        <w:kinsoku/>
        <w:wordWrap/>
        <w:overflowPunct/>
        <w:topLinePunct w:val="0"/>
        <w:autoSpaceDE/>
        <w:autoSpaceDN/>
        <w:bidi w:val="0"/>
        <w:adjustRightInd/>
        <w:snapToGrid/>
        <w:spacing w:before="100" w:beforeAutospacing="1" w:after="100" w:afterAutospacing="1"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法定代表人：______________ </w:t>
      </w:r>
      <w:r>
        <w:rPr>
          <w:rFonts w:hint="eastAsia" w:ascii="宋体" w:hAnsi="宋体" w:eastAsia="宋体" w:cs="宋体"/>
          <w:sz w:val="24"/>
          <w:szCs w:val="24"/>
          <w:highlight w:val="none"/>
        </w:rPr>
        <w:tab/>
      </w:r>
      <w:r>
        <w:rPr>
          <w:rFonts w:hint="eastAsia" w:ascii="宋体" w:hAnsi="宋体" w:eastAsia="宋体" w:cs="宋体"/>
          <w:sz w:val="24"/>
          <w:szCs w:val="24"/>
          <w:highlight w:val="none"/>
        </w:rPr>
        <w:t>法定代表人：______________</w:t>
      </w:r>
    </w:p>
    <w:p w14:paraId="14410C8B">
      <w:pPr>
        <w:keepNext w:val="0"/>
        <w:keepLines w:val="0"/>
        <w:pageBreakBefore w:val="0"/>
        <w:tabs>
          <w:tab w:val="left" w:pos="4320"/>
        </w:tabs>
        <w:kinsoku/>
        <w:wordWrap/>
        <w:overflowPunct/>
        <w:topLinePunct w:val="0"/>
        <w:autoSpaceDE/>
        <w:autoSpaceDN/>
        <w:bidi w:val="0"/>
        <w:adjustRightInd/>
        <w:snapToGrid/>
        <w:spacing w:before="100" w:beforeAutospacing="1" w:after="100" w:afterAutospacing="1"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委托代理人：______________ </w:t>
      </w:r>
      <w:r>
        <w:rPr>
          <w:rFonts w:hint="eastAsia" w:ascii="宋体" w:hAnsi="宋体" w:eastAsia="宋体" w:cs="宋体"/>
          <w:sz w:val="24"/>
          <w:szCs w:val="24"/>
          <w:highlight w:val="none"/>
        </w:rPr>
        <w:tab/>
      </w:r>
      <w:r>
        <w:rPr>
          <w:rFonts w:hint="eastAsia" w:ascii="宋体" w:hAnsi="宋体" w:eastAsia="宋体" w:cs="宋体"/>
          <w:sz w:val="24"/>
          <w:szCs w:val="24"/>
          <w:highlight w:val="none"/>
        </w:rPr>
        <w:t>委托代理人：______________</w:t>
      </w:r>
    </w:p>
    <w:p w14:paraId="2E6F63BB">
      <w:pPr>
        <w:keepNext w:val="0"/>
        <w:keepLines w:val="0"/>
        <w:pageBreakBefore w:val="0"/>
        <w:tabs>
          <w:tab w:val="left" w:pos="4320"/>
        </w:tabs>
        <w:kinsoku/>
        <w:wordWrap/>
        <w:overflowPunct/>
        <w:topLinePunct w:val="0"/>
        <w:autoSpaceDE/>
        <w:autoSpaceDN/>
        <w:bidi w:val="0"/>
        <w:adjustRightInd/>
        <w:snapToGrid/>
        <w:spacing w:before="100" w:beforeAutospacing="1" w:after="100" w:afterAutospacing="1"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电话：____________________ </w:t>
      </w:r>
      <w:r>
        <w:rPr>
          <w:rFonts w:hint="eastAsia" w:ascii="宋体" w:hAnsi="宋体" w:eastAsia="宋体" w:cs="宋体"/>
          <w:sz w:val="24"/>
          <w:szCs w:val="24"/>
          <w:highlight w:val="none"/>
        </w:rPr>
        <w:tab/>
      </w:r>
      <w:r>
        <w:rPr>
          <w:rFonts w:hint="eastAsia" w:ascii="宋体" w:hAnsi="宋体" w:eastAsia="宋体" w:cs="宋体"/>
          <w:sz w:val="24"/>
          <w:szCs w:val="24"/>
          <w:highlight w:val="none"/>
        </w:rPr>
        <w:t>电话：____________________</w:t>
      </w:r>
    </w:p>
    <w:p w14:paraId="4DBF43E3">
      <w:pPr>
        <w:keepNext w:val="0"/>
        <w:keepLines w:val="0"/>
        <w:pageBreakBefore w:val="0"/>
        <w:tabs>
          <w:tab w:val="left" w:pos="4320"/>
        </w:tabs>
        <w:kinsoku/>
        <w:wordWrap/>
        <w:overflowPunct/>
        <w:topLinePunct w:val="0"/>
        <w:autoSpaceDE/>
        <w:autoSpaceDN/>
        <w:bidi w:val="0"/>
        <w:adjustRightInd/>
        <w:snapToGrid/>
        <w:spacing w:before="100" w:beforeAutospacing="1" w:after="100" w:afterAutospacing="1"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开户银行：________________ </w:t>
      </w:r>
      <w:r>
        <w:rPr>
          <w:rFonts w:hint="eastAsia" w:ascii="宋体" w:hAnsi="宋体" w:eastAsia="宋体" w:cs="宋体"/>
          <w:sz w:val="24"/>
          <w:szCs w:val="24"/>
          <w:highlight w:val="none"/>
        </w:rPr>
        <w:tab/>
      </w:r>
      <w:r>
        <w:rPr>
          <w:rFonts w:hint="eastAsia" w:ascii="宋体" w:hAnsi="宋体" w:eastAsia="宋体" w:cs="宋体"/>
          <w:sz w:val="24"/>
          <w:szCs w:val="24"/>
          <w:highlight w:val="none"/>
        </w:rPr>
        <w:t>开户银行：________________</w:t>
      </w:r>
    </w:p>
    <w:p w14:paraId="0869BEF7">
      <w:pPr>
        <w:keepNext w:val="0"/>
        <w:keepLines w:val="0"/>
        <w:pageBreakBefore w:val="0"/>
        <w:tabs>
          <w:tab w:val="left" w:pos="4320"/>
        </w:tabs>
        <w:kinsoku/>
        <w:wordWrap/>
        <w:overflowPunct/>
        <w:topLinePunct w:val="0"/>
        <w:autoSpaceDE/>
        <w:autoSpaceDN/>
        <w:bidi w:val="0"/>
        <w:adjustRightInd/>
        <w:snapToGrid/>
        <w:spacing w:before="100" w:beforeAutospacing="1" w:after="100" w:afterAutospacing="1" w:line="360" w:lineRule="auto"/>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账号</w:t>
      </w:r>
      <w:r>
        <w:rPr>
          <w:rFonts w:hint="eastAsia" w:ascii="宋体" w:hAnsi="宋体" w:eastAsia="宋体" w:cs="宋体"/>
          <w:sz w:val="24"/>
          <w:szCs w:val="24"/>
          <w:highlight w:val="none"/>
        </w:rPr>
        <w:t xml:space="preserve">：____________________ </w:t>
      </w:r>
      <w:r>
        <w:rPr>
          <w:rFonts w:hint="eastAsia" w:ascii="宋体" w:hAnsi="宋体" w:eastAsia="宋体" w:cs="宋体"/>
          <w:sz w:val="24"/>
          <w:szCs w:val="24"/>
          <w:highlight w:val="none"/>
        </w:rPr>
        <w:tab/>
      </w:r>
      <w:r>
        <w:rPr>
          <w:rFonts w:hint="eastAsia" w:ascii="宋体" w:hAnsi="宋体" w:cs="宋体"/>
          <w:sz w:val="24"/>
          <w:szCs w:val="24"/>
          <w:highlight w:val="none"/>
          <w:lang w:eastAsia="zh-CN"/>
        </w:rPr>
        <w:t>账号</w:t>
      </w:r>
      <w:r>
        <w:rPr>
          <w:rFonts w:hint="eastAsia" w:ascii="宋体" w:hAnsi="宋体" w:eastAsia="宋体" w:cs="宋体"/>
          <w:sz w:val="24"/>
          <w:szCs w:val="24"/>
          <w:highlight w:val="none"/>
        </w:rPr>
        <w:t>：____________________</w:t>
      </w:r>
    </w:p>
    <w:p w14:paraId="384658CA">
      <w:pPr>
        <w:keepNext w:val="0"/>
        <w:keepLines w:val="0"/>
        <w:pageBreakBefore w:val="0"/>
        <w:tabs>
          <w:tab w:val="left" w:pos="4320"/>
        </w:tabs>
        <w:kinsoku/>
        <w:wordWrap/>
        <w:overflowPunct/>
        <w:topLinePunct w:val="0"/>
        <w:autoSpaceDE/>
        <w:autoSpaceDN/>
        <w:bidi w:val="0"/>
        <w:adjustRightInd/>
        <w:snapToGrid/>
        <w:spacing w:before="100" w:beforeAutospacing="1" w:after="100" w:afterAutospacing="1"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邮政编码：________________ </w:t>
      </w:r>
      <w:r>
        <w:rPr>
          <w:rFonts w:hint="eastAsia" w:ascii="宋体" w:hAnsi="宋体" w:eastAsia="宋体" w:cs="宋体"/>
          <w:sz w:val="24"/>
          <w:szCs w:val="24"/>
          <w:highlight w:val="none"/>
        </w:rPr>
        <w:tab/>
      </w:r>
      <w:r>
        <w:rPr>
          <w:rFonts w:hint="eastAsia" w:ascii="宋体" w:hAnsi="宋体" w:eastAsia="宋体" w:cs="宋体"/>
          <w:sz w:val="24"/>
          <w:szCs w:val="24"/>
          <w:highlight w:val="none"/>
        </w:rPr>
        <w:t>邮政编码：________________</w:t>
      </w:r>
    </w:p>
    <w:p w14:paraId="26204784">
      <w:pPr>
        <w:pageBreakBefore w:val="0"/>
        <w:widowControl/>
        <w:kinsoku/>
        <w:wordWrap/>
        <w:overflowPunct/>
        <w:topLinePunct w:val="0"/>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签订日期：</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 xml:space="preserve">日    </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签订日期：</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日</w:t>
      </w:r>
    </w:p>
    <w:p w14:paraId="3CC1BE00">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br w:type="page"/>
      </w:r>
    </w:p>
    <w:p w14:paraId="30419EC2">
      <w:pPr>
        <w:pStyle w:val="2"/>
        <w:bidi w:val="0"/>
        <w:jc w:val="center"/>
        <w:rPr>
          <w:rFonts w:hint="eastAsia" w:ascii="宋体" w:hAnsi="宋体" w:eastAsia="宋体" w:cs="宋体"/>
          <w:highlight w:val="none"/>
          <w:lang w:val="en-US" w:eastAsia="zh-CN"/>
        </w:rPr>
      </w:pPr>
      <w:bookmarkStart w:id="168" w:name="_Toc16133"/>
      <w:bookmarkStart w:id="169" w:name="_Toc1427"/>
      <w:bookmarkStart w:id="170" w:name="_Toc23375"/>
      <w:r>
        <w:rPr>
          <w:rFonts w:hint="eastAsia" w:ascii="宋体" w:hAnsi="宋体" w:cs="宋体"/>
          <w:highlight w:val="none"/>
          <w:lang w:val="en-US" w:eastAsia="zh-CN"/>
        </w:rPr>
        <w:t xml:space="preserve">第五章 </w:t>
      </w:r>
      <w:r>
        <w:rPr>
          <w:rFonts w:hint="eastAsia" w:ascii="宋体" w:hAnsi="宋体" w:eastAsia="宋体" w:cs="宋体"/>
          <w:highlight w:val="none"/>
          <w:lang w:val="en-US" w:eastAsia="zh-CN"/>
        </w:rPr>
        <w:t>服务需求</w:t>
      </w:r>
      <w:bookmarkEnd w:id="168"/>
      <w:bookmarkEnd w:id="169"/>
      <w:bookmarkEnd w:id="170"/>
    </w:p>
    <w:p w14:paraId="377CE9A0">
      <w:pPr>
        <w:keepNext w:val="0"/>
        <w:keepLines w:val="0"/>
        <w:pageBreakBefore w:val="0"/>
        <w:widowControl w:val="0"/>
        <w:numPr>
          <w:ilvl w:val="0"/>
          <w:numId w:val="7"/>
        </w:numPr>
        <w:kinsoku/>
        <w:wordWrap/>
        <w:overflowPunct/>
        <w:topLinePunct w:val="0"/>
        <w:autoSpaceDE/>
        <w:autoSpaceDN/>
        <w:bidi w:val="0"/>
        <w:adjustRightInd/>
        <w:snapToGrid/>
        <w:spacing w:line="360" w:lineRule="auto"/>
        <w:textAlignment w:val="auto"/>
        <w:rPr>
          <w:rFonts w:hint="eastAsia" w:ascii="宋体" w:hAnsi="宋体" w:eastAsia="宋体" w:cs="宋体"/>
          <w:b/>
          <w:bCs/>
          <w:highlight w:val="none"/>
          <w:lang w:val="en-US" w:eastAsia="zh-CN"/>
        </w:rPr>
      </w:pPr>
      <w:r>
        <w:rPr>
          <w:rFonts w:hint="eastAsia" w:ascii="宋体" w:hAnsi="宋体" w:eastAsia="宋体" w:cs="宋体"/>
          <w:b/>
          <w:bCs/>
          <w:highlight w:val="none"/>
          <w:lang w:val="en-US" w:eastAsia="zh-CN"/>
        </w:rPr>
        <w:t>项目概况</w:t>
      </w:r>
    </w:p>
    <w:p w14:paraId="719AC868">
      <w:pPr>
        <w:keepNext w:val="0"/>
        <w:keepLines w:val="0"/>
        <w:pageBreakBefore w:val="0"/>
        <w:widowControl w:val="0"/>
        <w:numPr>
          <w:ilvl w:val="0"/>
          <w:numId w:val="8"/>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项目名称：荥阳市林业局城郊生态廊道养护项目</w:t>
      </w:r>
    </w:p>
    <w:p w14:paraId="591E2F9B">
      <w:pPr>
        <w:keepNext w:val="0"/>
        <w:keepLines w:val="0"/>
        <w:pageBreakBefore w:val="0"/>
        <w:widowControl w:val="0"/>
        <w:numPr>
          <w:ilvl w:val="0"/>
          <w:numId w:val="8"/>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采购</w:t>
      </w:r>
      <w:r>
        <w:rPr>
          <w:rFonts w:hint="eastAsia" w:ascii="宋体" w:hAnsi="宋体" w:cs="宋体"/>
          <w:highlight w:val="none"/>
          <w:lang w:val="en-US" w:eastAsia="zh-CN"/>
        </w:rPr>
        <w:t>内容及标段内容</w:t>
      </w:r>
      <w:r>
        <w:rPr>
          <w:rFonts w:hint="eastAsia" w:ascii="宋体" w:hAnsi="宋体" w:eastAsia="宋体" w:cs="宋体"/>
          <w:highlight w:val="none"/>
          <w:lang w:val="en-US" w:eastAsia="zh-CN"/>
        </w:rPr>
        <w:t>：本项目为荥阳市林业局城郊生态廊道养护项目，其廊道长度约74.35公里，管护绿化面积约为312.5万平方米。</w:t>
      </w:r>
      <w:r>
        <w:rPr>
          <w:rFonts w:hint="eastAsia" w:ascii="宋体" w:hAnsi="宋体" w:cs="宋体"/>
          <w:highlight w:val="none"/>
          <w:lang w:val="en-US" w:eastAsia="zh-CN"/>
        </w:rPr>
        <w:t>本项目共划分八个标段：</w:t>
      </w:r>
    </w:p>
    <w:p w14:paraId="470EEAC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一标段：2015年沿黄快速通道（桩号1-2）生态廊道建设项目，廊道长度约12.30公里，两侧绿化宽度各18米，需管护绿化面积约42.133万平方米；</w:t>
      </w:r>
    </w:p>
    <w:p w14:paraId="67BCAB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二标段：2015年沿黄快速通道（桩号2-3）生态廊道建设项目，廊道长度约12.20公里，两侧绿化宽度各18米，需管护绿化面积约41.60万平方米；</w:t>
      </w:r>
    </w:p>
    <w:p w14:paraId="3903C26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三标段：2015年沿黄快速通道（桩号3-4）生态廊道建设项目，廊道长度约12.20公里，两侧绿化宽度各18米，需管护绿化面积约41.60万平方米；</w:t>
      </w:r>
    </w:p>
    <w:p w14:paraId="5AA05D5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四标段：2015年荥阳市石化北路生态廊道建设项目，廊道长度约3.3公里，两侧绿化宽度各30米，需管护绿化面积约19.20万平方米；</w:t>
      </w:r>
    </w:p>
    <w:p w14:paraId="1C8CFBB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五标段：2015年荥阳市环翠峪旅游大道生态廊道建设项目，廊道长度约14.85公里，两侧绿化宽度各3-30米，需管护绿化面积约59.40万平方米；</w:t>
      </w:r>
    </w:p>
    <w:p w14:paraId="74361A1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六标段：2018年荥阳市G234（郑上路至黄河大桥引桥南端桩号1-2）生态廊道建设项目，廊道长度约7.25公里，两侧绿化宽度各10-50米，需管护绿化面积约45万平方米；</w:t>
      </w:r>
    </w:p>
    <w:p w14:paraId="12820E6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七标段：2018年荥阳市G234（郑上路至黄河大桥引桥南端，桩号2-3）生态廊道建设项目，廊道长度约7.25公里，两侧绿化宽度各10-50米，需管护绿化面积约45万平方米，；</w:t>
      </w:r>
    </w:p>
    <w:p w14:paraId="0AD657A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八标段：2020年X036（枯河桥—沿黄快速通道）生态廊道建设项目：廊道长度约5公里，两侧绿化宽度各30米，需管护绿化面积约18.60万平方米</w:t>
      </w:r>
      <w:r>
        <w:rPr>
          <w:rFonts w:hint="eastAsia" w:ascii="宋体" w:hAnsi="宋体" w:cs="宋体"/>
          <w:highlight w:val="none"/>
          <w:lang w:val="en-US" w:eastAsia="zh-CN"/>
        </w:rPr>
        <w:t>。</w:t>
      </w:r>
    </w:p>
    <w:p w14:paraId="50C6CB1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highlight w:val="none"/>
          <w:lang w:val="en-US" w:eastAsia="zh-CN"/>
        </w:rPr>
      </w:pPr>
      <w:r>
        <w:rPr>
          <w:rFonts w:hint="eastAsia" w:ascii="宋体" w:hAnsi="宋体" w:cs="宋体"/>
          <w:highlight w:val="none"/>
          <w:lang w:val="en-US" w:eastAsia="zh-CN"/>
        </w:rPr>
        <w:t>3、</w:t>
      </w:r>
      <w:r>
        <w:rPr>
          <w:rFonts w:hint="eastAsia" w:ascii="宋体" w:hAnsi="宋体" w:eastAsia="宋体" w:cs="宋体"/>
          <w:highlight w:val="none"/>
          <w:lang w:val="en-US" w:eastAsia="zh-CN"/>
        </w:rPr>
        <w:t>服务期限：</w:t>
      </w:r>
      <w:r>
        <w:rPr>
          <w:rFonts w:hint="eastAsia" w:ascii="宋体" w:hAnsi="宋体" w:cs="宋体"/>
          <w:highlight w:val="none"/>
          <w:lang w:val="en-US" w:eastAsia="zh-CN"/>
        </w:rPr>
        <w:t>一年/标段</w:t>
      </w:r>
    </w:p>
    <w:p w14:paraId="06DEDE34">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highlight w:val="none"/>
          <w:lang w:val="en-US" w:eastAsia="zh-CN"/>
        </w:rPr>
      </w:pPr>
      <w:r>
        <w:rPr>
          <w:rFonts w:hint="eastAsia" w:ascii="宋体" w:hAnsi="宋体" w:eastAsia="宋体" w:cs="宋体"/>
          <w:b/>
          <w:bCs/>
          <w:highlight w:val="none"/>
          <w:lang w:val="en-US" w:eastAsia="zh-CN"/>
        </w:rPr>
        <w:t>服务要求</w:t>
      </w:r>
    </w:p>
    <w:p w14:paraId="6D7C0B66">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服务要求：生态廊道后期管护指的是绿化植物(草坪、灌木、花卉、乔木)管养（养护方式包括修枝、割灌、清理廊道内枯枝、杂草、落叶），及上述范围内的环境卫生、垃圾、废弃物清运。</w:t>
      </w:r>
    </w:p>
    <w:p w14:paraId="2B4563B9">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养护质量标准及要求</w:t>
      </w:r>
    </w:p>
    <w:p w14:paraId="3A678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cs="宋体"/>
          <w:highlight w:val="none"/>
          <w:lang w:val="en-US" w:eastAsia="zh-CN"/>
        </w:rPr>
        <w:t>2.</w:t>
      </w:r>
      <w:r>
        <w:rPr>
          <w:rFonts w:hint="eastAsia" w:ascii="宋体" w:hAnsi="宋体" w:eastAsia="宋体" w:cs="宋体"/>
          <w:highlight w:val="none"/>
          <w:lang w:val="en-US" w:eastAsia="zh-CN"/>
        </w:rPr>
        <w:t>1、</w:t>
      </w:r>
      <w:r>
        <w:rPr>
          <w:rFonts w:hint="eastAsia" w:ascii="宋体" w:hAnsi="宋体" w:cs="宋体"/>
          <w:highlight w:val="none"/>
          <w:lang w:val="en-US" w:eastAsia="zh-CN"/>
        </w:rPr>
        <w:t>绿化植物的养护</w:t>
      </w:r>
      <w:r>
        <w:rPr>
          <w:rFonts w:hint="eastAsia" w:ascii="宋体" w:hAnsi="宋体" w:eastAsia="宋体" w:cs="宋体"/>
          <w:highlight w:val="none"/>
          <w:lang w:val="en-US" w:eastAsia="zh-CN"/>
        </w:rPr>
        <w:t>标准是生长良好，花繁叶茂造型美观，具有一定的艺术感和立体感。</w:t>
      </w:r>
    </w:p>
    <w:p w14:paraId="33544D1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cs="宋体"/>
          <w:highlight w:val="none"/>
          <w:lang w:val="en-US" w:eastAsia="zh-CN"/>
        </w:rPr>
        <w:t>2.</w:t>
      </w:r>
      <w:r>
        <w:rPr>
          <w:rFonts w:hint="eastAsia" w:ascii="宋体" w:hAnsi="宋体" w:eastAsia="宋体" w:cs="宋体"/>
          <w:highlight w:val="none"/>
          <w:lang w:val="en-US" w:eastAsia="zh-CN"/>
        </w:rPr>
        <w:t>2、生长势：生长势中等，生长量达到该种类该规格的平均年生长量；枝叶生长正常，叶色较鲜艳，无</w:t>
      </w:r>
      <w:r>
        <w:rPr>
          <w:rFonts w:hint="eastAsia" w:ascii="宋体" w:hAnsi="宋体" w:cs="宋体"/>
          <w:highlight w:val="none"/>
          <w:lang w:val="en-US" w:eastAsia="zh-CN"/>
        </w:rPr>
        <w:t>枯枝落叶</w:t>
      </w:r>
      <w:r>
        <w:rPr>
          <w:rFonts w:hint="eastAsia" w:ascii="宋体" w:hAnsi="宋体" w:eastAsia="宋体" w:cs="宋体"/>
          <w:highlight w:val="none"/>
          <w:lang w:val="en-US" w:eastAsia="zh-CN"/>
        </w:rPr>
        <w:t>，植株基本整齐。</w:t>
      </w:r>
    </w:p>
    <w:p w14:paraId="60E4F92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cs="宋体"/>
          <w:highlight w:val="none"/>
          <w:lang w:val="en-US" w:eastAsia="zh-CN"/>
        </w:rPr>
        <w:t>2.</w:t>
      </w:r>
      <w:r>
        <w:rPr>
          <w:rFonts w:hint="eastAsia" w:ascii="宋体" w:hAnsi="宋体" w:eastAsia="宋体" w:cs="宋体"/>
          <w:highlight w:val="none"/>
          <w:lang w:val="en-US" w:eastAsia="zh-CN"/>
        </w:rPr>
        <w:t>3、修剪：绿地内植物修剪及时，形状良好。绿篱修剪高度一致，三面平整；球类植物大小一致、圆滑美观。对乔木、花灌木、绿篱色块、草坪地被等所辖绿地内的植物及时整形、修剪、抹芽、去蘖，及时清理残枝、枯枝、病虫枝等影响植物美观的枝条；及时刨除死树、杂树。草坪无明显斑秃，修剪及时，边线整齐，色泽、密实度一致，长势良好。</w:t>
      </w:r>
    </w:p>
    <w:p w14:paraId="37E1AD7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cs="宋体"/>
          <w:highlight w:val="none"/>
          <w:lang w:val="en-US" w:eastAsia="zh-CN"/>
        </w:rPr>
        <w:t>2.</w:t>
      </w:r>
      <w:r>
        <w:rPr>
          <w:rFonts w:hint="eastAsia" w:ascii="宋体" w:hAnsi="宋体" w:eastAsia="宋体" w:cs="宋体"/>
          <w:highlight w:val="none"/>
          <w:lang w:val="en-US" w:eastAsia="zh-CN"/>
        </w:rPr>
        <w:t>4、灌溉、施肥：根据植物的生长及开花特性进行合理灌溉和施肥，在雨水缺少的季节，每天的淋水量要求不低于该种类该规格的蒸腾量，要求施肥每月不少于一次。施肥的肥料及病虫剂都必须符合国家对其卫生、安全和环保规定要求。</w:t>
      </w:r>
    </w:p>
    <w:p w14:paraId="72C70E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cs="宋体"/>
          <w:highlight w:val="none"/>
          <w:lang w:val="en-US" w:eastAsia="zh-CN"/>
        </w:rPr>
        <w:t>2.</w:t>
      </w:r>
      <w:r>
        <w:rPr>
          <w:rFonts w:hint="eastAsia" w:ascii="宋体" w:hAnsi="宋体" w:eastAsia="宋体" w:cs="宋体"/>
          <w:highlight w:val="none"/>
          <w:lang w:val="en-US" w:eastAsia="zh-CN"/>
        </w:rPr>
        <w:t>5、除杂草：经常除杂草和松土，除杂草松土时要保护根系，不能伤根及造成根系裸露，更不能造成黄土裸露。</w:t>
      </w:r>
    </w:p>
    <w:p w14:paraId="2C46F0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cs="宋体"/>
          <w:highlight w:val="none"/>
          <w:lang w:val="en-US" w:eastAsia="zh-CN"/>
        </w:rPr>
        <w:t>2.</w:t>
      </w:r>
      <w:r>
        <w:rPr>
          <w:rFonts w:hint="eastAsia" w:ascii="宋体" w:hAnsi="宋体" w:eastAsia="宋体" w:cs="宋体"/>
          <w:highlight w:val="none"/>
          <w:lang w:val="en-US" w:eastAsia="zh-CN"/>
        </w:rPr>
        <w:t>6、补植：及时清理死苗，并在两周内补植回原来的种类并力求规格与原来植株接近，以保证良好的景观效果。补植要按照种植规范进行，施足基肥并加强淋水等保养措施，保证成活率达95%以上。</w:t>
      </w:r>
    </w:p>
    <w:p w14:paraId="6B5D7B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cs="宋体"/>
          <w:highlight w:val="none"/>
          <w:lang w:val="en-US" w:eastAsia="zh-CN"/>
        </w:rPr>
        <w:t>2.</w:t>
      </w:r>
      <w:r>
        <w:rPr>
          <w:rFonts w:hint="eastAsia" w:ascii="宋体" w:hAnsi="宋体" w:eastAsia="宋体" w:cs="宋体"/>
          <w:highlight w:val="none"/>
          <w:lang w:val="en-US" w:eastAsia="zh-CN"/>
        </w:rPr>
        <w:t>7、病虫害防治：及时做好病虫害的防治工作，</w:t>
      </w:r>
      <w:r>
        <w:rPr>
          <w:rFonts w:hint="eastAsia" w:ascii="宋体" w:hAnsi="宋体" w:cs="宋体"/>
          <w:highlight w:val="none"/>
          <w:lang w:val="en-US" w:eastAsia="zh-CN"/>
        </w:rPr>
        <w:t>预防为主</w:t>
      </w:r>
      <w:r>
        <w:rPr>
          <w:rFonts w:hint="eastAsia" w:ascii="宋体" w:hAnsi="宋体" w:eastAsia="宋体" w:cs="宋体"/>
          <w:highlight w:val="none"/>
          <w:lang w:val="en-US" w:eastAsia="zh-CN"/>
        </w:rPr>
        <w:t>，精心管养，使植物增强抗病、虫害能力，经常检查，早发现早处理。采取综合防治、化学防治、物理人工防治和生物防治等方法防止病虫害蔓延和影响植物生长。</w:t>
      </w:r>
    </w:p>
    <w:p w14:paraId="4F5D536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cs="宋体"/>
          <w:highlight w:val="none"/>
          <w:lang w:val="en-US" w:eastAsia="zh-CN"/>
        </w:rPr>
        <w:t>2.</w:t>
      </w:r>
      <w:r>
        <w:rPr>
          <w:rFonts w:hint="eastAsia" w:ascii="宋体" w:hAnsi="宋体" w:eastAsia="宋体" w:cs="宋体"/>
          <w:highlight w:val="none"/>
          <w:lang w:val="en-US" w:eastAsia="zh-CN"/>
        </w:rPr>
        <w:t>8、防大风及意外：做好防大风工作，大风前加强防御措施，合理修剪，加固护树设施，以增强抵御大风的能力。大风吹袭期间迅速清理倒树断枝，疏通道路。大风后及时进行扶树、护树，补好残缺，清除断枝、落叶和垃圾，使绿化景观尽快恢复。同时要求随着树木的生长，及时将护树带或铁箍放松，以免嵌入树皮内。遇雷电风雨、人畜危害而使树木歪斜或倒树断枝，要立即处理、疏通道路。</w:t>
      </w:r>
    </w:p>
    <w:p w14:paraId="30A8FE4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cs="宋体"/>
          <w:highlight w:val="none"/>
          <w:lang w:val="en-US" w:eastAsia="zh-CN"/>
        </w:rPr>
        <w:t>2.</w:t>
      </w:r>
      <w:r>
        <w:rPr>
          <w:rFonts w:hint="eastAsia" w:ascii="宋体" w:hAnsi="宋体" w:eastAsia="宋体" w:cs="宋体"/>
          <w:highlight w:val="none"/>
          <w:lang w:val="en-US" w:eastAsia="zh-CN"/>
        </w:rPr>
        <w:t>9、除杂草：及时清理杂草，杂草不得超过2%，地被和草坪的纯度应达到98%，草坪高度应控制在4-6厘米，要求修剪平整，边角无遗漏，侧右边缘予以切边，保持线清晰，边缘平直。应保持土壤平整绿化养护及透气性良好，凡常年积水的低洼处，应分次填土予以平整，及时清除碎石、瓦砾、树枝及残叶等杂物。</w:t>
      </w:r>
    </w:p>
    <w:p w14:paraId="0B3EF8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cs="宋体"/>
          <w:highlight w:val="none"/>
          <w:lang w:val="en-US" w:eastAsia="zh-CN"/>
        </w:rPr>
        <w:t>2.</w:t>
      </w:r>
      <w:r>
        <w:rPr>
          <w:rFonts w:hint="eastAsia" w:ascii="宋体" w:hAnsi="宋体" w:eastAsia="宋体" w:cs="宋体"/>
          <w:highlight w:val="none"/>
          <w:lang w:val="en-US" w:eastAsia="zh-CN"/>
        </w:rPr>
        <w:t>10、为尽量预防和减少因冬季寒冻对苗木造成的损害，做好所辖区域苗木防寒御冻准备，结合苗木生长习性及特殊条件下的生长要求，制定相应防护计划、采取有效措施，做好冬季苗木抗寒防冻工作。如采取覆膜防寒法、缠干法、涂白法、搭风障、补充营养等措施，并做好植物防寒物资储备工作。</w:t>
      </w:r>
    </w:p>
    <w:p w14:paraId="0AB9BD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bookmarkStart w:id="171" w:name="_Toc152161641"/>
      <w:bookmarkStart w:id="172" w:name="_Toc23621"/>
      <w:r>
        <w:rPr>
          <w:rFonts w:hint="eastAsia" w:ascii="宋体" w:hAnsi="宋体" w:eastAsia="宋体" w:cs="宋体"/>
          <w:highlight w:val="none"/>
          <w:lang w:val="en-US" w:eastAsia="zh-CN"/>
        </w:rPr>
        <w:t>3、人员配备</w:t>
      </w:r>
      <w:bookmarkEnd w:id="171"/>
      <w:bookmarkEnd w:id="172"/>
    </w:p>
    <w:p w14:paraId="619192B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bookmarkStart w:id="173" w:name="_Toc8276"/>
      <w:bookmarkStart w:id="174" w:name="_Toc152161643"/>
      <w:r>
        <w:rPr>
          <w:rFonts w:hint="eastAsia" w:ascii="宋体" w:hAnsi="宋体" w:cs="宋体"/>
          <w:highlight w:val="none"/>
          <w:lang w:val="en-US" w:eastAsia="zh-CN"/>
        </w:rPr>
        <w:t>3.1、</w:t>
      </w:r>
      <w:r>
        <w:rPr>
          <w:rFonts w:hint="eastAsia" w:ascii="宋体" w:hAnsi="宋体" w:eastAsia="宋体" w:cs="宋体"/>
          <w:highlight w:val="none"/>
          <w:lang w:val="en-US" w:eastAsia="zh-CN"/>
        </w:rPr>
        <w:t>为做好生态廊道养护工作，养护管理人员、技术人员登记备案，养护人员的养护服装按甲方要求统一制作并编号，费用由乙方支付。</w:t>
      </w:r>
    </w:p>
    <w:p w14:paraId="131093B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cs="宋体"/>
          <w:highlight w:val="none"/>
          <w:lang w:val="en-US" w:eastAsia="zh-CN"/>
        </w:rPr>
        <w:t>3.2、</w:t>
      </w:r>
      <w:r>
        <w:rPr>
          <w:rFonts w:hint="eastAsia" w:ascii="宋体" w:hAnsi="宋体" w:eastAsia="宋体" w:cs="宋体"/>
          <w:highlight w:val="none"/>
          <w:lang w:val="en-US" w:eastAsia="zh-CN"/>
        </w:rPr>
        <w:t>每个养护标段至少配备一名专职绿化养护技术人员（林业或园林工程师及以上）。</w:t>
      </w:r>
      <w:bookmarkEnd w:id="173"/>
      <w:bookmarkEnd w:id="174"/>
    </w:p>
    <w:p w14:paraId="31C80F6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bookmarkStart w:id="175" w:name="_Toc5467"/>
      <w:bookmarkStart w:id="176" w:name="_Toc152161644"/>
      <w:r>
        <w:rPr>
          <w:rFonts w:hint="eastAsia" w:ascii="宋体" w:hAnsi="宋体" w:eastAsia="宋体" w:cs="宋体"/>
          <w:highlight w:val="none"/>
          <w:lang w:val="en-US" w:eastAsia="zh-CN"/>
        </w:rPr>
        <w:t>4、</w:t>
      </w:r>
      <w:bookmarkEnd w:id="175"/>
      <w:bookmarkEnd w:id="176"/>
      <w:r>
        <w:rPr>
          <w:rFonts w:hint="eastAsia" w:ascii="宋体" w:hAnsi="宋体" w:cs="宋体"/>
          <w:highlight w:val="none"/>
          <w:lang w:val="en-US" w:eastAsia="zh-CN"/>
        </w:rPr>
        <w:t>承包方式</w:t>
      </w:r>
    </w:p>
    <w:p w14:paraId="2AA7B3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bookmarkStart w:id="177" w:name="_Toc31071"/>
      <w:bookmarkStart w:id="178" w:name="_Toc152161647"/>
      <w:r>
        <w:rPr>
          <w:rFonts w:hint="eastAsia" w:ascii="宋体" w:hAnsi="宋体" w:cs="宋体"/>
          <w:highlight w:val="none"/>
          <w:lang w:val="en-US" w:eastAsia="zh-CN"/>
        </w:rPr>
        <w:t>4.1</w:t>
      </w:r>
      <w:r>
        <w:rPr>
          <w:rFonts w:hint="eastAsia" w:ascii="宋体" w:hAnsi="宋体" w:eastAsia="宋体" w:cs="宋体"/>
          <w:highlight w:val="none"/>
          <w:lang w:val="en-US" w:eastAsia="zh-CN"/>
        </w:rPr>
        <w:t>、乙方在确定的范围内以包工、包料、包机械工具、包水电费、包质量、包安全的方式实施管养总承包。</w:t>
      </w:r>
    </w:p>
    <w:p w14:paraId="22916DB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cs="宋体"/>
          <w:highlight w:val="none"/>
          <w:lang w:val="en-US" w:eastAsia="zh-CN"/>
        </w:rPr>
        <w:t>4.</w:t>
      </w:r>
      <w:r>
        <w:rPr>
          <w:rFonts w:hint="eastAsia" w:ascii="宋体" w:hAnsi="宋体" w:eastAsia="宋体" w:cs="宋体"/>
          <w:highlight w:val="none"/>
          <w:lang w:val="en-US" w:eastAsia="zh-CN"/>
        </w:rPr>
        <w:t>2、管养所需的材料、设备等，均由乙方自行解决，但必须符合国家有关绿化管养作业技术规程、规范要求。</w:t>
      </w:r>
      <w:bookmarkEnd w:id="177"/>
      <w:bookmarkEnd w:id="178"/>
    </w:p>
    <w:p w14:paraId="6080ED8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highlight w:val="none"/>
          <w:lang w:val="en-US" w:eastAsia="zh-CN"/>
        </w:rPr>
      </w:pPr>
      <w:r>
        <w:rPr>
          <w:rFonts w:hint="eastAsia" w:ascii="宋体" w:hAnsi="宋体" w:eastAsia="宋体" w:cs="宋体"/>
          <w:b/>
          <w:bCs/>
          <w:highlight w:val="none"/>
          <w:lang w:val="en-US" w:eastAsia="zh-CN"/>
        </w:rPr>
        <w:t>付款方式：</w:t>
      </w:r>
      <w:r>
        <w:rPr>
          <w:rFonts w:hint="eastAsia" w:ascii="宋体" w:hAnsi="宋体" w:eastAsia="宋体" w:cs="宋体"/>
          <w:highlight w:val="none"/>
          <w:lang w:val="en-US" w:eastAsia="zh-CN"/>
        </w:rPr>
        <w:t>管养期间甲方对乙方日常养护进行考核，管养完成，通过甲方验收后，甲方按程序审批一次性拨付，遇国家法定节假日或其它特殊情况时，时间向后顺延。支付价款前，乙方应向甲方发包人出具正式的税务发票。</w:t>
      </w:r>
    </w:p>
    <w:p w14:paraId="40DC4E6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p>
    <w:p w14:paraId="4E4FD88C">
      <w:pPr>
        <w:rPr>
          <w:rFonts w:hint="eastAsia" w:ascii="宋体" w:hAnsi="宋体" w:eastAsia="宋体" w:cs="宋体"/>
          <w:highlight w:val="none"/>
          <w:lang w:val="en-US" w:eastAsia="zh-CN"/>
        </w:rPr>
      </w:pPr>
      <w:r>
        <w:rPr>
          <w:rFonts w:hint="eastAsia" w:ascii="宋体" w:hAnsi="宋体" w:eastAsia="宋体" w:cs="宋体"/>
          <w:highlight w:val="none"/>
          <w:lang w:val="en-US" w:eastAsia="zh-CN"/>
        </w:rPr>
        <w:br w:type="page"/>
      </w:r>
    </w:p>
    <w:p w14:paraId="6EF0A3E9">
      <w:pPr>
        <w:pStyle w:val="2"/>
        <w:numPr>
          <w:ilvl w:val="0"/>
          <w:numId w:val="10"/>
        </w:numPr>
        <w:bidi w:val="0"/>
        <w:ind w:left="0" w:leftChars="0" w:firstLine="0" w:firstLineChars="0"/>
        <w:jc w:val="center"/>
        <w:rPr>
          <w:rFonts w:hint="eastAsia" w:ascii="宋体" w:hAnsi="宋体" w:eastAsia="宋体" w:cs="宋体"/>
          <w:highlight w:val="none"/>
        </w:rPr>
      </w:pPr>
      <w:bookmarkStart w:id="179" w:name="_Toc26222"/>
      <w:bookmarkStart w:id="180" w:name="_Toc2138"/>
      <w:bookmarkStart w:id="181" w:name="_Toc21424"/>
      <w:r>
        <w:rPr>
          <w:rFonts w:hint="eastAsia" w:ascii="宋体" w:hAnsi="宋体" w:eastAsia="宋体" w:cs="宋体"/>
          <w:highlight w:val="none"/>
        </w:rPr>
        <w:t>投标文件格式</w:t>
      </w:r>
      <w:bookmarkEnd w:id="179"/>
      <w:bookmarkEnd w:id="180"/>
      <w:bookmarkEnd w:id="181"/>
    </w:p>
    <w:p w14:paraId="2CFF80E6">
      <w:pPr>
        <w:pageBreakBefore w:val="0"/>
        <w:widowControl w:val="0"/>
        <w:kinsoku/>
        <w:wordWrap/>
        <w:overflowPunct/>
        <w:topLinePunct w:val="0"/>
        <w:autoSpaceDE/>
        <w:autoSpaceDN/>
        <w:bidi w:val="0"/>
        <w:adjustRightInd/>
        <w:snapToGrid/>
        <w:spacing w:line="480" w:lineRule="auto"/>
        <w:ind w:left="-15" w:leftChars="-67" w:hanging="126" w:hangingChars="35"/>
        <w:jc w:val="center"/>
        <w:textAlignment w:val="auto"/>
        <w:rPr>
          <w:rFonts w:hint="eastAsia" w:ascii="宋体" w:hAnsi="宋体" w:eastAsia="宋体" w:cs="宋体"/>
          <w:b/>
          <w:bCs/>
          <w:sz w:val="36"/>
          <w:szCs w:val="36"/>
          <w:highlight w:val="none"/>
          <w:lang w:eastAsia="zh-CN"/>
        </w:rPr>
      </w:pPr>
    </w:p>
    <w:p w14:paraId="132E9832">
      <w:pPr>
        <w:pageBreakBefore w:val="0"/>
        <w:widowControl w:val="0"/>
        <w:kinsoku/>
        <w:wordWrap/>
        <w:overflowPunct/>
        <w:topLinePunct w:val="0"/>
        <w:autoSpaceDE/>
        <w:autoSpaceDN/>
        <w:bidi w:val="0"/>
        <w:adjustRightInd/>
        <w:snapToGrid/>
        <w:spacing w:line="480" w:lineRule="auto"/>
        <w:ind w:left="-15" w:leftChars="-67" w:hanging="126" w:hangingChars="35"/>
        <w:jc w:val="center"/>
        <w:textAlignment w:val="auto"/>
        <w:rPr>
          <w:rFonts w:hint="default" w:ascii="宋体" w:hAnsi="宋体" w:eastAsia="宋体" w:cs="宋体"/>
          <w:b/>
          <w:bCs/>
          <w:sz w:val="36"/>
          <w:szCs w:val="36"/>
          <w:highlight w:val="none"/>
          <w:u w:val="none"/>
          <w:lang w:val="en-US"/>
        </w:rPr>
      </w:pPr>
      <w:r>
        <w:rPr>
          <w:rFonts w:hint="eastAsia" w:ascii="宋体" w:hAnsi="宋体" w:eastAsia="宋体" w:cs="宋体"/>
          <w:b/>
          <w:bCs/>
          <w:sz w:val="36"/>
          <w:szCs w:val="36"/>
          <w:highlight w:val="none"/>
          <w:u w:val="single"/>
          <w:lang w:val="en-US" w:eastAsia="zh-CN"/>
        </w:rPr>
        <w:t xml:space="preserve">                 </w:t>
      </w:r>
      <w:r>
        <w:rPr>
          <w:rFonts w:hint="eastAsia" w:ascii="宋体" w:hAnsi="宋体" w:eastAsia="宋体" w:cs="宋体"/>
          <w:b/>
          <w:bCs/>
          <w:sz w:val="36"/>
          <w:szCs w:val="36"/>
          <w:highlight w:val="none"/>
          <w:lang w:eastAsia="zh-CN"/>
        </w:rPr>
        <w:t>（</w:t>
      </w:r>
      <w:r>
        <w:rPr>
          <w:rFonts w:hint="eastAsia" w:ascii="宋体" w:hAnsi="宋体" w:eastAsia="宋体" w:cs="宋体"/>
          <w:b/>
          <w:bCs/>
          <w:sz w:val="36"/>
          <w:szCs w:val="36"/>
          <w:highlight w:val="none"/>
          <w:lang w:val="en-US" w:eastAsia="zh-CN"/>
        </w:rPr>
        <w:t>项目名称</w:t>
      </w:r>
      <w:r>
        <w:rPr>
          <w:rFonts w:hint="eastAsia" w:ascii="宋体" w:hAnsi="宋体" w:eastAsia="宋体" w:cs="宋体"/>
          <w:b/>
          <w:bCs/>
          <w:sz w:val="36"/>
          <w:szCs w:val="36"/>
          <w:highlight w:val="none"/>
          <w:lang w:eastAsia="zh-CN"/>
        </w:rPr>
        <w:t>）</w:t>
      </w:r>
      <w:r>
        <w:rPr>
          <w:rFonts w:hint="eastAsia" w:ascii="宋体" w:hAnsi="宋体" w:cs="宋体"/>
          <w:b/>
          <w:bCs/>
          <w:sz w:val="36"/>
          <w:szCs w:val="36"/>
          <w:highlight w:val="none"/>
          <w:u w:val="single"/>
          <w:lang w:val="en-US" w:eastAsia="zh-CN"/>
        </w:rPr>
        <w:t xml:space="preserve">   </w:t>
      </w:r>
      <w:r>
        <w:rPr>
          <w:rFonts w:hint="eastAsia" w:ascii="宋体" w:hAnsi="宋体" w:cs="宋体"/>
          <w:b/>
          <w:bCs/>
          <w:sz w:val="36"/>
          <w:szCs w:val="36"/>
          <w:highlight w:val="none"/>
          <w:u w:val="none"/>
          <w:lang w:val="en-US" w:eastAsia="zh-CN"/>
        </w:rPr>
        <w:t>标段</w:t>
      </w:r>
    </w:p>
    <w:p w14:paraId="0434C155">
      <w:pPr>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eastAsia="宋体" w:cs="宋体"/>
          <w:b/>
          <w:szCs w:val="21"/>
          <w:highlight w:val="none"/>
        </w:rPr>
      </w:pPr>
    </w:p>
    <w:p w14:paraId="75EB6B68">
      <w:pPr>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eastAsia="宋体" w:cs="宋体"/>
          <w:b/>
          <w:sz w:val="24"/>
          <w:szCs w:val="24"/>
          <w:highlight w:val="none"/>
        </w:rPr>
      </w:pPr>
    </w:p>
    <w:p w14:paraId="65A6F1C2">
      <w:pPr>
        <w:pStyle w:val="26"/>
        <w:rPr>
          <w:rFonts w:hint="eastAsia" w:ascii="宋体" w:hAnsi="宋体" w:eastAsia="宋体" w:cs="宋体"/>
          <w:highlight w:val="none"/>
        </w:rPr>
      </w:pPr>
    </w:p>
    <w:p w14:paraId="4380F016">
      <w:pPr>
        <w:pStyle w:val="9"/>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eastAsia="宋体" w:cs="宋体"/>
          <w:b/>
          <w:bCs/>
          <w:sz w:val="84"/>
          <w:szCs w:val="84"/>
          <w:highlight w:val="none"/>
        </w:rPr>
      </w:pPr>
      <w:r>
        <w:rPr>
          <w:rFonts w:hint="eastAsia" w:ascii="宋体" w:hAnsi="宋体" w:eastAsia="宋体" w:cs="宋体"/>
          <w:b/>
          <w:bCs/>
          <w:sz w:val="84"/>
          <w:szCs w:val="84"/>
          <w:highlight w:val="none"/>
        </w:rPr>
        <w:t>投标文件</w:t>
      </w:r>
    </w:p>
    <w:p w14:paraId="3E1DCBB2">
      <w:pPr>
        <w:pageBreakBefore w:val="0"/>
        <w:widowControl w:val="0"/>
        <w:kinsoku/>
        <w:wordWrap/>
        <w:overflowPunct/>
        <w:topLinePunct w:val="0"/>
        <w:autoSpaceDE/>
        <w:autoSpaceDN/>
        <w:bidi w:val="0"/>
        <w:adjustRightInd/>
        <w:snapToGrid/>
        <w:spacing w:line="480" w:lineRule="auto"/>
        <w:ind w:firstLine="482" w:firstLineChars="200"/>
        <w:jc w:val="center"/>
        <w:textAlignment w:val="auto"/>
        <w:rPr>
          <w:rFonts w:hint="eastAsia" w:ascii="宋体" w:hAnsi="宋体" w:eastAsia="宋体" w:cs="宋体"/>
          <w:b/>
          <w:sz w:val="24"/>
          <w:szCs w:val="24"/>
          <w:highlight w:val="none"/>
          <w:u w:val="single"/>
        </w:rPr>
      </w:pPr>
      <w:r>
        <w:rPr>
          <w:rFonts w:hint="eastAsia" w:ascii="宋体" w:hAnsi="宋体" w:eastAsia="宋体" w:cs="宋体"/>
          <w:b/>
          <w:sz w:val="24"/>
          <w:szCs w:val="24"/>
          <w:highlight w:val="none"/>
        </w:rPr>
        <w:t>项目编号：</w:t>
      </w:r>
    </w:p>
    <w:p w14:paraId="0E331754">
      <w:pPr>
        <w:autoSpaceDE w:val="0"/>
        <w:autoSpaceDN w:val="0"/>
        <w:adjustRightInd w:val="0"/>
        <w:spacing w:line="480" w:lineRule="exact"/>
        <w:rPr>
          <w:rFonts w:hint="eastAsia" w:ascii="宋体" w:hAnsi="宋体" w:eastAsia="宋体" w:cs="宋体"/>
          <w:kern w:val="0"/>
          <w:szCs w:val="21"/>
          <w:highlight w:val="none"/>
        </w:rPr>
      </w:pPr>
    </w:p>
    <w:p w14:paraId="56429515">
      <w:pPr>
        <w:pStyle w:val="3"/>
        <w:rPr>
          <w:rFonts w:hint="eastAsia" w:ascii="宋体" w:hAnsi="宋体" w:eastAsia="宋体" w:cs="宋体"/>
          <w:kern w:val="0"/>
          <w:szCs w:val="21"/>
          <w:highlight w:val="none"/>
        </w:rPr>
      </w:pPr>
    </w:p>
    <w:p w14:paraId="0189B180">
      <w:pPr>
        <w:rPr>
          <w:rFonts w:hint="eastAsia" w:ascii="宋体" w:hAnsi="宋体" w:eastAsia="宋体" w:cs="宋体"/>
          <w:kern w:val="0"/>
          <w:szCs w:val="21"/>
          <w:highlight w:val="none"/>
        </w:rPr>
      </w:pPr>
    </w:p>
    <w:p w14:paraId="05682D48">
      <w:pPr>
        <w:pStyle w:val="26"/>
        <w:rPr>
          <w:rFonts w:hint="eastAsia" w:ascii="宋体" w:hAnsi="宋体" w:eastAsia="宋体" w:cs="宋体"/>
          <w:highlight w:val="none"/>
        </w:rPr>
      </w:pPr>
    </w:p>
    <w:p w14:paraId="4BA837AB">
      <w:pPr>
        <w:rPr>
          <w:rFonts w:hint="eastAsia" w:ascii="宋体" w:hAnsi="宋体" w:eastAsia="宋体" w:cs="宋体"/>
          <w:kern w:val="0"/>
          <w:szCs w:val="21"/>
          <w:highlight w:val="none"/>
        </w:rPr>
      </w:pPr>
    </w:p>
    <w:p w14:paraId="144A68CE">
      <w:pPr>
        <w:pStyle w:val="3"/>
        <w:rPr>
          <w:rFonts w:hint="eastAsia" w:ascii="宋体" w:hAnsi="宋体" w:eastAsia="宋体" w:cs="宋体"/>
          <w:kern w:val="0"/>
          <w:szCs w:val="21"/>
          <w:highlight w:val="none"/>
        </w:rPr>
      </w:pPr>
    </w:p>
    <w:p w14:paraId="35BF587C">
      <w:pPr>
        <w:rPr>
          <w:rFonts w:hint="eastAsia" w:ascii="宋体" w:hAnsi="宋体" w:eastAsia="宋体" w:cs="宋体"/>
          <w:highlight w:val="none"/>
        </w:rPr>
      </w:pPr>
    </w:p>
    <w:p w14:paraId="08BE8358">
      <w:pPr>
        <w:tabs>
          <w:tab w:val="left" w:pos="5800"/>
          <w:tab w:val="left" w:pos="6640"/>
        </w:tabs>
        <w:autoSpaceDE w:val="0"/>
        <w:autoSpaceDN w:val="0"/>
        <w:adjustRightInd w:val="0"/>
        <w:spacing w:line="480" w:lineRule="exact"/>
        <w:ind w:right="403" w:firstLine="482" w:firstLineChars="200"/>
        <w:jc w:val="left"/>
        <w:rPr>
          <w:rFonts w:hint="eastAsia" w:ascii="宋体" w:hAnsi="宋体" w:eastAsia="宋体" w:cs="宋体"/>
          <w:b/>
          <w:bCs/>
          <w:kern w:val="0"/>
          <w:sz w:val="24"/>
          <w:szCs w:val="24"/>
          <w:highlight w:val="none"/>
        </w:rPr>
      </w:pPr>
      <w:r>
        <w:rPr>
          <w:rFonts w:hint="eastAsia" w:ascii="宋体" w:hAnsi="宋体" w:cs="宋体"/>
          <w:b/>
          <w:bCs/>
          <w:kern w:val="0"/>
          <w:sz w:val="24"/>
          <w:szCs w:val="24"/>
          <w:highlight w:val="none"/>
          <w:lang w:val="en-US" w:eastAsia="zh-CN"/>
        </w:rPr>
        <w:t>供 应 商</w:t>
      </w:r>
      <w:r>
        <w:rPr>
          <w:rFonts w:hint="eastAsia" w:ascii="宋体" w:hAnsi="宋体" w:eastAsia="宋体" w:cs="宋体"/>
          <w:b/>
          <w:bCs/>
          <w:kern w:val="0"/>
          <w:sz w:val="24"/>
          <w:szCs w:val="24"/>
          <w:highlight w:val="none"/>
        </w:rPr>
        <w:t>：</w:t>
      </w:r>
      <w:r>
        <w:rPr>
          <w:rFonts w:hint="eastAsia" w:ascii="宋体" w:hAnsi="宋体" w:eastAsia="宋体" w:cs="宋体"/>
          <w:b/>
          <w:bCs/>
          <w:kern w:val="0"/>
          <w:sz w:val="24"/>
          <w:szCs w:val="24"/>
          <w:highlight w:val="none"/>
          <w:u w:val="single"/>
          <w:lang w:val="en-US" w:eastAsia="zh-CN"/>
        </w:rPr>
        <w:t xml:space="preserve">                                   </w:t>
      </w:r>
      <w:r>
        <w:rPr>
          <w:rFonts w:hint="eastAsia" w:ascii="宋体" w:hAnsi="宋体" w:eastAsia="宋体" w:cs="宋体"/>
          <w:b/>
          <w:bCs/>
          <w:kern w:val="0"/>
          <w:sz w:val="24"/>
          <w:szCs w:val="24"/>
          <w:highlight w:val="none"/>
        </w:rPr>
        <w:t>（企业电子签章）</w:t>
      </w:r>
    </w:p>
    <w:p w14:paraId="1AA6468E">
      <w:pPr>
        <w:tabs>
          <w:tab w:val="left" w:pos="6080"/>
          <w:tab w:val="left" w:pos="6640"/>
        </w:tabs>
        <w:autoSpaceDE w:val="0"/>
        <w:autoSpaceDN w:val="0"/>
        <w:adjustRightInd w:val="0"/>
        <w:spacing w:line="480" w:lineRule="exact"/>
        <w:ind w:left="283" w:leftChars="135" w:right="403"/>
        <w:jc w:val="left"/>
        <w:rPr>
          <w:rFonts w:hint="eastAsia" w:ascii="宋体" w:hAnsi="宋体" w:eastAsia="宋体" w:cs="宋体"/>
          <w:b/>
          <w:bCs/>
          <w:kern w:val="0"/>
          <w:sz w:val="24"/>
          <w:szCs w:val="24"/>
          <w:highlight w:val="none"/>
        </w:rPr>
      </w:pPr>
    </w:p>
    <w:p w14:paraId="3E54F9B0">
      <w:pPr>
        <w:tabs>
          <w:tab w:val="left" w:pos="5786"/>
          <w:tab w:val="left" w:pos="6505"/>
        </w:tabs>
        <w:autoSpaceDE w:val="0"/>
        <w:autoSpaceDN w:val="0"/>
        <w:adjustRightInd w:val="0"/>
        <w:spacing w:line="480" w:lineRule="exact"/>
        <w:ind w:right="403" w:firstLine="482" w:firstLineChars="200"/>
        <w:jc w:val="left"/>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法定代表人或委托代理人：</w:t>
      </w:r>
      <w:r>
        <w:rPr>
          <w:rFonts w:hint="eastAsia" w:ascii="宋体" w:hAnsi="宋体" w:eastAsia="宋体" w:cs="宋体"/>
          <w:b/>
          <w:bCs/>
          <w:kern w:val="0"/>
          <w:sz w:val="24"/>
          <w:szCs w:val="24"/>
          <w:highlight w:val="none"/>
          <w:u w:val="single"/>
          <w:lang w:val="en-US" w:eastAsia="zh-CN"/>
        </w:rPr>
        <w:t xml:space="preserve">                    </w:t>
      </w:r>
      <w:r>
        <w:rPr>
          <w:rFonts w:hint="eastAsia" w:ascii="宋体" w:hAnsi="宋体" w:eastAsia="宋体" w:cs="宋体"/>
          <w:b/>
          <w:bCs/>
          <w:kern w:val="0"/>
          <w:sz w:val="24"/>
          <w:szCs w:val="24"/>
          <w:highlight w:val="none"/>
        </w:rPr>
        <w:t>（签字或盖电子签章）</w:t>
      </w:r>
    </w:p>
    <w:p w14:paraId="6AC13AEF">
      <w:pPr>
        <w:tabs>
          <w:tab w:val="left" w:pos="3280"/>
          <w:tab w:val="left" w:pos="4680"/>
          <w:tab w:val="left" w:pos="6080"/>
        </w:tabs>
        <w:autoSpaceDE w:val="0"/>
        <w:autoSpaceDN w:val="0"/>
        <w:adjustRightInd w:val="0"/>
        <w:spacing w:line="480" w:lineRule="exact"/>
        <w:ind w:right="-20"/>
        <w:jc w:val="left"/>
        <w:rPr>
          <w:rFonts w:hint="eastAsia" w:ascii="宋体" w:hAnsi="宋体" w:eastAsia="宋体" w:cs="宋体"/>
          <w:b/>
          <w:bCs/>
          <w:kern w:val="0"/>
          <w:sz w:val="24"/>
          <w:szCs w:val="24"/>
          <w:highlight w:val="none"/>
        </w:rPr>
      </w:pPr>
    </w:p>
    <w:p w14:paraId="2B478989">
      <w:pPr>
        <w:numPr>
          <w:ilvl w:val="0"/>
          <w:numId w:val="0"/>
        </w:numPr>
        <w:ind w:leftChars="0" w:firstLine="2409" w:firstLineChars="1000"/>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u w:val="single"/>
        </w:rPr>
        <w:tab/>
      </w:r>
      <w:r>
        <w:rPr>
          <w:rFonts w:hint="eastAsia" w:ascii="宋体" w:hAnsi="宋体" w:eastAsia="宋体" w:cs="宋体"/>
          <w:b/>
          <w:bCs/>
          <w:kern w:val="0"/>
          <w:sz w:val="24"/>
          <w:szCs w:val="24"/>
          <w:highlight w:val="none"/>
          <w:u w:val="single"/>
          <w:lang w:val="en-US" w:eastAsia="zh-CN"/>
        </w:rPr>
        <w:t xml:space="preserve">     </w:t>
      </w:r>
      <w:r>
        <w:rPr>
          <w:rFonts w:hint="eastAsia" w:ascii="宋体" w:hAnsi="宋体" w:eastAsia="宋体" w:cs="宋体"/>
          <w:b/>
          <w:bCs/>
          <w:kern w:val="0"/>
          <w:sz w:val="24"/>
          <w:szCs w:val="24"/>
          <w:highlight w:val="none"/>
        </w:rPr>
        <w:t>年</w:t>
      </w:r>
      <w:r>
        <w:rPr>
          <w:rFonts w:hint="eastAsia" w:ascii="宋体" w:hAnsi="宋体" w:eastAsia="宋体" w:cs="宋体"/>
          <w:b/>
          <w:bCs/>
          <w:kern w:val="0"/>
          <w:sz w:val="24"/>
          <w:szCs w:val="24"/>
          <w:highlight w:val="none"/>
          <w:u w:val="single"/>
        </w:rPr>
        <w:tab/>
      </w:r>
      <w:r>
        <w:rPr>
          <w:rFonts w:hint="eastAsia" w:ascii="宋体" w:hAnsi="宋体" w:eastAsia="宋体" w:cs="宋体"/>
          <w:b/>
          <w:bCs/>
          <w:kern w:val="0"/>
          <w:sz w:val="24"/>
          <w:szCs w:val="24"/>
          <w:highlight w:val="none"/>
          <w:u w:val="single"/>
          <w:lang w:val="en-US" w:eastAsia="zh-CN"/>
        </w:rPr>
        <w:t xml:space="preserve">     </w:t>
      </w:r>
      <w:r>
        <w:rPr>
          <w:rFonts w:hint="eastAsia" w:ascii="宋体" w:hAnsi="宋体" w:eastAsia="宋体" w:cs="宋体"/>
          <w:b/>
          <w:bCs/>
          <w:kern w:val="0"/>
          <w:sz w:val="24"/>
          <w:szCs w:val="24"/>
          <w:highlight w:val="none"/>
        </w:rPr>
        <w:t>月</w:t>
      </w:r>
      <w:r>
        <w:rPr>
          <w:rFonts w:hint="eastAsia" w:ascii="宋体" w:hAnsi="宋体" w:eastAsia="宋体" w:cs="宋体"/>
          <w:b/>
          <w:bCs/>
          <w:kern w:val="0"/>
          <w:sz w:val="24"/>
          <w:szCs w:val="24"/>
          <w:highlight w:val="none"/>
          <w:u w:val="single"/>
        </w:rPr>
        <w:tab/>
      </w:r>
      <w:r>
        <w:rPr>
          <w:rFonts w:hint="eastAsia" w:ascii="宋体" w:hAnsi="宋体" w:eastAsia="宋体" w:cs="宋体"/>
          <w:b/>
          <w:bCs/>
          <w:kern w:val="0"/>
          <w:sz w:val="24"/>
          <w:szCs w:val="24"/>
          <w:highlight w:val="none"/>
          <w:u w:val="single"/>
          <w:lang w:val="en-US" w:eastAsia="zh-CN"/>
        </w:rPr>
        <w:t xml:space="preserve">     </w:t>
      </w:r>
      <w:r>
        <w:rPr>
          <w:rFonts w:hint="eastAsia" w:ascii="宋体" w:hAnsi="宋体" w:eastAsia="宋体" w:cs="宋体"/>
          <w:b/>
          <w:bCs/>
          <w:kern w:val="0"/>
          <w:sz w:val="24"/>
          <w:szCs w:val="24"/>
          <w:highlight w:val="none"/>
        </w:rPr>
        <w:t>日</w:t>
      </w:r>
    </w:p>
    <w:p w14:paraId="1006B24C">
      <w:pPr>
        <w:rPr>
          <w:rFonts w:hint="eastAsia" w:ascii="宋体" w:hAnsi="宋体" w:eastAsia="宋体" w:cs="宋体"/>
          <w:highlight w:val="none"/>
          <w:lang w:val="en-US" w:eastAsia="zh-CN"/>
        </w:rPr>
      </w:pPr>
      <w:r>
        <w:rPr>
          <w:rFonts w:hint="eastAsia" w:ascii="宋体" w:hAnsi="宋体" w:eastAsia="宋体" w:cs="宋体"/>
          <w:highlight w:val="none"/>
          <w:lang w:val="en-US" w:eastAsia="zh-CN"/>
        </w:rPr>
        <w:br w:type="page"/>
      </w:r>
    </w:p>
    <w:p w14:paraId="528666ED">
      <w:pPr>
        <w:bidi w:val="0"/>
        <w:jc w:val="center"/>
        <w:rPr>
          <w:rFonts w:hint="eastAsia" w:eastAsia="宋体"/>
          <w:b/>
          <w:bCs/>
          <w:sz w:val="30"/>
          <w:szCs w:val="30"/>
          <w:highlight w:val="none"/>
          <w:lang w:val="en-US" w:eastAsia="zh-CN"/>
        </w:rPr>
      </w:pPr>
      <w:r>
        <w:rPr>
          <w:rFonts w:hint="eastAsia"/>
          <w:b/>
          <w:bCs/>
          <w:sz w:val="30"/>
          <w:szCs w:val="30"/>
          <w:highlight w:val="none"/>
          <w:lang w:val="en-US" w:eastAsia="zh-CN"/>
        </w:rPr>
        <w:t>目 录</w:t>
      </w:r>
    </w:p>
    <w:p w14:paraId="18354E4C">
      <w:pPr>
        <w:bidi w:val="0"/>
        <w:rPr>
          <w:sz w:val="24"/>
          <w:szCs w:val="24"/>
          <w:highlight w:val="none"/>
        </w:rPr>
      </w:pPr>
    </w:p>
    <w:p w14:paraId="178D144B">
      <w:pPr>
        <w:keepNext w:val="0"/>
        <w:keepLines w:val="0"/>
        <w:pageBreakBefore w:val="0"/>
        <w:widowControl w:val="0"/>
        <w:kinsoku/>
        <w:wordWrap/>
        <w:overflowPunct/>
        <w:topLinePunct w:val="0"/>
        <w:autoSpaceDE/>
        <w:autoSpaceDN/>
        <w:bidi w:val="0"/>
        <w:adjustRightInd/>
        <w:snapToGrid/>
        <w:spacing w:line="480" w:lineRule="auto"/>
        <w:textAlignment w:val="auto"/>
        <w:rPr>
          <w:sz w:val="24"/>
          <w:szCs w:val="24"/>
          <w:highlight w:val="none"/>
        </w:rPr>
      </w:pPr>
      <w:r>
        <w:rPr>
          <w:sz w:val="24"/>
          <w:szCs w:val="24"/>
          <w:highlight w:val="none"/>
        </w:rPr>
        <w:fldChar w:fldCharType="begin"/>
      </w:r>
      <w:r>
        <w:rPr>
          <w:sz w:val="24"/>
          <w:szCs w:val="24"/>
          <w:highlight w:val="none"/>
        </w:rPr>
        <w:instrText xml:space="preserve"> HYPERLINK \l _Toc12923 </w:instrText>
      </w:r>
      <w:r>
        <w:rPr>
          <w:sz w:val="24"/>
          <w:szCs w:val="24"/>
          <w:highlight w:val="none"/>
        </w:rPr>
        <w:fldChar w:fldCharType="separate"/>
      </w:r>
      <w:r>
        <w:rPr>
          <w:rFonts w:hint="eastAsia"/>
          <w:sz w:val="24"/>
          <w:szCs w:val="24"/>
          <w:highlight w:val="none"/>
          <w:lang w:val="en-US" w:eastAsia="zh-CN"/>
        </w:rPr>
        <w:t>一、投标函及投标函附录</w:t>
      </w:r>
      <w:r>
        <w:rPr>
          <w:sz w:val="24"/>
          <w:szCs w:val="24"/>
          <w:highlight w:val="none"/>
        </w:rPr>
        <w:fldChar w:fldCharType="end"/>
      </w:r>
    </w:p>
    <w:p w14:paraId="299337B6">
      <w:pPr>
        <w:keepNext w:val="0"/>
        <w:keepLines w:val="0"/>
        <w:pageBreakBefore w:val="0"/>
        <w:widowControl w:val="0"/>
        <w:kinsoku/>
        <w:wordWrap/>
        <w:overflowPunct/>
        <w:topLinePunct w:val="0"/>
        <w:autoSpaceDE/>
        <w:autoSpaceDN/>
        <w:bidi w:val="0"/>
        <w:adjustRightInd/>
        <w:snapToGrid/>
        <w:spacing w:line="480" w:lineRule="auto"/>
        <w:textAlignment w:val="auto"/>
        <w:rPr>
          <w:sz w:val="24"/>
          <w:szCs w:val="24"/>
          <w:highlight w:val="none"/>
        </w:rPr>
      </w:pPr>
      <w:r>
        <w:rPr>
          <w:sz w:val="24"/>
          <w:szCs w:val="24"/>
          <w:highlight w:val="none"/>
        </w:rPr>
        <w:fldChar w:fldCharType="begin"/>
      </w:r>
      <w:r>
        <w:rPr>
          <w:sz w:val="24"/>
          <w:szCs w:val="24"/>
          <w:highlight w:val="none"/>
        </w:rPr>
        <w:instrText xml:space="preserve"> HYPERLINK \l _Toc29886 </w:instrText>
      </w:r>
      <w:r>
        <w:rPr>
          <w:sz w:val="24"/>
          <w:szCs w:val="24"/>
          <w:highlight w:val="none"/>
        </w:rPr>
        <w:fldChar w:fldCharType="separate"/>
      </w:r>
      <w:r>
        <w:rPr>
          <w:rFonts w:hint="eastAsia"/>
          <w:sz w:val="24"/>
          <w:szCs w:val="24"/>
          <w:highlight w:val="none"/>
        </w:rPr>
        <w:t>二、法定代表人身份证明</w:t>
      </w:r>
      <w:r>
        <w:rPr>
          <w:sz w:val="24"/>
          <w:szCs w:val="24"/>
          <w:highlight w:val="none"/>
        </w:rPr>
        <w:fldChar w:fldCharType="end"/>
      </w:r>
    </w:p>
    <w:p w14:paraId="719BEC1C">
      <w:pPr>
        <w:keepNext w:val="0"/>
        <w:keepLines w:val="0"/>
        <w:pageBreakBefore w:val="0"/>
        <w:widowControl w:val="0"/>
        <w:kinsoku/>
        <w:wordWrap/>
        <w:overflowPunct/>
        <w:topLinePunct w:val="0"/>
        <w:autoSpaceDE/>
        <w:autoSpaceDN/>
        <w:bidi w:val="0"/>
        <w:adjustRightInd/>
        <w:snapToGrid/>
        <w:spacing w:line="480" w:lineRule="auto"/>
        <w:textAlignment w:val="auto"/>
        <w:rPr>
          <w:sz w:val="24"/>
          <w:szCs w:val="24"/>
          <w:highlight w:val="none"/>
        </w:rPr>
      </w:pPr>
      <w:r>
        <w:rPr>
          <w:sz w:val="24"/>
          <w:szCs w:val="24"/>
          <w:highlight w:val="none"/>
        </w:rPr>
        <w:fldChar w:fldCharType="begin"/>
      </w:r>
      <w:r>
        <w:rPr>
          <w:sz w:val="24"/>
          <w:szCs w:val="24"/>
          <w:highlight w:val="none"/>
        </w:rPr>
        <w:instrText xml:space="preserve"> HYPERLINK \l _Toc9347 </w:instrText>
      </w:r>
      <w:r>
        <w:rPr>
          <w:sz w:val="24"/>
          <w:szCs w:val="24"/>
          <w:highlight w:val="none"/>
        </w:rPr>
        <w:fldChar w:fldCharType="separate"/>
      </w:r>
      <w:r>
        <w:rPr>
          <w:rFonts w:hint="eastAsia"/>
          <w:sz w:val="24"/>
          <w:szCs w:val="24"/>
          <w:highlight w:val="none"/>
          <w:lang w:val="en-US" w:eastAsia="zh-CN"/>
        </w:rPr>
        <w:t>三、</w:t>
      </w:r>
      <w:r>
        <w:rPr>
          <w:rFonts w:hint="eastAsia"/>
          <w:sz w:val="24"/>
          <w:szCs w:val="24"/>
          <w:highlight w:val="none"/>
        </w:rPr>
        <w:t>授权委托书</w:t>
      </w:r>
      <w:r>
        <w:rPr>
          <w:sz w:val="24"/>
          <w:szCs w:val="24"/>
          <w:highlight w:val="none"/>
        </w:rPr>
        <w:fldChar w:fldCharType="end"/>
      </w:r>
    </w:p>
    <w:p w14:paraId="19955CAF">
      <w:pPr>
        <w:keepNext w:val="0"/>
        <w:keepLines w:val="0"/>
        <w:pageBreakBefore w:val="0"/>
        <w:widowControl w:val="0"/>
        <w:kinsoku/>
        <w:wordWrap/>
        <w:overflowPunct/>
        <w:topLinePunct w:val="0"/>
        <w:autoSpaceDE/>
        <w:autoSpaceDN/>
        <w:bidi w:val="0"/>
        <w:adjustRightInd/>
        <w:snapToGrid/>
        <w:spacing w:line="480" w:lineRule="auto"/>
        <w:textAlignment w:val="auto"/>
        <w:rPr>
          <w:sz w:val="24"/>
          <w:szCs w:val="24"/>
          <w:highlight w:val="none"/>
        </w:rPr>
      </w:pPr>
      <w:r>
        <w:rPr>
          <w:sz w:val="24"/>
          <w:szCs w:val="24"/>
          <w:highlight w:val="none"/>
        </w:rPr>
        <w:fldChar w:fldCharType="begin"/>
      </w:r>
      <w:r>
        <w:rPr>
          <w:sz w:val="24"/>
          <w:szCs w:val="24"/>
          <w:highlight w:val="none"/>
        </w:rPr>
        <w:instrText xml:space="preserve"> HYPERLINK \l _Toc8420 </w:instrText>
      </w:r>
      <w:r>
        <w:rPr>
          <w:sz w:val="24"/>
          <w:szCs w:val="24"/>
          <w:highlight w:val="none"/>
        </w:rPr>
        <w:fldChar w:fldCharType="separate"/>
      </w:r>
      <w:r>
        <w:rPr>
          <w:rFonts w:hint="eastAsia"/>
          <w:sz w:val="24"/>
          <w:szCs w:val="24"/>
          <w:highlight w:val="none"/>
          <w:lang w:val="en-US" w:eastAsia="zh-CN"/>
        </w:rPr>
        <w:t>四、资格审查资料</w:t>
      </w:r>
      <w:r>
        <w:rPr>
          <w:sz w:val="24"/>
          <w:szCs w:val="24"/>
          <w:highlight w:val="none"/>
        </w:rPr>
        <w:fldChar w:fldCharType="end"/>
      </w:r>
    </w:p>
    <w:p w14:paraId="07F80F6C">
      <w:pPr>
        <w:keepNext w:val="0"/>
        <w:keepLines w:val="0"/>
        <w:pageBreakBefore w:val="0"/>
        <w:widowControl w:val="0"/>
        <w:kinsoku/>
        <w:wordWrap/>
        <w:overflowPunct/>
        <w:topLinePunct w:val="0"/>
        <w:autoSpaceDE/>
        <w:autoSpaceDN/>
        <w:bidi w:val="0"/>
        <w:adjustRightInd/>
        <w:snapToGrid/>
        <w:spacing w:line="480" w:lineRule="auto"/>
        <w:textAlignment w:val="auto"/>
        <w:rPr>
          <w:sz w:val="24"/>
          <w:szCs w:val="24"/>
          <w:highlight w:val="none"/>
        </w:rPr>
      </w:pPr>
      <w:r>
        <w:rPr>
          <w:sz w:val="24"/>
          <w:szCs w:val="24"/>
          <w:highlight w:val="none"/>
        </w:rPr>
        <w:fldChar w:fldCharType="begin"/>
      </w:r>
      <w:r>
        <w:rPr>
          <w:sz w:val="24"/>
          <w:szCs w:val="24"/>
          <w:highlight w:val="none"/>
        </w:rPr>
        <w:instrText xml:space="preserve"> HYPERLINK \l _Toc7402 </w:instrText>
      </w:r>
      <w:r>
        <w:rPr>
          <w:sz w:val="24"/>
          <w:szCs w:val="24"/>
          <w:highlight w:val="none"/>
        </w:rPr>
        <w:fldChar w:fldCharType="separate"/>
      </w:r>
      <w:r>
        <w:rPr>
          <w:rFonts w:hint="eastAsia"/>
          <w:sz w:val="24"/>
          <w:szCs w:val="24"/>
          <w:highlight w:val="none"/>
          <w:lang w:val="en-US" w:eastAsia="zh-CN"/>
        </w:rPr>
        <w:t>五、服务方案</w:t>
      </w:r>
      <w:r>
        <w:rPr>
          <w:sz w:val="24"/>
          <w:szCs w:val="24"/>
          <w:highlight w:val="none"/>
        </w:rPr>
        <w:fldChar w:fldCharType="end"/>
      </w:r>
    </w:p>
    <w:p w14:paraId="03018247">
      <w:pPr>
        <w:keepNext w:val="0"/>
        <w:keepLines w:val="0"/>
        <w:pageBreakBefore w:val="0"/>
        <w:widowControl w:val="0"/>
        <w:kinsoku/>
        <w:wordWrap/>
        <w:overflowPunct/>
        <w:topLinePunct w:val="0"/>
        <w:autoSpaceDE/>
        <w:autoSpaceDN/>
        <w:bidi w:val="0"/>
        <w:adjustRightInd/>
        <w:snapToGrid/>
        <w:spacing w:line="480" w:lineRule="auto"/>
        <w:textAlignment w:val="auto"/>
        <w:rPr>
          <w:sz w:val="24"/>
          <w:szCs w:val="24"/>
          <w:highlight w:val="none"/>
        </w:rPr>
      </w:pPr>
      <w:r>
        <w:rPr>
          <w:sz w:val="24"/>
          <w:szCs w:val="24"/>
          <w:highlight w:val="none"/>
        </w:rPr>
        <w:fldChar w:fldCharType="begin"/>
      </w:r>
      <w:r>
        <w:rPr>
          <w:sz w:val="24"/>
          <w:szCs w:val="24"/>
          <w:highlight w:val="none"/>
        </w:rPr>
        <w:instrText xml:space="preserve"> HYPERLINK \l _Toc17265 </w:instrText>
      </w:r>
      <w:r>
        <w:rPr>
          <w:sz w:val="24"/>
          <w:szCs w:val="24"/>
          <w:highlight w:val="none"/>
        </w:rPr>
        <w:fldChar w:fldCharType="separate"/>
      </w:r>
      <w:r>
        <w:rPr>
          <w:rFonts w:hint="eastAsia"/>
          <w:sz w:val="24"/>
          <w:szCs w:val="24"/>
          <w:highlight w:val="none"/>
          <w:lang w:val="en-US" w:eastAsia="zh-CN"/>
        </w:rPr>
        <w:t>六、服务业绩</w:t>
      </w:r>
      <w:r>
        <w:rPr>
          <w:sz w:val="24"/>
          <w:szCs w:val="24"/>
          <w:highlight w:val="none"/>
        </w:rPr>
        <w:fldChar w:fldCharType="end"/>
      </w:r>
    </w:p>
    <w:p w14:paraId="4F792DD5">
      <w:pPr>
        <w:keepNext w:val="0"/>
        <w:keepLines w:val="0"/>
        <w:pageBreakBefore w:val="0"/>
        <w:widowControl w:val="0"/>
        <w:kinsoku/>
        <w:wordWrap/>
        <w:overflowPunct/>
        <w:topLinePunct w:val="0"/>
        <w:autoSpaceDE/>
        <w:autoSpaceDN/>
        <w:bidi w:val="0"/>
        <w:adjustRightInd/>
        <w:snapToGrid/>
        <w:spacing w:line="480" w:lineRule="auto"/>
        <w:textAlignment w:val="auto"/>
        <w:rPr>
          <w:sz w:val="24"/>
          <w:szCs w:val="24"/>
          <w:highlight w:val="none"/>
        </w:rPr>
      </w:pPr>
      <w:r>
        <w:rPr>
          <w:sz w:val="24"/>
          <w:szCs w:val="24"/>
          <w:highlight w:val="none"/>
        </w:rPr>
        <w:fldChar w:fldCharType="begin"/>
      </w:r>
      <w:r>
        <w:rPr>
          <w:sz w:val="24"/>
          <w:szCs w:val="24"/>
          <w:highlight w:val="none"/>
        </w:rPr>
        <w:instrText xml:space="preserve"> HYPERLINK \l _Toc5128 </w:instrText>
      </w:r>
      <w:r>
        <w:rPr>
          <w:sz w:val="24"/>
          <w:szCs w:val="24"/>
          <w:highlight w:val="none"/>
        </w:rPr>
        <w:fldChar w:fldCharType="separate"/>
      </w:r>
      <w:r>
        <w:rPr>
          <w:rFonts w:hint="eastAsia"/>
          <w:sz w:val="24"/>
          <w:szCs w:val="24"/>
          <w:highlight w:val="none"/>
          <w:lang w:val="en-US" w:eastAsia="zh-CN"/>
        </w:rPr>
        <w:t>七、供应商认为有必要的其他资料</w:t>
      </w:r>
      <w:r>
        <w:rPr>
          <w:sz w:val="24"/>
          <w:szCs w:val="24"/>
          <w:highlight w:val="none"/>
        </w:rPr>
        <w:fldChar w:fldCharType="end"/>
      </w:r>
    </w:p>
    <w:p w14:paraId="51D97D24">
      <w:pPr>
        <w:keepNext w:val="0"/>
        <w:keepLines w:val="0"/>
        <w:pageBreakBefore w:val="0"/>
        <w:widowControl w:val="0"/>
        <w:kinsoku/>
        <w:wordWrap/>
        <w:overflowPunct/>
        <w:topLinePunct w:val="0"/>
        <w:autoSpaceDE/>
        <w:autoSpaceDN/>
        <w:bidi w:val="0"/>
        <w:adjustRightInd/>
        <w:snapToGrid/>
        <w:spacing w:line="480" w:lineRule="auto"/>
        <w:textAlignment w:val="auto"/>
        <w:rPr>
          <w:sz w:val="24"/>
          <w:szCs w:val="24"/>
          <w:highlight w:val="none"/>
        </w:rPr>
      </w:pPr>
      <w:r>
        <w:rPr>
          <w:sz w:val="24"/>
          <w:szCs w:val="24"/>
          <w:highlight w:val="none"/>
        </w:rPr>
        <w:fldChar w:fldCharType="begin"/>
      </w:r>
      <w:r>
        <w:rPr>
          <w:sz w:val="24"/>
          <w:szCs w:val="24"/>
          <w:highlight w:val="none"/>
        </w:rPr>
        <w:instrText xml:space="preserve"> HYPERLINK \l _Toc16312 </w:instrText>
      </w:r>
      <w:r>
        <w:rPr>
          <w:sz w:val="24"/>
          <w:szCs w:val="24"/>
          <w:highlight w:val="none"/>
        </w:rPr>
        <w:fldChar w:fldCharType="separate"/>
      </w:r>
      <w:r>
        <w:rPr>
          <w:rFonts w:hint="eastAsia"/>
          <w:sz w:val="24"/>
          <w:szCs w:val="24"/>
          <w:highlight w:val="none"/>
          <w:lang w:val="en-US" w:eastAsia="zh-CN"/>
        </w:rPr>
        <w:t>八、享受政府采购政策扶持的证明材料</w:t>
      </w:r>
      <w:r>
        <w:rPr>
          <w:sz w:val="24"/>
          <w:szCs w:val="24"/>
          <w:highlight w:val="none"/>
        </w:rPr>
        <w:tab/>
      </w:r>
      <w:r>
        <w:rPr>
          <w:sz w:val="24"/>
          <w:szCs w:val="24"/>
          <w:highlight w:val="none"/>
        </w:rPr>
        <w:fldChar w:fldCharType="end"/>
      </w:r>
    </w:p>
    <w:p w14:paraId="007308F6">
      <w:pPr>
        <w:rPr>
          <w:rFonts w:hint="eastAsia" w:ascii="宋体" w:hAnsi="宋体" w:eastAsia="宋体" w:cs="宋体"/>
          <w:highlight w:val="none"/>
          <w:lang w:val="en-US" w:eastAsia="zh-CN"/>
        </w:rPr>
      </w:pPr>
      <w:r>
        <w:rPr>
          <w:rFonts w:hint="eastAsia" w:ascii="宋体" w:hAnsi="宋体" w:eastAsia="宋体" w:cs="宋体"/>
          <w:highlight w:val="none"/>
          <w:lang w:val="en-US" w:eastAsia="zh-CN"/>
        </w:rPr>
        <w:br w:type="page"/>
      </w:r>
    </w:p>
    <w:p w14:paraId="7D83C0A9">
      <w:pPr>
        <w:pStyle w:val="3"/>
        <w:numPr>
          <w:ilvl w:val="0"/>
          <w:numId w:val="0"/>
        </w:numPr>
        <w:bidi w:val="0"/>
        <w:jc w:val="center"/>
        <w:rPr>
          <w:rFonts w:hint="eastAsia" w:ascii="宋体" w:hAnsi="宋体" w:eastAsia="宋体" w:cs="宋体"/>
          <w:highlight w:val="none"/>
          <w:lang w:val="en-US" w:eastAsia="zh-CN"/>
        </w:rPr>
      </w:pPr>
      <w:bookmarkStart w:id="182" w:name="_Toc3489"/>
      <w:bookmarkStart w:id="183" w:name="_Toc22326"/>
      <w:bookmarkStart w:id="184" w:name="_Toc11523"/>
      <w:r>
        <w:rPr>
          <w:rFonts w:hint="eastAsia" w:ascii="宋体" w:hAnsi="宋体" w:eastAsia="宋体" w:cs="宋体"/>
          <w:highlight w:val="none"/>
          <w:lang w:val="en-US" w:eastAsia="zh-CN"/>
        </w:rPr>
        <w:t>一、投标函及投标函附录</w:t>
      </w:r>
      <w:bookmarkEnd w:id="182"/>
      <w:bookmarkEnd w:id="183"/>
    </w:p>
    <w:p w14:paraId="205E5931">
      <w:pPr>
        <w:pStyle w:val="4"/>
        <w:bidi w:val="0"/>
        <w:jc w:val="center"/>
        <w:rPr>
          <w:rFonts w:hint="eastAsia" w:ascii="宋体" w:hAnsi="宋体" w:eastAsia="宋体" w:cs="宋体"/>
          <w:highlight w:val="none"/>
          <w:lang w:val="en-US" w:eastAsia="zh-CN"/>
        </w:rPr>
      </w:pPr>
      <w:bookmarkStart w:id="185" w:name="_Toc8380"/>
      <w:bookmarkStart w:id="186" w:name="_Toc23615"/>
      <w:bookmarkStart w:id="187" w:name="_Toc26825"/>
      <w:r>
        <w:rPr>
          <w:rFonts w:hint="eastAsia" w:ascii="宋体" w:hAnsi="宋体" w:eastAsia="宋体" w:cs="宋体"/>
          <w:highlight w:val="none"/>
          <w:lang w:eastAsia="zh-CN"/>
        </w:rPr>
        <w:t>（</w:t>
      </w:r>
      <w:r>
        <w:rPr>
          <w:rFonts w:hint="eastAsia" w:ascii="宋体" w:hAnsi="宋体" w:eastAsia="宋体" w:cs="宋体"/>
          <w:highlight w:val="none"/>
          <w:lang w:val="en-US" w:eastAsia="zh-CN"/>
        </w:rPr>
        <w:t>一</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投标函</w:t>
      </w:r>
      <w:bookmarkEnd w:id="185"/>
      <w:bookmarkEnd w:id="186"/>
      <w:bookmarkEnd w:id="187"/>
    </w:p>
    <w:p w14:paraId="35F32D4F">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致：（</w:t>
      </w:r>
      <w:r>
        <w:rPr>
          <w:rFonts w:hint="eastAsia" w:ascii="宋体" w:hAnsi="宋体" w:eastAsia="宋体" w:cs="宋体"/>
          <w:szCs w:val="21"/>
          <w:highlight w:val="none"/>
          <w:u w:val="single"/>
        </w:rPr>
        <w:t>采购人或采购代理机构名称</w:t>
      </w:r>
      <w:r>
        <w:rPr>
          <w:rFonts w:hint="eastAsia" w:ascii="宋体" w:hAnsi="宋体" w:eastAsia="宋体" w:cs="宋体"/>
          <w:szCs w:val="21"/>
          <w:highlight w:val="none"/>
        </w:rPr>
        <w:t>）</w:t>
      </w:r>
    </w:p>
    <w:p w14:paraId="57B42655">
      <w:pPr>
        <w:pStyle w:val="11"/>
        <w:numPr>
          <w:ilvl w:val="0"/>
          <w:numId w:val="11"/>
        </w:numPr>
        <w:tabs>
          <w:tab w:val="left" w:pos="0"/>
          <w:tab w:val="clear" w:pos="420"/>
        </w:tabs>
        <w:spacing w:after="0" w:line="440" w:lineRule="exact"/>
        <w:ind w:left="0" w:firstLine="315" w:firstLineChars="15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我方已仔细研究了</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rPr>
        <w:tab/>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（项目名称）</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none"/>
          <w:lang w:val="en-US" w:eastAsia="zh-CN"/>
        </w:rPr>
        <w:t>标段</w:t>
      </w:r>
      <w:r>
        <w:rPr>
          <w:rFonts w:hint="eastAsia" w:ascii="宋体" w:hAnsi="宋体" w:eastAsia="宋体" w:cs="宋体"/>
          <w:sz w:val="21"/>
          <w:szCs w:val="21"/>
          <w:highlight w:val="none"/>
        </w:rPr>
        <w:t>招标项目招标文件的全部内容，愿意以人民币（大写）</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rPr>
        <w:tab/>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u w:val="single"/>
          <w:lang w:val="en-US" w:eastAsia="zh-CN"/>
        </w:rPr>
        <w:t xml:space="preserve"> </w:t>
      </w:r>
      <w:r>
        <w:rPr>
          <w:rFonts w:hint="eastAsia" w:ascii="宋体" w:hAnsi="宋体" w:eastAsia="宋体" w:cs="宋体"/>
          <w:sz w:val="21"/>
          <w:szCs w:val="21"/>
          <w:highlight w:val="none"/>
        </w:rPr>
        <w:t>）的投标总报价，服务期限：</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，按合同约定完成全部工作。</w:t>
      </w:r>
    </w:p>
    <w:p w14:paraId="4EC0D634">
      <w:pPr>
        <w:pStyle w:val="11"/>
        <w:numPr>
          <w:ilvl w:val="0"/>
          <w:numId w:val="11"/>
        </w:numPr>
        <w:tabs>
          <w:tab w:val="left" w:pos="0"/>
          <w:tab w:val="clear" w:pos="420"/>
        </w:tabs>
        <w:spacing w:after="0" w:line="440" w:lineRule="exact"/>
        <w:ind w:left="0" w:firstLine="315" w:firstLineChars="15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如果我方中标，我方将按招标文件的规定签订并严格履行合同中的责任和义务，在签订合同时不向你方提出附加条件，在合同约定的期限内完成合同规定的全部内容。</w:t>
      </w:r>
    </w:p>
    <w:p w14:paraId="4BBC7E2E">
      <w:pPr>
        <w:pStyle w:val="11"/>
        <w:numPr>
          <w:ilvl w:val="0"/>
          <w:numId w:val="11"/>
        </w:numPr>
        <w:tabs>
          <w:tab w:val="left" w:pos="720"/>
          <w:tab w:val="clear" w:pos="420"/>
        </w:tabs>
        <w:spacing w:after="0" w:line="440" w:lineRule="exact"/>
        <w:ind w:left="0" w:firstLine="315" w:firstLineChars="150"/>
        <w:rPr>
          <w:rFonts w:hint="eastAsia" w:ascii="宋体" w:hAnsi="宋体" w:eastAsia="宋体" w:cs="宋体"/>
          <w:sz w:val="21"/>
          <w:szCs w:val="21"/>
          <w:highlight w:val="none"/>
        </w:rPr>
      </w:pPr>
      <w:r>
        <w:rPr>
          <w:rFonts w:hint="eastAsia" w:ascii="宋体" w:hAnsi="宋体" w:eastAsia="宋体" w:cs="宋体"/>
          <w:sz w:val="21"/>
          <w:szCs w:val="21"/>
          <w:highlight w:val="none"/>
        </w:rPr>
        <w:t>我方已详细审查全部招标文件，包括修改文件以及全部参考资料和有关附件。我们完全理解并同意放弃对这方面有不明及误解的权力。</w:t>
      </w:r>
    </w:p>
    <w:p w14:paraId="06E1DA37">
      <w:pPr>
        <w:pStyle w:val="11"/>
        <w:numPr>
          <w:ilvl w:val="0"/>
          <w:numId w:val="11"/>
        </w:numPr>
        <w:tabs>
          <w:tab w:val="left" w:pos="720"/>
          <w:tab w:val="clear" w:pos="420"/>
        </w:tabs>
        <w:spacing w:after="0" w:line="440" w:lineRule="exact"/>
        <w:ind w:hanging="60"/>
        <w:rPr>
          <w:rFonts w:hint="eastAsia" w:ascii="宋体" w:hAnsi="宋体" w:eastAsia="宋体" w:cs="宋体"/>
          <w:sz w:val="21"/>
          <w:szCs w:val="21"/>
          <w:highlight w:val="none"/>
        </w:rPr>
      </w:pPr>
      <w:r>
        <w:rPr>
          <w:rFonts w:hint="eastAsia" w:ascii="宋体" w:hAnsi="宋体" w:eastAsia="宋体" w:cs="宋体"/>
          <w:sz w:val="21"/>
          <w:szCs w:val="21"/>
          <w:highlight w:val="none"/>
        </w:rPr>
        <w:t>投标有效期为提交投标文件的截止之日起</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日历天。</w:t>
      </w:r>
    </w:p>
    <w:p w14:paraId="2B35858E">
      <w:pPr>
        <w:pStyle w:val="11"/>
        <w:numPr>
          <w:ilvl w:val="0"/>
          <w:numId w:val="11"/>
        </w:numPr>
        <w:tabs>
          <w:tab w:val="left" w:pos="720"/>
          <w:tab w:val="clear" w:pos="420"/>
        </w:tabs>
        <w:spacing w:after="0" w:line="440" w:lineRule="exact"/>
        <w:ind w:left="0" w:firstLine="360"/>
        <w:rPr>
          <w:rFonts w:hint="eastAsia" w:ascii="宋体" w:hAnsi="宋体" w:eastAsia="宋体" w:cs="宋体"/>
          <w:sz w:val="21"/>
          <w:szCs w:val="21"/>
          <w:highlight w:val="none"/>
        </w:rPr>
      </w:pPr>
      <w:r>
        <w:rPr>
          <w:rFonts w:hint="eastAsia" w:ascii="宋体" w:hAnsi="宋体" w:eastAsia="宋体" w:cs="宋体"/>
          <w:sz w:val="21"/>
          <w:szCs w:val="21"/>
          <w:highlight w:val="none"/>
        </w:rPr>
        <w:t>我方在此声明，所递交的投标文件及有关资料内容完整、真实和准确，且不存在第二章“</w:t>
      </w:r>
      <w:r>
        <w:rPr>
          <w:rFonts w:hint="eastAsia" w:ascii="宋体" w:hAnsi="宋体" w:eastAsia="宋体" w:cs="宋体"/>
          <w:sz w:val="21"/>
          <w:szCs w:val="21"/>
          <w:highlight w:val="none"/>
          <w:lang w:eastAsia="zh-CN"/>
        </w:rPr>
        <w:t>供应商</w:t>
      </w:r>
      <w:r>
        <w:rPr>
          <w:rFonts w:hint="eastAsia" w:ascii="宋体" w:hAnsi="宋体" w:eastAsia="宋体" w:cs="宋体"/>
          <w:sz w:val="21"/>
          <w:szCs w:val="21"/>
          <w:highlight w:val="none"/>
        </w:rPr>
        <w:t>须知”第1.</w:t>
      </w:r>
      <w:r>
        <w:rPr>
          <w:rFonts w:hint="eastAsia" w:ascii="宋体" w:hAnsi="宋体" w:eastAsia="宋体" w:cs="宋体"/>
          <w:sz w:val="21"/>
          <w:szCs w:val="21"/>
          <w:highlight w:val="none"/>
          <w:lang w:val="en-US" w:eastAsia="zh-CN"/>
        </w:rPr>
        <w:t>4.3</w:t>
      </w:r>
      <w:r>
        <w:rPr>
          <w:rFonts w:hint="eastAsia" w:ascii="宋体" w:hAnsi="宋体" w:eastAsia="宋体" w:cs="宋体"/>
          <w:sz w:val="21"/>
          <w:szCs w:val="21"/>
          <w:highlight w:val="none"/>
        </w:rPr>
        <w:t>项规定的任何一种情形。</w:t>
      </w:r>
    </w:p>
    <w:p w14:paraId="2ECF8145">
      <w:pPr>
        <w:pStyle w:val="11"/>
        <w:numPr>
          <w:ilvl w:val="0"/>
          <w:numId w:val="11"/>
        </w:numPr>
        <w:tabs>
          <w:tab w:val="left" w:pos="720"/>
          <w:tab w:val="clear" w:pos="420"/>
        </w:tabs>
        <w:spacing w:after="0" w:line="440" w:lineRule="exact"/>
        <w:ind w:left="0" w:firstLine="360"/>
        <w:rPr>
          <w:rFonts w:hint="eastAsia" w:ascii="宋体" w:hAnsi="宋体" w:eastAsia="宋体" w:cs="宋体"/>
          <w:sz w:val="21"/>
          <w:szCs w:val="21"/>
          <w:highlight w:val="none"/>
        </w:rPr>
      </w:pPr>
      <w:r>
        <w:rPr>
          <w:rFonts w:hint="eastAsia" w:ascii="宋体" w:hAnsi="宋体" w:eastAsia="宋体" w:cs="宋体"/>
          <w:sz w:val="21"/>
          <w:szCs w:val="21"/>
          <w:highlight w:val="none"/>
        </w:rPr>
        <w:t>我方同意提供按照贵方可能要求的与其投标有关的一切数据或资料，完全理解贵方不一定接受最低价的投标或收到的任何投标。</w:t>
      </w:r>
    </w:p>
    <w:p w14:paraId="4D9C0A76">
      <w:pPr>
        <w:pStyle w:val="11"/>
        <w:tabs>
          <w:tab w:val="left" w:pos="720"/>
        </w:tabs>
        <w:spacing w:after="0" w:line="440" w:lineRule="exact"/>
        <w:ind w:left="360"/>
        <w:rPr>
          <w:rFonts w:hint="eastAsia" w:ascii="宋体" w:hAnsi="宋体" w:eastAsia="宋体" w:cs="宋体"/>
          <w:sz w:val="21"/>
          <w:szCs w:val="21"/>
          <w:highlight w:val="none"/>
        </w:rPr>
      </w:pPr>
    </w:p>
    <w:p w14:paraId="7C9D001D">
      <w:pPr>
        <w:spacing w:line="500" w:lineRule="exact"/>
        <w:rPr>
          <w:rFonts w:hint="eastAsia" w:ascii="宋体" w:hAnsi="宋体" w:eastAsia="宋体" w:cs="宋体"/>
          <w:szCs w:val="21"/>
          <w:highlight w:val="none"/>
        </w:rPr>
      </w:pPr>
      <w:r>
        <w:rPr>
          <w:rFonts w:hint="eastAsia" w:ascii="宋体" w:hAnsi="宋体" w:eastAsia="宋体" w:cs="宋体"/>
          <w:szCs w:val="21"/>
          <w:highlight w:val="none"/>
        </w:rPr>
        <w:t xml:space="preserve">地址：　　　　　　　                     电话：　　　              </w:t>
      </w:r>
    </w:p>
    <w:p w14:paraId="54904229">
      <w:pPr>
        <w:spacing w:line="500" w:lineRule="exact"/>
        <w:rPr>
          <w:rFonts w:hint="eastAsia" w:ascii="宋体" w:hAnsi="宋体" w:eastAsia="宋体" w:cs="宋体"/>
          <w:szCs w:val="21"/>
          <w:highlight w:val="none"/>
        </w:rPr>
      </w:pPr>
      <w:r>
        <w:rPr>
          <w:rFonts w:hint="eastAsia" w:ascii="宋体" w:hAnsi="宋体" w:eastAsia="宋体" w:cs="宋体"/>
          <w:szCs w:val="21"/>
          <w:highlight w:val="none"/>
        </w:rPr>
        <w:t xml:space="preserve">邮箱：                                   邮政编码：  </w:t>
      </w:r>
    </w:p>
    <w:p w14:paraId="3EC7B039">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 xml:space="preserve">  </w:t>
      </w:r>
    </w:p>
    <w:p w14:paraId="69475E83">
      <w:pPr>
        <w:rPr>
          <w:rFonts w:hint="eastAsia" w:ascii="宋体" w:hAnsi="宋体" w:eastAsia="宋体" w:cs="宋体"/>
          <w:szCs w:val="21"/>
          <w:highlight w:val="none"/>
        </w:rPr>
      </w:pPr>
    </w:p>
    <w:p w14:paraId="633C1975">
      <w:pPr>
        <w:ind w:firstLine="2940" w:firstLineChars="1400"/>
        <w:rPr>
          <w:rFonts w:hint="eastAsia" w:ascii="宋体" w:hAnsi="宋体" w:eastAsia="宋体" w:cs="宋体"/>
          <w:szCs w:val="21"/>
          <w:highlight w:val="none"/>
        </w:rPr>
      </w:pPr>
      <w:r>
        <w:rPr>
          <w:rFonts w:hint="eastAsia" w:ascii="宋体" w:hAnsi="宋体" w:cs="宋体"/>
          <w:szCs w:val="21"/>
          <w:highlight w:val="none"/>
          <w:lang w:eastAsia="zh-CN"/>
        </w:rPr>
        <w:t>供应商</w:t>
      </w:r>
      <w:r>
        <w:rPr>
          <w:rFonts w:hint="eastAsia" w:ascii="宋体" w:hAnsi="宋体" w:eastAsia="宋体" w:cs="宋体"/>
          <w:szCs w:val="21"/>
          <w:highlight w:val="none"/>
        </w:rPr>
        <w:t>：</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rPr>
        <w:t>（企业电子签章）</w:t>
      </w:r>
    </w:p>
    <w:p w14:paraId="471B64B7">
      <w:pPr>
        <w:rPr>
          <w:rFonts w:hint="eastAsia" w:ascii="宋体" w:hAnsi="宋体" w:eastAsia="宋体" w:cs="宋体"/>
          <w:szCs w:val="21"/>
          <w:highlight w:val="none"/>
        </w:rPr>
      </w:pPr>
      <w:r>
        <w:rPr>
          <w:rFonts w:hint="eastAsia" w:ascii="宋体" w:hAnsi="宋体" w:eastAsia="宋体" w:cs="宋体"/>
          <w:szCs w:val="21"/>
          <w:highlight w:val="none"/>
        </w:rPr>
        <w:t xml:space="preserve">     </w:t>
      </w:r>
    </w:p>
    <w:p w14:paraId="051AC58A">
      <w:pPr>
        <w:ind w:firstLine="2940" w:firstLineChars="1400"/>
        <w:rPr>
          <w:rFonts w:hint="eastAsia" w:ascii="宋体" w:hAnsi="宋体" w:eastAsia="宋体" w:cs="宋体"/>
          <w:szCs w:val="21"/>
          <w:highlight w:val="none"/>
        </w:rPr>
      </w:pPr>
      <w:r>
        <w:rPr>
          <w:rFonts w:hint="eastAsia" w:ascii="宋体" w:hAnsi="宋体" w:eastAsia="宋体" w:cs="宋体"/>
          <w:szCs w:val="21"/>
          <w:highlight w:val="none"/>
        </w:rPr>
        <w:t>法定代表人或其委托代理人：</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（签字或盖电子签章）</w:t>
      </w:r>
    </w:p>
    <w:p w14:paraId="598037C8">
      <w:pPr>
        <w:rPr>
          <w:rFonts w:hint="eastAsia" w:ascii="宋体" w:hAnsi="宋体" w:eastAsia="宋体" w:cs="宋体"/>
          <w:szCs w:val="21"/>
          <w:highlight w:val="none"/>
        </w:rPr>
      </w:pPr>
    </w:p>
    <w:p w14:paraId="4C0AD621">
      <w:pPr>
        <w:tabs>
          <w:tab w:val="left" w:pos="5380"/>
          <w:tab w:val="left" w:pos="6520"/>
          <w:tab w:val="left" w:pos="7680"/>
        </w:tabs>
        <w:autoSpaceDE w:val="0"/>
        <w:autoSpaceDN w:val="0"/>
        <w:adjustRightInd w:val="0"/>
        <w:ind w:right="-20" w:firstLine="3780" w:firstLineChars="1800"/>
        <w:jc w:val="left"/>
        <w:rPr>
          <w:rFonts w:hint="eastAsia" w:ascii="宋体" w:hAnsi="宋体" w:eastAsia="宋体" w:cs="宋体"/>
          <w:kern w:val="0"/>
          <w:szCs w:val="21"/>
          <w:highlight w:val="none"/>
        </w:rPr>
      </w:pPr>
      <w:r>
        <w:rPr>
          <w:rFonts w:hint="eastAsia" w:ascii="宋体" w:hAnsi="宋体" w:eastAsia="宋体" w:cs="宋体"/>
          <w:kern w:val="0"/>
          <w:szCs w:val="21"/>
          <w:highlight w:val="none"/>
          <w:u w:val="single"/>
        </w:rPr>
        <w:t xml:space="preserve">     </w:t>
      </w:r>
      <w:r>
        <w:rPr>
          <w:rFonts w:hint="eastAsia" w:ascii="宋体" w:hAnsi="宋体" w:eastAsia="宋体" w:cs="宋体"/>
          <w:spacing w:val="43"/>
          <w:kern w:val="0"/>
          <w:szCs w:val="21"/>
          <w:highlight w:val="none"/>
          <w:u w:val="single"/>
        </w:rPr>
        <w:t xml:space="preserve"> </w:t>
      </w:r>
      <w:r>
        <w:rPr>
          <w:rFonts w:hint="eastAsia" w:ascii="宋体" w:hAnsi="宋体" w:eastAsia="宋体" w:cs="宋体"/>
          <w:kern w:val="0"/>
          <w:szCs w:val="21"/>
          <w:highlight w:val="none"/>
        </w:rPr>
        <w:t>年</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月</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日</w:t>
      </w:r>
    </w:p>
    <w:p w14:paraId="4E749634">
      <w:pPr>
        <w:rPr>
          <w:rFonts w:hint="eastAsia" w:ascii="宋体" w:hAnsi="宋体" w:eastAsia="宋体" w:cs="宋体"/>
          <w:highlight w:val="none"/>
          <w:lang w:val="en-US" w:eastAsia="zh-CN"/>
        </w:rPr>
      </w:pPr>
      <w:r>
        <w:rPr>
          <w:rFonts w:hint="eastAsia" w:ascii="宋体" w:hAnsi="宋体" w:eastAsia="宋体" w:cs="宋体"/>
          <w:highlight w:val="none"/>
          <w:lang w:val="en-US" w:eastAsia="zh-CN"/>
        </w:rPr>
        <w:br w:type="page"/>
      </w:r>
    </w:p>
    <w:p w14:paraId="66CB890E">
      <w:pPr>
        <w:pStyle w:val="4"/>
        <w:bidi w:val="0"/>
        <w:jc w:val="center"/>
        <w:rPr>
          <w:rFonts w:hint="eastAsia" w:ascii="宋体" w:hAnsi="宋体" w:eastAsia="宋体" w:cs="宋体"/>
          <w:highlight w:val="none"/>
          <w:lang w:val="en-US" w:eastAsia="zh-CN"/>
        </w:rPr>
      </w:pPr>
      <w:bookmarkStart w:id="188" w:name="_Toc25029"/>
      <w:bookmarkStart w:id="189" w:name="_Toc3365"/>
      <w:bookmarkStart w:id="190" w:name="_Toc9673"/>
      <w:r>
        <w:rPr>
          <w:rFonts w:hint="eastAsia" w:ascii="宋体" w:hAnsi="宋体" w:eastAsia="宋体" w:cs="宋体"/>
          <w:highlight w:val="none"/>
          <w:lang w:eastAsia="zh-CN"/>
        </w:rPr>
        <w:t>（</w:t>
      </w:r>
      <w:r>
        <w:rPr>
          <w:rFonts w:hint="eastAsia" w:ascii="宋体" w:hAnsi="宋体" w:eastAsia="宋体" w:cs="宋体"/>
          <w:highlight w:val="none"/>
          <w:lang w:val="en-US" w:eastAsia="zh-CN"/>
        </w:rPr>
        <w:t>二</w:t>
      </w:r>
      <w:r>
        <w:rPr>
          <w:rFonts w:hint="eastAsia" w:ascii="宋体" w:hAnsi="宋体" w:eastAsia="宋体" w:cs="宋体"/>
          <w:highlight w:val="none"/>
          <w:lang w:eastAsia="zh-CN"/>
        </w:rPr>
        <w:t>）</w:t>
      </w:r>
      <w:bookmarkEnd w:id="184"/>
      <w:r>
        <w:rPr>
          <w:rFonts w:hint="eastAsia" w:ascii="宋体" w:hAnsi="宋体" w:eastAsia="宋体" w:cs="宋体"/>
          <w:highlight w:val="none"/>
          <w:lang w:val="en-US" w:eastAsia="zh-CN"/>
        </w:rPr>
        <w:t>投标函附录</w:t>
      </w:r>
      <w:bookmarkEnd w:id="188"/>
      <w:bookmarkEnd w:id="189"/>
      <w:bookmarkEnd w:id="190"/>
    </w:p>
    <w:p w14:paraId="50C10997">
      <w:pPr>
        <w:pStyle w:val="30"/>
        <w:ind w:left="3390" w:firstLine="0" w:firstLineChars="0"/>
        <w:jc w:val="center"/>
        <w:rPr>
          <w:rFonts w:hint="eastAsia" w:ascii="宋体" w:hAnsi="宋体" w:eastAsia="宋体" w:cs="宋体"/>
          <w:b/>
          <w:szCs w:val="21"/>
          <w:highlight w:val="none"/>
        </w:rPr>
      </w:pPr>
      <w:r>
        <w:rPr>
          <w:rFonts w:hint="eastAsia" w:ascii="宋体" w:hAnsi="宋体" w:eastAsia="宋体" w:cs="宋体"/>
          <w:b/>
          <w:szCs w:val="21"/>
          <w:highlight w:val="none"/>
        </w:rPr>
        <w:t xml:space="preserve">                金额单位：人民币元</w:t>
      </w:r>
    </w:p>
    <w:tbl>
      <w:tblPr>
        <w:tblStyle w:val="20"/>
        <w:tblW w:w="9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6"/>
        <w:gridCol w:w="7133"/>
      </w:tblGrid>
      <w:tr w14:paraId="38F1C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5" w:hRule="atLeast"/>
          <w:jc w:val="center"/>
        </w:trPr>
        <w:tc>
          <w:tcPr>
            <w:tcW w:w="2826" w:type="dxa"/>
            <w:tcBorders>
              <w:top w:val="double" w:color="auto" w:sz="4" w:space="0"/>
              <w:left w:val="double" w:color="auto" w:sz="4" w:space="0"/>
            </w:tcBorders>
            <w:noWrap w:val="0"/>
            <w:vAlign w:val="center"/>
          </w:tcPr>
          <w:p w14:paraId="24FA07CE">
            <w:pPr>
              <w:pStyle w:val="31"/>
              <w:ind w:firstLine="0"/>
              <w:jc w:val="center"/>
              <w:rPr>
                <w:rFonts w:hint="default" w:ascii="宋体" w:hAnsi="宋体" w:eastAsia="宋体" w:cs="宋体"/>
                <w:b/>
                <w:sz w:val="21"/>
                <w:szCs w:val="21"/>
                <w:highlight w:val="none"/>
                <w:lang w:val="en-US"/>
              </w:rPr>
            </w:pPr>
            <w:r>
              <w:rPr>
                <w:rFonts w:hint="eastAsia" w:ascii="宋体" w:hAnsi="宋体" w:eastAsia="宋体" w:cs="宋体"/>
                <w:b/>
                <w:sz w:val="21"/>
                <w:szCs w:val="21"/>
                <w:highlight w:val="none"/>
                <w:lang w:val="en-US" w:eastAsia="zh-CN"/>
              </w:rPr>
              <w:t>项目名称</w:t>
            </w:r>
          </w:p>
        </w:tc>
        <w:tc>
          <w:tcPr>
            <w:tcW w:w="7133" w:type="dxa"/>
            <w:tcBorders>
              <w:top w:val="double" w:color="auto" w:sz="4" w:space="0"/>
              <w:right w:val="double" w:color="auto" w:sz="4" w:space="0"/>
            </w:tcBorders>
            <w:noWrap w:val="0"/>
            <w:vAlign w:val="center"/>
          </w:tcPr>
          <w:p w14:paraId="60019BAA">
            <w:pPr>
              <w:pStyle w:val="31"/>
              <w:ind w:firstLine="480"/>
              <w:rPr>
                <w:rFonts w:hint="eastAsia" w:ascii="宋体" w:hAnsi="宋体" w:eastAsia="宋体" w:cs="宋体"/>
                <w:sz w:val="21"/>
                <w:szCs w:val="21"/>
                <w:highlight w:val="none"/>
              </w:rPr>
            </w:pPr>
          </w:p>
        </w:tc>
      </w:tr>
      <w:tr w14:paraId="71A71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5" w:hRule="atLeast"/>
          <w:jc w:val="center"/>
        </w:trPr>
        <w:tc>
          <w:tcPr>
            <w:tcW w:w="2826" w:type="dxa"/>
            <w:tcBorders>
              <w:top w:val="double" w:color="auto" w:sz="4" w:space="0"/>
              <w:left w:val="double" w:color="auto" w:sz="4" w:space="0"/>
            </w:tcBorders>
            <w:noWrap w:val="0"/>
            <w:vAlign w:val="center"/>
          </w:tcPr>
          <w:p w14:paraId="1A1CCB38">
            <w:pPr>
              <w:pStyle w:val="31"/>
              <w:ind w:firstLine="0"/>
              <w:jc w:val="center"/>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标段名称</w:t>
            </w:r>
          </w:p>
        </w:tc>
        <w:tc>
          <w:tcPr>
            <w:tcW w:w="7133" w:type="dxa"/>
            <w:tcBorders>
              <w:top w:val="double" w:color="auto" w:sz="4" w:space="0"/>
              <w:right w:val="double" w:color="auto" w:sz="4" w:space="0"/>
            </w:tcBorders>
            <w:noWrap w:val="0"/>
            <w:vAlign w:val="center"/>
          </w:tcPr>
          <w:p w14:paraId="35657E91">
            <w:pPr>
              <w:pStyle w:val="31"/>
              <w:ind w:firstLine="480"/>
              <w:rPr>
                <w:rFonts w:hint="eastAsia" w:ascii="宋体" w:hAnsi="宋体" w:eastAsia="宋体" w:cs="宋体"/>
                <w:sz w:val="21"/>
                <w:szCs w:val="21"/>
                <w:highlight w:val="none"/>
              </w:rPr>
            </w:pPr>
          </w:p>
        </w:tc>
      </w:tr>
      <w:tr w14:paraId="0818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5" w:hRule="atLeast"/>
          <w:jc w:val="center"/>
        </w:trPr>
        <w:tc>
          <w:tcPr>
            <w:tcW w:w="2826" w:type="dxa"/>
            <w:tcBorders>
              <w:top w:val="double" w:color="auto" w:sz="4" w:space="0"/>
              <w:left w:val="double" w:color="auto" w:sz="4" w:space="0"/>
            </w:tcBorders>
            <w:noWrap w:val="0"/>
            <w:vAlign w:val="center"/>
          </w:tcPr>
          <w:p w14:paraId="5BC710A7">
            <w:pPr>
              <w:pStyle w:val="31"/>
              <w:ind w:firstLine="0"/>
              <w:jc w:val="center"/>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供应商名称</w:t>
            </w:r>
          </w:p>
        </w:tc>
        <w:tc>
          <w:tcPr>
            <w:tcW w:w="7133" w:type="dxa"/>
            <w:tcBorders>
              <w:top w:val="double" w:color="auto" w:sz="4" w:space="0"/>
              <w:right w:val="double" w:color="auto" w:sz="4" w:space="0"/>
            </w:tcBorders>
            <w:noWrap w:val="0"/>
            <w:vAlign w:val="center"/>
          </w:tcPr>
          <w:p w14:paraId="3FE8AE6F">
            <w:pPr>
              <w:pStyle w:val="31"/>
              <w:ind w:firstLine="480"/>
              <w:rPr>
                <w:rFonts w:hint="eastAsia" w:ascii="宋体" w:hAnsi="宋体" w:eastAsia="宋体" w:cs="宋体"/>
                <w:sz w:val="21"/>
                <w:szCs w:val="21"/>
                <w:highlight w:val="none"/>
              </w:rPr>
            </w:pPr>
          </w:p>
        </w:tc>
      </w:tr>
      <w:tr w14:paraId="768E4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5" w:hRule="atLeast"/>
          <w:jc w:val="center"/>
        </w:trPr>
        <w:tc>
          <w:tcPr>
            <w:tcW w:w="2826" w:type="dxa"/>
            <w:tcBorders>
              <w:top w:val="double" w:color="auto" w:sz="4" w:space="0"/>
              <w:left w:val="double" w:color="auto" w:sz="4" w:space="0"/>
            </w:tcBorders>
            <w:noWrap w:val="0"/>
            <w:vAlign w:val="center"/>
          </w:tcPr>
          <w:p w14:paraId="023A6BA4">
            <w:pPr>
              <w:pStyle w:val="31"/>
              <w:ind w:firstLine="0"/>
              <w:jc w:val="center"/>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投标范围</w:t>
            </w:r>
          </w:p>
        </w:tc>
        <w:tc>
          <w:tcPr>
            <w:tcW w:w="7133" w:type="dxa"/>
            <w:tcBorders>
              <w:top w:val="double" w:color="auto" w:sz="4" w:space="0"/>
              <w:right w:val="double" w:color="auto" w:sz="4" w:space="0"/>
            </w:tcBorders>
            <w:noWrap w:val="0"/>
            <w:vAlign w:val="center"/>
          </w:tcPr>
          <w:p w14:paraId="363DEBFC">
            <w:pPr>
              <w:pStyle w:val="31"/>
              <w:ind w:firstLine="480"/>
              <w:rPr>
                <w:rFonts w:hint="eastAsia" w:ascii="宋体" w:hAnsi="宋体" w:eastAsia="宋体" w:cs="宋体"/>
                <w:sz w:val="21"/>
                <w:szCs w:val="21"/>
                <w:highlight w:val="none"/>
              </w:rPr>
            </w:pPr>
          </w:p>
        </w:tc>
      </w:tr>
      <w:tr w14:paraId="0855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4" w:hRule="atLeast"/>
          <w:jc w:val="center"/>
        </w:trPr>
        <w:tc>
          <w:tcPr>
            <w:tcW w:w="2826" w:type="dxa"/>
            <w:tcBorders>
              <w:top w:val="double" w:color="auto" w:sz="4" w:space="0"/>
              <w:left w:val="double" w:color="auto" w:sz="4" w:space="0"/>
            </w:tcBorders>
            <w:noWrap w:val="0"/>
            <w:vAlign w:val="center"/>
          </w:tcPr>
          <w:p w14:paraId="437F769C">
            <w:pPr>
              <w:pStyle w:val="31"/>
              <w:ind w:firstLine="0"/>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投标总报价</w:t>
            </w:r>
          </w:p>
        </w:tc>
        <w:tc>
          <w:tcPr>
            <w:tcW w:w="7133" w:type="dxa"/>
            <w:tcBorders>
              <w:top w:val="double" w:color="auto" w:sz="4" w:space="0"/>
              <w:right w:val="double" w:color="auto" w:sz="4" w:space="0"/>
            </w:tcBorders>
            <w:noWrap w:val="0"/>
            <w:vAlign w:val="center"/>
          </w:tcPr>
          <w:p w14:paraId="25D0F2C6">
            <w:pPr>
              <w:pStyle w:val="31"/>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人民币（大写）：</w:t>
            </w:r>
          </w:p>
          <w:p w14:paraId="5EAED78D">
            <w:pPr>
              <w:pStyle w:val="31"/>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人民币（小写）：¥</w:t>
            </w:r>
          </w:p>
        </w:tc>
      </w:tr>
      <w:tr w14:paraId="5F40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3" w:hRule="atLeast"/>
          <w:jc w:val="center"/>
        </w:trPr>
        <w:tc>
          <w:tcPr>
            <w:tcW w:w="2826" w:type="dxa"/>
            <w:tcBorders>
              <w:left w:val="double" w:color="auto" w:sz="4" w:space="0"/>
            </w:tcBorders>
            <w:noWrap w:val="0"/>
            <w:vAlign w:val="center"/>
          </w:tcPr>
          <w:p w14:paraId="357A4379">
            <w:pPr>
              <w:pStyle w:val="31"/>
              <w:ind w:firstLine="0"/>
              <w:jc w:val="center"/>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服务期限</w:t>
            </w:r>
          </w:p>
        </w:tc>
        <w:tc>
          <w:tcPr>
            <w:tcW w:w="7133" w:type="dxa"/>
            <w:tcBorders>
              <w:right w:val="double" w:color="auto" w:sz="4" w:space="0"/>
            </w:tcBorders>
            <w:noWrap w:val="0"/>
            <w:vAlign w:val="center"/>
          </w:tcPr>
          <w:p w14:paraId="554959B4">
            <w:pPr>
              <w:widowControl/>
              <w:spacing w:line="400" w:lineRule="exact"/>
              <w:jc w:val="center"/>
              <w:rPr>
                <w:rFonts w:hint="eastAsia" w:ascii="宋体" w:hAnsi="宋体" w:eastAsia="宋体" w:cs="宋体"/>
                <w:szCs w:val="21"/>
                <w:highlight w:val="none"/>
              </w:rPr>
            </w:pPr>
          </w:p>
        </w:tc>
      </w:tr>
      <w:tr w14:paraId="6643E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3" w:hRule="atLeast"/>
          <w:jc w:val="center"/>
        </w:trPr>
        <w:tc>
          <w:tcPr>
            <w:tcW w:w="2826" w:type="dxa"/>
            <w:tcBorders>
              <w:left w:val="double" w:color="auto" w:sz="4" w:space="0"/>
            </w:tcBorders>
            <w:noWrap w:val="0"/>
            <w:vAlign w:val="center"/>
          </w:tcPr>
          <w:p w14:paraId="26D13BC1">
            <w:pPr>
              <w:pStyle w:val="31"/>
              <w:ind w:firstLine="0"/>
              <w:jc w:val="center"/>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服务地点</w:t>
            </w:r>
            <w:bookmarkStart w:id="243" w:name="_GoBack"/>
            <w:bookmarkEnd w:id="243"/>
          </w:p>
        </w:tc>
        <w:tc>
          <w:tcPr>
            <w:tcW w:w="7133" w:type="dxa"/>
            <w:tcBorders>
              <w:right w:val="double" w:color="auto" w:sz="4" w:space="0"/>
            </w:tcBorders>
            <w:noWrap w:val="0"/>
            <w:vAlign w:val="center"/>
          </w:tcPr>
          <w:p w14:paraId="288A5E7D">
            <w:pPr>
              <w:widowControl/>
              <w:spacing w:line="400" w:lineRule="exact"/>
              <w:jc w:val="center"/>
              <w:rPr>
                <w:rFonts w:hint="eastAsia" w:ascii="宋体" w:hAnsi="宋体" w:eastAsia="宋体" w:cs="宋体"/>
                <w:szCs w:val="21"/>
                <w:highlight w:val="none"/>
              </w:rPr>
            </w:pPr>
          </w:p>
        </w:tc>
      </w:tr>
      <w:tr w14:paraId="67744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2826" w:type="dxa"/>
            <w:tcBorders>
              <w:left w:val="double" w:color="auto" w:sz="4" w:space="0"/>
            </w:tcBorders>
            <w:noWrap w:val="0"/>
            <w:vAlign w:val="center"/>
          </w:tcPr>
          <w:p w14:paraId="6AF0DF68">
            <w:pPr>
              <w:pStyle w:val="31"/>
              <w:ind w:firstLine="0"/>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质量要求</w:t>
            </w:r>
          </w:p>
        </w:tc>
        <w:tc>
          <w:tcPr>
            <w:tcW w:w="7133" w:type="dxa"/>
            <w:tcBorders>
              <w:right w:val="double" w:color="auto" w:sz="4" w:space="0"/>
            </w:tcBorders>
            <w:noWrap w:val="0"/>
            <w:vAlign w:val="center"/>
          </w:tcPr>
          <w:p w14:paraId="09CA95E4">
            <w:pPr>
              <w:spacing w:line="400" w:lineRule="exact"/>
              <w:jc w:val="center"/>
              <w:rPr>
                <w:rFonts w:hint="eastAsia" w:ascii="宋体" w:hAnsi="宋体" w:eastAsia="宋体" w:cs="宋体"/>
                <w:color w:val="FF0000"/>
                <w:szCs w:val="21"/>
                <w:highlight w:val="none"/>
              </w:rPr>
            </w:pPr>
          </w:p>
        </w:tc>
      </w:tr>
      <w:tr w14:paraId="344CA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2826" w:type="dxa"/>
            <w:tcBorders>
              <w:left w:val="double" w:color="auto" w:sz="4" w:space="0"/>
            </w:tcBorders>
            <w:noWrap w:val="0"/>
            <w:vAlign w:val="center"/>
          </w:tcPr>
          <w:p w14:paraId="2A28DECA">
            <w:pPr>
              <w:pStyle w:val="31"/>
              <w:ind w:firstLine="0"/>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投标有效期</w:t>
            </w:r>
          </w:p>
        </w:tc>
        <w:tc>
          <w:tcPr>
            <w:tcW w:w="7133" w:type="dxa"/>
            <w:tcBorders>
              <w:right w:val="double" w:color="auto" w:sz="4" w:space="0"/>
            </w:tcBorders>
            <w:noWrap w:val="0"/>
            <w:vAlign w:val="center"/>
          </w:tcPr>
          <w:p w14:paraId="3D4A4A8A">
            <w:pPr>
              <w:pStyle w:val="31"/>
              <w:ind w:firstLine="48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投标截止期后60日历天</w:t>
            </w:r>
          </w:p>
        </w:tc>
      </w:tr>
      <w:tr w14:paraId="37384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jc w:val="center"/>
        </w:trPr>
        <w:tc>
          <w:tcPr>
            <w:tcW w:w="2826" w:type="dxa"/>
            <w:tcBorders>
              <w:left w:val="double" w:color="auto" w:sz="4" w:space="0"/>
              <w:bottom w:val="double" w:color="auto" w:sz="4" w:space="0"/>
            </w:tcBorders>
            <w:noWrap w:val="0"/>
            <w:vAlign w:val="center"/>
          </w:tcPr>
          <w:p w14:paraId="2CBD71B0">
            <w:pPr>
              <w:pStyle w:val="31"/>
              <w:ind w:left="0" w:leftChars="0" w:firstLine="0" w:firstLineChars="0"/>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其他声明</w:t>
            </w:r>
          </w:p>
        </w:tc>
        <w:tc>
          <w:tcPr>
            <w:tcW w:w="7133" w:type="dxa"/>
            <w:tcBorders>
              <w:bottom w:val="double" w:color="auto" w:sz="4" w:space="0"/>
              <w:right w:val="double" w:color="auto" w:sz="4" w:space="0"/>
            </w:tcBorders>
            <w:noWrap w:val="0"/>
            <w:vAlign w:val="center"/>
          </w:tcPr>
          <w:p w14:paraId="475D3809">
            <w:pPr>
              <w:pStyle w:val="31"/>
              <w:ind w:firstLine="480"/>
              <w:rPr>
                <w:rFonts w:hint="eastAsia" w:ascii="宋体" w:hAnsi="宋体" w:eastAsia="宋体" w:cs="宋体"/>
                <w:sz w:val="21"/>
                <w:szCs w:val="21"/>
                <w:highlight w:val="none"/>
              </w:rPr>
            </w:pPr>
          </w:p>
        </w:tc>
      </w:tr>
    </w:tbl>
    <w:p w14:paraId="466F357F">
      <w:pPr>
        <w:pStyle w:val="30"/>
        <w:ind w:firstLine="2003" w:firstLineChars="950"/>
        <w:jc w:val="left"/>
        <w:rPr>
          <w:rFonts w:hint="eastAsia" w:ascii="宋体" w:hAnsi="宋体" w:eastAsia="宋体" w:cs="宋体"/>
          <w:b/>
          <w:szCs w:val="21"/>
          <w:highlight w:val="none"/>
        </w:rPr>
      </w:pPr>
    </w:p>
    <w:p w14:paraId="6BEF4385">
      <w:pPr>
        <w:pStyle w:val="30"/>
        <w:ind w:firstLine="2003" w:firstLineChars="950"/>
        <w:jc w:val="left"/>
        <w:rPr>
          <w:rFonts w:hint="eastAsia" w:ascii="宋体" w:hAnsi="宋体" w:eastAsia="宋体" w:cs="宋体"/>
          <w:b/>
          <w:szCs w:val="21"/>
          <w:highlight w:val="none"/>
        </w:rPr>
      </w:pPr>
    </w:p>
    <w:p w14:paraId="0F0A5669">
      <w:pPr>
        <w:pStyle w:val="30"/>
        <w:ind w:firstLine="2003" w:firstLineChars="950"/>
        <w:jc w:val="left"/>
        <w:rPr>
          <w:rFonts w:hint="eastAsia" w:ascii="宋体" w:hAnsi="宋体" w:eastAsia="宋体" w:cs="宋体"/>
          <w:b/>
          <w:szCs w:val="21"/>
          <w:highlight w:val="none"/>
        </w:rPr>
      </w:pPr>
    </w:p>
    <w:p w14:paraId="197E019E">
      <w:pPr>
        <w:spacing w:line="360" w:lineRule="auto"/>
        <w:rPr>
          <w:rFonts w:hint="eastAsia" w:ascii="宋体" w:hAnsi="宋体" w:eastAsia="宋体" w:cs="宋体"/>
          <w:szCs w:val="21"/>
          <w:highlight w:val="none"/>
        </w:rPr>
      </w:pPr>
      <w:r>
        <w:rPr>
          <w:rFonts w:hint="eastAsia" w:ascii="宋体" w:hAnsi="宋体" w:cs="宋体"/>
          <w:szCs w:val="21"/>
          <w:highlight w:val="none"/>
          <w:lang w:eastAsia="zh-CN"/>
        </w:rPr>
        <w:t>供应商</w:t>
      </w:r>
      <w:r>
        <w:rPr>
          <w:rFonts w:hint="eastAsia" w:ascii="宋体" w:hAnsi="宋体" w:eastAsia="宋体" w:cs="宋体"/>
          <w:szCs w:val="21"/>
          <w:highlight w:val="none"/>
        </w:rPr>
        <w:t>（企业电子签章）：</w:t>
      </w:r>
    </w:p>
    <w:p w14:paraId="41AD50F6">
      <w:pPr>
        <w:spacing w:line="360" w:lineRule="auto"/>
        <w:rPr>
          <w:rFonts w:hint="eastAsia" w:ascii="宋体" w:hAnsi="宋体" w:eastAsia="宋体" w:cs="宋体"/>
          <w:szCs w:val="21"/>
          <w:highlight w:val="none"/>
        </w:rPr>
      </w:pPr>
      <w:r>
        <w:rPr>
          <w:rFonts w:hint="eastAsia" w:ascii="宋体" w:hAnsi="宋体" w:eastAsia="宋体" w:cs="宋体"/>
          <w:szCs w:val="21"/>
          <w:highlight w:val="none"/>
          <w:u w:val="single" w:color="FFFFFF"/>
        </w:rPr>
        <w:t>法定代表人或</w:t>
      </w:r>
      <w:r>
        <w:rPr>
          <w:rFonts w:hint="eastAsia" w:ascii="宋体" w:hAnsi="宋体" w:eastAsia="宋体" w:cs="宋体"/>
          <w:szCs w:val="21"/>
          <w:highlight w:val="none"/>
        </w:rPr>
        <w:t>委托代理人</w:t>
      </w:r>
      <w:r>
        <w:rPr>
          <w:rFonts w:hint="eastAsia" w:ascii="宋体" w:hAnsi="宋体" w:eastAsia="宋体" w:cs="宋体"/>
          <w:szCs w:val="21"/>
          <w:highlight w:val="none"/>
          <w:u w:val="single" w:color="FFFFFF"/>
        </w:rPr>
        <w:t>（签字或盖电子签章）</w:t>
      </w:r>
      <w:r>
        <w:rPr>
          <w:rFonts w:hint="eastAsia" w:ascii="宋体" w:hAnsi="宋体" w:eastAsia="宋体" w:cs="宋体"/>
          <w:szCs w:val="21"/>
          <w:highlight w:val="none"/>
        </w:rPr>
        <w:t>：</w:t>
      </w:r>
    </w:p>
    <w:p w14:paraId="6276B445">
      <w:pPr>
        <w:tabs>
          <w:tab w:val="left" w:pos="5580"/>
        </w:tabs>
        <w:spacing w:line="360" w:lineRule="auto"/>
        <w:rPr>
          <w:rFonts w:hint="eastAsia" w:ascii="宋体" w:hAnsi="宋体" w:eastAsia="宋体" w:cs="宋体"/>
          <w:szCs w:val="21"/>
          <w:highlight w:val="none"/>
        </w:rPr>
      </w:pPr>
      <w:r>
        <w:rPr>
          <w:rFonts w:hint="eastAsia" w:ascii="宋体" w:hAnsi="宋体" w:eastAsia="宋体" w:cs="宋体"/>
          <w:szCs w:val="21"/>
          <w:highlight w:val="none"/>
        </w:rPr>
        <w:t>日期：  年  月  日</w:t>
      </w:r>
    </w:p>
    <w:p w14:paraId="445AA68D">
      <w:pPr>
        <w:rPr>
          <w:rFonts w:hint="eastAsia" w:ascii="宋体" w:hAnsi="宋体" w:eastAsia="宋体" w:cs="宋体"/>
          <w:highlight w:val="none"/>
        </w:rPr>
      </w:pPr>
      <w:r>
        <w:rPr>
          <w:rFonts w:hint="eastAsia" w:ascii="宋体" w:hAnsi="宋体" w:eastAsia="宋体" w:cs="宋体"/>
          <w:highlight w:val="none"/>
        </w:rPr>
        <w:br w:type="page"/>
      </w:r>
    </w:p>
    <w:p w14:paraId="2E21587D">
      <w:pPr>
        <w:pStyle w:val="3"/>
        <w:bidi w:val="0"/>
        <w:jc w:val="center"/>
        <w:rPr>
          <w:rFonts w:hint="eastAsia" w:ascii="宋体" w:hAnsi="宋体" w:eastAsia="宋体" w:cs="宋体"/>
          <w:b/>
          <w:sz w:val="32"/>
          <w:highlight w:val="none"/>
        </w:rPr>
      </w:pPr>
      <w:bookmarkStart w:id="191" w:name="_Toc5372"/>
      <w:bookmarkStart w:id="192" w:name="_Toc29691"/>
      <w:bookmarkStart w:id="193" w:name="_Toc5390"/>
      <w:bookmarkStart w:id="194" w:name="_Toc3324"/>
      <w:bookmarkStart w:id="195" w:name="_Toc2304"/>
      <w:r>
        <w:rPr>
          <w:rFonts w:hint="eastAsia" w:ascii="宋体" w:hAnsi="宋体" w:eastAsia="宋体" w:cs="宋体"/>
          <w:highlight w:val="none"/>
        </w:rPr>
        <w:t>二、法定代表人身份证明</w:t>
      </w:r>
      <w:bookmarkEnd w:id="191"/>
      <w:bookmarkEnd w:id="192"/>
      <w:bookmarkEnd w:id="193"/>
      <w:bookmarkEnd w:id="194"/>
      <w:bookmarkEnd w:id="195"/>
    </w:p>
    <w:p w14:paraId="22AF5924">
      <w:pPr>
        <w:pStyle w:val="9"/>
        <w:tabs>
          <w:tab w:val="left" w:pos="3516"/>
          <w:tab w:val="left" w:pos="4716"/>
          <w:tab w:val="left" w:pos="6276"/>
          <w:tab w:val="left" w:pos="6335"/>
          <w:tab w:val="left" w:pos="6575"/>
        </w:tabs>
        <w:spacing w:before="244" w:line="364" w:lineRule="auto"/>
        <w:ind w:right="3568"/>
        <w:jc w:val="both"/>
        <w:rPr>
          <w:rFonts w:hint="eastAsia" w:ascii="宋体" w:hAnsi="宋体" w:eastAsia="宋体" w:cs="宋体"/>
          <w:sz w:val="21"/>
          <w:szCs w:val="21"/>
          <w:highlight w:val="none"/>
          <w:u w:val="single"/>
          <w:lang w:val="en-US" w:eastAsia="zh-CN"/>
        </w:rPr>
      </w:pPr>
      <w:r>
        <w:rPr>
          <w:rFonts w:hint="eastAsia" w:hAnsi="宋体" w:cs="宋体"/>
          <w:spacing w:val="-1"/>
          <w:sz w:val="21"/>
          <w:szCs w:val="21"/>
          <w:highlight w:val="none"/>
          <w:lang w:eastAsia="zh-CN"/>
        </w:rPr>
        <w:t>供应商</w:t>
      </w:r>
      <w:r>
        <w:rPr>
          <w:rFonts w:hint="eastAsia" w:ascii="宋体" w:hAnsi="宋体" w:eastAsia="宋体" w:cs="宋体"/>
          <w:sz w:val="21"/>
          <w:szCs w:val="21"/>
          <w:highlight w:val="none"/>
        </w:rPr>
        <w:t>名称：</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rPr>
        <w:tab/>
      </w:r>
      <w:r>
        <w:rPr>
          <w:rFonts w:hint="eastAsia" w:ascii="宋体" w:hAnsi="宋体" w:eastAsia="宋体" w:cs="宋体"/>
          <w:sz w:val="21"/>
          <w:szCs w:val="21"/>
          <w:highlight w:val="none"/>
          <w:u w:val="single"/>
          <w:lang w:val="en-US" w:eastAsia="zh-CN"/>
        </w:rPr>
        <w:t xml:space="preserve">            </w:t>
      </w:r>
    </w:p>
    <w:p w14:paraId="5605D6FF">
      <w:pPr>
        <w:pStyle w:val="9"/>
        <w:tabs>
          <w:tab w:val="left" w:pos="3516"/>
          <w:tab w:val="left" w:pos="4716"/>
          <w:tab w:val="left" w:pos="6276"/>
          <w:tab w:val="left" w:pos="6335"/>
          <w:tab w:val="left" w:pos="6575"/>
        </w:tabs>
        <w:spacing w:before="244" w:line="364" w:lineRule="auto"/>
        <w:ind w:right="3568"/>
        <w:jc w:val="both"/>
        <w:rPr>
          <w:rFonts w:hint="eastAsia" w:ascii="宋体" w:hAnsi="宋体" w:eastAsia="宋体" w:cs="宋体"/>
          <w:sz w:val="21"/>
          <w:szCs w:val="21"/>
          <w:highlight w:val="none"/>
          <w:u w:val="single"/>
          <w:lang w:val="en-US" w:eastAsia="zh-CN"/>
        </w:rPr>
      </w:pPr>
      <w:r>
        <w:rPr>
          <w:rFonts w:hint="eastAsia" w:ascii="宋体" w:hAnsi="宋体" w:eastAsia="宋体" w:cs="宋体"/>
          <w:spacing w:val="-1"/>
          <w:sz w:val="21"/>
          <w:szCs w:val="21"/>
          <w:highlight w:val="none"/>
        </w:rPr>
        <w:t>单</w:t>
      </w:r>
      <w:r>
        <w:rPr>
          <w:rFonts w:hint="eastAsia" w:ascii="宋体" w:hAnsi="宋体" w:eastAsia="宋体" w:cs="宋体"/>
          <w:sz w:val="21"/>
          <w:szCs w:val="21"/>
          <w:highlight w:val="none"/>
        </w:rPr>
        <w:t>位性质：</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rPr>
        <w:tab/>
      </w:r>
      <w:r>
        <w:rPr>
          <w:rFonts w:hint="eastAsia" w:ascii="宋体" w:hAnsi="宋体" w:eastAsia="宋体" w:cs="宋体"/>
          <w:sz w:val="21"/>
          <w:szCs w:val="21"/>
          <w:highlight w:val="none"/>
          <w:u w:val="single"/>
          <w:lang w:val="en-US" w:eastAsia="zh-CN"/>
        </w:rPr>
        <w:t xml:space="preserve">            </w:t>
      </w:r>
    </w:p>
    <w:p w14:paraId="1B636C7A">
      <w:pPr>
        <w:pStyle w:val="9"/>
        <w:tabs>
          <w:tab w:val="left" w:pos="3516"/>
          <w:tab w:val="left" w:pos="4716"/>
          <w:tab w:val="left" w:pos="6276"/>
          <w:tab w:val="left" w:pos="6335"/>
          <w:tab w:val="left" w:pos="6575"/>
        </w:tabs>
        <w:spacing w:before="244" w:line="364" w:lineRule="auto"/>
        <w:ind w:right="3568"/>
        <w:jc w:val="both"/>
        <w:rPr>
          <w:rFonts w:hint="eastAsia" w:ascii="宋体" w:hAnsi="宋体" w:eastAsia="宋体" w:cs="宋体"/>
          <w:sz w:val="21"/>
          <w:szCs w:val="21"/>
          <w:highlight w:val="none"/>
          <w:u w:val="single"/>
          <w:lang w:val="en-US" w:eastAsia="zh-CN"/>
        </w:rPr>
      </w:pPr>
      <w:r>
        <w:rPr>
          <w:rFonts w:hint="eastAsia" w:ascii="宋体" w:hAnsi="宋体" w:eastAsia="宋体" w:cs="宋体"/>
          <w:sz w:val="21"/>
          <w:szCs w:val="21"/>
          <w:highlight w:val="none"/>
          <w:u w:val="none"/>
          <w:lang w:val="en-US" w:eastAsia="zh-CN"/>
        </w:rPr>
        <w:t>地址：</w:t>
      </w:r>
      <w:r>
        <w:rPr>
          <w:rFonts w:hint="eastAsia" w:ascii="宋体" w:hAnsi="宋体" w:eastAsia="宋体" w:cs="宋体"/>
          <w:sz w:val="21"/>
          <w:szCs w:val="21"/>
          <w:highlight w:val="none"/>
          <w:u w:val="single"/>
          <w:lang w:val="en-US" w:eastAsia="zh-CN"/>
        </w:rPr>
        <w:t xml:space="preserve">                                       </w:t>
      </w:r>
    </w:p>
    <w:p w14:paraId="63A586CE">
      <w:pPr>
        <w:pStyle w:val="9"/>
        <w:tabs>
          <w:tab w:val="left" w:pos="3516"/>
          <w:tab w:val="left" w:pos="4716"/>
          <w:tab w:val="left" w:pos="6276"/>
          <w:tab w:val="left" w:pos="6335"/>
          <w:tab w:val="left" w:pos="6575"/>
        </w:tabs>
        <w:spacing w:before="244" w:line="364" w:lineRule="auto"/>
        <w:ind w:right="3568"/>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成立时间：</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年</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月</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日</w:t>
      </w:r>
    </w:p>
    <w:p w14:paraId="12191684">
      <w:pPr>
        <w:pStyle w:val="9"/>
        <w:tabs>
          <w:tab w:val="left" w:pos="3516"/>
          <w:tab w:val="left" w:pos="4716"/>
          <w:tab w:val="left" w:pos="6276"/>
          <w:tab w:val="left" w:pos="6335"/>
          <w:tab w:val="left" w:pos="6575"/>
        </w:tabs>
        <w:spacing w:before="244" w:line="364" w:lineRule="auto"/>
        <w:ind w:right="3568"/>
        <w:jc w:val="both"/>
        <w:rPr>
          <w:rFonts w:hint="eastAsia" w:ascii="宋体" w:hAnsi="宋体" w:eastAsia="宋体" w:cs="宋体"/>
          <w:sz w:val="21"/>
          <w:szCs w:val="21"/>
          <w:highlight w:val="none"/>
          <w:lang w:val="en-US" w:eastAsia="zh-CN"/>
        </w:rPr>
      </w:pPr>
      <w:r>
        <w:rPr>
          <w:rFonts w:hint="eastAsia" w:ascii="宋体" w:hAnsi="宋体" w:eastAsia="宋体" w:cs="宋体"/>
          <w:spacing w:val="-1"/>
          <w:sz w:val="21"/>
          <w:szCs w:val="21"/>
          <w:highlight w:val="none"/>
        </w:rPr>
        <w:t>经</w:t>
      </w:r>
      <w:r>
        <w:rPr>
          <w:rFonts w:hint="eastAsia" w:ascii="宋体" w:hAnsi="宋体" w:eastAsia="宋体" w:cs="宋体"/>
          <w:sz w:val="21"/>
          <w:szCs w:val="21"/>
          <w:highlight w:val="none"/>
        </w:rPr>
        <w:t>营期限：</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rPr>
        <w:tab/>
      </w:r>
      <w:r>
        <w:rPr>
          <w:rFonts w:hint="eastAsia" w:ascii="宋体" w:hAnsi="宋体" w:eastAsia="宋体" w:cs="宋体"/>
          <w:sz w:val="21"/>
          <w:szCs w:val="21"/>
          <w:highlight w:val="none"/>
          <w:u w:val="single"/>
          <w:lang w:val="en-US" w:eastAsia="zh-CN"/>
        </w:rPr>
        <w:t xml:space="preserve">            </w:t>
      </w:r>
    </w:p>
    <w:p w14:paraId="4572717F">
      <w:pPr>
        <w:pStyle w:val="9"/>
        <w:tabs>
          <w:tab w:val="left" w:pos="3156"/>
          <w:tab w:val="left" w:pos="4655"/>
          <w:tab w:val="left" w:pos="6156"/>
          <w:tab w:val="left" w:pos="7775"/>
        </w:tabs>
        <w:spacing w:before="3"/>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姓名：</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性别：</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年龄：</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rPr>
        <w:tab/>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pacing w:val="-1"/>
          <w:sz w:val="21"/>
          <w:szCs w:val="21"/>
          <w:highlight w:val="none"/>
        </w:rPr>
        <w:t>职</w:t>
      </w:r>
      <w:r>
        <w:rPr>
          <w:rFonts w:hint="eastAsia" w:ascii="宋体" w:hAnsi="宋体" w:eastAsia="宋体" w:cs="宋体"/>
          <w:sz w:val="21"/>
          <w:szCs w:val="21"/>
          <w:highlight w:val="none"/>
        </w:rPr>
        <w:t>务：</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rPr>
        <w:tab/>
      </w:r>
      <w:r>
        <w:rPr>
          <w:rFonts w:hint="eastAsia" w:ascii="宋体" w:hAnsi="宋体" w:eastAsia="宋体" w:cs="宋体"/>
          <w:sz w:val="21"/>
          <w:szCs w:val="21"/>
          <w:highlight w:val="none"/>
          <w:u w:val="single"/>
          <w:lang w:val="en-US" w:eastAsia="zh-CN"/>
        </w:rPr>
        <w:t xml:space="preserve"> </w:t>
      </w:r>
    </w:p>
    <w:p w14:paraId="53AAAA04">
      <w:pPr>
        <w:pStyle w:val="9"/>
        <w:tabs>
          <w:tab w:val="left" w:pos="5196"/>
        </w:tabs>
        <w:spacing w:before="160" w:line="364" w:lineRule="auto"/>
        <w:ind w:right="1587"/>
        <w:rPr>
          <w:rFonts w:hint="eastAsia" w:ascii="宋体" w:hAnsi="宋体" w:eastAsia="宋体" w:cs="宋体"/>
          <w:spacing w:val="-17"/>
          <w:sz w:val="21"/>
          <w:szCs w:val="21"/>
          <w:highlight w:val="none"/>
        </w:rPr>
      </w:pPr>
      <w:r>
        <w:rPr>
          <w:rFonts w:hint="eastAsia" w:ascii="宋体" w:hAnsi="宋体" w:eastAsia="宋体" w:cs="宋体"/>
          <w:sz w:val="21"/>
          <w:szCs w:val="21"/>
          <w:highlight w:val="none"/>
        </w:rPr>
        <w:t>系</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w:t>
      </w:r>
      <w:r>
        <w:rPr>
          <w:rFonts w:hint="eastAsia" w:hAnsi="宋体" w:cs="宋体"/>
          <w:sz w:val="21"/>
          <w:szCs w:val="21"/>
          <w:highlight w:val="none"/>
          <w:lang w:eastAsia="zh-CN"/>
        </w:rPr>
        <w:t>供应商</w:t>
      </w:r>
      <w:r>
        <w:rPr>
          <w:rFonts w:hint="eastAsia" w:ascii="宋体" w:hAnsi="宋体" w:eastAsia="宋体" w:cs="宋体"/>
          <w:sz w:val="21"/>
          <w:szCs w:val="21"/>
          <w:highlight w:val="none"/>
        </w:rPr>
        <w:t>名称）的法定代表人</w:t>
      </w:r>
      <w:r>
        <w:rPr>
          <w:rFonts w:hint="eastAsia" w:ascii="宋体" w:hAnsi="宋体" w:eastAsia="宋体" w:cs="宋体"/>
          <w:spacing w:val="-17"/>
          <w:sz w:val="21"/>
          <w:szCs w:val="21"/>
          <w:highlight w:val="none"/>
        </w:rPr>
        <w:t>。</w:t>
      </w:r>
    </w:p>
    <w:p w14:paraId="2E4F6E3A">
      <w:pPr>
        <w:pStyle w:val="9"/>
        <w:tabs>
          <w:tab w:val="left" w:pos="5196"/>
        </w:tabs>
        <w:spacing w:before="160" w:line="364" w:lineRule="auto"/>
        <w:ind w:right="1587"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特此证明。</w:t>
      </w:r>
    </w:p>
    <w:p w14:paraId="345E83C1">
      <w:pPr>
        <w:pStyle w:val="9"/>
        <w:rPr>
          <w:rFonts w:hint="eastAsia" w:ascii="宋体" w:hAnsi="宋体" w:eastAsia="宋体" w:cs="宋体"/>
          <w:sz w:val="21"/>
          <w:szCs w:val="21"/>
          <w:highlight w:val="none"/>
        </w:rPr>
      </w:pPr>
    </w:p>
    <w:p w14:paraId="60877B0F">
      <w:pPr>
        <w:pStyle w:val="9"/>
        <w:spacing w:before="162"/>
        <w:rPr>
          <w:rFonts w:hint="eastAsia" w:ascii="宋体" w:hAnsi="宋体" w:eastAsia="宋体" w:cs="宋体"/>
          <w:sz w:val="21"/>
          <w:szCs w:val="21"/>
          <w:highlight w:val="none"/>
        </w:rPr>
      </w:pPr>
      <w:r>
        <w:rPr>
          <w:rFonts w:hint="eastAsia" w:ascii="宋体" w:hAnsi="宋体" w:eastAsia="宋体" w:cs="宋体"/>
          <w:b/>
          <w:bCs/>
          <w:color w:val="000000"/>
          <w:kern w:val="0"/>
          <w:sz w:val="21"/>
          <w:szCs w:val="21"/>
          <w:highlight w:val="none"/>
          <w:lang w:val="en-US" w:eastAsia="zh-CN" w:bidi="ar"/>
        </w:rPr>
        <w:t>附：法定代表人身份证正反面扫描件或复印件</w:t>
      </w:r>
    </w:p>
    <w:p w14:paraId="15BD4944">
      <w:pPr>
        <w:pStyle w:val="9"/>
        <w:rPr>
          <w:rFonts w:hint="eastAsia" w:ascii="宋体" w:hAnsi="宋体" w:eastAsia="宋体" w:cs="宋体"/>
          <w:sz w:val="21"/>
          <w:szCs w:val="21"/>
          <w:highlight w:val="none"/>
        </w:rPr>
      </w:pPr>
    </w:p>
    <w:p w14:paraId="6524D367">
      <w:pPr>
        <w:pStyle w:val="9"/>
        <w:spacing w:before="9"/>
        <w:rPr>
          <w:rFonts w:hint="eastAsia" w:ascii="宋体" w:hAnsi="宋体" w:eastAsia="宋体" w:cs="宋体"/>
          <w:sz w:val="21"/>
          <w:szCs w:val="21"/>
          <w:highlight w:val="none"/>
        </w:rPr>
      </w:pPr>
    </w:p>
    <w:p w14:paraId="248D09C7">
      <w:pPr>
        <w:pStyle w:val="6"/>
        <w:rPr>
          <w:rFonts w:hint="eastAsia" w:ascii="宋体" w:hAnsi="宋体" w:eastAsia="宋体" w:cs="宋体"/>
          <w:sz w:val="21"/>
          <w:szCs w:val="21"/>
          <w:highlight w:val="none"/>
        </w:rPr>
      </w:pPr>
    </w:p>
    <w:p w14:paraId="0E49E7B7">
      <w:pPr>
        <w:rPr>
          <w:rFonts w:hint="eastAsia" w:ascii="宋体" w:hAnsi="宋体" w:eastAsia="宋体" w:cs="宋体"/>
          <w:sz w:val="21"/>
          <w:szCs w:val="21"/>
          <w:highlight w:val="none"/>
        </w:rPr>
      </w:pPr>
    </w:p>
    <w:p w14:paraId="67E3FF1D">
      <w:pPr>
        <w:pStyle w:val="6"/>
        <w:rPr>
          <w:rFonts w:hint="eastAsia" w:ascii="宋体" w:hAnsi="宋体" w:eastAsia="宋体" w:cs="宋体"/>
          <w:sz w:val="21"/>
          <w:szCs w:val="21"/>
          <w:highlight w:val="none"/>
        </w:rPr>
      </w:pPr>
    </w:p>
    <w:p w14:paraId="775504EF">
      <w:pPr>
        <w:rPr>
          <w:rFonts w:hint="eastAsia" w:ascii="宋体" w:hAnsi="宋体" w:eastAsia="宋体" w:cs="宋体"/>
          <w:sz w:val="21"/>
          <w:szCs w:val="21"/>
          <w:highlight w:val="none"/>
        </w:rPr>
      </w:pPr>
    </w:p>
    <w:p w14:paraId="611A8371">
      <w:pPr>
        <w:pageBreakBefore w:val="0"/>
        <w:kinsoku/>
        <w:overflowPunct/>
        <w:autoSpaceDE w:val="0"/>
        <w:autoSpaceDN w:val="0"/>
        <w:bidi w:val="0"/>
        <w:adjustRightInd w:val="0"/>
        <w:spacing w:line="360" w:lineRule="auto"/>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lang w:val="en-US" w:eastAsia="zh-CN"/>
        </w:rPr>
        <w:t xml:space="preserve">                                        </w:t>
      </w:r>
      <w:r>
        <w:rPr>
          <w:rFonts w:hint="eastAsia" w:ascii="宋体" w:hAnsi="宋体" w:cs="宋体"/>
          <w:kern w:val="0"/>
          <w:sz w:val="21"/>
          <w:szCs w:val="21"/>
          <w:highlight w:val="none"/>
          <w:lang w:eastAsia="zh-CN"/>
        </w:rPr>
        <w:t>供应商</w:t>
      </w:r>
      <w:r>
        <w:rPr>
          <w:rFonts w:hint="eastAsia" w:ascii="宋体" w:hAnsi="宋体" w:cs="宋体"/>
          <w:kern w:val="0"/>
          <w:sz w:val="21"/>
          <w:szCs w:val="21"/>
          <w:highlight w:val="none"/>
          <w:lang w:val="en-US" w:eastAsia="zh-CN"/>
        </w:rPr>
        <w:t>名称</w:t>
      </w:r>
      <w:r>
        <w:rPr>
          <w:rFonts w:hint="eastAsia" w:ascii="宋体" w:hAnsi="宋体" w:eastAsia="宋体" w:cs="宋体"/>
          <w:kern w:val="0"/>
          <w:sz w:val="21"/>
          <w:szCs w:val="21"/>
          <w:highlight w:val="none"/>
        </w:rPr>
        <w:t>：</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w:t>
      </w:r>
      <w:r>
        <w:rPr>
          <w:rFonts w:hint="eastAsia" w:ascii="宋体" w:hAnsi="宋体" w:eastAsia="宋体" w:cs="宋体"/>
          <w:kern w:val="0"/>
          <w:sz w:val="21"/>
          <w:szCs w:val="21"/>
          <w:highlight w:val="none"/>
          <w:lang w:val="en-US" w:eastAsia="zh-CN"/>
        </w:rPr>
        <w:t>企业</w:t>
      </w:r>
      <w:r>
        <w:rPr>
          <w:rFonts w:hint="eastAsia" w:ascii="宋体" w:hAnsi="宋体" w:eastAsia="宋体" w:cs="宋体"/>
          <w:sz w:val="21"/>
          <w:szCs w:val="21"/>
          <w:highlight w:val="none"/>
        </w:rPr>
        <w:t>电子签章</w:t>
      </w:r>
      <w:r>
        <w:rPr>
          <w:rFonts w:hint="eastAsia" w:ascii="宋体" w:hAnsi="宋体" w:eastAsia="宋体" w:cs="宋体"/>
          <w:kern w:val="0"/>
          <w:sz w:val="21"/>
          <w:szCs w:val="21"/>
          <w:highlight w:val="none"/>
        </w:rPr>
        <w:t>）</w:t>
      </w:r>
    </w:p>
    <w:p w14:paraId="6ADCD5C0">
      <w:pPr>
        <w:pStyle w:val="26"/>
        <w:ind w:firstLine="6090" w:firstLineChars="2900"/>
        <w:rPr>
          <w:rFonts w:hint="eastAsia" w:ascii="宋体" w:hAnsi="宋体" w:eastAsia="宋体" w:cs="宋体"/>
          <w:sz w:val="21"/>
          <w:szCs w:val="21"/>
          <w:highlight w:val="none"/>
        </w:rPr>
      </w:pP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年</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月</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日</w:t>
      </w:r>
    </w:p>
    <w:p w14:paraId="798D4E21">
      <w:pP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br w:type="page"/>
      </w:r>
    </w:p>
    <w:p w14:paraId="1C02903F">
      <w:pPr>
        <w:pStyle w:val="3"/>
        <w:bidi w:val="0"/>
        <w:jc w:val="center"/>
        <w:rPr>
          <w:rFonts w:hint="eastAsia" w:ascii="宋体" w:hAnsi="宋体" w:eastAsia="宋体" w:cs="宋体"/>
          <w:highlight w:val="none"/>
        </w:rPr>
      </w:pPr>
      <w:bookmarkStart w:id="196" w:name="_Toc31567"/>
      <w:bookmarkStart w:id="197" w:name="_Toc10944"/>
      <w:bookmarkStart w:id="198" w:name="_Toc19164"/>
      <w:bookmarkStart w:id="199" w:name="_Toc23945"/>
      <w:bookmarkStart w:id="200" w:name="_Toc24415"/>
      <w:r>
        <w:rPr>
          <w:rFonts w:hint="eastAsia" w:ascii="宋体" w:hAnsi="宋体" w:eastAsia="宋体" w:cs="宋体"/>
          <w:highlight w:val="none"/>
          <w:lang w:val="en-US" w:eastAsia="zh-CN"/>
        </w:rPr>
        <w:t>三、</w:t>
      </w:r>
      <w:r>
        <w:rPr>
          <w:rFonts w:hint="eastAsia" w:ascii="宋体" w:hAnsi="宋体" w:eastAsia="宋体" w:cs="宋体"/>
          <w:highlight w:val="none"/>
        </w:rPr>
        <w:t>授权委托书</w:t>
      </w:r>
      <w:bookmarkEnd w:id="196"/>
      <w:bookmarkEnd w:id="197"/>
      <w:bookmarkEnd w:id="198"/>
      <w:bookmarkEnd w:id="199"/>
      <w:bookmarkEnd w:id="200"/>
    </w:p>
    <w:p w14:paraId="599AA535">
      <w:pPr>
        <w:pageBreakBefore w:val="0"/>
        <w:tabs>
          <w:tab w:val="left" w:pos="3000"/>
          <w:tab w:val="left" w:pos="3580"/>
          <w:tab w:val="left" w:pos="5775"/>
          <w:tab w:val="left" w:pos="8355"/>
        </w:tabs>
        <w:kinsoku/>
        <w:overflowPunct/>
        <w:autoSpaceDE w:val="0"/>
        <w:autoSpaceDN w:val="0"/>
        <w:bidi w:val="0"/>
        <w:adjustRightInd w:val="0"/>
        <w:spacing w:line="360" w:lineRule="auto"/>
        <w:ind w:left="120" w:right="84" w:firstLine="42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本人</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u w:val="single"/>
        </w:rPr>
        <w:tab/>
      </w:r>
      <w:r>
        <w:rPr>
          <w:rFonts w:hint="eastAsia" w:ascii="宋体" w:hAnsi="宋体" w:eastAsia="宋体" w:cs="宋体"/>
          <w:kern w:val="0"/>
          <w:sz w:val="21"/>
          <w:szCs w:val="21"/>
          <w:highlight w:val="none"/>
        </w:rPr>
        <w:t>（姓名）系</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u w:val="single"/>
        </w:rPr>
        <w:tab/>
      </w:r>
      <w:r>
        <w:rPr>
          <w:rFonts w:hint="eastAsia" w:ascii="宋体" w:hAnsi="宋体" w:eastAsia="宋体" w:cs="宋体"/>
          <w:kern w:val="0"/>
          <w:sz w:val="21"/>
          <w:szCs w:val="21"/>
          <w:highlight w:val="none"/>
        </w:rPr>
        <w:t>（</w:t>
      </w:r>
      <w:r>
        <w:rPr>
          <w:rFonts w:hint="eastAsia" w:ascii="宋体" w:hAnsi="宋体" w:cs="宋体"/>
          <w:kern w:val="0"/>
          <w:sz w:val="21"/>
          <w:szCs w:val="21"/>
          <w:highlight w:val="none"/>
          <w:lang w:eastAsia="zh-CN"/>
        </w:rPr>
        <w:t>供应商</w:t>
      </w:r>
      <w:r>
        <w:rPr>
          <w:rFonts w:hint="eastAsia" w:ascii="宋体" w:hAnsi="宋体" w:eastAsia="宋体" w:cs="宋体"/>
          <w:kern w:val="0"/>
          <w:sz w:val="21"/>
          <w:szCs w:val="21"/>
          <w:highlight w:val="none"/>
        </w:rPr>
        <w:t>名称）的法定代表人，现委托</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u w:val="single"/>
        </w:rPr>
        <w:tab/>
      </w:r>
      <w:r>
        <w:rPr>
          <w:rFonts w:hint="eastAsia" w:ascii="宋体" w:hAnsi="宋体" w:eastAsia="宋体" w:cs="宋体"/>
          <w:kern w:val="0"/>
          <w:sz w:val="21"/>
          <w:szCs w:val="21"/>
          <w:highlight w:val="none"/>
        </w:rPr>
        <w:t>（姓名）为我方代理人。代理人根据授权，以我方名义签署、澄清、说明、补正、递交、撤回、 修改</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u w:val="none"/>
        </w:rPr>
        <w:t>（项目名称）</w:t>
      </w:r>
      <w:r>
        <w:rPr>
          <w:rFonts w:hint="eastAsia" w:ascii="宋体" w:hAnsi="宋体" w:cs="宋体"/>
          <w:kern w:val="0"/>
          <w:sz w:val="21"/>
          <w:szCs w:val="21"/>
          <w:highlight w:val="none"/>
          <w:u w:val="single"/>
          <w:lang w:val="en-US" w:eastAsia="zh-CN"/>
        </w:rPr>
        <w:t xml:space="preserve">    </w:t>
      </w:r>
      <w:r>
        <w:rPr>
          <w:rFonts w:hint="eastAsia" w:ascii="宋体" w:hAnsi="宋体" w:cs="宋体"/>
          <w:kern w:val="0"/>
          <w:sz w:val="21"/>
          <w:szCs w:val="21"/>
          <w:highlight w:val="none"/>
          <w:u w:val="none"/>
          <w:lang w:val="en-US" w:eastAsia="zh-CN"/>
        </w:rPr>
        <w:t>标段</w:t>
      </w:r>
      <w:r>
        <w:rPr>
          <w:rFonts w:hint="eastAsia" w:ascii="宋体" w:hAnsi="宋体" w:eastAsia="宋体" w:cs="宋体"/>
          <w:kern w:val="0"/>
          <w:sz w:val="21"/>
          <w:szCs w:val="21"/>
          <w:highlight w:val="none"/>
        </w:rPr>
        <w:t>投标文件、签订合同和处理有关事宜，其法律后果由我方承担。</w:t>
      </w:r>
    </w:p>
    <w:p w14:paraId="7A105D2A">
      <w:pPr>
        <w:pageBreakBefore w:val="0"/>
        <w:tabs>
          <w:tab w:val="left" w:pos="8931"/>
        </w:tabs>
        <w:kinsoku/>
        <w:overflowPunct/>
        <w:autoSpaceDE w:val="0"/>
        <w:autoSpaceDN w:val="0"/>
        <w:bidi w:val="0"/>
        <w:adjustRightInd w:val="0"/>
        <w:spacing w:line="360" w:lineRule="auto"/>
        <w:ind w:left="540" w:right="5352" w:firstLine="1"/>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委托期限：</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 xml:space="preserve">。 </w:t>
      </w:r>
    </w:p>
    <w:p w14:paraId="555B23B0">
      <w:pPr>
        <w:pageBreakBefore w:val="0"/>
        <w:tabs>
          <w:tab w:val="left" w:pos="2940"/>
        </w:tabs>
        <w:kinsoku/>
        <w:overflowPunct/>
        <w:autoSpaceDE w:val="0"/>
        <w:autoSpaceDN w:val="0"/>
        <w:bidi w:val="0"/>
        <w:adjustRightInd w:val="0"/>
        <w:spacing w:line="360" w:lineRule="auto"/>
        <w:ind w:left="540" w:right="5352" w:firstLine="1"/>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代理人无转委托权。 </w:t>
      </w:r>
    </w:p>
    <w:p w14:paraId="7681074C">
      <w:pPr>
        <w:pageBreakBefore w:val="0"/>
        <w:tabs>
          <w:tab w:val="left" w:pos="2940"/>
        </w:tabs>
        <w:kinsoku/>
        <w:overflowPunct/>
        <w:autoSpaceDE w:val="0"/>
        <w:autoSpaceDN w:val="0"/>
        <w:bidi w:val="0"/>
        <w:adjustRightInd w:val="0"/>
        <w:spacing w:line="360" w:lineRule="auto"/>
        <w:ind w:right="5352"/>
        <w:jc w:val="left"/>
        <w:rPr>
          <w:rFonts w:hint="eastAsia" w:ascii="宋体" w:hAnsi="宋体" w:eastAsia="宋体" w:cs="宋体"/>
          <w:kern w:val="0"/>
          <w:sz w:val="21"/>
          <w:szCs w:val="21"/>
          <w:highlight w:val="none"/>
        </w:rPr>
      </w:pPr>
    </w:p>
    <w:p w14:paraId="02FE4534">
      <w:pPr>
        <w:pageBreakBefore w:val="0"/>
        <w:tabs>
          <w:tab w:val="left" w:pos="8364"/>
        </w:tabs>
        <w:kinsoku/>
        <w:overflowPunct/>
        <w:autoSpaceDE w:val="0"/>
        <w:autoSpaceDN w:val="0"/>
        <w:bidi w:val="0"/>
        <w:adjustRightInd w:val="0"/>
        <w:spacing w:line="360" w:lineRule="auto"/>
        <w:ind w:right="78" w:firstLine="422" w:firstLineChars="200"/>
        <w:jc w:val="left"/>
        <w:rPr>
          <w:rFonts w:hint="eastAsia" w:ascii="宋体" w:hAnsi="宋体" w:eastAsia="宋体" w:cs="宋体"/>
          <w:b/>
          <w:bCs/>
          <w:spacing w:val="-11"/>
          <w:kern w:val="0"/>
          <w:sz w:val="21"/>
          <w:szCs w:val="21"/>
          <w:highlight w:val="none"/>
        </w:rPr>
      </w:pPr>
      <w:r>
        <w:rPr>
          <w:rFonts w:hint="eastAsia" w:ascii="宋体" w:hAnsi="宋体" w:eastAsia="宋体" w:cs="宋体"/>
          <w:b/>
          <w:bCs/>
          <w:kern w:val="0"/>
          <w:sz w:val="21"/>
          <w:szCs w:val="21"/>
          <w:highlight w:val="none"/>
        </w:rPr>
        <w:t>注：需附委托代理人身份证、劳动合同及社保证明扫描件或复印件。</w:t>
      </w:r>
    </w:p>
    <w:p w14:paraId="6CED04A4">
      <w:pPr>
        <w:pageBreakBefore w:val="0"/>
        <w:kinsoku/>
        <w:overflowPunct/>
        <w:autoSpaceDE w:val="0"/>
        <w:autoSpaceDN w:val="0"/>
        <w:bidi w:val="0"/>
        <w:adjustRightInd w:val="0"/>
        <w:spacing w:before="6" w:line="360" w:lineRule="auto"/>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    </w:t>
      </w:r>
    </w:p>
    <w:p w14:paraId="05D0B844">
      <w:pPr>
        <w:pageBreakBefore w:val="0"/>
        <w:tabs>
          <w:tab w:val="left" w:pos="4560"/>
          <w:tab w:val="left" w:pos="4620"/>
        </w:tabs>
        <w:kinsoku/>
        <w:overflowPunct/>
        <w:autoSpaceDE w:val="0"/>
        <w:autoSpaceDN w:val="0"/>
        <w:bidi w:val="0"/>
        <w:adjustRightInd w:val="0"/>
        <w:spacing w:line="360" w:lineRule="auto"/>
        <w:ind w:left="120" w:leftChars="57" w:right="2931" w:firstLine="315" w:firstLineChars="150"/>
        <w:jc w:val="left"/>
        <w:rPr>
          <w:rFonts w:hint="eastAsia" w:ascii="宋体" w:hAnsi="宋体" w:eastAsia="宋体" w:cs="宋体"/>
          <w:kern w:val="0"/>
          <w:sz w:val="21"/>
          <w:szCs w:val="21"/>
          <w:highlight w:val="none"/>
        </w:rPr>
      </w:pPr>
      <w:r>
        <w:rPr>
          <w:rFonts w:hint="eastAsia" w:ascii="宋体" w:hAnsi="宋体" w:cs="宋体"/>
          <w:kern w:val="0"/>
          <w:sz w:val="21"/>
          <w:szCs w:val="21"/>
          <w:highlight w:val="none"/>
          <w:lang w:val="en-US" w:eastAsia="zh-CN"/>
        </w:rPr>
        <w:t>供  应  商</w:t>
      </w:r>
      <w:r>
        <w:rPr>
          <w:rFonts w:hint="eastAsia" w:ascii="宋体" w:hAnsi="宋体" w:eastAsia="宋体" w:cs="宋体"/>
          <w:kern w:val="0"/>
          <w:sz w:val="21"/>
          <w:szCs w:val="21"/>
          <w:highlight w:val="none"/>
        </w:rPr>
        <w:t xml:space="preserve">： </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w:t>
      </w:r>
      <w:r>
        <w:rPr>
          <w:rFonts w:hint="eastAsia" w:ascii="宋体" w:hAnsi="宋体" w:eastAsia="宋体" w:cs="宋体"/>
          <w:kern w:val="0"/>
          <w:sz w:val="21"/>
          <w:szCs w:val="21"/>
          <w:highlight w:val="none"/>
          <w:lang w:val="en-US" w:eastAsia="zh-CN"/>
        </w:rPr>
        <w:t>企业</w:t>
      </w:r>
      <w:r>
        <w:rPr>
          <w:rFonts w:hint="eastAsia" w:ascii="宋体" w:hAnsi="宋体" w:eastAsia="宋体" w:cs="宋体"/>
          <w:sz w:val="21"/>
          <w:szCs w:val="21"/>
          <w:highlight w:val="none"/>
        </w:rPr>
        <w:t>电子签章</w:t>
      </w:r>
      <w:r>
        <w:rPr>
          <w:rFonts w:hint="eastAsia" w:ascii="宋体" w:hAnsi="宋体" w:eastAsia="宋体" w:cs="宋体"/>
          <w:kern w:val="0"/>
          <w:sz w:val="21"/>
          <w:szCs w:val="21"/>
          <w:highlight w:val="none"/>
        </w:rPr>
        <w:t>）</w:t>
      </w:r>
    </w:p>
    <w:p w14:paraId="626ADA65">
      <w:pPr>
        <w:pageBreakBefore w:val="0"/>
        <w:tabs>
          <w:tab w:val="left" w:pos="4440"/>
          <w:tab w:val="left" w:pos="4620"/>
        </w:tabs>
        <w:kinsoku/>
        <w:overflowPunct/>
        <w:autoSpaceDE w:val="0"/>
        <w:autoSpaceDN w:val="0"/>
        <w:bidi w:val="0"/>
        <w:adjustRightInd w:val="0"/>
        <w:spacing w:line="360" w:lineRule="auto"/>
        <w:ind w:left="120" w:leftChars="57" w:right="2931" w:firstLine="315" w:firstLineChars="15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法定代表人：</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w:t>
      </w:r>
      <w:r>
        <w:rPr>
          <w:rFonts w:hint="eastAsia" w:ascii="宋体" w:hAnsi="宋体" w:eastAsia="宋体" w:cs="宋体"/>
          <w:kern w:val="0"/>
          <w:sz w:val="21"/>
          <w:szCs w:val="21"/>
          <w:highlight w:val="none"/>
          <w:lang w:val="en-US" w:eastAsia="zh-CN"/>
        </w:rPr>
        <w:t>企业</w:t>
      </w:r>
      <w:r>
        <w:rPr>
          <w:rFonts w:hint="eastAsia" w:ascii="宋体" w:hAnsi="宋体" w:eastAsia="宋体" w:cs="宋体"/>
          <w:sz w:val="21"/>
          <w:szCs w:val="21"/>
          <w:highlight w:val="none"/>
        </w:rPr>
        <w:t>电子签章</w:t>
      </w:r>
      <w:r>
        <w:rPr>
          <w:rFonts w:hint="eastAsia" w:ascii="宋体" w:hAnsi="宋体" w:eastAsia="宋体" w:cs="宋体"/>
          <w:kern w:val="0"/>
          <w:sz w:val="21"/>
          <w:szCs w:val="21"/>
          <w:highlight w:val="none"/>
        </w:rPr>
        <w:t>）</w:t>
      </w:r>
    </w:p>
    <w:p w14:paraId="78DA5067">
      <w:pPr>
        <w:pageBreakBefore w:val="0"/>
        <w:tabs>
          <w:tab w:val="left" w:pos="5340"/>
          <w:tab w:val="left" w:pos="5400"/>
        </w:tabs>
        <w:kinsoku/>
        <w:overflowPunct/>
        <w:autoSpaceDE w:val="0"/>
        <w:autoSpaceDN w:val="0"/>
        <w:bidi w:val="0"/>
        <w:adjustRightInd w:val="0"/>
        <w:spacing w:line="360" w:lineRule="auto"/>
        <w:ind w:left="120" w:leftChars="57" w:right="2931" w:firstLine="315" w:firstLineChars="150"/>
        <w:jc w:val="left"/>
        <w:rPr>
          <w:rFonts w:hint="eastAsia" w:ascii="宋体" w:hAnsi="宋体" w:eastAsia="宋体" w:cs="宋体"/>
          <w:kern w:val="0"/>
          <w:sz w:val="21"/>
          <w:szCs w:val="21"/>
          <w:highlight w:val="none"/>
          <w:u w:val="single"/>
        </w:rPr>
      </w:pPr>
      <w:r>
        <w:rPr>
          <w:rFonts w:hint="eastAsia" w:ascii="宋体" w:hAnsi="宋体" w:eastAsia="宋体" w:cs="宋体"/>
          <w:kern w:val="0"/>
          <w:sz w:val="21"/>
          <w:szCs w:val="21"/>
          <w:highlight w:val="none"/>
        </w:rPr>
        <w:t>身份证号码：</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u w:val="single"/>
        </w:rPr>
        <w:tab/>
      </w:r>
    </w:p>
    <w:p w14:paraId="27AE6E6F">
      <w:pPr>
        <w:pageBreakBefore w:val="0"/>
        <w:tabs>
          <w:tab w:val="left" w:pos="4440"/>
          <w:tab w:val="left" w:pos="4620"/>
          <w:tab w:val="left" w:pos="6300"/>
          <w:tab w:val="left" w:pos="6520"/>
        </w:tabs>
        <w:kinsoku/>
        <w:overflowPunct/>
        <w:autoSpaceDE w:val="0"/>
        <w:autoSpaceDN w:val="0"/>
        <w:bidi w:val="0"/>
        <w:adjustRightInd w:val="0"/>
        <w:spacing w:line="360" w:lineRule="auto"/>
        <w:ind w:left="120" w:leftChars="57" w:right="1780" w:rightChars="0" w:firstLine="315" w:firstLineChars="15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委托代理人：</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u w:val="single"/>
        </w:rPr>
        <w:tab/>
      </w:r>
      <w:r>
        <w:rPr>
          <w:rFonts w:hint="eastAsia" w:ascii="宋体" w:hAnsi="宋体" w:eastAsia="宋体" w:cs="宋体"/>
          <w:kern w:val="0"/>
          <w:sz w:val="21"/>
          <w:szCs w:val="21"/>
          <w:highlight w:val="none"/>
        </w:rPr>
        <w:t xml:space="preserve">（签字或盖电子签章） </w:t>
      </w:r>
    </w:p>
    <w:p w14:paraId="7D683586">
      <w:pPr>
        <w:pageBreakBefore w:val="0"/>
        <w:tabs>
          <w:tab w:val="left" w:pos="5280"/>
          <w:tab w:val="left" w:pos="5340"/>
        </w:tabs>
        <w:kinsoku/>
        <w:overflowPunct/>
        <w:autoSpaceDE w:val="0"/>
        <w:autoSpaceDN w:val="0"/>
        <w:bidi w:val="0"/>
        <w:adjustRightInd w:val="0"/>
        <w:spacing w:line="360" w:lineRule="auto"/>
        <w:ind w:left="120" w:leftChars="57" w:right="2931" w:firstLine="315" w:firstLineChars="15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身份证号码：</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u w:val="single"/>
        </w:rPr>
        <w:tab/>
      </w:r>
    </w:p>
    <w:p w14:paraId="72FF0202">
      <w:pPr>
        <w:pageBreakBefore w:val="0"/>
        <w:kinsoku/>
        <w:overflowPunct/>
        <w:autoSpaceDE w:val="0"/>
        <w:autoSpaceDN w:val="0"/>
        <w:bidi w:val="0"/>
        <w:adjustRightInd w:val="0"/>
        <w:spacing w:before="14" w:line="360" w:lineRule="auto"/>
        <w:jc w:val="right"/>
        <w:rPr>
          <w:rFonts w:hint="eastAsia" w:ascii="宋体" w:hAnsi="宋体" w:eastAsia="宋体" w:cs="宋体"/>
          <w:kern w:val="0"/>
          <w:sz w:val="21"/>
          <w:szCs w:val="21"/>
          <w:highlight w:val="none"/>
        </w:rPr>
      </w:pPr>
    </w:p>
    <w:p w14:paraId="5A515FC0">
      <w:pPr>
        <w:pageBreakBefore w:val="0"/>
        <w:kinsoku/>
        <w:wordWrap w:val="0"/>
        <w:overflowPunct/>
        <w:bidi w:val="0"/>
        <w:spacing w:line="360" w:lineRule="auto"/>
        <w:ind w:firstLine="630" w:firstLineChars="300"/>
        <w:jc w:val="righ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年</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月</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日</w:t>
      </w:r>
    </w:p>
    <w:p w14:paraId="058DDA0E">
      <w:pPr>
        <w:pStyle w:val="31"/>
        <w:pageBreakBefore w:val="0"/>
        <w:kinsoku/>
        <w:overflowPunct/>
        <w:bidi w:val="0"/>
        <w:spacing w:line="360" w:lineRule="auto"/>
        <w:ind w:firstLine="5250" w:firstLineChars="2500"/>
        <w:jc w:val="center"/>
        <w:rPr>
          <w:rFonts w:hint="eastAsia" w:ascii="宋体" w:hAnsi="宋体" w:eastAsia="宋体" w:cs="宋体"/>
          <w:sz w:val="21"/>
          <w:szCs w:val="21"/>
          <w:highlight w:val="none"/>
        </w:rPr>
      </w:pPr>
    </w:p>
    <w:p w14:paraId="66933449">
      <w:pPr>
        <w:pStyle w:val="5"/>
        <w:pageBreakBefore w:val="0"/>
        <w:kinsoku/>
        <w:overflowPunct/>
        <w:bidi w:val="0"/>
        <w:spacing w:line="360" w:lineRule="auto"/>
        <w:jc w:val="center"/>
        <w:rPr>
          <w:rFonts w:hint="eastAsia" w:ascii="宋体" w:hAnsi="宋体" w:eastAsia="宋体" w:cs="宋体"/>
          <w:sz w:val="21"/>
          <w:szCs w:val="21"/>
          <w:highlight w:val="none"/>
        </w:rPr>
        <w:sectPr>
          <w:headerReference r:id="rId9" w:type="default"/>
          <w:footerReference r:id="rId10" w:type="default"/>
          <w:pgSz w:w="11906" w:h="16838"/>
          <w:pgMar w:top="1440" w:right="1803" w:bottom="1440" w:left="1803" w:header="850" w:footer="850" w:gutter="0"/>
          <w:pgNumType w:fmt="decimal"/>
          <w:cols w:space="0" w:num="1"/>
          <w:titlePg/>
          <w:rtlGutter w:val="0"/>
          <w:docGrid w:type="lines" w:linePitch="319" w:charSpace="0"/>
        </w:sectPr>
      </w:pPr>
    </w:p>
    <w:p w14:paraId="601B68A4">
      <w:pPr>
        <w:pStyle w:val="3"/>
        <w:keepNext/>
        <w:keepLines/>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highlight w:val="none"/>
          <w:lang w:val="en-US" w:eastAsia="zh-CN"/>
        </w:rPr>
      </w:pPr>
      <w:bookmarkStart w:id="201" w:name="_Toc22339"/>
      <w:bookmarkStart w:id="202" w:name="_Toc459"/>
      <w:r>
        <w:rPr>
          <w:rFonts w:hint="eastAsia" w:ascii="宋体" w:hAnsi="宋体" w:eastAsia="宋体" w:cs="宋体"/>
          <w:highlight w:val="none"/>
          <w:lang w:val="en-US" w:eastAsia="zh-CN"/>
        </w:rPr>
        <w:t>四、资格审查资料</w:t>
      </w:r>
      <w:bookmarkEnd w:id="201"/>
      <w:bookmarkEnd w:id="202"/>
    </w:p>
    <w:p w14:paraId="37D80536">
      <w:pPr>
        <w:pStyle w:val="4"/>
        <w:keepNext/>
        <w:keepLines/>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highlight w:val="none"/>
        </w:rPr>
      </w:pPr>
      <w:bookmarkStart w:id="203" w:name="_Toc15847"/>
      <w:bookmarkStart w:id="204" w:name="_Toc4666"/>
      <w:bookmarkStart w:id="205" w:name="_Toc10133"/>
      <w:bookmarkStart w:id="206" w:name="_Toc19602"/>
      <w:bookmarkStart w:id="207" w:name="_Toc24598"/>
      <w:bookmarkStart w:id="208" w:name="_Toc9821"/>
      <w:bookmarkStart w:id="209" w:name="_Toc19764"/>
      <w:bookmarkStart w:id="210" w:name="_Toc12832"/>
      <w:bookmarkStart w:id="211" w:name="_Toc25486"/>
      <w:bookmarkStart w:id="212" w:name="_Toc5221"/>
      <w:bookmarkStart w:id="213" w:name="_Toc3954"/>
      <w:bookmarkStart w:id="214" w:name="_Toc19845"/>
      <w:bookmarkStart w:id="215" w:name="_Toc8915"/>
      <w:bookmarkStart w:id="216" w:name="_Toc5013"/>
      <w:r>
        <w:rPr>
          <w:rFonts w:hint="eastAsia" w:ascii="宋体" w:hAnsi="宋体" w:eastAsia="宋体" w:cs="宋体"/>
          <w:highlight w:val="none"/>
        </w:rPr>
        <w:t>（一）</w:t>
      </w:r>
      <w:r>
        <w:rPr>
          <w:rFonts w:hint="eastAsia" w:ascii="宋体" w:hAnsi="宋体" w:cs="宋体"/>
          <w:highlight w:val="none"/>
          <w:lang w:eastAsia="zh-CN"/>
        </w:rPr>
        <w:t>供应商</w:t>
      </w:r>
      <w:r>
        <w:rPr>
          <w:rFonts w:hint="eastAsia" w:ascii="宋体" w:hAnsi="宋体" w:eastAsia="宋体" w:cs="宋体"/>
          <w:highlight w:val="none"/>
        </w:rPr>
        <w:t>基本情况表</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9"/>
        <w:gridCol w:w="920"/>
        <w:gridCol w:w="1048"/>
        <w:gridCol w:w="1019"/>
        <w:gridCol w:w="291"/>
        <w:gridCol w:w="202"/>
        <w:gridCol w:w="1279"/>
        <w:gridCol w:w="266"/>
        <w:gridCol w:w="727"/>
        <w:gridCol w:w="1458"/>
      </w:tblGrid>
      <w:tr w14:paraId="27C81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569" w:type="dxa"/>
            <w:noWrap w:val="0"/>
            <w:vAlign w:val="center"/>
          </w:tcPr>
          <w:p w14:paraId="0B083B72">
            <w:pPr>
              <w:jc w:val="center"/>
              <w:rPr>
                <w:rFonts w:hint="eastAsia" w:ascii="宋体" w:hAnsi="宋体" w:eastAsia="宋体" w:cs="宋体"/>
                <w:szCs w:val="21"/>
                <w:highlight w:val="none"/>
              </w:rPr>
            </w:pPr>
            <w:r>
              <w:rPr>
                <w:rFonts w:hint="eastAsia" w:ascii="宋体" w:hAnsi="宋体" w:cs="宋体"/>
                <w:szCs w:val="21"/>
                <w:highlight w:val="none"/>
                <w:lang w:eastAsia="zh-CN"/>
              </w:rPr>
              <w:t>供应商</w:t>
            </w:r>
            <w:r>
              <w:rPr>
                <w:rFonts w:hint="eastAsia" w:ascii="宋体" w:hAnsi="宋体" w:eastAsia="宋体" w:cs="宋体"/>
                <w:szCs w:val="21"/>
                <w:highlight w:val="none"/>
              </w:rPr>
              <w:t>名称</w:t>
            </w:r>
          </w:p>
        </w:tc>
        <w:tc>
          <w:tcPr>
            <w:tcW w:w="7210" w:type="dxa"/>
            <w:gridSpan w:val="9"/>
            <w:noWrap w:val="0"/>
            <w:vAlign w:val="center"/>
          </w:tcPr>
          <w:p w14:paraId="5DF719E7">
            <w:pPr>
              <w:jc w:val="center"/>
              <w:rPr>
                <w:rFonts w:hint="eastAsia" w:ascii="宋体" w:hAnsi="宋体" w:eastAsia="宋体" w:cs="宋体"/>
                <w:szCs w:val="21"/>
                <w:highlight w:val="none"/>
              </w:rPr>
            </w:pPr>
          </w:p>
        </w:tc>
      </w:tr>
      <w:tr w14:paraId="2D3BE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569" w:type="dxa"/>
            <w:noWrap w:val="0"/>
            <w:vAlign w:val="center"/>
          </w:tcPr>
          <w:p w14:paraId="6CD7A46A">
            <w:pPr>
              <w:jc w:val="center"/>
              <w:rPr>
                <w:rFonts w:hint="eastAsia" w:ascii="宋体" w:hAnsi="宋体" w:eastAsia="宋体" w:cs="宋体"/>
                <w:szCs w:val="21"/>
                <w:highlight w:val="none"/>
              </w:rPr>
            </w:pPr>
            <w:r>
              <w:rPr>
                <w:rFonts w:hint="eastAsia" w:ascii="宋体" w:hAnsi="宋体" w:eastAsia="宋体" w:cs="宋体"/>
                <w:szCs w:val="21"/>
                <w:highlight w:val="none"/>
              </w:rPr>
              <w:t>注册地址</w:t>
            </w:r>
          </w:p>
        </w:tc>
        <w:tc>
          <w:tcPr>
            <w:tcW w:w="3480" w:type="dxa"/>
            <w:gridSpan w:val="5"/>
            <w:noWrap w:val="0"/>
            <w:vAlign w:val="center"/>
          </w:tcPr>
          <w:p w14:paraId="6E0F3576">
            <w:pPr>
              <w:jc w:val="center"/>
              <w:rPr>
                <w:rFonts w:hint="eastAsia" w:ascii="宋体" w:hAnsi="宋体" w:eastAsia="宋体" w:cs="宋体"/>
                <w:szCs w:val="21"/>
                <w:highlight w:val="none"/>
              </w:rPr>
            </w:pPr>
          </w:p>
        </w:tc>
        <w:tc>
          <w:tcPr>
            <w:tcW w:w="1279" w:type="dxa"/>
            <w:noWrap w:val="0"/>
            <w:vAlign w:val="center"/>
          </w:tcPr>
          <w:p w14:paraId="44E145AF">
            <w:pPr>
              <w:jc w:val="center"/>
              <w:rPr>
                <w:rFonts w:hint="eastAsia" w:ascii="宋体" w:hAnsi="宋体" w:eastAsia="宋体" w:cs="宋体"/>
                <w:szCs w:val="21"/>
                <w:highlight w:val="none"/>
              </w:rPr>
            </w:pPr>
            <w:r>
              <w:rPr>
                <w:rFonts w:hint="eastAsia" w:ascii="宋体" w:hAnsi="宋体" w:eastAsia="宋体" w:cs="宋体"/>
                <w:szCs w:val="21"/>
                <w:highlight w:val="none"/>
              </w:rPr>
              <w:t>邮政编码</w:t>
            </w:r>
          </w:p>
        </w:tc>
        <w:tc>
          <w:tcPr>
            <w:tcW w:w="2451" w:type="dxa"/>
            <w:gridSpan w:val="3"/>
            <w:noWrap w:val="0"/>
            <w:vAlign w:val="center"/>
          </w:tcPr>
          <w:p w14:paraId="6483AE2C">
            <w:pPr>
              <w:jc w:val="center"/>
              <w:rPr>
                <w:rFonts w:hint="eastAsia" w:ascii="宋体" w:hAnsi="宋体" w:eastAsia="宋体" w:cs="宋体"/>
                <w:szCs w:val="21"/>
                <w:highlight w:val="none"/>
              </w:rPr>
            </w:pPr>
          </w:p>
        </w:tc>
      </w:tr>
      <w:tr w14:paraId="03A2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569" w:type="dxa"/>
            <w:vMerge w:val="restart"/>
            <w:noWrap w:val="0"/>
            <w:vAlign w:val="center"/>
          </w:tcPr>
          <w:p w14:paraId="6CC6DBBE">
            <w:pPr>
              <w:jc w:val="center"/>
              <w:rPr>
                <w:rFonts w:hint="eastAsia" w:ascii="宋体" w:hAnsi="宋体" w:eastAsia="宋体" w:cs="宋体"/>
                <w:szCs w:val="21"/>
                <w:highlight w:val="none"/>
              </w:rPr>
            </w:pPr>
            <w:r>
              <w:rPr>
                <w:rFonts w:hint="eastAsia" w:ascii="宋体" w:hAnsi="宋体" w:eastAsia="宋体" w:cs="宋体"/>
                <w:szCs w:val="21"/>
                <w:highlight w:val="none"/>
              </w:rPr>
              <w:t>联系方式</w:t>
            </w:r>
          </w:p>
        </w:tc>
        <w:tc>
          <w:tcPr>
            <w:tcW w:w="920" w:type="dxa"/>
            <w:noWrap w:val="0"/>
            <w:vAlign w:val="center"/>
          </w:tcPr>
          <w:p w14:paraId="5563F11B">
            <w:pPr>
              <w:jc w:val="center"/>
              <w:rPr>
                <w:rFonts w:hint="eastAsia" w:ascii="宋体" w:hAnsi="宋体" w:eastAsia="宋体" w:cs="宋体"/>
                <w:szCs w:val="21"/>
                <w:highlight w:val="none"/>
              </w:rPr>
            </w:pPr>
            <w:r>
              <w:rPr>
                <w:rFonts w:hint="eastAsia" w:ascii="宋体" w:hAnsi="宋体" w:eastAsia="宋体" w:cs="宋体"/>
                <w:szCs w:val="21"/>
                <w:highlight w:val="none"/>
              </w:rPr>
              <w:t>联系人</w:t>
            </w:r>
          </w:p>
        </w:tc>
        <w:tc>
          <w:tcPr>
            <w:tcW w:w="2560" w:type="dxa"/>
            <w:gridSpan w:val="4"/>
            <w:noWrap w:val="0"/>
            <w:vAlign w:val="center"/>
          </w:tcPr>
          <w:p w14:paraId="57B34B7A">
            <w:pPr>
              <w:jc w:val="center"/>
              <w:rPr>
                <w:rFonts w:hint="eastAsia" w:ascii="宋体" w:hAnsi="宋体" w:eastAsia="宋体" w:cs="宋体"/>
                <w:szCs w:val="21"/>
                <w:highlight w:val="none"/>
              </w:rPr>
            </w:pPr>
          </w:p>
        </w:tc>
        <w:tc>
          <w:tcPr>
            <w:tcW w:w="1279" w:type="dxa"/>
            <w:noWrap w:val="0"/>
            <w:vAlign w:val="center"/>
          </w:tcPr>
          <w:p w14:paraId="7E15244C">
            <w:pPr>
              <w:jc w:val="center"/>
              <w:rPr>
                <w:rFonts w:hint="eastAsia" w:ascii="宋体" w:hAnsi="宋体" w:eastAsia="宋体" w:cs="宋体"/>
                <w:szCs w:val="21"/>
                <w:highlight w:val="none"/>
              </w:rPr>
            </w:pPr>
            <w:r>
              <w:rPr>
                <w:rFonts w:hint="eastAsia" w:ascii="宋体" w:hAnsi="宋体" w:eastAsia="宋体" w:cs="宋体"/>
                <w:szCs w:val="21"/>
                <w:highlight w:val="none"/>
              </w:rPr>
              <w:t>电  话</w:t>
            </w:r>
          </w:p>
        </w:tc>
        <w:tc>
          <w:tcPr>
            <w:tcW w:w="2451" w:type="dxa"/>
            <w:gridSpan w:val="3"/>
            <w:noWrap w:val="0"/>
            <w:vAlign w:val="center"/>
          </w:tcPr>
          <w:p w14:paraId="19A9463F">
            <w:pPr>
              <w:jc w:val="center"/>
              <w:rPr>
                <w:rFonts w:hint="eastAsia" w:ascii="宋体" w:hAnsi="宋体" w:eastAsia="宋体" w:cs="宋体"/>
                <w:szCs w:val="21"/>
                <w:highlight w:val="none"/>
              </w:rPr>
            </w:pPr>
          </w:p>
        </w:tc>
      </w:tr>
      <w:tr w14:paraId="4A334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569" w:type="dxa"/>
            <w:vMerge w:val="continue"/>
            <w:noWrap w:val="0"/>
            <w:vAlign w:val="center"/>
          </w:tcPr>
          <w:p w14:paraId="52B9459B">
            <w:pPr>
              <w:jc w:val="center"/>
              <w:rPr>
                <w:rFonts w:hint="eastAsia" w:ascii="宋体" w:hAnsi="宋体" w:eastAsia="宋体" w:cs="宋体"/>
                <w:szCs w:val="21"/>
                <w:highlight w:val="none"/>
              </w:rPr>
            </w:pPr>
          </w:p>
        </w:tc>
        <w:tc>
          <w:tcPr>
            <w:tcW w:w="920" w:type="dxa"/>
            <w:noWrap w:val="0"/>
            <w:vAlign w:val="center"/>
          </w:tcPr>
          <w:p w14:paraId="56589B43">
            <w:pPr>
              <w:jc w:val="center"/>
              <w:rPr>
                <w:rFonts w:hint="eastAsia" w:ascii="宋体" w:hAnsi="宋体" w:eastAsia="宋体" w:cs="宋体"/>
                <w:szCs w:val="21"/>
                <w:highlight w:val="none"/>
              </w:rPr>
            </w:pPr>
            <w:r>
              <w:rPr>
                <w:rFonts w:hint="eastAsia" w:ascii="宋体" w:hAnsi="宋体" w:eastAsia="宋体" w:cs="宋体"/>
                <w:szCs w:val="21"/>
                <w:highlight w:val="none"/>
              </w:rPr>
              <w:t>传  真</w:t>
            </w:r>
          </w:p>
        </w:tc>
        <w:tc>
          <w:tcPr>
            <w:tcW w:w="2560" w:type="dxa"/>
            <w:gridSpan w:val="4"/>
            <w:noWrap w:val="0"/>
            <w:vAlign w:val="center"/>
          </w:tcPr>
          <w:p w14:paraId="36FCE123">
            <w:pPr>
              <w:jc w:val="center"/>
              <w:rPr>
                <w:rFonts w:hint="eastAsia" w:ascii="宋体" w:hAnsi="宋体" w:eastAsia="宋体" w:cs="宋体"/>
                <w:szCs w:val="21"/>
                <w:highlight w:val="none"/>
              </w:rPr>
            </w:pPr>
          </w:p>
        </w:tc>
        <w:tc>
          <w:tcPr>
            <w:tcW w:w="1279" w:type="dxa"/>
            <w:noWrap w:val="0"/>
            <w:vAlign w:val="center"/>
          </w:tcPr>
          <w:p w14:paraId="0ED0CC7E">
            <w:pPr>
              <w:jc w:val="center"/>
              <w:rPr>
                <w:rFonts w:hint="eastAsia" w:ascii="宋体" w:hAnsi="宋体" w:eastAsia="宋体" w:cs="宋体"/>
                <w:szCs w:val="21"/>
                <w:highlight w:val="none"/>
              </w:rPr>
            </w:pPr>
            <w:r>
              <w:rPr>
                <w:rFonts w:hint="eastAsia" w:ascii="宋体" w:hAnsi="宋体" w:eastAsia="宋体" w:cs="宋体"/>
                <w:szCs w:val="21"/>
                <w:highlight w:val="none"/>
              </w:rPr>
              <w:t>网  址</w:t>
            </w:r>
          </w:p>
        </w:tc>
        <w:tc>
          <w:tcPr>
            <w:tcW w:w="2451" w:type="dxa"/>
            <w:gridSpan w:val="3"/>
            <w:noWrap w:val="0"/>
            <w:vAlign w:val="center"/>
          </w:tcPr>
          <w:p w14:paraId="3C5031AA">
            <w:pPr>
              <w:jc w:val="center"/>
              <w:rPr>
                <w:rFonts w:hint="eastAsia" w:ascii="宋体" w:hAnsi="宋体" w:eastAsia="宋体" w:cs="宋体"/>
                <w:szCs w:val="21"/>
                <w:highlight w:val="none"/>
              </w:rPr>
            </w:pPr>
          </w:p>
        </w:tc>
      </w:tr>
      <w:tr w14:paraId="5AC2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569" w:type="dxa"/>
            <w:noWrap w:val="0"/>
            <w:vAlign w:val="center"/>
          </w:tcPr>
          <w:p w14:paraId="752EBCBD">
            <w:pPr>
              <w:jc w:val="center"/>
              <w:rPr>
                <w:rFonts w:hint="eastAsia" w:ascii="宋体" w:hAnsi="宋体" w:eastAsia="宋体" w:cs="宋体"/>
                <w:szCs w:val="21"/>
                <w:highlight w:val="none"/>
              </w:rPr>
            </w:pPr>
            <w:r>
              <w:rPr>
                <w:rFonts w:hint="eastAsia" w:ascii="宋体" w:hAnsi="宋体" w:eastAsia="宋体" w:cs="宋体"/>
                <w:szCs w:val="21"/>
                <w:highlight w:val="none"/>
              </w:rPr>
              <w:t>组织结构</w:t>
            </w:r>
          </w:p>
        </w:tc>
        <w:tc>
          <w:tcPr>
            <w:tcW w:w="7210" w:type="dxa"/>
            <w:gridSpan w:val="9"/>
            <w:noWrap w:val="0"/>
            <w:vAlign w:val="center"/>
          </w:tcPr>
          <w:p w14:paraId="03E81D43">
            <w:pPr>
              <w:jc w:val="center"/>
              <w:rPr>
                <w:rFonts w:hint="eastAsia" w:ascii="宋体" w:hAnsi="宋体" w:eastAsia="宋体" w:cs="宋体"/>
                <w:szCs w:val="21"/>
                <w:highlight w:val="none"/>
              </w:rPr>
            </w:pPr>
          </w:p>
        </w:tc>
      </w:tr>
      <w:tr w14:paraId="7715E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569" w:type="dxa"/>
            <w:noWrap w:val="0"/>
            <w:vAlign w:val="center"/>
          </w:tcPr>
          <w:p w14:paraId="623E89AA">
            <w:pPr>
              <w:jc w:val="center"/>
              <w:rPr>
                <w:rFonts w:hint="eastAsia" w:ascii="宋体" w:hAnsi="宋体" w:eastAsia="宋体" w:cs="宋体"/>
                <w:szCs w:val="21"/>
                <w:highlight w:val="none"/>
              </w:rPr>
            </w:pPr>
            <w:r>
              <w:rPr>
                <w:rFonts w:hint="eastAsia" w:ascii="宋体" w:hAnsi="宋体" w:eastAsia="宋体" w:cs="宋体"/>
                <w:szCs w:val="21"/>
                <w:highlight w:val="none"/>
              </w:rPr>
              <w:t>法定代表人</w:t>
            </w:r>
          </w:p>
        </w:tc>
        <w:tc>
          <w:tcPr>
            <w:tcW w:w="920" w:type="dxa"/>
            <w:noWrap w:val="0"/>
            <w:vAlign w:val="center"/>
          </w:tcPr>
          <w:p w14:paraId="57C00890">
            <w:pPr>
              <w:jc w:val="center"/>
              <w:rPr>
                <w:rFonts w:hint="eastAsia" w:ascii="宋体" w:hAnsi="宋体" w:eastAsia="宋体" w:cs="宋体"/>
                <w:szCs w:val="21"/>
                <w:highlight w:val="none"/>
              </w:rPr>
            </w:pPr>
            <w:r>
              <w:rPr>
                <w:rFonts w:hint="eastAsia" w:ascii="宋体" w:hAnsi="宋体" w:eastAsia="宋体" w:cs="宋体"/>
                <w:szCs w:val="21"/>
                <w:highlight w:val="none"/>
              </w:rPr>
              <w:t>姓名</w:t>
            </w:r>
          </w:p>
        </w:tc>
        <w:tc>
          <w:tcPr>
            <w:tcW w:w="1048" w:type="dxa"/>
            <w:noWrap w:val="0"/>
            <w:vAlign w:val="center"/>
          </w:tcPr>
          <w:p w14:paraId="2100975D">
            <w:pPr>
              <w:jc w:val="center"/>
              <w:rPr>
                <w:rFonts w:hint="eastAsia" w:ascii="宋体" w:hAnsi="宋体" w:eastAsia="宋体" w:cs="宋体"/>
                <w:szCs w:val="21"/>
                <w:highlight w:val="none"/>
              </w:rPr>
            </w:pPr>
          </w:p>
        </w:tc>
        <w:tc>
          <w:tcPr>
            <w:tcW w:w="1310" w:type="dxa"/>
            <w:gridSpan w:val="2"/>
            <w:noWrap w:val="0"/>
            <w:vAlign w:val="center"/>
          </w:tcPr>
          <w:p w14:paraId="7CCB6B8B">
            <w:pPr>
              <w:jc w:val="center"/>
              <w:rPr>
                <w:rFonts w:hint="eastAsia" w:ascii="宋体" w:hAnsi="宋体" w:eastAsia="宋体" w:cs="宋体"/>
                <w:szCs w:val="21"/>
                <w:highlight w:val="none"/>
              </w:rPr>
            </w:pPr>
            <w:r>
              <w:rPr>
                <w:rFonts w:hint="eastAsia" w:ascii="宋体" w:hAnsi="宋体" w:eastAsia="宋体" w:cs="宋体"/>
                <w:szCs w:val="21"/>
                <w:highlight w:val="none"/>
              </w:rPr>
              <w:t>技术职称</w:t>
            </w:r>
          </w:p>
        </w:tc>
        <w:tc>
          <w:tcPr>
            <w:tcW w:w="1747" w:type="dxa"/>
            <w:gridSpan w:val="3"/>
            <w:noWrap w:val="0"/>
            <w:vAlign w:val="center"/>
          </w:tcPr>
          <w:p w14:paraId="60A62225">
            <w:pPr>
              <w:jc w:val="center"/>
              <w:rPr>
                <w:rFonts w:hint="eastAsia" w:ascii="宋体" w:hAnsi="宋体" w:eastAsia="宋体" w:cs="宋体"/>
                <w:szCs w:val="21"/>
                <w:highlight w:val="none"/>
              </w:rPr>
            </w:pPr>
          </w:p>
        </w:tc>
        <w:tc>
          <w:tcPr>
            <w:tcW w:w="727" w:type="dxa"/>
            <w:noWrap w:val="0"/>
            <w:vAlign w:val="center"/>
          </w:tcPr>
          <w:p w14:paraId="14A142BE">
            <w:pPr>
              <w:jc w:val="center"/>
              <w:rPr>
                <w:rFonts w:hint="eastAsia" w:ascii="宋体" w:hAnsi="宋体" w:eastAsia="宋体" w:cs="宋体"/>
                <w:szCs w:val="21"/>
                <w:highlight w:val="none"/>
              </w:rPr>
            </w:pPr>
            <w:r>
              <w:rPr>
                <w:rFonts w:hint="eastAsia" w:ascii="宋体" w:hAnsi="宋体" w:eastAsia="宋体" w:cs="宋体"/>
                <w:szCs w:val="21"/>
                <w:highlight w:val="none"/>
              </w:rPr>
              <w:t>电话</w:t>
            </w:r>
          </w:p>
        </w:tc>
        <w:tc>
          <w:tcPr>
            <w:tcW w:w="1458" w:type="dxa"/>
            <w:noWrap w:val="0"/>
            <w:vAlign w:val="center"/>
          </w:tcPr>
          <w:p w14:paraId="23B169EF">
            <w:pPr>
              <w:jc w:val="center"/>
              <w:rPr>
                <w:rFonts w:hint="eastAsia" w:ascii="宋体" w:hAnsi="宋体" w:eastAsia="宋体" w:cs="宋体"/>
                <w:szCs w:val="21"/>
                <w:highlight w:val="none"/>
              </w:rPr>
            </w:pPr>
          </w:p>
        </w:tc>
      </w:tr>
      <w:tr w14:paraId="02F56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569" w:type="dxa"/>
            <w:noWrap w:val="0"/>
            <w:vAlign w:val="center"/>
          </w:tcPr>
          <w:p w14:paraId="040A744D">
            <w:pPr>
              <w:jc w:val="center"/>
              <w:rPr>
                <w:rFonts w:hint="eastAsia" w:ascii="宋体" w:hAnsi="宋体" w:eastAsia="宋体" w:cs="宋体"/>
                <w:szCs w:val="21"/>
                <w:highlight w:val="none"/>
              </w:rPr>
            </w:pPr>
            <w:r>
              <w:rPr>
                <w:rFonts w:hint="eastAsia" w:ascii="宋体" w:hAnsi="宋体" w:eastAsia="宋体" w:cs="宋体"/>
                <w:szCs w:val="21"/>
                <w:highlight w:val="none"/>
              </w:rPr>
              <w:t>技术负责人</w:t>
            </w:r>
          </w:p>
        </w:tc>
        <w:tc>
          <w:tcPr>
            <w:tcW w:w="920" w:type="dxa"/>
            <w:noWrap w:val="0"/>
            <w:vAlign w:val="center"/>
          </w:tcPr>
          <w:p w14:paraId="151C4AE5">
            <w:pPr>
              <w:jc w:val="center"/>
              <w:rPr>
                <w:rFonts w:hint="eastAsia" w:ascii="宋体" w:hAnsi="宋体" w:eastAsia="宋体" w:cs="宋体"/>
                <w:szCs w:val="21"/>
                <w:highlight w:val="none"/>
              </w:rPr>
            </w:pPr>
            <w:r>
              <w:rPr>
                <w:rFonts w:hint="eastAsia" w:ascii="宋体" w:hAnsi="宋体" w:eastAsia="宋体" w:cs="宋体"/>
                <w:szCs w:val="21"/>
                <w:highlight w:val="none"/>
              </w:rPr>
              <w:t>姓名</w:t>
            </w:r>
          </w:p>
        </w:tc>
        <w:tc>
          <w:tcPr>
            <w:tcW w:w="1048" w:type="dxa"/>
            <w:noWrap w:val="0"/>
            <w:vAlign w:val="center"/>
          </w:tcPr>
          <w:p w14:paraId="31D07E10">
            <w:pPr>
              <w:jc w:val="center"/>
              <w:rPr>
                <w:rFonts w:hint="eastAsia" w:ascii="宋体" w:hAnsi="宋体" w:eastAsia="宋体" w:cs="宋体"/>
                <w:szCs w:val="21"/>
                <w:highlight w:val="none"/>
              </w:rPr>
            </w:pPr>
          </w:p>
        </w:tc>
        <w:tc>
          <w:tcPr>
            <w:tcW w:w="1310" w:type="dxa"/>
            <w:gridSpan w:val="2"/>
            <w:noWrap w:val="0"/>
            <w:vAlign w:val="center"/>
          </w:tcPr>
          <w:p w14:paraId="1DE052E6">
            <w:pPr>
              <w:jc w:val="center"/>
              <w:rPr>
                <w:rFonts w:hint="eastAsia" w:ascii="宋体" w:hAnsi="宋体" w:eastAsia="宋体" w:cs="宋体"/>
                <w:szCs w:val="21"/>
                <w:highlight w:val="none"/>
              </w:rPr>
            </w:pPr>
            <w:r>
              <w:rPr>
                <w:rFonts w:hint="eastAsia" w:ascii="宋体" w:hAnsi="宋体" w:eastAsia="宋体" w:cs="宋体"/>
                <w:szCs w:val="21"/>
                <w:highlight w:val="none"/>
              </w:rPr>
              <w:t>技术职称</w:t>
            </w:r>
          </w:p>
        </w:tc>
        <w:tc>
          <w:tcPr>
            <w:tcW w:w="1747" w:type="dxa"/>
            <w:gridSpan w:val="3"/>
            <w:noWrap w:val="0"/>
            <w:vAlign w:val="center"/>
          </w:tcPr>
          <w:p w14:paraId="1174FBD8">
            <w:pPr>
              <w:jc w:val="center"/>
              <w:rPr>
                <w:rFonts w:hint="eastAsia" w:ascii="宋体" w:hAnsi="宋体" w:eastAsia="宋体" w:cs="宋体"/>
                <w:szCs w:val="21"/>
                <w:highlight w:val="none"/>
              </w:rPr>
            </w:pPr>
          </w:p>
        </w:tc>
        <w:tc>
          <w:tcPr>
            <w:tcW w:w="727" w:type="dxa"/>
            <w:noWrap w:val="0"/>
            <w:vAlign w:val="center"/>
          </w:tcPr>
          <w:p w14:paraId="196C0A82">
            <w:pPr>
              <w:jc w:val="center"/>
              <w:rPr>
                <w:rFonts w:hint="eastAsia" w:ascii="宋体" w:hAnsi="宋体" w:eastAsia="宋体" w:cs="宋体"/>
                <w:szCs w:val="21"/>
                <w:highlight w:val="none"/>
              </w:rPr>
            </w:pPr>
            <w:r>
              <w:rPr>
                <w:rFonts w:hint="eastAsia" w:ascii="宋体" w:hAnsi="宋体" w:eastAsia="宋体" w:cs="宋体"/>
                <w:szCs w:val="21"/>
                <w:highlight w:val="none"/>
              </w:rPr>
              <w:t>电话</w:t>
            </w:r>
          </w:p>
        </w:tc>
        <w:tc>
          <w:tcPr>
            <w:tcW w:w="1458" w:type="dxa"/>
            <w:noWrap w:val="0"/>
            <w:vAlign w:val="center"/>
          </w:tcPr>
          <w:p w14:paraId="3FF7D81B">
            <w:pPr>
              <w:jc w:val="center"/>
              <w:rPr>
                <w:rFonts w:hint="eastAsia" w:ascii="宋体" w:hAnsi="宋体" w:eastAsia="宋体" w:cs="宋体"/>
                <w:szCs w:val="21"/>
                <w:highlight w:val="none"/>
              </w:rPr>
            </w:pPr>
          </w:p>
        </w:tc>
      </w:tr>
      <w:tr w14:paraId="3F0AC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569" w:type="dxa"/>
            <w:noWrap w:val="0"/>
            <w:vAlign w:val="center"/>
          </w:tcPr>
          <w:p w14:paraId="5F209A8E">
            <w:pPr>
              <w:jc w:val="center"/>
              <w:rPr>
                <w:rFonts w:hint="eastAsia" w:ascii="宋体" w:hAnsi="宋体" w:eastAsia="宋体" w:cs="宋体"/>
                <w:szCs w:val="21"/>
                <w:highlight w:val="none"/>
              </w:rPr>
            </w:pPr>
            <w:r>
              <w:rPr>
                <w:rFonts w:hint="eastAsia" w:ascii="宋体" w:hAnsi="宋体" w:eastAsia="宋体" w:cs="宋体"/>
                <w:szCs w:val="21"/>
                <w:highlight w:val="none"/>
              </w:rPr>
              <w:t>成立时间</w:t>
            </w:r>
          </w:p>
        </w:tc>
        <w:tc>
          <w:tcPr>
            <w:tcW w:w="1968" w:type="dxa"/>
            <w:gridSpan w:val="2"/>
            <w:noWrap w:val="0"/>
            <w:vAlign w:val="center"/>
          </w:tcPr>
          <w:p w14:paraId="4943BF73">
            <w:pPr>
              <w:jc w:val="center"/>
              <w:rPr>
                <w:rFonts w:hint="eastAsia" w:ascii="宋体" w:hAnsi="宋体" w:eastAsia="宋体" w:cs="宋体"/>
                <w:szCs w:val="21"/>
                <w:highlight w:val="none"/>
              </w:rPr>
            </w:pPr>
          </w:p>
        </w:tc>
        <w:tc>
          <w:tcPr>
            <w:tcW w:w="5242" w:type="dxa"/>
            <w:gridSpan w:val="7"/>
            <w:noWrap w:val="0"/>
            <w:vAlign w:val="center"/>
          </w:tcPr>
          <w:p w14:paraId="5C81CBA0">
            <w:pPr>
              <w:jc w:val="center"/>
              <w:rPr>
                <w:rFonts w:hint="eastAsia" w:ascii="宋体" w:hAnsi="宋体" w:eastAsia="宋体" w:cs="宋体"/>
                <w:szCs w:val="21"/>
                <w:highlight w:val="none"/>
              </w:rPr>
            </w:pPr>
            <w:r>
              <w:rPr>
                <w:rFonts w:hint="eastAsia" w:ascii="宋体" w:hAnsi="宋体" w:eastAsia="宋体" w:cs="宋体"/>
                <w:szCs w:val="21"/>
                <w:highlight w:val="none"/>
              </w:rPr>
              <w:t>员工总人数：</w:t>
            </w:r>
          </w:p>
        </w:tc>
      </w:tr>
      <w:tr w14:paraId="0E169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569" w:type="dxa"/>
            <w:vMerge w:val="restart"/>
            <w:noWrap w:val="0"/>
            <w:vAlign w:val="center"/>
          </w:tcPr>
          <w:p w14:paraId="4BC644D3">
            <w:pPr>
              <w:jc w:val="center"/>
              <w:rPr>
                <w:rFonts w:hint="eastAsia" w:ascii="宋体" w:hAnsi="宋体" w:eastAsia="宋体" w:cs="宋体"/>
                <w:szCs w:val="21"/>
                <w:highlight w:val="none"/>
              </w:rPr>
            </w:pPr>
            <w:r>
              <w:rPr>
                <w:rFonts w:hint="eastAsia" w:ascii="宋体" w:hAnsi="宋体" w:eastAsia="宋体" w:cs="宋体"/>
                <w:szCs w:val="21"/>
                <w:highlight w:val="none"/>
              </w:rPr>
              <w:t>营业执照号</w:t>
            </w:r>
          </w:p>
        </w:tc>
        <w:tc>
          <w:tcPr>
            <w:tcW w:w="1968" w:type="dxa"/>
            <w:gridSpan w:val="2"/>
            <w:vMerge w:val="restart"/>
            <w:noWrap w:val="0"/>
            <w:vAlign w:val="center"/>
          </w:tcPr>
          <w:p w14:paraId="0A1ECBA4">
            <w:pPr>
              <w:jc w:val="center"/>
              <w:rPr>
                <w:rFonts w:hint="eastAsia" w:ascii="宋体" w:hAnsi="宋体" w:eastAsia="宋体" w:cs="宋体"/>
                <w:szCs w:val="21"/>
                <w:highlight w:val="none"/>
              </w:rPr>
            </w:pPr>
          </w:p>
        </w:tc>
        <w:tc>
          <w:tcPr>
            <w:tcW w:w="1019" w:type="dxa"/>
            <w:vMerge w:val="restart"/>
            <w:noWrap w:val="0"/>
            <w:vAlign w:val="center"/>
          </w:tcPr>
          <w:p w14:paraId="447FDE47">
            <w:pPr>
              <w:jc w:val="center"/>
              <w:rPr>
                <w:rFonts w:hint="eastAsia" w:ascii="宋体" w:hAnsi="宋体" w:eastAsia="宋体" w:cs="宋体"/>
                <w:szCs w:val="21"/>
                <w:highlight w:val="none"/>
              </w:rPr>
            </w:pPr>
            <w:r>
              <w:rPr>
                <w:rFonts w:hint="eastAsia" w:ascii="宋体" w:hAnsi="宋体" w:eastAsia="宋体" w:cs="宋体"/>
                <w:szCs w:val="21"/>
                <w:highlight w:val="none"/>
              </w:rPr>
              <w:t>其中</w:t>
            </w:r>
          </w:p>
        </w:tc>
        <w:tc>
          <w:tcPr>
            <w:tcW w:w="2038" w:type="dxa"/>
            <w:gridSpan w:val="4"/>
            <w:noWrap w:val="0"/>
            <w:vAlign w:val="center"/>
          </w:tcPr>
          <w:p w14:paraId="3A52A8F6">
            <w:pPr>
              <w:jc w:val="center"/>
              <w:rPr>
                <w:rFonts w:hint="eastAsia" w:ascii="宋体" w:hAnsi="宋体" w:eastAsia="宋体" w:cs="宋体"/>
                <w:szCs w:val="21"/>
                <w:highlight w:val="none"/>
              </w:rPr>
            </w:pPr>
            <w:r>
              <w:rPr>
                <w:rFonts w:hint="eastAsia" w:ascii="宋体" w:hAnsi="宋体" w:eastAsia="宋体" w:cs="宋体"/>
                <w:szCs w:val="21"/>
                <w:highlight w:val="none"/>
              </w:rPr>
              <w:t>项目经理</w:t>
            </w:r>
          </w:p>
        </w:tc>
        <w:tc>
          <w:tcPr>
            <w:tcW w:w="2185" w:type="dxa"/>
            <w:gridSpan w:val="2"/>
            <w:noWrap w:val="0"/>
            <w:vAlign w:val="center"/>
          </w:tcPr>
          <w:p w14:paraId="2AEF0033">
            <w:pPr>
              <w:jc w:val="center"/>
              <w:rPr>
                <w:rFonts w:hint="eastAsia" w:ascii="宋体" w:hAnsi="宋体" w:eastAsia="宋体" w:cs="宋体"/>
                <w:szCs w:val="21"/>
                <w:highlight w:val="none"/>
              </w:rPr>
            </w:pPr>
          </w:p>
        </w:tc>
      </w:tr>
      <w:tr w14:paraId="7A253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569" w:type="dxa"/>
            <w:vMerge w:val="continue"/>
            <w:noWrap w:val="0"/>
            <w:vAlign w:val="center"/>
          </w:tcPr>
          <w:p w14:paraId="36949BA6">
            <w:pPr>
              <w:jc w:val="center"/>
              <w:rPr>
                <w:rFonts w:hint="eastAsia" w:ascii="宋体" w:hAnsi="宋体" w:eastAsia="宋体" w:cs="宋体"/>
                <w:szCs w:val="21"/>
                <w:highlight w:val="none"/>
              </w:rPr>
            </w:pPr>
          </w:p>
        </w:tc>
        <w:tc>
          <w:tcPr>
            <w:tcW w:w="1968" w:type="dxa"/>
            <w:gridSpan w:val="2"/>
            <w:vMerge w:val="continue"/>
            <w:noWrap w:val="0"/>
            <w:vAlign w:val="center"/>
          </w:tcPr>
          <w:p w14:paraId="2CC62288">
            <w:pPr>
              <w:jc w:val="center"/>
              <w:rPr>
                <w:rFonts w:hint="eastAsia" w:ascii="宋体" w:hAnsi="宋体" w:eastAsia="宋体" w:cs="宋体"/>
                <w:szCs w:val="21"/>
                <w:highlight w:val="none"/>
              </w:rPr>
            </w:pPr>
          </w:p>
        </w:tc>
        <w:tc>
          <w:tcPr>
            <w:tcW w:w="1019" w:type="dxa"/>
            <w:vMerge w:val="continue"/>
            <w:noWrap w:val="0"/>
            <w:vAlign w:val="center"/>
          </w:tcPr>
          <w:p w14:paraId="647757B5">
            <w:pPr>
              <w:jc w:val="center"/>
              <w:rPr>
                <w:rFonts w:hint="eastAsia" w:ascii="宋体" w:hAnsi="宋体" w:eastAsia="宋体" w:cs="宋体"/>
                <w:szCs w:val="21"/>
                <w:highlight w:val="none"/>
              </w:rPr>
            </w:pPr>
          </w:p>
        </w:tc>
        <w:tc>
          <w:tcPr>
            <w:tcW w:w="2038" w:type="dxa"/>
            <w:gridSpan w:val="4"/>
            <w:noWrap w:val="0"/>
            <w:vAlign w:val="center"/>
          </w:tcPr>
          <w:p w14:paraId="499FB95D">
            <w:pPr>
              <w:jc w:val="center"/>
              <w:rPr>
                <w:rFonts w:hint="eastAsia" w:ascii="宋体" w:hAnsi="宋体" w:eastAsia="宋体" w:cs="宋体"/>
                <w:szCs w:val="21"/>
                <w:highlight w:val="none"/>
              </w:rPr>
            </w:pPr>
            <w:r>
              <w:rPr>
                <w:rFonts w:hint="eastAsia" w:ascii="宋体" w:hAnsi="宋体" w:eastAsia="宋体" w:cs="宋体"/>
                <w:szCs w:val="21"/>
                <w:highlight w:val="none"/>
              </w:rPr>
              <w:t>高级职称人员</w:t>
            </w:r>
          </w:p>
        </w:tc>
        <w:tc>
          <w:tcPr>
            <w:tcW w:w="2185" w:type="dxa"/>
            <w:gridSpan w:val="2"/>
            <w:noWrap w:val="0"/>
            <w:vAlign w:val="center"/>
          </w:tcPr>
          <w:p w14:paraId="11BE4632">
            <w:pPr>
              <w:jc w:val="center"/>
              <w:rPr>
                <w:rFonts w:hint="eastAsia" w:ascii="宋体" w:hAnsi="宋体" w:eastAsia="宋体" w:cs="宋体"/>
                <w:szCs w:val="21"/>
                <w:highlight w:val="none"/>
              </w:rPr>
            </w:pPr>
          </w:p>
        </w:tc>
      </w:tr>
      <w:tr w14:paraId="632D8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569" w:type="dxa"/>
            <w:noWrap w:val="0"/>
            <w:vAlign w:val="center"/>
          </w:tcPr>
          <w:p w14:paraId="218D354A">
            <w:pPr>
              <w:jc w:val="center"/>
              <w:rPr>
                <w:rFonts w:hint="eastAsia" w:ascii="宋体" w:hAnsi="宋体" w:eastAsia="宋体" w:cs="宋体"/>
                <w:szCs w:val="21"/>
                <w:highlight w:val="none"/>
              </w:rPr>
            </w:pPr>
            <w:r>
              <w:rPr>
                <w:rFonts w:hint="eastAsia" w:ascii="宋体" w:hAnsi="宋体" w:eastAsia="宋体" w:cs="宋体"/>
                <w:szCs w:val="21"/>
                <w:highlight w:val="none"/>
              </w:rPr>
              <w:t>注册资金</w:t>
            </w:r>
          </w:p>
        </w:tc>
        <w:tc>
          <w:tcPr>
            <w:tcW w:w="920" w:type="dxa"/>
            <w:noWrap w:val="0"/>
            <w:vAlign w:val="center"/>
          </w:tcPr>
          <w:p w14:paraId="45662225">
            <w:pPr>
              <w:jc w:val="center"/>
              <w:rPr>
                <w:rFonts w:hint="eastAsia" w:ascii="宋体" w:hAnsi="宋体" w:eastAsia="宋体" w:cs="宋体"/>
                <w:szCs w:val="21"/>
                <w:highlight w:val="none"/>
              </w:rPr>
            </w:pPr>
          </w:p>
        </w:tc>
        <w:tc>
          <w:tcPr>
            <w:tcW w:w="1048" w:type="dxa"/>
            <w:noWrap w:val="0"/>
            <w:vAlign w:val="center"/>
          </w:tcPr>
          <w:p w14:paraId="13DD7A01">
            <w:pPr>
              <w:jc w:val="center"/>
              <w:rPr>
                <w:rFonts w:hint="eastAsia" w:ascii="宋体" w:hAnsi="宋体" w:eastAsia="宋体" w:cs="宋体"/>
                <w:szCs w:val="21"/>
                <w:highlight w:val="none"/>
              </w:rPr>
            </w:pPr>
          </w:p>
        </w:tc>
        <w:tc>
          <w:tcPr>
            <w:tcW w:w="1019" w:type="dxa"/>
            <w:vMerge w:val="continue"/>
            <w:noWrap w:val="0"/>
            <w:vAlign w:val="center"/>
          </w:tcPr>
          <w:p w14:paraId="4A0657B4">
            <w:pPr>
              <w:jc w:val="center"/>
              <w:rPr>
                <w:rFonts w:hint="eastAsia" w:ascii="宋体" w:hAnsi="宋体" w:eastAsia="宋体" w:cs="宋体"/>
                <w:szCs w:val="21"/>
                <w:highlight w:val="none"/>
              </w:rPr>
            </w:pPr>
          </w:p>
        </w:tc>
        <w:tc>
          <w:tcPr>
            <w:tcW w:w="2038" w:type="dxa"/>
            <w:gridSpan w:val="4"/>
            <w:noWrap w:val="0"/>
            <w:vAlign w:val="center"/>
          </w:tcPr>
          <w:p w14:paraId="099E47FC">
            <w:pPr>
              <w:jc w:val="center"/>
              <w:rPr>
                <w:rFonts w:hint="eastAsia" w:ascii="宋体" w:hAnsi="宋体" w:eastAsia="宋体" w:cs="宋体"/>
                <w:szCs w:val="21"/>
                <w:highlight w:val="none"/>
              </w:rPr>
            </w:pPr>
            <w:r>
              <w:rPr>
                <w:rFonts w:hint="eastAsia" w:ascii="宋体" w:hAnsi="宋体" w:eastAsia="宋体" w:cs="宋体"/>
                <w:szCs w:val="21"/>
                <w:highlight w:val="none"/>
              </w:rPr>
              <w:t>中级职称人员</w:t>
            </w:r>
          </w:p>
        </w:tc>
        <w:tc>
          <w:tcPr>
            <w:tcW w:w="2185" w:type="dxa"/>
            <w:gridSpan w:val="2"/>
            <w:noWrap w:val="0"/>
            <w:vAlign w:val="center"/>
          </w:tcPr>
          <w:p w14:paraId="072347DB">
            <w:pPr>
              <w:jc w:val="center"/>
              <w:rPr>
                <w:rFonts w:hint="eastAsia" w:ascii="宋体" w:hAnsi="宋体" w:eastAsia="宋体" w:cs="宋体"/>
                <w:szCs w:val="21"/>
                <w:highlight w:val="none"/>
              </w:rPr>
            </w:pPr>
          </w:p>
        </w:tc>
      </w:tr>
      <w:tr w14:paraId="3E7D0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569" w:type="dxa"/>
            <w:noWrap w:val="0"/>
            <w:vAlign w:val="center"/>
          </w:tcPr>
          <w:p w14:paraId="35789A6D">
            <w:pPr>
              <w:jc w:val="center"/>
              <w:rPr>
                <w:rFonts w:hint="eastAsia" w:ascii="宋体" w:hAnsi="宋体" w:eastAsia="宋体" w:cs="宋体"/>
                <w:szCs w:val="21"/>
                <w:highlight w:val="none"/>
              </w:rPr>
            </w:pPr>
            <w:r>
              <w:rPr>
                <w:rFonts w:hint="eastAsia" w:ascii="宋体" w:hAnsi="宋体" w:eastAsia="宋体" w:cs="宋体"/>
                <w:szCs w:val="21"/>
                <w:highlight w:val="none"/>
              </w:rPr>
              <w:t>开户银行</w:t>
            </w:r>
          </w:p>
        </w:tc>
        <w:tc>
          <w:tcPr>
            <w:tcW w:w="920" w:type="dxa"/>
            <w:noWrap w:val="0"/>
            <w:vAlign w:val="center"/>
          </w:tcPr>
          <w:p w14:paraId="74A71D58">
            <w:pPr>
              <w:jc w:val="center"/>
              <w:rPr>
                <w:rFonts w:hint="eastAsia" w:ascii="宋体" w:hAnsi="宋体" w:eastAsia="宋体" w:cs="宋体"/>
                <w:szCs w:val="21"/>
                <w:highlight w:val="none"/>
              </w:rPr>
            </w:pPr>
          </w:p>
        </w:tc>
        <w:tc>
          <w:tcPr>
            <w:tcW w:w="1048" w:type="dxa"/>
            <w:noWrap w:val="0"/>
            <w:vAlign w:val="center"/>
          </w:tcPr>
          <w:p w14:paraId="306F0F6D">
            <w:pPr>
              <w:jc w:val="center"/>
              <w:rPr>
                <w:rFonts w:hint="eastAsia" w:ascii="宋体" w:hAnsi="宋体" w:eastAsia="宋体" w:cs="宋体"/>
                <w:szCs w:val="21"/>
                <w:highlight w:val="none"/>
              </w:rPr>
            </w:pPr>
          </w:p>
        </w:tc>
        <w:tc>
          <w:tcPr>
            <w:tcW w:w="1019" w:type="dxa"/>
            <w:vMerge w:val="continue"/>
            <w:noWrap w:val="0"/>
            <w:vAlign w:val="center"/>
          </w:tcPr>
          <w:p w14:paraId="25048A9F">
            <w:pPr>
              <w:jc w:val="center"/>
              <w:rPr>
                <w:rFonts w:hint="eastAsia" w:ascii="宋体" w:hAnsi="宋体" w:eastAsia="宋体" w:cs="宋体"/>
                <w:szCs w:val="21"/>
                <w:highlight w:val="none"/>
              </w:rPr>
            </w:pPr>
          </w:p>
        </w:tc>
        <w:tc>
          <w:tcPr>
            <w:tcW w:w="2038" w:type="dxa"/>
            <w:gridSpan w:val="4"/>
            <w:noWrap w:val="0"/>
            <w:vAlign w:val="center"/>
          </w:tcPr>
          <w:p w14:paraId="7BEB200F">
            <w:pPr>
              <w:jc w:val="center"/>
              <w:rPr>
                <w:rFonts w:hint="eastAsia" w:ascii="宋体" w:hAnsi="宋体" w:eastAsia="宋体" w:cs="宋体"/>
                <w:szCs w:val="21"/>
                <w:highlight w:val="none"/>
              </w:rPr>
            </w:pPr>
            <w:r>
              <w:rPr>
                <w:rFonts w:hint="eastAsia" w:ascii="宋体" w:hAnsi="宋体" w:eastAsia="宋体" w:cs="宋体"/>
                <w:szCs w:val="21"/>
                <w:highlight w:val="none"/>
              </w:rPr>
              <w:t>初级职称人员</w:t>
            </w:r>
          </w:p>
        </w:tc>
        <w:tc>
          <w:tcPr>
            <w:tcW w:w="2185" w:type="dxa"/>
            <w:gridSpan w:val="2"/>
            <w:noWrap w:val="0"/>
            <w:vAlign w:val="center"/>
          </w:tcPr>
          <w:p w14:paraId="738F9CC2">
            <w:pPr>
              <w:jc w:val="center"/>
              <w:rPr>
                <w:rFonts w:hint="eastAsia" w:ascii="宋体" w:hAnsi="宋体" w:eastAsia="宋体" w:cs="宋体"/>
                <w:szCs w:val="21"/>
                <w:highlight w:val="none"/>
              </w:rPr>
            </w:pPr>
          </w:p>
        </w:tc>
      </w:tr>
      <w:tr w14:paraId="2CCDE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569" w:type="dxa"/>
            <w:noWrap w:val="0"/>
            <w:vAlign w:val="center"/>
          </w:tcPr>
          <w:p w14:paraId="56F4C6A5">
            <w:pPr>
              <w:jc w:val="center"/>
              <w:rPr>
                <w:rFonts w:hint="eastAsia" w:ascii="宋体" w:hAnsi="宋体" w:eastAsia="宋体" w:cs="宋体"/>
                <w:szCs w:val="21"/>
                <w:highlight w:val="none"/>
              </w:rPr>
            </w:pPr>
            <w:r>
              <w:rPr>
                <w:rFonts w:hint="eastAsia" w:ascii="宋体" w:hAnsi="宋体" w:eastAsia="宋体" w:cs="宋体"/>
                <w:szCs w:val="21"/>
                <w:highlight w:val="none"/>
              </w:rPr>
              <w:t>账号</w:t>
            </w:r>
          </w:p>
        </w:tc>
        <w:tc>
          <w:tcPr>
            <w:tcW w:w="920" w:type="dxa"/>
            <w:noWrap w:val="0"/>
            <w:vAlign w:val="center"/>
          </w:tcPr>
          <w:p w14:paraId="290F9014">
            <w:pPr>
              <w:jc w:val="center"/>
              <w:rPr>
                <w:rFonts w:hint="eastAsia" w:ascii="宋体" w:hAnsi="宋体" w:eastAsia="宋体" w:cs="宋体"/>
                <w:szCs w:val="21"/>
                <w:highlight w:val="none"/>
              </w:rPr>
            </w:pPr>
          </w:p>
        </w:tc>
        <w:tc>
          <w:tcPr>
            <w:tcW w:w="1048" w:type="dxa"/>
            <w:noWrap w:val="0"/>
            <w:vAlign w:val="center"/>
          </w:tcPr>
          <w:p w14:paraId="680851B6">
            <w:pPr>
              <w:jc w:val="center"/>
              <w:rPr>
                <w:rFonts w:hint="eastAsia" w:ascii="宋体" w:hAnsi="宋体" w:eastAsia="宋体" w:cs="宋体"/>
                <w:szCs w:val="21"/>
                <w:highlight w:val="none"/>
              </w:rPr>
            </w:pPr>
          </w:p>
        </w:tc>
        <w:tc>
          <w:tcPr>
            <w:tcW w:w="1019" w:type="dxa"/>
            <w:vMerge w:val="continue"/>
            <w:noWrap w:val="0"/>
            <w:vAlign w:val="center"/>
          </w:tcPr>
          <w:p w14:paraId="3FC3F307">
            <w:pPr>
              <w:jc w:val="center"/>
              <w:rPr>
                <w:rFonts w:hint="eastAsia" w:ascii="宋体" w:hAnsi="宋体" w:eastAsia="宋体" w:cs="宋体"/>
                <w:szCs w:val="21"/>
                <w:highlight w:val="none"/>
              </w:rPr>
            </w:pPr>
          </w:p>
        </w:tc>
        <w:tc>
          <w:tcPr>
            <w:tcW w:w="2038" w:type="dxa"/>
            <w:gridSpan w:val="4"/>
            <w:noWrap w:val="0"/>
            <w:vAlign w:val="center"/>
          </w:tcPr>
          <w:p w14:paraId="00411B3A">
            <w:pPr>
              <w:jc w:val="center"/>
              <w:rPr>
                <w:rFonts w:hint="eastAsia" w:ascii="宋体" w:hAnsi="宋体" w:eastAsia="宋体" w:cs="宋体"/>
                <w:szCs w:val="21"/>
                <w:highlight w:val="none"/>
              </w:rPr>
            </w:pPr>
            <w:r>
              <w:rPr>
                <w:rFonts w:hint="eastAsia" w:ascii="宋体" w:hAnsi="宋体" w:eastAsia="宋体" w:cs="宋体"/>
                <w:szCs w:val="21"/>
                <w:highlight w:val="none"/>
              </w:rPr>
              <w:t>技  工</w:t>
            </w:r>
          </w:p>
        </w:tc>
        <w:tc>
          <w:tcPr>
            <w:tcW w:w="2185" w:type="dxa"/>
            <w:gridSpan w:val="2"/>
            <w:noWrap w:val="0"/>
            <w:vAlign w:val="center"/>
          </w:tcPr>
          <w:p w14:paraId="1B8FCC88">
            <w:pPr>
              <w:jc w:val="center"/>
              <w:rPr>
                <w:rFonts w:hint="eastAsia" w:ascii="宋体" w:hAnsi="宋体" w:eastAsia="宋体" w:cs="宋体"/>
                <w:szCs w:val="21"/>
                <w:highlight w:val="none"/>
              </w:rPr>
            </w:pPr>
          </w:p>
        </w:tc>
      </w:tr>
      <w:tr w14:paraId="593A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9" w:hRule="atLeast"/>
          <w:jc w:val="center"/>
        </w:trPr>
        <w:tc>
          <w:tcPr>
            <w:tcW w:w="2569" w:type="dxa"/>
            <w:noWrap w:val="0"/>
            <w:vAlign w:val="center"/>
          </w:tcPr>
          <w:p w14:paraId="6655B358">
            <w:pPr>
              <w:jc w:val="center"/>
              <w:rPr>
                <w:rFonts w:hint="eastAsia" w:ascii="宋体" w:hAnsi="宋体" w:eastAsia="宋体" w:cs="宋体"/>
                <w:szCs w:val="21"/>
                <w:highlight w:val="none"/>
              </w:rPr>
            </w:pPr>
            <w:r>
              <w:rPr>
                <w:rFonts w:hint="eastAsia" w:ascii="宋体" w:hAnsi="宋体" w:eastAsia="宋体" w:cs="宋体"/>
                <w:szCs w:val="21"/>
                <w:highlight w:val="none"/>
              </w:rPr>
              <w:t>经营范围</w:t>
            </w:r>
          </w:p>
        </w:tc>
        <w:tc>
          <w:tcPr>
            <w:tcW w:w="7210" w:type="dxa"/>
            <w:gridSpan w:val="9"/>
            <w:noWrap w:val="0"/>
            <w:vAlign w:val="center"/>
          </w:tcPr>
          <w:p w14:paraId="3F998064">
            <w:pPr>
              <w:jc w:val="center"/>
              <w:rPr>
                <w:rFonts w:hint="eastAsia" w:ascii="宋体" w:hAnsi="宋体" w:eastAsia="宋体" w:cs="宋体"/>
                <w:szCs w:val="21"/>
                <w:highlight w:val="none"/>
              </w:rPr>
            </w:pPr>
          </w:p>
        </w:tc>
      </w:tr>
      <w:tr w14:paraId="7FF85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2569" w:type="dxa"/>
            <w:noWrap w:val="0"/>
            <w:vAlign w:val="center"/>
          </w:tcPr>
          <w:p w14:paraId="0B0AD868">
            <w:pPr>
              <w:jc w:val="center"/>
              <w:rPr>
                <w:rFonts w:hint="eastAsia" w:ascii="宋体" w:hAnsi="宋体" w:eastAsia="宋体" w:cs="宋体"/>
                <w:szCs w:val="21"/>
                <w:highlight w:val="none"/>
              </w:rPr>
            </w:pPr>
            <w:r>
              <w:rPr>
                <w:rFonts w:hint="eastAsia" w:ascii="宋体" w:hAnsi="宋体" w:eastAsia="宋体" w:cs="宋体"/>
                <w:szCs w:val="21"/>
                <w:highlight w:val="none"/>
              </w:rPr>
              <w:t>备注</w:t>
            </w:r>
          </w:p>
        </w:tc>
        <w:tc>
          <w:tcPr>
            <w:tcW w:w="7210" w:type="dxa"/>
            <w:gridSpan w:val="9"/>
            <w:noWrap w:val="0"/>
            <w:vAlign w:val="center"/>
          </w:tcPr>
          <w:p w14:paraId="127ECC8B">
            <w:pPr>
              <w:jc w:val="center"/>
              <w:rPr>
                <w:rFonts w:hint="eastAsia" w:ascii="宋体" w:hAnsi="宋体" w:eastAsia="宋体" w:cs="宋体"/>
                <w:szCs w:val="21"/>
                <w:highlight w:val="none"/>
              </w:rPr>
            </w:pPr>
          </w:p>
        </w:tc>
      </w:tr>
    </w:tbl>
    <w:p w14:paraId="49E4C779">
      <w:pPr>
        <w:numPr>
          <w:ilvl w:val="0"/>
          <w:numId w:val="0"/>
        </w:numPr>
        <w:ind w:leftChars="0" w:firstLine="422" w:firstLineChars="200"/>
        <w:rPr>
          <w:rFonts w:hint="eastAsia" w:ascii="宋体" w:hAnsi="宋体" w:eastAsia="宋体" w:cs="宋体"/>
          <w:b/>
          <w:bCs/>
          <w:highlight w:val="none"/>
          <w:lang w:val="en-US" w:eastAsia="zh-CN"/>
        </w:rPr>
      </w:pPr>
      <w:r>
        <w:rPr>
          <w:rFonts w:hint="eastAsia" w:ascii="宋体" w:hAnsi="宋体" w:eastAsia="宋体" w:cs="宋体"/>
          <w:b/>
          <w:bCs/>
          <w:highlight w:val="none"/>
          <w:lang w:val="en-US" w:eastAsia="zh-CN"/>
        </w:rPr>
        <w:t>注：本表后应附企业法人三证合一的营业执照副本等材料的扫描件（以上内容若有无法填写项，请打“/”）。</w:t>
      </w:r>
    </w:p>
    <w:p w14:paraId="4118EFC6">
      <w:pPr>
        <w:rPr>
          <w:rFonts w:hint="eastAsia" w:ascii="宋体" w:hAnsi="宋体" w:eastAsia="宋体" w:cs="宋体"/>
          <w:b/>
          <w:bCs/>
          <w:highlight w:val="none"/>
          <w:lang w:val="en-US" w:eastAsia="zh-CN"/>
        </w:rPr>
      </w:pPr>
      <w:r>
        <w:rPr>
          <w:rFonts w:hint="eastAsia" w:ascii="宋体" w:hAnsi="宋体" w:eastAsia="宋体" w:cs="宋体"/>
          <w:b/>
          <w:bCs/>
          <w:highlight w:val="none"/>
          <w:lang w:val="en-US" w:eastAsia="zh-CN"/>
        </w:rPr>
        <w:br w:type="page"/>
      </w:r>
    </w:p>
    <w:p w14:paraId="5FB9D079">
      <w:pPr>
        <w:pStyle w:val="3"/>
        <w:keepNext/>
        <w:keepLines/>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highlight w:val="none"/>
          <w:lang w:val="en-US" w:eastAsia="zh-CN"/>
        </w:rPr>
      </w:pPr>
      <w:bookmarkStart w:id="217" w:name="_Toc27042"/>
      <w:bookmarkStart w:id="218" w:name="_Toc9100"/>
      <w:r>
        <w:rPr>
          <w:rFonts w:hint="eastAsia" w:ascii="宋体" w:hAnsi="宋体" w:eastAsia="宋体" w:cs="宋体"/>
          <w:highlight w:val="none"/>
          <w:lang w:val="en-US" w:eastAsia="zh-CN"/>
        </w:rPr>
        <w:t>五、服务方案</w:t>
      </w:r>
      <w:bookmarkEnd w:id="217"/>
      <w:bookmarkEnd w:id="218"/>
    </w:p>
    <w:p w14:paraId="6B9476ED">
      <w:pPr>
        <w:numPr>
          <w:ilvl w:val="0"/>
          <w:numId w:val="0"/>
        </w:numPr>
        <w:ind w:leftChars="0"/>
        <w:jc w:val="center"/>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sz w:val="28"/>
          <w:szCs w:val="28"/>
          <w:highlight w:val="none"/>
          <w:lang w:val="en-US" w:eastAsia="zh-CN"/>
        </w:rPr>
        <w:t>格式自拟，内容参考第三章评标办法（包含但不限于）。</w:t>
      </w:r>
    </w:p>
    <w:p w14:paraId="2075223B">
      <w:pP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br w:type="page"/>
      </w:r>
    </w:p>
    <w:p w14:paraId="62BA482E">
      <w:pPr>
        <w:pStyle w:val="3"/>
        <w:keepNext/>
        <w:keepLines/>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highlight w:val="none"/>
          <w:lang w:val="en-US" w:eastAsia="zh-CN"/>
        </w:rPr>
      </w:pPr>
      <w:bookmarkStart w:id="219" w:name="_Toc3725"/>
      <w:bookmarkStart w:id="220" w:name="_Toc11937"/>
      <w:r>
        <w:rPr>
          <w:rFonts w:hint="eastAsia" w:ascii="宋体" w:hAnsi="宋体" w:eastAsia="宋体" w:cs="宋体"/>
          <w:highlight w:val="none"/>
          <w:lang w:val="en-US" w:eastAsia="zh-CN"/>
        </w:rPr>
        <w:t>六、服务业绩</w:t>
      </w:r>
      <w:bookmarkEnd w:id="219"/>
      <w:bookmarkEnd w:id="220"/>
    </w:p>
    <w:p w14:paraId="009CAFC9">
      <w:pPr>
        <w:rPr>
          <w:rFonts w:hint="eastAsia" w:ascii="宋体" w:hAnsi="宋体" w:eastAsia="宋体" w:cs="宋体"/>
          <w:szCs w:val="28"/>
          <w:highlight w:val="none"/>
          <w:lang w:val="en-US" w:eastAsia="zh-CN"/>
        </w:rPr>
      </w:pPr>
      <w:r>
        <w:rPr>
          <w:rFonts w:hint="eastAsia" w:ascii="宋体" w:hAnsi="宋体" w:eastAsia="宋体" w:cs="宋体"/>
          <w:szCs w:val="28"/>
          <w:highlight w:val="none"/>
          <w:lang w:val="en-US" w:eastAsia="zh-CN"/>
        </w:rPr>
        <w:br w:type="page"/>
      </w:r>
    </w:p>
    <w:p w14:paraId="3A8056FB">
      <w:pPr>
        <w:pStyle w:val="3"/>
        <w:numPr>
          <w:ilvl w:val="0"/>
          <w:numId w:val="0"/>
        </w:numPr>
        <w:bidi w:val="0"/>
        <w:ind w:leftChars="0"/>
        <w:jc w:val="center"/>
        <w:rPr>
          <w:rFonts w:hint="eastAsia" w:ascii="宋体" w:hAnsi="宋体" w:eastAsia="宋体" w:cs="宋体"/>
          <w:szCs w:val="28"/>
          <w:highlight w:val="none"/>
          <w:lang w:val="en-US" w:eastAsia="zh-CN"/>
        </w:rPr>
      </w:pPr>
      <w:bookmarkStart w:id="221" w:name="_Toc31626"/>
      <w:bookmarkStart w:id="222" w:name="_Toc4663"/>
      <w:r>
        <w:rPr>
          <w:rFonts w:hint="eastAsia" w:ascii="宋体" w:hAnsi="宋体" w:eastAsia="宋体" w:cs="宋体"/>
          <w:highlight w:val="none"/>
          <w:lang w:val="en-US" w:eastAsia="zh-CN"/>
        </w:rPr>
        <w:t>七、</w:t>
      </w:r>
      <w:r>
        <w:rPr>
          <w:rFonts w:hint="eastAsia" w:ascii="宋体" w:hAnsi="宋体" w:eastAsia="宋体" w:cs="宋体"/>
          <w:szCs w:val="28"/>
          <w:highlight w:val="none"/>
          <w:lang w:val="en-US" w:eastAsia="zh-CN"/>
        </w:rPr>
        <w:t>供应商认为有必要的其他资料</w:t>
      </w:r>
      <w:bookmarkEnd w:id="221"/>
      <w:bookmarkEnd w:id="222"/>
    </w:p>
    <w:p w14:paraId="372BC25D">
      <w:pPr>
        <w:numPr>
          <w:ilvl w:val="0"/>
          <w:numId w:val="0"/>
        </w:numPr>
        <w:ind w:leftChars="0"/>
        <w:jc w:val="center"/>
        <w:rPr>
          <w:rFonts w:hint="eastAsia" w:ascii="宋体" w:hAnsi="宋体" w:eastAsia="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供应商</w:t>
      </w:r>
      <w:r>
        <w:rPr>
          <w:rFonts w:hint="eastAsia" w:ascii="宋体" w:hAnsi="宋体" w:eastAsia="宋体" w:cs="宋体"/>
          <w:b w:val="0"/>
          <w:bCs w:val="0"/>
          <w:sz w:val="28"/>
          <w:szCs w:val="28"/>
          <w:highlight w:val="none"/>
          <w:lang w:val="en-US" w:eastAsia="zh-CN"/>
        </w:rPr>
        <w:t>认为应附的其他证明材料</w:t>
      </w:r>
    </w:p>
    <w:p w14:paraId="32C5D1AD">
      <w:pPr>
        <w:rPr>
          <w:rFonts w:hint="eastAsia" w:ascii="宋体" w:hAnsi="宋体" w:eastAsia="宋体" w:cs="宋体"/>
          <w:highlight w:val="none"/>
          <w:lang w:val="en-US" w:eastAsia="zh-CN"/>
        </w:rPr>
      </w:pPr>
      <w:r>
        <w:rPr>
          <w:rFonts w:hint="eastAsia" w:ascii="宋体" w:hAnsi="宋体" w:eastAsia="宋体" w:cs="宋体"/>
          <w:highlight w:val="none"/>
          <w:lang w:val="en-US" w:eastAsia="zh-CN"/>
        </w:rPr>
        <w:br w:type="page"/>
      </w:r>
    </w:p>
    <w:p w14:paraId="6D4AC1D0">
      <w:pPr>
        <w:pStyle w:val="4"/>
        <w:pageBreakBefore w:val="0"/>
        <w:widowControl w:val="0"/>
        <w:kinsoku/>
        <w:wordWrap/>
        <w:overflowPunct/>
        <w:topLinePunct w:val="0"/>
        <w:autoSpaceDE/>
        <w:autoSpaceDN/>
        <w:bidi w:val="0"/>
        <w:adjustRightInd/>
        <w:snapToGrid/>
        <w:spacing w:line="440" w:lineRule="exact"/>
        <w:jc w:val="center"/>
        <w:textAlignment w:val="auto"/>
        <w:rPr>
          <w:rStyle w:val="32"/>
          <w:rFonts w:hint="eastAsia" w:ascii="宋体" w:hAnsi="宋体" w:eastAsia="宋体" w:cs="宋体"/>
          <w:b/>
          <w:bCs w:val="0"/>
          <w:color w:val="auto"/>
          <w:kern w:val="0"/>
          <w:sz w:val="28"/>
          <w:szCs w:val="28"/>
          <w:highlight w:val="none"/>
          <w:lang w:val="en-US" w:eastAsia="zh-CN" w:bidi="ar"/>
        </w:rPr>
      </w:pPr>
      <w:bookmarkStart w:id="223" w:name="_Toc2157"/>
      <w:bookmarkStart w:id="224" w:name="_Toc24950"/>
      <w:bookmarkStart w:id="225" w:name="_Toc4204"/>
      <w:bookmarkStart w:id="226" w:name="_Toc16837"/>
      <w:bookmarkStart w:id="227" w:name="_Toc21866"/>
      <w:bookmarkStart w:id="228" w:name="_Toc24843"/>
      <w:bookmarkStart w:id="229" w:name="_Toc9159"/>
      <w:bookmarkStart w:id="230" w:name="_Toc26914"/>
      <w:r>
        <w:rPr>
          <w:rStyle w:val="32"/>
          <w:rFonts w:hint="eastAsia" w:ascii="宋体" w:hAnsi="宋体" w:eastAsia="宋体" w:cs="宋体"/>
          <w:b/>
          <w:bCs w:val="0"/>
          <w:color w:val="auto"/>
          <w:kern w:val="0"/>
          <w:sz w:val="28"/>
          <w:szCs w:val="28"/>
          <w:highlight w:val="none"/>
          <w:lang w:val="en-US" w:eastAsia="zh-CN" w:bidi="ar"/>
        </w:rPr>
        <w:t>(一) 资格承诺声明函</w:t>
      </w:r>
      <w:bookmarkEnd w:id="223"/>
      <w:bookmarkEnd w:id="224"/>
      <w:bookmarkEnd w:id="225"/>
      <w:bookmarkEnd w:id="226"/>
      <w:bookmarkEnd w:id="227"/>
      <w:bookmarkEnd w:id="228"/>
      <w:bookmarkEnd w:id="229"/>
      <w:bookmarkEnd w:id="230"/>
    </w:p>
    <w:p w14:paraId="34EB77D4">
      <w:pPr>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highlight w:val="none"/>
          <w:lang w:val="en-US" w:eastAsia="zh-CN" w:bidi="ar"/>
        </w:rPr>
      </w:pPr>
      <w:r>
        <w:rPr>
          <w:rFonts w:hint="eastAsia" w:ascii="宋体" w:hAnsi="宋体" w:eastAsia="宋体" w:cs="宋体"/>
          <w:b/>
          <w:bCs/>
          <w:color w:val="auto"/>
          <w:highlight w:val="none"/>
          <w:lang w:val="en-US" w:eastAsia="zh-CN" w:bidi="ar"/>
        </w:rPr>
        <w:t>资格承诺声明函</w:t>
      </w:r>
    </w:p>
    <w:p w14:paraId="27AF3439">
      <w:pPr>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u w:val="single"/>
          <w:lang w:val="en-US" w:eastAsia="zh-CN"/>
        </w:rPr>
        <w:t>致（本项目采购单位）</w:t>
      </w:r>
      <w:r>
        <w:rPr>
          <w:rFonts w:hint="eastAsia" w:ascii="宋体" w:hAnsi="宋体" w:eastAsia="宋体" w:cs="宋体"/>
          <w:color w:val="auto"/>
          <w:sz w:val="21"/>
          <w:szCs w:val="21"/>
          <w:highlight w:val="none"/>
          <w:lang w:val="en-US" w:eastAsia="zh-CN"/>
        </w:rPr>
        <w:t>：</w:t>
      </w:r>
    </w:p>
    <w:p w14:paraId="5D06B794">
      <w:pPr>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我单位自愿参加本次政府采购活动，严格遵守《中华人民共和国政府采购法》及相关法律法规，依法诚信经营，依法遵守本次政府采购活动的各项规定。我单位郑重承诺声明如下：</w:t>
      </w:r>
    </w:p>
    <w:p w14:paraId="7F97740A">
      <w:pPr>
        <w:spacing w:line="360" w:lineRule="auto"/>
        <w:ind w:firstLine="420" w:firstLineChars="200"/>
        <w:jc w:val="both"/>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lang w:val="en-US" w:eastAsia="zh-CN"/>
        </w:rPr>
        <w:t>一、我单位全称为</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注册地点为</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统一社会信用代码为</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法定代表人（单位负责人）为</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联系方式为</w:t>
      </w:r>
      <w:r>
        <w:rPr>
          <w:rFonts w:hint="eastAsia" w:ascii="宋体" w:hAnsi="宋体" w:eastAsia="宋体" w:cs="宋体"/>
          <w:color w:val="auto"/>
          <w:sz w:val="21"/>
          <w:szCs w:val="21"/>
          <w:highlight w:val="none"/>
          <w:u w:val="single"/>
          <w:lang w:val="en-US" w:eastAsia="zh-CN"/>
        </w:rPr>
        <w:t xml:space="preserve">                          。</w:t>
      </w:r>
    </w:p>
    <w:p w14:paraId="4B067317">
      <w:pPr>
        <w:spacing w:line="360" w:lineRule="auto"/>
        <w:ind w:firstLine="420" w:firstLineChars="200"/>
        <w:jc w:val="both"/>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二、我单位具有独立承担民事责任的能力。</w:t>
      </w:r>
    </w:p>
    <w:p w14:paraId="375FA3D8">
      <w:pPr>
        <w:spacing w:line="360" w:lineRule="auto"/>
        <w:ind w:firstLine="420" w:firstLineChars="200"/>
        <w:jc w:val="both"/>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三、我单位具有良好的商业信誉和健全的财务会计制度。</w:t>
      </w:r>
    </w:p>
    <w:p w14:paraId="7B4A8BCC">
      <w:pPr>
        <w:spacing w:line="360" w:lineRule="auto"/>
        <w:ind w:firstLine="420" w:firstLineChars="200"/>
        <w:jc w:val="both"/>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四、我单位具有履行合同所必需的设备和专业技术能力。</w:t>
      </w:r>
    </w:p>
    <w:p w14:paraId="67215EC7">
      <w:pPr>
        <w:spacing w:line="360" w:lineRule="auto"/>
        <w:ind w:firstLine="420" w:firstLineChars="200"/>
        <w:jc w:val="both"/>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五、我单位有依法缴纳税收和社会保障资金的良好记录。</w:t>
      </w:r>
    </w:p>
    <w:p w14:paraId="32A32A74">
      <w:pPr>
        <w:spacing w:line="360" w:lineRule="auto"/>
        <w:ind w:firstLine="420" w:firstLineChars="200"/>
        <w:jc w:val="both"/>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六、我单位参加政府采购活动前三年内，在经营活动中没有重大违法记录。（重大违法记录，是指供应商因违法经营受到刑事处罚或者责令停产停业、吊销许可证或者执照、较大数额罚款等行政处罚）</w:t>
      </w:r>
    </w:p>
    <w:p w14:paraId="4BA037FD">
      <w:pPr>
        <w:spacing w:line="360" w:lineRule="auto"/>
        <w:ind w:firstLine="420" w:firstLineChars="200"/>
        <w:jc w:val="both"/>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七、我单位具备法律、行政法规规定的其他条件。</w:t>
      </w:r>
    </w:p>
    <w:p w14:paraId="52F004DC">
      <w:pPr>
        <w:spacing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u w:val="none"/>
          <w:lang w:val="en-US" w:eastAsia="zh-CN"/>
        </w:rPr>
        <w:t>我单位保证上述声明的事项都是真实的，符合</w:t>
      </w:r>
      <w:r>
        <w:rPr>
          <w:rFonts w:hint="eastAsia" w:ascii="宋体" w:hAnsi="宋体" w:eastAsia="宋体" w:cs="宋体"/>
          <w:color w:val="auto"/>
          <w:sz w:val="21"/>
          <w:szCs w:val="21"/>
          <w:highlight w:val="none"/>
          <w:lang w:val="en-US" w:eastAsia="zh-CN"/>
        </w:rPr>
        <w:t>《中华人民共和国政府采购法》规定的供应商资格条件。如有弄虚作假，我单位愿意按照“提交虚假材料谋取中标、成交”承担相应的法律责任，同意将违背承诺行为作为失信行为记录到社会信用信息平台，并承担因此造成的一切损失。</w:t>
      </w:r>
    </w:p>
    <w:p w14:paraId="4C4B20C0">
      <w:pPr>
        <w:jc w:val="both"/>
        <w:rPr>
          <w:rFonts w:hint="eastAsia" w:ascii="宋体" w:hAnsi="宋体" w:eastAsia="宋体" w:cs="宋体"/>
          <w:color w:val="auto"/>
          <w:sz w:val="21"/>
          <w:szCs w:val="21"/>
          <w:highlight w:val="none"/>
          <w:lang w:val="en-US" w:eastAsia="zh-CN"/>
        </w:rPr>
      </w:pPr>
    </w:p>
    <w:p w14:paraId="60B90BBC">
      <w:pPr>
        <w:spacing w:line="360" w:lineRule="auto"/>
        <w:ind w:firstLine="1260" w:firstLineChars="6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承诺单位（企业</w:t>
      </w:r>
      <w:r>
        <w:rPr>
          <w:rFonts w:hint="eastAsia" w:ascii="宋体" w:hAnsi="宋体" w:eastAsia="宋体" w:cs="宋体"/>
          <w:sz w:val="21"/>
          <w:szCs w:val="21"/>
          <w:highlight w:val="none"/>
        </w:rPr>
        <w:t>电子签章</w:t>
      </w:r>
      <w:r>
        <w:rPr>
          <w:rFonts w:hint="eastAsia" w:ascii="宋体" w:hAnsi="宋体" w:eastAsia="宋体" w:cs="宋体"/>
          <w:color w:val="auto"/>
          <w:sz w:val="21"/>
          <w:szCs w:val="21"/>
          <w:highlight w:val="none"/>
          <w:lang w:val="en-US" w:eastAsia="zh-CN"/>
        </w:rPr>
        <w:t>）：</w:t>
      </w:r>
    </w:p>
    <w:p w14:paraId="15F3FEE3">
      <w:pPr>
        <w:spacing w:line="360" w:lineRule="auto"/>
        <w:ind w:firstLine="1260" w:firstLineChars="6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法定代表人或委托代理人（签字或电子签章）：</w:t>
      </w:r>
    </w:p>
    <w:p w14:paraId="214602F4">
      <w:pPr>
        <w:spacing w:line="360" w:lineRule="auto"/>
        <w:ind w:firstLine="1260" w:firstLineChars="6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日期：       年      月       日</w:t>
      </w:r>
    </w:p>
    <w:p w14:paraId="2A583D91">
      <w:pPr>
        <w:jc w:val="center"/>
        <w:rPr>
          <w:rFonts w:hint="eastAsia" w:ascii="宋体" w:hAnsi="宋体" w:eastAsia="宋体" w:cs="宋体"/>
          <w:color w:val="auto"/>
          <w:highlight w:val="none"/>
          <w:lang w:val="en-US" w:eastAsia="zh-CN"/>
        </w:rPr>
      </w:pPr>
    </w:p>
    <w:p w14:paraId="1B47A468">
      <w:pPr>
        <w:jc w:val="center"/>
        <w:rPr>
          <w:rFonts w:hint="eastAsia" w:ascii="宋体" w:hAnsi="宋体" w:eastAsia="宋体" w:cs="宋体"/>
          <w:color w:val="auto"/>
          <w:highlight w:val="none"/>
          <w:lang w:val="en-US" w:eastAsia="zh-CN"/>
        </w:rPr>
      </w:pPr>
    </w:p>
    <w:p w14:paraId="7D40682C">
      <w:pPr>
        <w:spacing w:line="360" w:lineRule="auto"/>
        <w:ind w:left="440" w:hanging="440" w:hangingChars="200"/>
        <w:jc w:val="left"/>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注：1.供应商须在响应文件中按此模板提供承诺函，未提供视为未实质性响应</w:t>
      </w:r>
      <w:r>
        <w:rPr>
          <w:rFonts w:hint="eastAsia" w:ascii="宋体" w:hAnsi="宋体" w:eastAsia="宋体" w:cs="宋体"/>
          <w:sz w:val="21"/>
          <w:szCs w:val="21"/>
          <w:highlight w:val="none"/>
          <w:lang w:val="en-US" w:eastAsia="zh-CN"/>
        </w:rPr>
        <w:t>磋商</w:t>
      </w:r>
      <w:r>
        <w:rPr>
          <w:rFonts w:hint="eastAsia" w:ascii="宋体" w:hAnsi="宋体" w:eastAsia="宋体" w:cs="宋体"/>
          <w:sz w:val="21"/>
          <w:szCs w:val="21"/>
          <w:highlight w:val="none"/>
        </w:rPr>
        <w:t>文件</w:t>
      </w:r>
      <w:r>
        <w:rPr>
          <w:rFonts w:hint="eastAsia" w:ascii="宋体" w:hAnsi="宋体" w:eastAsia="宋体" w:cs="宋体"/>
          <w:color w:val="auto"/>
          <w:sz w:val="22"/>
          <w:szCs w:val="28"/>
          <w:highlight w:val="none"/>
          <w:lang w:val="en-US" w:eastAsia="zh-CN"/>
        </w:rPr>
        <w:t>要求，按无效投标处理。</w:t>
      </w:r>
    </w:p>
    <w:p w14:paraId="5D859D5D">
      <w:pPr>
        <w:spacing w:line="360" w:lineRule="auto"/>
        <w:ind w:left="437" w:leftChars="208" w:firstLine="0" w:firstLineChars="0"/>
        <w:jc w:val="left"/>
        <w:rPr>
          <w:rFonts w:hint="eastAsia" w:ascii="宋体" w:hAnsi="宋体" w:eastAsia="宋体" w:cs="宋体"/>
          <w:color w:val="auto"/>
          <w:sz w:val="22"/>
          <w:szCs w:val="28"/>
          <w:highlight w:val="none"/>
          <w:lang w:val="en-US" w:eastAsia="zh-CN"/>
        </w:rPr>
      </w:pPr>
      <w:r>
        <w:rPr>
          <w:rFonts w:hint="eastAsia" w:ascii="宋体" w:hAnsi="宋体" w:cs="宋体"/>
          <w:color w:val="auto"/>
          <w:sz w:val="22"/>
          <w:szCs w:val="28"/>
          <w:highlight w:val="none"/>
          <w:lang w:val="en-US" w:eastAsia="zh-CN"/>
        </w:rPr>
        <w:t>2.</w:t>
      </w:r>
      <w:r>
        <w:rPr>
          <w:rFonts w:hint="eastAsia" w:ascii="宋体" w:hAnsi="宋体" w:eastAsia="宋体" w:cs="宋体"/>
          <w:color w:val="auto"/>
          <w:sz w:val="22"/>
          <w:szCs w:val="28"/>
          <w:highlight w:val="none"/>
          <w:lang w:val="en-US" w:eastAsia="zh-CN"/>
        </w:rPr>
        <w:t>供应商的法定代表人或者授权代表的签字或盖章应真实、有效。</w:t>
      </w:r>
    </w:p>
    <w:p w14:paraId="6CE79F41">
      <w:pPr>
        <w:rPr>
          <w:rStyle w:val="32"/>
          <w:rFonts w:hint="eastAsia" w:ascii="宋体" w:hAnsi="宋体" w:eastAsia="宋体" w:cs="宋体"/>
          <w:b/>
          <w:color w:val="auto"/>
          <w:sz w:val="28"/>
          <w:szCs w:val="28"/>
          <w:highlight w:val="none"/>
          <w:lang w:val="en-US" w:eastAsia="zh-CN"/>
        </w:rPr>
      </w:pPr>
      <w:bookmarkStart w:id="231" w:name="_Toc14796"/>
      <w:bookmarkStart w:id="232" w:name="_Toc25505"/>
      <w:bookmarkStart w:id="233" w:name="_Toc11452"/>
      <w:bookmarkStart w:id="234" w:name="_Toc14278"/>
      <w:r>
        <w:rPr>
          <w:rStyle w:val="32"/>
          <w:rFonts w:hint="eastAsia" w:ascii="宋体" w:hAnsi="宋体" w:eastAsia="宋体" w:cs="宋体"/>
          <w:b/>
          <w:color w:val="auto"/>
          <w:sz w:val="28"/>
          <w:szCs w:val="28"/>
          <w:highlight w:val="none"/>
          <w:lang w:val="en-US" w:eastAsia="zh-CN"/>
        </w:rPr>
        <w:br w:type="page"/>
      </w:r>
    </w:p>
    <w:p w14:paraId="38A5F411">
      <w:pPr>
        <w:numPr>
          <w:ilvl w:val="0"/>
          <w:numId w:val="0"/>
        </w:numPr>
        <w:spacing w:line="360" w:lineRule="auto"/>
        <w:jc w:val="center"/>
        <w:rPr>
          <w:rFonts w:hint="eastAsia" w:ascii="宋体" w:hAnsi="宋体" w:eastAsia="宋体" w:cs="宋体"/>
          <w:color w:val="auto"/>
          <w:spacing w:val="8"/>
          <w:highlight w:val="none"/>
        </w:rPr>
      </w:pPr>
      <w:bookmarkStart w:id="235" w:name="_Toc12755"/>
      <w:bookmarkStart w:id="236" w:name="_Toc8369"/>
      <w:bookmarkStart w:id="237" w:name="_Toc28911"/>
      <w:bookmarkStart w:id="238" w:name="_Toc1914"/>
      <w:r>
        <w:rPr>
          <w:rStyle w:val="32"/>
          <w:rFonts w:hint="eastAsia" w:ascii="宋体" w:hAnsi="宋体" w:eastAsia="宋体" w:cs="宋体"/>
          <w:b/>
          <w:color w:val="auto"/>
          <w:sz w:val="28"/>
          <w:szCs w:val="28"/>
          <w:highlight w:val="none"/>
          <w:lang w:val="en-US" w:eastAsia="zh-CN"/>
        </w:rPr>
        <w:t>（二）招标代理服务费承诺函</w:t>
      </w:r>
      <w:bookmarkEnd w:id="231"/>
      <w:bookmarkEnd w:id="232"/>
      <w:bookmarkEnd w:id="233"/>
      <w:bookmarkEnd w:id="234"/>
      <w:bookmarkEnd w:id="235"/>
      <w:bookmarkEnd w:id="236"/>
      <w:bookmarkEnd w:id="237"/>
      <w:bookmarkEnd w:id="238"/>
    </w:p>
    <w:p w14:paraId="6F270E9E">
      <w:pPr>
        <w:pStyle w:val="18"/>
        <w:widowControl/>
        <w:spacing w:line="360" w:lineRule="auto"/>
        <w:jc w:val="both"/>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shd w:val="clear" w:color="auto" w:fill="FFFFFF"/>
        </w:rPr>
        <w:t>致采购代理机构：</w:t>
      </w:r>
    </w:p>
    <w:p w14:paraId="5CC3FF23">
      <w:pPr>
        <w:pStyle w:val="18"/>
        <w:widowControl/>
        <w:spacing w:line="360" w:lineRule="auto"/>
        <w:ind w:firstLine="480"/>
        <w:jc w:val="both"/>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shd w:val="clear" w:color="auto" w:fill="FFFFFF"/>
        </w:rPr>
        <w:t>我们在贵公司组织的（项目名称：</w:t>
      </w:r>
      <w:r>
        <w:rPr>
          <w:rFonts w:hint="eastAsia" w:ascii="宋体" w:hAnsi="宋体" w:eastAsia="宋体" w:cs="宋体"/>
          <w:color w:val="auto"/>
          <w:spacing w:val="8"/>
          <w:sz w:val="21"/>
          <w:szCs w:val="21"/>
          <w:highlight w:val="none"/>
          <w:u w:val="single"/>
          <w:shd w:val="clear" w:color="auto" w:fill="FFFFFF"/>
        </w:rPr>
        <w:t xml:space="preserve">      </w:t>
      </w:r>
      <w:r>
        <w:rPr>
          <w:rFonts w:hint="eastAsia" w:ascii="宋体" w:hAnsi="宋体" w:eastAsia="宋体" w:cs="宋体"/>
          <w:color w:val="auto"/>
          <w:spacing w:val="8"/>
          <w:sz w:val="21"/>
          <w:szCs w:val="21"/>
          <w:highlight w:val="none"/>
          <w:shd w:val="clear" w:color="auto" w:fill="FFFFFF"/>
        </w:rPr>
        <w:t>，项目编号：</w:t>
      </w:r>
      <w:r>
        <w:rPr>
          <w:rFonts w:hint="eastAsia" w:ascii="宋体" w:hAnsi="宋体" w:eastAsia="宋体" w:cs="宋体"/>
          <w:color w:val="auto"/>
          <w:spacing w:val="8"/>
          <w:sz w:val="21"/>
          <w:szCs w:val="21"/>
          <w:highlight w:val="none"/>
          <w:u w:val="single"/>
          <w:shd w:val="clear" w:color="auto" w:fill="FFFFFF"/>
        </w:rPr>
        <w:t xml:space="preserve">      </w:t>
      </w:r>
      <w:r>
        <w:rPr>
          <w:rFonts w:hint="eastAsia" w:ascii="宋体" w:hAnsi="宋体" w:eastAsia="宋体" w:cs="宋体"/>
          <w:color w:val="auto"/>
          <w:spacing w:val="8"/>
          <w:sz w:val="21"/>
          <w:szCs w:val="21"/>
          <w:highlight w:val="none"/>
          <w:shd w:val="clear" w:color="auto" w:fill="FFFFFF"/>
        </w:rPr>
        <w:t>）招标中若获成交，我们保证在成交公告发布后5个工作日内，按</w:t>
      </w:r>
      <w:r>
        <w:rPr>
          <w:rFonts w:hint="eastAsia" w:ascii="宋体" w:hAnsi="宋体" w:eastAsia="宋体" w:cs="宋体"/>
          <w:sz w:val="21"/>
          <w:szCs w:val="21"/>
          <w:highlight w:val="none"/>
          <w:lang w:val="en-US" w:eastAsia="zh-CN"/>
        </w:rPr>
        <w:t>磋商</w:t>
      </w:r>
      <w:r>
        <w:rPr>
          <w:rFonts w:hint="eastAsia" w:ascii="宋体" w:hAnsi="宋体" w:eastAsia="宋体" w:cs="宋体"/>
          <w:sz w:val="21"/>
          <w:szCs w:val="21"/>
          <w:highlight w:val="none"/>
        </w:rPr>
        <w:t>文件</w:t>
      </w:r>
      <w:r>
        <w:rPr>
          <w:rFonts w:hint="eastAsia" w:ascii="宋体" w:hAnsi="宋体" w:eastAsia="宋体" w:cs="宋体"/>
          <w:color w:val="auto"/>
          <w:spacing w:val="8"/>
          <w:sz w:val="21"/>
          <w:szCs w:val="21"/>
          <w:highlight w:val="none"/>
          <w:shd w:val="clear" w:color="auto" w:fill="FFFFFF"/>
        </w:rPr>
        <w:t>的规定，以现金形式向贵公司一次性支付招标代理服务费用。否则，由此产生的一切法律后果和责任由我公司承担。我公司声明放弃对此提出任何异议和追索的权利。</w:t>
      </w:r>
    </w:p>
    <w:p w14:paraId="5EEE24C6">
      <w:pPr>
        <w:pStyle w:val="18"/>
        <w:widowControl/>
        <w:spacing w:line="360" w:lineRule="auto"/>
        <w:ind w:firstLine="452" w:firstLineChars="200"/>
        <w:jc w:val="both"/>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shd w:val="clear" w:color="auto" w:fill="FFFFFF"/>
        </w:rPr>
        <w:t>特此承诺。</w:t>
      </w:r>
    </w:p>
    <w:p w14:paraId="6707F54F">
      <w:pPr>
        <w:pStyle w:val="18"/>
        <w:widowControl/>
        <w:spacing w:line="360" w:lineRule="auto"/>
        <w:jc w:val="both"/>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shd w:val="clear" w:color="auto" w:fill="FFFFFF"/>
        </w:rPr>
        <w:t> </w:t>
      </w:r>
    </w:p>
    <w:p w14:paraId="35C80EBE">
      <w:pPr>
        <w:pStyle w:val="18"/>
        <w:widowControl/>
        <w:spacing w:line="360" w:lineRule="auto"/>
        <w:jc w:val="both"/>
        <w:rPr>
          <w:rFonts w:hint="eastAsia" w:ascii="宋体" w:hAnsi="宋体" w:eastAsia="宋体" w:cs="宋体"/>
          <w:color w:val="auto"/>
          <w:spacing w:val="8"/>
          <w:sz w:val="21"/>
          <w:szCs w:val="21"/>
          <w:highlight w:val="none"/>
          <w:shd w:val="clear" w:color="auto" w:fill="FFFFFF"/>
        </w:rPr>
      </w:pPr>
      <w:r>
        <w:rPr>
          <w:rFonts w:hint="eastAsia" w:ascii="宋体" w:hAnsi="宋体" w:eastAsia="宋体" w:cs="宋体"/>
          <w:color w:val="auto"/>
          <w:spacing w:val="8"/>
          <w:sz w:val="21"/>
          <w:szCs w:val="21"/>
          <w:highlight w:val="none"/>
          <w:shd w:val="clear" w:color="auto" w:fill="FFFFFF"/>
        </w:rPr>
        <w:t> </w:t>
      </w:r>
    </w:p>
    <w:p w14:paraId="1FB31D1F">
      <w:pPr>
        <w:pStyle w:val="18"/>
        <w:widowControl/>
        <w:spacing w:line="360" w:lineRule="auto"/>
        <w:ind w:firstLine="480"/>
        <w:jc w:val="both"/>
        <w:rPr>
          <w:rFonts w:hint="eastAsia" w:ascii="宋体" w:hAnsi="宋体" w:eastAsia="宋体" w:cs="宋体"/>
          <w:color w:val="auto"/>
          <w:spacing w:val="8"/>
          <w:sz w:val="21"/>
          <w:szCs w:val="21"/>
          <w:highlight w:val="none"/>
          <w:shd w:val="clear" w:color="auto" w:fill="FFFFFF"/>
          <w:lang w:val="en-US" w:eastAsia="zh-CN"/>
        </w:rPr>
      </w:pPr>
      <w:r>
        <w:rPr>
          <w:rFonts w:hint="eastAsia" w:cs="宋体"/>
          <w:color w:val="auto"/>
          <w:spacing w:val="8"/>
          <w:sz w:val="21"/>
          <w:szCs w:val="21"/>
          <w:highlight w:val="none"/>
          <w:shd w:val="clear" w:color="auto" w:fill="FFFFFF"/>
          <w:lang w:val="en-US" w:eastAsia="zh-CN"/>
        </w:rPr>
        <w:t>供应商</w:t>
      </w:r>
      <w:r>
        <w:rPr>
          <w:rFonts w:hint="eastAsia" w:ascii="宋体" w:hAnsi="宋体" w:eastAsia="宋体" w:cs="宋体"/>
          <w:color w:val="auto"/>
          <w:spacing w:val="8"/>
          <w:sz w:val="21"/>
          <w:szCs w:val="21"/>
          <w:highlight w:val="none"/>
          <w:shd w:val="clear" w:color="auto" w:fill="FFFFFF"/>
          <w:lang w:val="en-US" w:eastAsia="zh-CN"/>
        </w:rPr>
        <w:t>（企业电子签章）：</w:t>
      </w:r>
    </w:p>
    <w:p w14:paraId="41E2CFEB">
      <w:pPr>
        <w:pStyle w:val="18"/>
        <w:widowControl/>
        <w:spacing w:line="360" w:lineRule="auto"/>
        <w:ind w:firstLine="480"/>
        <w:jc w:val="both"/>
        <w:rPr>
          <w:rFonts w:hint="eastAsia" w:ascii="宋体" w:hAnsi="宋体" w:eastAsia="宋体" w:cs="宋体"/>
          <w:color w:val="auto"/>
          <w:spacing w:val="8"/>
          <w:sz w:val="21"/>
          <w:szCs w:val="21"/>
          <w:highlight w:val="none"/>
          <w:shd w:val="clear" w:color="auto" w:fill="FFFFFF"/>
          <w:lang w:val="en-US" w:eastAsia="zh-CN"/>
        </w:rPr>
      </w:pPr>
      <w:r>
        <w:rPr>
          <w:rFonts w:hint="eastAsia" w:ascii="宋体" w:hAnsi="宋体" w:eastAsia="宋体" w:cs="宋体"/>
          <w:color w:val="auto"/>
          <w:spacing w:val="8"/>
          <w:sz w:val="21"/>
          <w:szCs w:val="21"/>
          <w:highlight w:val="none"/>
          <w:shd w:val="clear" w:color="auto" w:fill="FFFFFF"/>
          <w:lang w:val="en-US" w:eastAsia="zh-CN"/>
        </w:rPr>
        <w:t>法定代表人或委托代理人（签字或盖电子签章）：</w:t>
      </w:r>
    </w:p>
    <w:p w14:paraId="1802C00C">
      <w:pPr>
        <w:pStyle w:val="18"/>
        <w:widowControl/>
        <w:spacing w:line="360" w:lineRule="auto"/>
        <w:ind w:firstLine="480"/>
        <w:jc w:val="both"/>
        <w:rPr>
          <w:rFonts w:hint="eastAsia" w:ascii="宋体" w:hAnsi="宋体" w:eastAsia="宋体" w:cs="宋体"/>
          <w:color w:val="auto"/>
          <w:spacing w:val="8"/>
          <w:sz w:val="21"/>
          <w:szCs w:val="21"/>
          <w:highlight w:val="none"/>
          <w:shd w:val="clear" w:color="auto" w:fill="FFFFFF"/>
          <w:lang w:val="en-US" w:eastAsia="zh-CN"/>
        </w:rPr>
      </w:pPr>
      <w:r>
        <w:rPr>
          <w:rFonts w:hint="eastAsia" w:ascii="宋体" w:hAnsi="宋体" w:eastAsia="宋体" w:cs="宋体"/>
          <w:color w:val="auto"/>
          <w:spacing w:val="8"/>
          <w:sz w:val="21"/>
          <w:szCs w:val="21"/>
          <w:highlight w:val="none"/>
          <w:shd w:val="clear" w:color="auto" w:fill="FFFFFF"/>
          <w:lang w:val="en-US" w:eastAsia="zh-CN"/>
        </w:rPr>
        <w:t>日期：  年  月  日</w:t>
      </w:r>
    </w:p>
    <w:p w14:paraId="6AC38644">
      <w:pPr>
        <w:rPr>
          <w:rFonts w:hint="eastAsia" w:ascii="宋体" w:hAnsi="宋体" w:eastAsia="宋体" w:cs="宋体"/>
          <w:color w:val="auto"/>
          <w:spacing w:val="8"/>
          <w:sz w:val="21"/>
          <w:szCs w:val="21"/>
          <w:highlight w:val="none"/>
          <w:shd w:val="clear" w:color="auto" w:fill="FFFFFF"/>
          <w:lang w:val="en-US" w:eastAsia="zh-CN"/>
        </w:rPr>
      </w:pPr>
      <w:r>
        <w:rPr>
          <w:rFonts w:hint="eastAsia" w:ascii="宋体" w:hAnsi="宋体" w:eastAsia="宋体" w:cs="宋体"/>
          <w:color w:val="auto"/>
          <w:spacing w:val="8"/>
          <w:sz w:val="21"/>
          <w:szCs w:val="21"/>
          <w:highlight w:val="none"/>
          <w:shd w:val="clear" w:color="auto" w:fill="FFFFFF"/>
          <w:lang w:val="en-US" w:eastAsia="zh-CN"/>
        </w:rPr>
        <w:br w:type="page"/>
      </w:r>
    </w:p>
    <w:p w14:paraId="15CF62A7">
      <w:pPr>
        <w:pStyle w:val="3"/>
        <w:numPr>
          <w:ilvl w:val="0"/>
          <w:numId w:val="0"/>
        </w:numPr>
        <w:bidi w:val="0"/>
        <w:ind w:leftChars="0"/>
        <w:jc w:val="center"/>
        <w:rPr>
          <w:rFonts w:hint="eastAsia" w:ascii="宋体" w:hAnsi="宋体" w:eastAsia="宋体" w:cs="宋体"/>
          <w:highlight w:val="none"/>
          <w:lang w:val="en-US" w:eastAsia="zh-CN"/>
        </w:rPr>
      </w:pPr>
      <w:bookmarkStart w:id="239" w:name="_Toc6226"/>
      <w:bookmarkStart w:id="240" w:name="_Toc16369"/>
      <w:r>
        <w:rPr>
          <w:rFonts w:hint="eastAsia" w:ascii="宋体" w:hAnsi="宋体" w:eastAsia="宋体" w:cs="宋体"/>
          <w:highlight w:val="none"/>
          <w:lang w:val="en-US" w:eastAsia="zh-CN"/>
        </w:rPr>
        <w:t>八、</w:t>
      </w:r>
      <w:r>
        <w:rPr>
          <w:rFonts w:hint="eastAsia" w:ascii="宋体" w:hAnsi="宋体" w:eastAsia="宋体" w:cs="宋体"/>
          <w:szCs w:val="28"/>
          <w:highlight w:val="none"/>
          <w:lang w:val="en-US" w:eastAsia="zh-CN"/>
        </w:rPr>
        <w:t>享受政府采购政策扶持的证明材料</w:t>
      </w:r>
      <w:bookmarkEnd w:id="239"/>
      <w:bookmarkEnd w:id="240"/>
    </w:p>
    <w:p w14:paraId="258D8691">
      <w:pPr>
        <w:keepNext w:val="0"/>
        <w:keepLines w:val="0"/>
        <w:pageBreakBefore w:val="0"/>
        <w:kinsoku/>
        <w:wordWrap/>
        <w:overflowPunct/>
        <w:topLinePunct w:val="0"/>
        <w:autoSpaceDE/>
        <w:autoSpaceDN/>
        <w:bidi w:val="0"/>
        <w:adjustRightInd/>
        <w:snapToGrid/>
        <w:spacing w:before="72" w:line="480" w:lineRule="auto"/>
        <w:jc w:val="center"/>
        <w:textAlignment w:val="auto"/>
        <w:outlineLvl w:val="6"/>
        <w:rPr>
          <w:rFonts w:hint="eastAsia" w:ascii="宋体" w:hAnsi="宋体" w:eastAsia="宋体" w:cs="宋体"/>
          <w:b/>
          <w:bCs/>
          <w:highlight w:val="none"/>
        </w:rPr>
      </w:pPr>
      <w:r>
        <w:rPr>
          <w:rFonts w:hint="eastAsia" w:ascii="宋体" w:hAnsi="宋体" w:eastAsia="宋体" w:cs="宋体"/>
          <w:b/>
          <w:bCs/>
          <w:sz w:val="28"/>
          <w:szCs w:val="28"/>
          <w:highlight w:val="none"/>
          <w:lang w:eastAsia="zh-CN"/>
        </w:rPr>
        <w:t>（</w:t>
      </w:r>
      <w:r>
        <w:rPr>
          <w:rFonts w:hint="eastAsia" w:ascii="宋体" w:hAnsi="宋体" w:eastAsia="宋体" w:cs="宋体"/>
          <w:b/>
          <w:bCs/>
          <w:sz w:val="28"/>
          <w:szCs w:val="28"/>
          <w:highlight w:val="none"/>
          <w:lang w:val="en-US" w:eastAsia="zh-CN"/>
        </w:rPr>
        <w:t>一</w:t>
      </w:r>
      <w:r>
        <w:rPr>
          <w:rFonts w:hint="eastAsia" w:ascii="宋体" w:hAnsi="宋体" w:eastAsia="宋体" w:cs="宋体"/>
          <w:b/>
          <w:bCs/>
          <w:sz w:val="28"/>
          <w:szCs w:val="28"/>
          <w:highlight w:val="none"/>
          <w:lang w:eastAsia="zh-CN"/>
        </w:rPr>
        <w:t>）</w:t>
      </w:r>
      <w:r>
        <w:rPr>
          <w:rFonts w:hint="eastAsia" w:ascii="宋体" w:hAnsi="宋体" w:eastAsia="宋体" w:cs="宋体"/>
          <w:b/>
          <w:bCs/>
          <w:sz w:val="28"/>
          <w:szCs w:val="28"/>
          <w:highlight w:val="none"/>
        </w:rPr>
        <w:t>中小企业声明函(服务类)</w:t>
      </w:r>
    </w:p>
    <w:p w14:paraId="5A6DA99B">
      <w:pPr>
        <w:keepNext w:val="0"/>
        <w:keepLines w:val="0"/>
        <w:pageBreakBefore w:val="0"/>
        <w:kinsoku/>
        <w:wordWrap/>
        <w:overflowPunct/>
        <w:topLinePunct w:val="0"/>
        <w:autoSpaceDE/>
        <w:autoSpaceDN/>
        <w:bidi w:val="0"/>
        <w:adjustRightInd/>
        <w:snapToGrid/>
        <w:spacing w:line="480" w:lineRule="auto"/>
        <w:jc w:val="center"/>
        <w:textAlignment w:val="auto"/>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（属于中小微企业的填写，不属于的无需填写此项内容）</w:t>
      </w:r>
    </w:p>
    <w:p w14:paraId="1E9E7BAF">
      <w:pPr>
        <w:keepNext w:val="0"/>
        <w:keepLines w:val="0"/>
        <w:pageBreakBefore w:val="0"/>
        <w:widowControl/>
        <w:kinsoku/>
        <w:wordWrap/>
        <w:overflowPunct/>
        <w:topLinePunct w:val="0"/>
        <w:autoSpaceDE/>
        <w:autoSpaceDN/>
        <w:bidi w:val="0"/>
        <w:adjustRightInd/>
        <w:snapToGrid/>
        <w:spacing w:line="480" w:lineRule="auto"/>
        <w:ind w:left="0" w:leftChars="0" w:right="0" w:firstLine="420" w:firstLineChars="200"/>
        <w:jc w:val="left"/>
        <w:textAlignment w:val="auto"/>
        <w:rPr>
          <w:rFonts w:hint="eastAsia"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本公司（联合体）郑重声明，根据《政府采购促进中小企业发展管理办法》（财库﹝2020﹞46号）的规定，本公司（联合体）参加</w:t>
      </w:r>
      <w:r>
        <w:rPr>
          <w:rFonts w:hint="eastAsia" w:ascii="宋体" w:hAnsi="宋体" w:eastAsia="宋体" w:cs="宋体"/>
          <w:sz w:val="21"/>
          <w:szCs w:val="20"/>
          <w:highlight w:val="none"/>
          <w:u w:val="single"/>
          <w:lang w:val="en-US" w:eastAsia="zh-CN"/>
        </w:rPr>
        <w:t>（单位名称）</w:t>
      </w:r>
      <w:r>
        <w:rPr>
          <w:rFonts w:hint="eastAsia" w:ascii="宋体" w:hAnsi="宋体" w:eastAsia="宋体" w:cs="宋体"/>
          <w:sz w:val="21"/>
          <w:szCs w:val="20"/>
          <w:highlight w:val="none"/>
          <w:lang w:val="en-US" w:eastAsia="zh-CN"/>
        </w:rPr>
        <w:t>的</w:t>
      </w:r>
      <w:r>
        <w:rPr>
          <w:rFonts w:hint="eastAsia" w:ascii="宋体" w:hAnsi="宋体" w:eastAsia="宋体" w:cs="宋体"/>
          <w:sz w:val="21"/>
          <w:szCs w:val="20"/>
          <w:highlight w:val="none"/>
          <w:u w:val="single"/>
          <w:lang w:val="en-US" w:eastAsia="zh-CN"/>
        </w:rPr>
        <w:t>（项目名称）</w:t>
      </w:r>
      <w:r>
        <w:rPr>
          <w:rFonts w:hint="eastAsia" w:ascii="宋体" w:hAnsi="宋体" w:eastAsia="宋体" w:cs="宋体"/>
          <w:sz w:val="21"/>
          <w:szCs w:val="20"/>
          <w:highlight w:val="none"/>
          <w:lang w:val="en-US" w:eastAsia="zh-CN"/>
        </w:rPr>
        <w:t>采购活动，工程的施工单位全部为符合政策要求的中小企业（或者：服务全部由符合政策要求的中小企业承接）。相关企业（含联合体中的中小企业、签订分包意向协议的中小企业）的具体情况如下：</w:t>
      </w:r>
    </w:p>
    <w:p w14:paraId="5DFED454">
      <w:pPr>
        <w:keepNext w:val="0"/>
        <w:keepLines w:val="0"/>
        <w:pageBreakBefore w:val="0"/>
        <w:widowControl/>
        <w:kinsoku/>
        <w:wordWrap/>
        <w:overflowPunct/>
        <w:topLinePunct w:val="0"/>
        <w:autoSpaceDE/>
        <w:autoSpaceDN/>
        <w:bidi w:val="0"/>
        <w:adjustRightInd/>
        <w:snapToGrid/>
        <w:spacing w:line="480" w:lineRule="auto"/>
        <w:ind w:left="0" w:leftChars="0" w:right="0" w:firstLine="420" w:firstLineChars="200"/>
        <w:jc w:val="left"/>
        <w:textAlignment w:val="auto"/>
        <w:rPr>
          <w:rFonts w:hint="eastAsia"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1.</w:t>
      </w:r>
      <w:r>
        <w:rPr>
          <w:rFonts w:hint="eastAsia" w:ascii="宋体" w:hAnsi="宋体" w:eastAsia="宋体" w:cs="宋体"/>
          <w:sz w:val="21"/>
          <w:szCs w:val="20"/>
          <w:highlight w:val="none"/>
          <w:u w:val="single"/>
          <w:lang w:val="en-US" w:eastAsia="zh-CN"/>
        </w:rPr>
        <w:t>（标的名称）</w:t>
      </w:r>
      <w:r>
        <w:rPr>
          <w:rFonts w:hint="eastAsia" w:ascii="宋体" w:hAnsi="宋体" w:eastAsia="宋体" w:cs="宋体"/>
          <w:sz w:val="21"/>
          <w:szCs w:val="20"/>
          <w:highlight w:val="none"/>
          <w:lang w:val="en-US" w:eastAsia="zh-CN"/>
        </w:rPr>
        <w:t>，属于</w:t>
      </w:r>
      <w:r>
        <w:rPr>
          <w:rFonts w:hint="eastAsia" w:ascii="宋体" w:hAnsi="宋体" w:cs="宋体"/>
          <w:sz w:val="21"/>
          <w:szCs w:val="20"/>
          <w:highlight w:val="none"/>
          <w:u w:val="single"/>
          <w:lang w:val="en-US" w:eastAsia="zh-CN"/>
        </w:rPr>
        <w:t>（采购文件中明确的所属行业）</w:t>
      </w:r>
      <w:r>
        <w:rPr>
          <w:rFonts w:hint="eastAsia" w:ascii="宋体" w:hAnsi="宋体" w:eastAsia="宋体" w:cs="宋体"/>
          <w:sz w:val="21"/>
          <w:szCs w:val="20"/>
          <w:highlight w:val="none"/>
          <w:lang w:val="en-US" w:eastAsia="zh-CN"/>
        </w:rPr>
        <w:t>；承建（承接）企业为</w:t>
      </w:r>
      <w:r>
        <w:rPr>
          <w:rFonts w:hint="eastAsia" w:ascii="宋体" w:hAnsi="宋体" w:eastAsia="宋体" w:cs="宋体"/>
          <w:sz w:val="21"/>
          <w:szCs w:val="20"/>
          <w:highlight w:val="none"/>
          <w:u w:val="single"/>
          <w:lang w:val="en-US" w:eastAsia="zh-CN"/>
        </w:rPr>
        <w:t>（企业名称）</w:t>
      </w:r>
      <w:r>
        <w:rPr>
          <w:rFonts w:hint="eastAsia" w:ascii="宋体" w:hAnsi="宋体" w:eastAsia="宋体" w:cs="宋体"/>
          <w:sz w:val="21"/>
          <w:szCs w:val="20"/>
          <w:highlight w:val="none"/>
          <w:lang w:val="en-US" w:eastAsia="zh-CN"/>
        </w:rPr>
        <w:t>，从业人员</w:t>
      </w:r>
      <w:r>
        <w:rPr>
          <w:rFonts w:hint="eastAsia" w:ascii="宋体" w:hAnsi="宋体" w:eastAsia="宋体" w:cs="宋体"/>
          <w:sz w:val="21"/>
          <w:szCs w:val="20"/>
          <w:highlight w:val="none"/>
          <w:u w:val="single"/>
          <w:lang w:val="en-US" w:eastAsia="zh-CN"/>
        </w:rPr>
        <w:t xml:space="preserve">    </w:t>
      </w:r>
      <w:r>
        <w:rPr>
          <w:rFonts w:hint="eastAsia" w:ascii="宋体" w:hAnsi="宋体" w:eastAsia="宋体" w:cs="宋体"/>
          <w:sz w:val="21"/>
          <w:szCs w:val="20"/>
          <w:highlight w:val="none"/>
          <w:lang w:val="en-US" w:eastAsia="zh-CN"/>
        </w:rPr>
        <w:t>人，营业收入为</w:t>
      </w:r>
      <w:r>
        <w:rPr>
          <w:rFonts w:hint="eastAsia" w:ascii="宋体" w:hAnsi="宋体" w:eastAsia="宋体" w:cs="宋体"/>
          <w:sz w:val="21"/>
          <w:szCs w:val="20"/>
          <w:highlight w:val="none"/>
          <w:u w:val="single"/>
          <w:lang w:val="en-US" w:eastAsia="zh-CN"/>
        </w:rPr>
        <w:t xml:space="preserve">    </w:t>
      </w:r>
      <w:r>
        <w:rPr>
          <w:rFonts w:hint="eastAsia" w:ascii="宋体" w:hAnsi="宋体" w:eastAsia="宋体" w:cs="宋体"/>
          <w:sz w:val="21"/>
          <w:szCs w:val="20"/>
          <w:highlight w:val="none"/>
          <w:lang w:val="en-US" w:eastAsia="zh-CN"/>
        </w:rPr>
        <w:t>万元，资产总额为</w:t>
      </w:r>
      <w:r>
        <w:rPr>
          <w:rFonts w:hint="eastAsia" w:ascii="宋体" w:hAnsi="宋体" w:eastAsia="宋体" w:cs="宋体"/>
          <w:sz w:val="21"/>
          <w:szCs w:val="20"/>
          <w:highlight w:val="none"/>
          <w:u w:val="single"/>
          <w:lang w:val="en-US" w:eastAsia="zh-CN"/>
        </w:rPr>
        <w:t xml:space="preserve">     </w:t>
      </w:r>
      <w:r>
        <w:rPr>
          <w:rFonts w:hint="eastAsia" w:ascii="宋体" w:hAnsi="宋体" w:eastAsia="宋体" w:cs="宋体"/>
          <w:sz w:val="21"/>
          <w:szCs w:val="20"/>
          <w:highlight w:val="none"/>
          <w:lang w:val="en-US" w:eastAsia="zh-CN"/>
        </w:rPr>
        <w:t>万元，属于</w:t>
      </w:r>
      <w:r>
        <w:rPr>
          <w:rFonts w:hint="eastAsia" w:ascii="宋体" w:hAnsi="宋体" w:eastAsia="宋体" w:cs="宋体"/>
          <w:sz w:val="21"/>
          <w:szCs w:val="20"/>
          <w:highlight w:val="none"/>
          <w:u w:val="single"/>
          <w:lang w:val="en-US" w:eastAsia="zh-CN"/>
        </w:rPr>
        <w:t>（中型企业、小型企业、微型企业）</w:t>
      </w:r>
      <w:r>
        <w:rPr>
          <w:rFonts w:hint="eastAsia" w:ascii="宋体" w:hAnsi="宋体" w:eastAsia="宋体" w:cs="宋体"/>
          <w:sz w:val="21"/>
          <w:szCs w:val="20"/>
          <w:highlight w:val="none"/>
          <w:lang w:val="en-US" w:eastAsia="zh-CN"/>
        </w:rPr>
        <w:t>；</w:t>
      </w:r>
    </w:p>
    <w:p w14:paraId="5C209FED">
      <w:pPr>
        <w:keepNext w:val="0"/>
        <w:keepLines w:val="0"/>
        <w:pageBreakBefore w:val="0"/>
        <w:widowControl/>
        <w:kinsoku/>
        <w:wordWrap/>
        <w:overflowPunct/>
        <w:topLinePunct w:val="0"/>
        <w:autoSpaceDE/>
        <w:autoSpaceDN/>
        <w:bidi w:val="0"/>
        <w:adjustRightInd/>
        <w:snapToGrid/>
        <w:spacing w:line="480" w:lineRule="auto"/>
        <w:ind w:left="0" w:leftChars="0" w:right="0" w:firstLine="420" w:firstLineChars="200"/>
        <w:jc w:val="left"/>
        <w:textAlignment w:val="auto"/>
        <w:rPr>
          <w:rFonts w:hint="eastAsia"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2.</w:t>
      </w:r>
      <w:r>
        <w:rPr>
          <w:rFonts w:hint="eastAsia" w:ascii="宋体" w:hAnsi="宋体" w:eastAsia="宋体" w:cs="宋体"/>
          <w:sz w:val="21"/>
          <w:szCs w:val="20"/>
          <w:highlight w:val="none"/>
          <w:u w:val="single"/>
          <w:lang w:val="en-US" w:eastAsia="zh-CN"/>
        </w:rPr>
        <w:t>（标的名称）</w:t>
      </w:r>
      <w:r>
        <w:rPr>
          <w:rFonts w:hint="eastAsia" w:ascii="宋体" w:hAnsi="宋体" w:eastAsia="宋体" w:cs="宋体"/>
          <w:sz w:val="21"/>
          <w:szCs w:val="20"/>
          <w:highlight w:val="none"/>
          <w:lang w:val="en-US" w:eastAsia="zh-CN"/>
        </w:rPr>
        <w:t>，属于</w:t>
      </w:r>
      <w:r>
        <w:rPr>
          <w:rFonts w:hint="eastAsia" w:ascii="宋体" w:hAnsi="宋体" w:cs="宋体"/>
          <w:sz w:val="21"/>
          <w:szCs w:val="20"/>
          <w:highlight w:val="none"/>
          <w:u w:val="single"/>
          <w:lang w:val="en-US" w:eastAsia="zh-CN"/>
        </w:rPr>
        <w:t>（采购文件中明确的所属行业）</w:t>
      </w:r>
      <w:r>
        <w:rPr>
          <w:rFonts w:hint="eastAsia" w:ascii="宋体" w:hAnsi="宋体" w:eastAsia="宋体" w:cs="宋体"/>
          <w:sz w:val="21"/>
          <w:szCs w:val="20"/>
          <w:highlight w:val="none"/>
          <w:lang w:val="en-US" w:eastAsia="zh-CN"/>
        </w:rPr>
        <w:t>；承建（承接）企业为</w:t>
      </w:r>
      <w:r>
        <w:rPr>
          <w:rFonts w:hint="eastAsia" w:ascii="宋体" w:hAnsi="宋体" w:eastAsia="宋体" w:cs="宋体"/>
          <w:sz w:val="21"/>
          <w:szCs w:val="20"/>
          <w:highlight w:val="none"/>
          <w:u w:val="single"/>
          <w:lang w:val="en-US" w:eastAsia="zh-CN"/>
        </w:rPr>
        <w:t>（企业名称）</w:t>
      </w:r>
      <w:r>
        <w:rPr>
          <w:rFonts w:hint="eastAsia" w:ascii="宋体" w:hAnsi="宋体" w:eastAsia="宋体" w:cs="宋体"/>
          <w:sz w:val="21"/>
          <w:szCs w:val="20"/>
          <w:highlight w:val="none"/>
          <w:lang w:val="en-US" w:eastAsia="zh-CN"/>
        </w:rPr>
        <w:t>，从业人员</w:t>
      </w:r>
      <w:r>
        <w:rPr>
          <w:rFonts w:hint="eastAsia" w:ascii="宋体" w:hAnsi="宋体" w:eastAsia="宋体" w:cs="宋体"/>
          <w:sz w:val="21"/>
          <w:szCs w:val="20"/>
          <w:highlight w:val="none"/>
          <w:u w:val="single"/>
          <w:lang w:val="en-US" w:eastAsia="zh-CN"/>
        </w:rPr>
        <w:t xml:space="preserve">     </w:t>
      </w:r>
      <w:r>
        <w:rPr>
          <w:rFonts w:hint="eastAsia" w:ascii="宋体" w:hAnsi="宋体" w:eastAsia="宋体" w:cs="宋体"/>
          <w:sz w:val="21"/>
          <w:szCs w:val="20"/>
          <w:highlight w:val="none"/>
          <w:lang w:val="en-US" w:eastAsia="zh-CN"/>
        </w:rPr>
        <w:t>人，营业收入为</w:t>
      </w:r>
      <w:r>
        <w:rPr>
          <w:rFonts w:hint="eastAsia" w:ascii="宋体" w:hAnsi="宋体" w:eastAsia="宋体" w:cs="宋体"/>
          <w:sz w:val="21"/>
          <w:szCs w:val="20"/>
          <w:highlight w:val="none"/>
          <w:u w:val="single"/>
          <w:lang w:val="en-US" w:eastAsia="zh-CN"/>
        </w:rPr>
        <w:t xml:space="preserve">    </w:t>
      </w:r>
      <w:r>
        <w:rPr>
          <w:rFonts w:hint="eastAsia" w:ascii="宋体" w:hAnsi="宋体" w:eastAsia="宋体" w:cs="宋体"/>
          <w:sz w:val="21"/>
          <w:szCs w:val="20"/>
          <w:highlight w:val="none"/>
          <w:lang w:val="en-US" w:eastAsia="zh-CN"/>
        </w:rPr>
        <w:t>万元，资产总额为</w:t>
      </w:r>
      <w:r>
        <w:rPr>
          <w:rFonts w:hint="eastAsia" w:ascii="宋体" w:hAnsi="宋体" w:eastAsia="宋体" w:cs="宋体"/>
          <w:sz w:val="21"/>
          <w:szCs w:val="20"/>
          <w:highlight w:val="none"/>
          <w:u w:val="single"/>
          <w:lang w:val="en-US" w:eastAsia="zh-CN"/>
        </w:rPr>
        <w:t xml:space="preserve">     </w:t>
      </w:r>
      <w:r>
        <w:rPr>
          <w:rFonts w:hint="eastAsia" w:ascii="宋体" w:hAnsi="宋体" w:eastAsia="宋体" w:cs="宋体"/>
          <w:sz w:val="21"/>
          <w:szCs w:val="20"/>
          <w:highlight w:val="none"/>
          <w:lang w:val="en-US" w:eastAsia="zh-CN"/>
        </w:rPr>
        <w:t xml:space="preserve"> 万元，属于</w:t>
      </w:r>
      <w:r>
        <w:rPr>
          <w:rFonts w:hint="eastAsia" w:ascii="宋体" w:hAnsi="宋体" w:eastAsia="宋体" w:cs="宋体"/>
          <w:sz w:val="21"/>
          <w:szCs w:val="20"/>
          <w:highlight w:val="none"/>
          <w:u w:val="single"/>
          <w:lang w:val="en-US" w:eastAsia="zh-CN"/>
        </w:rPr>
        <w:t>（中型企业、小型企业、微型企业）</w:t>
      </w:r>
      <w:r>
        <w:rPr>
          <w:rFonts w:hint="eastAsia" w:ascii="宋体" w:hAnsi="宋体" w:eastAsia="宋体" w:cs="宋体"/>
          <w:sz w:val="21"/>
          <w:szCs w:val="20"/>
          <w:highlight w:val="none"/>
          <w:lang w:val="en-US" w:eastAsia="zh-CN"/>
        </w:rPr>
        <w:t>。</w:t>
      </w:r>
    </w:p>
    <w:p w14:paraId="0DA2C1C3">
      <w:pPr>
        <w:keepNext w:val="0"/>
        <w:keepLines w:val="0"/>
        <w:pageBreakBefore w:val="0"/>
        <w:widowControl/>
        <w:kinsoku/>
        <w:wordWrap/>
        <w:overflowPunct/>
        <w:topLinePunct w:val="0"/>
        <w:autoSpaceDE/>
        <w:autoSpaceDN/>
        <w:bidi w:val="0"/>
        <w:adjustRightInd/>
        <w:snapToGrid/>
        <w:spacing w:line="480" w:lineRule="auto"/>
        <w:ind w:left="0" w:leftChars="0" w:right="0" w:firstLine="420" w:firstLineChars="200"/>
        <w:jc w:val="left"/>
        <w:textAlignment w:val="auto"/>
        <w:rPr>
          <w:rFonts w:hint="eastAsia"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w:t>
      </w:r>
    </w:p>
    <w:p w14:paraId="40B7E8B5">
      <w:pPr>
        <w:pStyle w:val="9"/>
        <w:keepNext w:val="0"/>
        <w:keepLines w:val="0"/>
        <w:pageBreakBefore w:val="0"/>
        <w:kinsoku/>
        <w:wordWrap/>
        <w:overflowPunct/>
        <w:topLinePunct w:val="0"/>
        <w:autoSpaceDE/>
        <w:autoSpaceDN/>
        <w:bidi w:val="0"/>
        <w:adjustRightInd/>
        <w:snapToGrid/>
        <w:spacing w:before="108" w:line="480" w:lineRule="auto"/>
        <w:ind w:left="0" w:leftChars="0" w:right="417" w:firstLine="420" w:firstLineChars="20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以上企业，不属于大企业的分支机构，不存在控股股东为大企业的情形，也不存在与大企业的负责人为同一人的情形。</w:t>
      </w:r>
    </w:p>
    <w:p w14:paraId="0414D8B2">
      <w:pPr>
        <w:keepNext w:val="0"/>
        <w:keepLines w:val="0"/>
        <w:pageBreakBefore w:val="0"/>
        <w:kinsoku/>
        <w:wordWrap/>
        <w:overflowPunct/>
        <w:topLinePunct w:val="0"/>
        <w:autoSpaceDE/>
        <w:autoSpaceDN/>
        <w:bidi w:val="0"/>
        <w:adjustRightInd/>
        <w:snapToGrid/>
        <w:spacing w:line="480" w:lineRule="auto"/>
        <w:textAlignment w:val="auto"/>
        <w:rPr>
          <w:rFonts w:hint="eastAsia" w:ascii="宋体" w:hAnsi="宋体" w:eastAsia="宋体" w:cs="宋体"/>
          <w:color w:val="auto"/>
          <w:kern w:val="2"/>
          <w:szCs w:val="21"/>
          <w:highlight w:val="none"/>
        </w:rPr>
      </w:pPr>
      <w:r>
        <w:rPr>
          <w:rFonts w:hint="eastAsia" w:ascii="宋体" w:hAnsi="宋体" w:eastAsia="宋体" w:cs="宋体"/>
          <w:kern w:val="2"/>
          <w:sz w:val="21"/>
          <w:szCs w:val="21"/>
          <w:highlight w:val="none"/>
          <w:lang w:val="en-US" w:eastAsia="zh-CN" w:bidi="ar-SA"/>
        </w:rPr>
        <w:t>本企业对上述声明内容的真实性负责。如有虚假，将依法承担相应责任。</w:t>
      </w:r>
    </w:p>
    <w:p w14:paraId="3B981171">
      <w:pPr>
        <w:keepNext w:val="0"/>
        <w:keepLines w:val="0"/>
        <w:pageBreakBefore w:val="0"/>
        <w:kinsoku/>
        <w:wordWrap/>
        <w:overflowPunct/>
        <w:topLinePunct w:val="0"/>
        <w:autoSpaceDE/>
        <w:autoSpaceDN/>
        <w:bidi w:val="0"/>
        <w:adjustRightInd/>
        <w:snapToGrid/>
        <w:spacing w:line="480" w:lineRule="auto"/>
        <w:ind w:firstLine="420"/>
        <w:textAlignment w:val="auto"/>
        <w:rPr>
          <w:rFonts w:hint="eastAsia" w:ascii="宋体" w:hAnsi="宋体" w:eastAsia="宋体" w:cs="宋体"/>
          <w:color w:val="auto"/>
          <w:kern w:val="2"/>
          <w:szCs w:val="21"/>
          <w:highlight w:val="none"/>
        </w:rPr>
      </w:pPr>
    </w:p>
    <w:p w14:paraId="24949B28">
      <w:pPr>
        <w:keepNext w:val="0"/>
        <w:keepLines w:val="0"/>
        <w:pageBreakBefore w:val="0"/>
        <w:kinsoku/>
        <w:wordWrap/>
        <w:overflowPunct/>
        <w:topLinePunct w:val="0"/>
        <w:autoSpaceDE/>
        <w:autoSpaceDN/>
        <w:bidi w:val="0"/>
        <w:adjustRightInd/>
        <w:snapToGrid/>
        <w:spacing w:line="480" w:lineRule="auto"/>
        <w:ind w:firstLine="420"/>
        <w:textAlignment w:val="auto"/>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企业名称：</w:t>
      </w:r>
      <w:r>
        <w:rPr>
          <w:rFonts w:hint="eastAsia" w:ascii="宋体" w:hAnsi="宋体" w:eastAsia="宋体" w:cs="宋体"/>
          <w:color w:val="auto"/>
          <w:kern w:val="2"/>
          <w:szCs w:val="21"/>
          <w:highlight w:val="none"/>
          <w:u w:val="single"/>
        </w:rPr>
        <w:t>　</w:t>
      </w:r>
      <w:r>
        <w:rPr>
          <w:rFonts w:hint="eastAsia" w:ascii="宋体" w:hAnsi="宋体" w:eastAsia="宋体" w:cs="宋体"/>
          <w:color w:val="auto"/>
          <w:kern w:val="2"/>
          <w:szCs w:val="21"/>
          <w:highlight w:val="none"/>
          <w:u w:val="single"/>
          <w:lang w:val="en-US" w:eastAsia="zh-CN"/>
        </w:rPr>
        <w:t xml:space="preserve">              </w:t>
      </w:r>
      <w:r>
        <w:rPr>
          <w:rFonts w:hint="eastAsia" w:ascii="宋体" w:hAnsi="宋体" w:eastAsia="宋体" w:cs="宋体"/>
          <w:color w:val="auto"/>
          <w:kern w:val="1"/>
          <w:szCs w:val="21"/>
          <w:highlight w:val="none"/>
        </w:rPr>
        <w:t>（</w:t>
      </w:r>
      <w:r>
        <w:rPr>
          <w:rFonts w:hint="eastAsia" w:ascii="宋体" w:hAnsi="宋体" w:eastAsia="宋体" w:cs="宋体"/>
          <w:color w:val="auto"/>
          <w:kern w:val="1"/>
          <w:szCs w:val="21"/>
          <w:highlight w:val="none"/>
          <w:lang w:val="en-US" w:eastAsia="zh-CN"/>
        </w:rPr>
        <w:t>企业</w:t>
      </w:r>
      <w:r>
        <w:rPr>
          <w:rFonts w:hint="eastAsia" w:ascii="宋体" w:hAnsi="宋体" w:eastAsia="宋体" w:cs="宋体"/>
          <w:szCs w:val="21"/>
          <w:highlight w:val="none"/>
        </w:rPr>
        <w:t>电子签章</w:t>
      </w:r>
      <w:r>
        <w:rPr>
          <w:rFonts w:hint="eastAsia" w:ascii="宋体" w:hAnsi="宋体" w:eastAsia="宋体" w:cs="宋体"/>
          <w:color w:val="auto"/>
          <w:kern w:val="1"/>
          <w:szCs w:val="21"/>
          <w:highlight w:val="none"/>
        </w:rPr>
        <w:t>）</w:t>
      </w:r>
    </w:p>
    <w:p w14:paraId="35B589F3">
      <w:pPr>
        <w:keepNext w:val="0"/>
        <w:keepLines w:val="0"/>
        <w:pageBreakBefore w:val="0"/>
        <w:kinsoku/>
        <w:wordWrap/>
        <w:overflowPunct/>
        <w:topLinePunct w:val="0"/>
        <w:autoSpaceDE/>
        <w:autoSpaceDN/>
        <w:bidi w:val="0"/>
        <w:adjustRightInd/>
        <w:snapToGrid/>
        <w:spacing w:line="480" w:lineRule="auto"/>
        <w:ind w:firstLine="420" w:firstLineChars="200"/>
        <w:textAlignment w:val="auto"/>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日 期：</w:t>
      </w:r>
    </w:p>
    <w:p w14:paraId="44D465C5">
      <w:pP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br w:type="page"/>
      </w:r>
    </w:p>
    <w:p w14:paraId="078A74B2">
      <w:pPr>
        <w:spacing w:line="360" w:lineRule="auto"/>
        <w:jc w:val="center"/>
        <w:rPr>
          <w:rFonts w:hint="eastAsia" w:ascii="宋体" w:hAnsi="宋体" w:eastAsia="宋体" w:cs="宋体"/>
          <w:b/>
          <w:bCs/>
          <w:sz w:val="28"/>
          <w:szCs w:val="28"/>
          <w:highlight w:val="none"/>
        </w:rPr>
      </w:pPr>
      <w:bookmarkStart w:id="241" w:name="_Toc30700"/>
      <w:bookmarkStart w:id="242" w:name="_Toc27749"/>
      <w:r>
        <w:rPr>
          <w:rFonts w:hint="eastAsia" w:ascii="宋体" w:hAnsi="宋体" w:eastAsia="宋体" w:cs="宋体"/>
          <w:b/>
          <w:bCs/>
          <w:sz w:val="28"/>
          <w:szCs w:val="28"/>
          <w:highlight w:val="none"/>
        </w:rPr>
        <w:t>大中小微型企业划分标准</w:t>
      </w:r>
      <w:bookmarkEnd w:id="241"/>
      <w:bookmarkEnd w:id="242"/>
    </w:p>
    <w:tbl>
      <w:tblPr>
        <w:tblStyle w:val="20"/>
        <w:tblW w:w="0" w:type="auto"/>
        <w:jc w:val="center"/>
        <w:tblLayout w:type="fixed"/>
        <w:tblCellMar>
          <w:top w:w="0" w:type="dxa"/>
          <w:left w:w="108" w:type="dxa"/>
          <w:bottom w:w="0" w:type="dxa"/>
          <w:right w:w="108" w:type="dxa"/>
        </w:tblCellMar>
      </w:tblPr>
      <w:tblGrid>
        <w:gridCol w:w="2113"/>
        <w:gridCol w:w="1369"/>
        <w:gridCol w:w="709"/>
        <w:gridCol w:w="1125"/>
        <w:gridCol w:w="1701"/>
        <w:gridCol w:w="1426"/>
        <w:gridCol w:w="992"/>
      </w:tblGrid>
      <w:tr w14:paraId="523D9BB0">
        <w:tblPrEx>
          <w:tblCellMar>
            <w:top w:w="0" w:type="dxa"/>
            <w:left w:w="108" w:type="dxa"/>
            <w:bottom w:w="0" w:type="dxa"/>
            <w:right w:w="108" w:type="dxa"/>
          </w:tblCellMar>
        </w:tblPrEx>
        <w:trPr>
          <w:trHeight w:val="622" w:hRule="exact"/>
          <w:jc w:val="center"/>
        </w:trPr>
        <w:tc>
          <w:tcPr>
            <w:tcW w:w="2113" w:type="dxa"/>
            <w:tcBorders>
              <w:top w:val="single" w:color="auto" w:sz="4" w:space="0"/>
              <w:left w:val="nil"/>
              <w:bottom w:val="single" w:color="auto" w:sz="4" w:space="0"/>
              <w:right w:val="single" w:color="auto" w:sz="4" w:space="0"/>
            </w:tcBorders>
            <w:vAlign w:val="center"/>
          </w:tcPr>
          <w:p w14:paraId="75F8D22E">
            <w:pPr>
              <w:widowControl/>
              <w:spacing w:line="240" w:lineRule="exact"/>
              <w:jc w:val="center"/>
              <w:rPr>
                <w:rFonts w:hint="eastAsia" w:ascii="宋体" w:hAnsi="宋体" w:eastAsia="宋体" w:cs="宋体"/>
                <w:b/>
                <w:bCs/>
                <w:sz w:val="18"/>
                <w:szCs w:val="18"/>
                <w:highlight w:val="none"/>
              </w:rPr>
            </w:pPr>
            <w:r>
              <w:rPr>
                <w:rFonts w:hint="eastAsia" w:ascii="宋体" w:hAnsi="宋体" w:eastAsia="宋体" w:cs="宋体"/>
                <w:b/>
                <w:bCs/>
                <w:sz w:val="18"/>
                <w:szCs w:val="18"/>
                <w:highlight w:val="none"/>
              </w:rPr>
              <w:t>行业名称</w:t>
            </w:r>
          </w:p>
        </w:tc>
        <w:tc>
          <w:tcPr>
            <w:tcW w:w="1369" w:type="dxa"/>
            <w:tcBorders>
              <w:top w:val="single" w:color="auto" w:sz="4" w:space="0"/>
              <w:left w:val="nil"/>
              <w:bottom w:val="single" w:color="auto" w:sz="4" w:space="0"/>
              <w:right w:val="single" w:color="auto" w:sz="4" w:space="0"/>
            </w:tcBorders>
            <w:vAlign w:val="center"/>
          </w:tcPr>
          <w:p w14:paraId="6C3E7F67">
            <w:pPr>
              <w:widowControl/>
              <w:jc w:val="center"/>
              <w:rPr>
                <w:rFonts w:hint="eastAsia" w:ascii="宋体" w:hAnsi="宋体" w:eastAsia="宋体" w:cs="宋体"/>
                <w:b/>
                <w:bCs/>
                <w:sz w:val="18"/>
                <w:szCs w:val="18"/>
                <w:highlight w:val="none"/>
              </w:rPr>
            </w:pPr>
            <w:r>
              <w:rPr>
                <w:rFonts w:hint="eastAsia" w:ascii="宋体" w:hAnsi="宋体" w:eastAsia="宋体" w:cs="宋体"/>
                <w:b/>
                <w:bCs/>
                <w:sz w:val="18"/>
                <w:szCs w:val="18"/>
                <w:highlight w:val="none"/>
              </w:rPr>
              <w:t>指标名称</w:t>
            </w:r>
          </w:p>
        </w:tc>
        <w:tc>
          <w:tcPr>
            <w:tcW w:w="709" w:type="dxa"/>
            <w:tcBorders>
              <w:top w:val="single" w:color="auto" w:sz="4" w:space="0"/>
              <w:left w:val="nil"/>
              <w:bottom w:val="single" w:color="auto" w:sz="4" w:space="0"/>
              <w:right w:val="single" w:color="auto" w:sz="4" w:space="0"/>
            </w:tcBorders>
            <w:vAlign w:val="center"/>
          </w:tcPr>
          <w:p w14:paraId="74C8D3F7">
            <w:pPr>
              <w:widowControl/>
              <w:jc w:val="center"/>
              <w:rPr>
                <w:rFonts w:hint="eastAsia" w:ascii="宋体" w:hAnsi="宋体" w:eastAsia="宋体" w:cs="宋体"/>
                <w:b/>
                <w:bCs/>
                <w:sz w:val="18"/>
                <w:szCs w:val="18"/>
                <w:highlight w:val="none"/>
              </w:rPr>
            </w:pPr>
            <w:r>
              <w:rPr>
                <w:rFonts w:hint="eastAsia" w:ascii="宋体" w:hAnsi="宋体" w:eastAsia="宋体" w:cs="宋体"/>
                <w:b/>
                <w:bCs/>
                <w:sz w:val="18"/>
                <w:szCs w:val="18"/>
                <w:highlight w:val="none"/>
              </w:rPr>
              <w:t>计量</w:t>
            </w:r>
          </w:p>
          <w:p w14:paraId="3E8BAC38">
            <w:pPr>
              <w:widowControl/>
              <w:jc w:val="center"/>
              <w:rPr>
                <w:rFonts w:hint="eastAsia" w:ascii="宋体" w:hAnsi="宋体" w:eastAsia="宋体" w:cs="宋体"/>
                <w:b/>
                <w:bCs/>
                <w:sz w:val="18"/>
                <w:szCs w:val="18"/>
                <w:highlight w:val="none"/>
              </w:rPr>
            </w:pPr>
            <w:r>
              <w:rPr>
                <w:rFonts w:hint="eastAsia" w:ascii="宋体" w:hAnsi="宋体" w:eastAsia="宋体" w:cs="宋体"/>
                <w:b/>
                <w:bCs/>
                <w:sz w:val="18"/>
                <w:szCs w:val="18"/>
                <w:highlight w:val="none"/>
              </w:rPr>
              <w:t>单位</w:t>
            </w:r>
          </w:p>
        </w:tc>
        <w:tc>
          <w:tcPr>
            <w:tcW w:w="1125" w:type="dxa"/>
            <w:tcBorders>
              <w:top w:val="single" w:color="auto" w:sz="4" w:space="0"/>
              <w:left w:val="nil"/>
              <w:bottom w:val="single" w:color="auto" w:sz="4" w:space="0"/>
              <w:right w:val="single" w:color="auto" w:sz="4" w:space="0"/>
            </w:tcBorders>
            <w:vAlign w:val="center"/>
          </w:tcPr>
          <w:p w14:paraId="57228210">
            <w:pPr>
              <w:widowControl/>
              <w:jc w:val="center"/>
              <w:rPr>
                <w:rFonts w:hint="eastAsia" w:ascii="宋体" w:hAnsi="宋体" w:eastAsia="宋体" w:cs="宋体"/>
                <w:b/>
                <w:bCs/>
                <w:sz w:val="18"/>
                <w:szCs w:val="18"/>
                <w:highlight w:val="none"/>
              </w:rPr>
            </w:pPr>
            <w:r>
              <w:rPr>
                <w:rFonts w:hint="eastAsia" w:ascii="宋体" w:hAnsi="宋体" w:eastAsia="宋体" w:cs="宋体"/>
                <w:b/>
                <w:bCs/>
                <w:sz w:val="18"/>
                <w:szCs w:val="18"/>
                <w:highlight w:val="none"/>
              </w:rPr>
              <w:t>大型</w:t>
            </w:r>
          </w:p>
        </w:tc>
        <w:tc>
          <w:tcPr>
            <w:tcW w:w="1701" w:type="dxa"/>
            <w:tcBorders>
              <w:top w:val="single" w:color="auto" w:sz="4" w:space="0"/>
              <w:left w:val="nil"/>
              <w:bottom w:val="single" w:color="auto" w:sz="4" w:space="0"/>
              <w:right w:val="single" w:color="auto" w:sz="4" w:space="0"/>
            </w:tcBorders>
            <w:vAlign w:val="center"/>
          </w:tcPr>
          <w:p w14:paraId="3048F11F">
            <w:pPr>
              <w:widowControl/>
              <w:jc w:val="center"/>
              <w:rPr>
                <w:rFonts w:hint="eastAsia" w:ascii="宋体" w:hAnsi="宋体" w:eastAsia="宋体" w:cs="宋体"/>
                <w:b/>
                <w:bCs/>
                <w:sz w:val="18"/>
                <w:szCs w:val="18"/>
                <w:highlight w:val="none"/>
              </w:rPr>
            </w:pPr>
            <w:r>
              <w:rPr>
                <w:rFonts w:hint="eastAsia" w:ascii="宋体" w:hAnsi="宋体" w:eastAsia="宋体" w:cs="宋体"/>
                <w:b/>
                <w:bCs/>
                <w:sz w:val="18"/>
                <w:szCs w:val="18"/>
                <w:highlight w:val="none"/>
              </w:rPr>
              <w:t>中型</w:t>
            </w:r>
          </w:p>
        </w:tc>
        <w:tc>
          <w:tcPr>
            <w:tcW w:w="1426" w:type="dxa"/>
            <w:tcBorders>
              <w:top w:val="single" w:color="auto" w:sz="4" w:space="0"/>
              <w:left w:val="nil"/>
              <w:bottom w:val="single" w:color="auto" w:sz="4" w:space="0"/>
              <w:right w:val="single" w:color="auto" w:sz="4" w:space="0"/>
            </w:tcBorders>
            <w:vAlign w:val="center"/>
          </w:tcPr>
          <w:p w14:paraId="66389E6A">
            <w:pPr>
              <w:widowControl/>
              <w:jc w:val="center"/>
              <w:rPr>
                <w:rFonts w:hint="eastAsia" w:ascii="宋体" w:hAnsi="宋体" w:eastAsia="宋体" w:cs="宋体"/>
                <w:b/>
                <w:bCs/>
                <w:sz w:val="18"/>
                <w:szCs w:val="18"/>
                <w:highlight w:val="none"/>
              </w:rPr>
            </w:pPr>
            <w:r>
              <w:rPr>
                <w:rFonts w:hint="eastAsia" w:ascii="宋体" w:hAnsi="宋体" w:eastAsia="宋体" w:cs="宋体"/>
                <w:b/>
                <w:bCs/>
                <w:sz w:val="18"/>
                <w:szCs w:val="18"/>
                <w:highlight w:val="none"/>
              </w:rPr>
              <w:t>小型</w:t>
            </w:r>
          </w:p>
        </w:tc>
        <w:tc>
          <w:tcPr>
            <w:tcW w:w="992" w:type="dxa"/>
            <w:tcBorders>
              <w:top w:val="single" w:color="auto" w:sz="4" w:space="0"/>
              <w:left w:val="nil"/>
              <w:bottom w:val="single" w:color="auto" w:sz="4" w:space="0"/>
              <w:right w:val="nil"/>
            </w:tcBorders>
            <w:vAlign w:val="center"/>
          </w:tcPr>
          <w:p w14:paraId="568091A2">
            <w:pPr>
              <w:widowControl/>
              <w:jc w:val="center"/>
              <w:rPr>
                <w:rFonts w:hint="eastAsia" w:ascii="宋体" w:hAnsi="宋体" w:eastAsia="宋体" w:cs="宋体"/>
                <w:b/>
                <w:bCs/>
                <w:sz w:val="18"/>
                <w:szCs w:val="18"/>
                <w:highlight w:val="none"/>
              </w:rPr>
            </w:pPr>
            <w:r>
              <w:rPr>
                <w:rFonts w:hint="eastAsia" w:ascii="宋体" w:hAnsi="宋体" w:eastAsia="宋体" w:cs="宋体"/>
                <w:b/>
                <w:bCs/>
                <w:sz w:val="18"/>
                <w:szCs w:val="18"/>
                <w:highlight w:val="none"/>
              </w:rPr>
              <w:t>微型</w:t>
            </w:r>
          </w:p>
        </w:tc>
      </w:tr>
      <w:tr w14:paraId="3B499119">
        <w:tblPrEx>
          <w:tblCellMar>
            <w:top w:w="0" w:type="dxa"/>
            <w:left w:w="108" w:type="dxa"/>
            <w:bottom w:w="0" w:type="dxa"/>
            <w:right w:w="108" w:type="dxa"/>
          </w:tblCellMar>
        </w:tblPrEx>
        <w:trPr>
          <w:trHeight w:val="397" w:hRule="exact"/>
          <w:jc w:val="center"/>
        </w:trPr>
        <w:tc>
          <w:tcPr>
            <w:tcW w:w="2113" w:type="dxa"/>
            <w:tcBorders>
              <w:top w:val="nil"/>
              <w:left w:val="nil"/>
              <w:bottom w:val="single" w:color="auto" w:sz="4" w:space="0"/>
              <w:right w:val="single" w:color="auto" w:sz="4" w:space="0"/>
            </w:tcBorders>
            <w:vAlign w:val="center"/>
          </w:tcPr>
          <w:p w14:paraId="1152AB40">
            <w:pPr>
              <w:widowControl/>
              <w:spacing w:line="240" w:lineRule="exact"/>
              <w:rPr>
                <w:rFonts w:hint="eastAsia" w:ascii="宋体" w:hAnsi="宋体" w:eastAsia="宋体" w:cs="宋体"/>
                <w:sz w:val="18"/>
                <w:szCs w:val="18"/>
                <w:highlight w:val="none"/>
              </w:rPr>
            </w:pPr>
            <w:r>
              <w:rPr>
                <w:rFonts w:hint="eastAsia" w:ascii="宋体" w:hAnsi="宋体" w:eastAsia="宋体" w:cs="宋体"/>
                <w:sz w:val="18"/>
                <w:szCs w:val="18"/>
                <w:highlight w:val="none"/>
              </w:rPr>
              <w:t>农、林、牧、渔业</w:t>
            </w:r>
          </w:p>
        </w:tc>
        <w:tc>
          <w:tcPr>
            <w:tcW w:w="1369" w:type="dxa"/>
            <w:tcBorders>
              <w:top w:val="nil"/>
              <w:left w:val="nil"/>
              <w:bottom w:val="single" w:color="auto" w:sz="4" w:space="0"/>
              <w:right w:val="single" w:color="auto" w:sz="4" w:space="0"/>
            </w:tcBorders>
            <w:vAlign w:val="center"/>
          </w:tcPr>
          <w:p w14:paraId="556E62B6">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营业收入(Y)</w:t>
            </w:r>
          </w:p>
        </w:tc>
        <w:tc>
          <w:tcPr>
            <w:tcW w:w="709" w:type="dxa"/>
            <w:tcBorders>
              <w:top w:val="nil"/>
              <w:left w:val="nil"/>
              <w:bottom w:val="single" w:color="auto" w:sz="4" w:space="0"/>
              <w:right w:val="single" w:color="auto" w:sz="4" w:space="0"/>
            </w:tcBorders>
            <w:vAlign w:val="center"/>
          </w:tcPr>
          <w:p w14:paraId="05238677">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万元</w:t>
            </w:r>
          </w:p>
        </w:tc>
        <w:tc>
          <w:tcPr>
            <w:tcW w:w="1125" w:type="dxa"/>
            <w:tcBorders>
              <w:top w:val="nil"/>
              <w:left w:val="nil"/>
              <w:bottom w:val="single" w:color="auto" w:sz="4" w:space="0"/>
              <w:right w:val="single" w:color="auto" w:sz="4" w:space="0"/>
            </w:tcBorders>
            <w:vAlign w:val="center"/>
          </w:tcPr>
          <w:p w14:paraId="656F20BB">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Y≥20000</w:t>
            </w:r>
          </w:p>
        </w:tc>
        <w:tc>
          <w:tcPr>
            <w:tcW w:w="1701" w:type="dxa"/>
            <w:tcBorders>
              <w:top w:val="nil"/>
              <w:left w:val="nil"/>
              <w:bottom w:val="single" w:color="auto" w:sz="4" w:space="0"/>
              <w:right w:val="single" w:color="auto" w:sz="4" w:space="0"/>
            </w:tcBorders>
            <w:vAlign w:val="center"/>
          </w:tcPr>
          <w:p w14:paraId="621F913F">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500≤Y＜20000</w:t>
            </w:r>
          </w:p>
        </w:tc>
        <w:tc>
          <w:tcPr>
            <w:tcW w:w="1426" w:type="dxa"/>
            <w:tcBorders>
              <w:top w:val="nil"/>
              <w:left w:val="nil"/>
              <w:bottom w:val="single" w:color="auto" w:sz="4" w:space="0"/>
              <w:right w:val="single" w:color="auto" w:sz="4" w:space="0"/>
            </w:tcBorders>
            <w:vAlign w:val="center"/>
          </w:tcPr>
          <w:p w14:paraId="47CF68B9">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 xml:space="preserve"> 50≤Y＜500</w:t>
            </w:r>
          </w:p>
        </w:tc>
        <w:tc>
          <w:tcPr>
            <w:tcW w:w="992" w:type="dxa"/>
            <w:tcBorders>
              <w:top w:val="nil"/>
              <w:left w:val="nil"/>
              <w:bottom w:val="single" w:color="auto" w:sz="4" w:space="0"/>
              <w:right w:val="nil"/>
            </w:tcBorders>
            <w:vAlign w:val="center"/>
          </w:tcPr>
          <w:p w14:paraId="6CE8151A">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Y＜50</w:t>
            </w:r>
          </w:p>
        </w:tc>
      </w:tr>
      <w:tr w14:paraId="4B3C8EE4">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vAlign w:val="center"/>
          </w:tcPr>
          <w:p w14:paraId="32A0B6E4">
            <w:pPr>
              <w:widowControl/>
              <w:spacing w:line="240" w:lineRule="exact"/>
              <w:rPr>
                <w:rFonts w:hint="eastAsia" w:ascii="宋体" w:hAnsi="宋体" w:eastAsia="宋体" w:cs="宋体"/>
                <w:sz w:val="18"/>
                <w:szCs w:val="18"/>
                <w:highlight w:val="none"/>
              </w:rPr>
            </w:pPr>
            <w:r>
              <w:rPr>
                <w:rFonts w:hint="eastAsia" w:ascii="宋体" w:hAnsi="宋体" w:eastAsia="宋体" w:cs="宋体"/>
                <w:sz w:val="18"/>
                <w:szCs w:val="18"/>
                <w:highlight w:val="none"/>
              </w:rPr>
              <w:t>工业 *</w:t>
            </w:r>
          </w:p>
        </w:tc>
        <w:tc>
          <w:tcPr>
            <w:tcW w:w="1369" w:type="dxa"/>
            <w:tcBorders>
              <w:top w:val="nil"/>
              <w:left w:val="nil"/>
              <w:bottom w:val="nil"/>
              <w:right w:val="single" w:color="auto" w:sz="4" w:space="0"/>
            </w:tcBorders>
            <w:vAlign w:val="center"/>
          </w:tcPr>
          <w:p w14:paraId="7588796F">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从业人员(X)</w:t>
            </w:r>
          </w:p>
        </w:tc>
        <w:tc>
          <w:tcPr>
            <w:tcW w:w="709" w:type="dxa"/>
            <w:tcBorders>
              <w:top w:val="nil"/>
              <w:left w:val="nil"/>
              <w:bottom w:val="nil"/>
              <w:right w:val="single" w:color="auto" w:sz="4" w:space="0"/>
            </w:tcBorders>
            <w:vAlign w:val="center"/>
          </w:tcPr>
          <w:p w14:paraId="2317C680">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人</w:t>
            </w:r>
          </w:p>
        </w:tc>
        <w:tc>
          <w:tcPr>
            <w:tcW w:w="1125" w:type="dxa"/>
            <w:tcBorders>
              <w:top w:val="nil"/>
              <w:left w:val="nil"/>
              <w:bottom w:val="nil"/>
              <w:right w:val="single" w:color="auto" w:sz="4" w:space="0"/>
            </w:tcBorders>
            <w:vAlign w:val="center"/>
          </w:tcPr>
          <w:p w14:paraId="073A1754">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X≥1000</w:t>
            </w:r>
          </w:p>
        </w:tc>
        <w:tc>
          <w:tcPr>
            <w:tcW w:w="1701" w:type="dxa"/>
            <w:tcBorders>
              <w:top w:val="nil"/>
              <w:left w:val="nil"/>
              <w:bottom w:val="nil"/>
              <w:right w:val="single" w:color="auto" w:sz="4" w:space="0"/>
            </w:tcBorders>
            <w:vAlign w:val="center"/>
          </w:tcPr>
          <w:p w14:paraId="171E4201">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300≤X＜1000</w:t>
            </w:r>
          </w:p>
        </w:tc>
        <w:tc>
          <w:tcPr>
            <w:tcW w:w="1426" w:type="dxa"/>
            <w:tcBorders>
              <w:top w:val="nil"/>
              <w:left w:val="nil"/>
              <w:bottom w:val="nil"/>
              <w:right w:val="single" w:color="auto" w:sz="4" w:space="0"/>
            </w:tcBorders>
            <w:vAlign w:val="center"/>
          </w:tcPr>
          <w:p w14:paraId="2365548E">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 xml:space="preserve"> 20≤X＜300</w:t>
            </w:r>
          </w:p>
        </w:tc>
        <w:tc>
          <w:tcPr>
            <w:tcW w:w="992" w:type="dxa"/>
            <w:tcBorders>
              <w:top w:val="nil"/>
              <w:left w:val="nil"/>
              <w:bottom w:val="nil"/>
              <w:right w:val="nil"/>
            </w:tcBorders>
            <w:vAlign w:val="center"/>
          </w:tcPr>
          <w:p w14:paraId="714401A5">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X＜20</w:t>
            </w:r>
          </w:p>
        </w:tc>
      </w:tr>
      <w:tr w14:paraId="53875FCE">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544CAEE3">
            <w:pPr>
              <w:widowControl/>
              <w:rPr>
                <w:rFonts w:hint="eastAsia" w:ascii="宋体" w:hAnsi="宋体" w:eastAsia="宋体" w:cs="宋体"/>
                <w:sz w:val="18"/>
                <w:szCs w:val="18"/>
                <w:highlight w:val="none"/>
              </w:rPr>
            </w:pPr>
          </w:p>
        </w:tc>
        <w:tc>
          <w:tcPr>
            <w:tcW w:w="1369" w:type="dxa"/>
            <w:tcBorders>
              <w:top w:val="nil"/>
              <w:left w:val="nil"/>
              <w:bottom w:val="single" w:color="auto" w:sz="4" w:space="0"/>
              <w:right w:val="single" w:color="auto" w:sz="4" w:space="0"/>
            </w:tcBorders>
            <w:vAlign w:val="center"/>
          </w:tcPr>
          <w:p w14:paraId="7F205234">
            <w:pPr>
              <w:widowControl/>
              <w:spacing w:line="24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营业收入(Y)</w:t>
            </w:r>
          </w:p>
        </w:tc>
        <w:tc>
          <w:tcPr>
            <w:tcW w:w="709" w:type="dxa"/>
            <w:tcBorders>
              <w:top w:val="nil"/>
              <w:left w:val="nil"/>
              <w:bottom w:val="single" w:color="auto" w:sz="4" w:space="0"/>
              <w:right w:val="single" w:color="auto" w:sz="4" w:space="0"/>
            </w:tcBorders>
            <w:vAlign w:val="center"/>
          </w:tcPr>
          <w:p w14:paraId="706F553A">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万元</w:t>
            </w:r>
          </w:p>
        </w:tc>
        <w:tc>
          <w:tcPr>
            <w:tcW w:w="1125" w:type="dxa"/>
            <w:tcBorders>
              <w:top w:val="nil"/>
              <w:left w:val="nil"/>
              <w:bottom w:val="single" w:color="auto" w:sz="4" w:space="0"/>
              <w:right w:val="single" w:color="auto" w:sz="4" w:space="0"/>
            </w:tcBorders>
            <w:vAlign w:val="center"/>
          </w:tcPr>
          <w:p w14:paraId="2ABF67BF">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Y≥40000</w:t>
            </w:r>
          </w:p>
        </w:tc>
        <w:tc>
          <w:tcPr>
            <w:tcW w:w="1701" w:type="dxa"/>
            <w:tcBorders>
              <w:top w:val="nil"/>
              <w:left w:val="nil"/>
              <w:bottom w:val="single" w:color="auto" w:sz="4" w:space="0"/>
              <w:right w:val="single" w:color="auto" w:sz="4" w:space="0"/>
            </w:tcBorders>
            <w:vAlign w:val="center"/>
          </w:tcPr>
          <w:p w14:paraId="3878F3C8">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2000≤Y＜40000</w:t>
            </w:r>
          </w:p>
        </w:tc>
        <w:tc>
          <w:tcPr>
            <w:tcW w:w="1426" w:type="dxa"/>
            <w:tcBorders>
              <w:top w:val="nil"/>
              <w:left w:val="nil"/>
              <w:bottom w:val="single" w:color="auto" w:sz="4" w:space="0"/>
              <w:right w:val="single" w:color="auto" w:sz="4" w:space="0"/>
            </w:tcBorders>
            <w:vAlign w:val="center"/>
          </w:tcPr>
          <w:p w14:paraId="3698EFC4">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 xml:space="preserve"> 300≤Y＜2000</w:t>
            </w:r>
          </w:p>
        </w:tc>
        <w:tc>
          <w:tcPr>
            <w:tcW w:w="992" w:type="dxa"/>
            <w:tcBorders>
              <w:top w:val="nil"/>
              <w:left w:val="nil"/>
              <w:bottom w:val="single" w:color="auto" w:sz="4" w:space="0"/>
              <w:right w:val="nil"/>
            </w:tcBorders>
            <w:vAlign w:val="center"/>
          </w:tcPr>
          <w:p w14:paraId="6BF35384">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Y＜300</w:t>
            </w:r>
          </w:p>
        </w:tc>
      </w:tr>
      <w:tr w14:paraId="4D9C179C">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vAlign w:val="center"/>
          </w:tcPr>
          <w:p w14:paraId="20001EEE">
            <w:pPr>
              <w:widowControl/>
              <w:spacing w:line="240" w:lineRule="exact"/>
              <w:rPr>
                <w:rFonts w:hint="eastAsia" w:ascii="宋体" w:hAnsi="宋体" w:eastAsia="宋体" w:cs="宋体"/>
                <w:sz w:val="18"/>
                <w:szCs w:val="18"/>
                <w:highlight w:val="none"/>
              </w:rPr>
            </w:pPr>
            <w:r>
              <w:rPr>
                <w:rFonts w:hint="eastAsia" w:ascii="宋体" w:hAnsi="宋体" w:eastAsia="宋体" w:cs="宋体"/>
                <w:sz w:val="18"/>
                <w:szCs w:val="18"/>
                <w:highlight w:val="none"/>
              </w:rPr>
              <w:t>建筑业</w:t>
            </w:r>
          </w:p>
        </w:tc>
        <w:tc>
          <w:tcPr>
            <w:tcW w:w="1369" w:type="dxa"/>
            <w:tcBorders>
              <w:top w:val="nil"/>
              <w:left w:val="nil"/>
              <w:bottom w:val="nil"/>
              <w:right w:val="single" w:color="auto" w:sz="4" w:space="0"/>
            </w:tcBorders>
            <w:vAlign w:val="center"/>
          </w:tcPr>
          <w:p w14:paraId="5F3618D9">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营业收入(Y)</w:t>
            </w:r>
          </w:p>
        </w:tc>
        <w:tc>
          <w:tcPr>
            <w:tcW w:w="709" w:type="dxa"/>
            <w:tcBorders>
              <w:top w:val="nil"/>
              <w:left w:val="nil"/>
              <w:bottom w:val="nil"/>
              <w:right w:val="single" w:color="auto" w:sz="4" w:space="0"/>
            </w:tcBorders>
            <w:vAlign w:val="center"/>
          </w:tcPr>
          <w:p w14:paraId="0D983B9C">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万元</w:t>
            </w:r>
          </w:p>
        </w:tc>
        <w:tc>
          <w:tcPr>
            <w:tcW w:w="1125" w:type="dxa"/>
            <w:tcBorders>
              <w:top w:val="nil"/>
              <w:left w:val="nil"/>
              <w:bottom w:val="nil"/>
              <w:right w:val="single" w:color="auto" w:sz="4" w:space="0"/>
            </w:tcBorders>
            <w:vAlign w:val="center"/>
          </w:tcPr>
          <w:p w14:paraId="7B899C07">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Y≥80000</w:t>
            </w:r>
          </w:p>
        </w:tc>
        <w:tc>
          <w:tcPr>
            <w:tcW w:w="1701" w:type="dxa"/>
            <w:tcBorders>
              <w:top w:val="nil"/>
              <w:left w:val="nil"/>
              <w:bottom w:val="nil"/>
              <w:right w:val="single" w:color="auto" w:sz="4" w:space="0"/>
            </w:tcBorders>
            <w:vAlign w:val="center"/>
          </w:tcPr>
          <w:p w14:paraId="27E2BABE">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6000≤Y＜80000</w:t>
            </w:r>
          </w:p>
        </w:tc>
        <w:tc>
          <w:tcPr>
            <w:tcW w:w="1426" w:type="dxa"/>
            <w:tcBorders>
              <w:top w:val="nil"/>
              <w:left w:val="nil"/>
              <w:bottom w:val="nil"/>
              <w:right w:val="single" w:color="auto" w:sz="4" w:space="0"/>
            </w:tcBorders>
            <w:vAlign w:val="center"/>
          </w:tcPr>
          <w:p w14:paraId="685F1E36">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 xml:space="preserve"> 300≤Y＜6000</w:t>
            </w:r>
          </w:p>
        </w:tc>
        <w:tc>
          <w:tcPr>
            <w:tcW w:w="992" w:type="dxa"/>
            <w:tcBorders>
              <w:top w:val="nil"/>
              <w:left w:val="nil"/>
              <w:bottom w:val="nil"/>
              <w:right w:val="nil"/>
            </w:tcBorders>
            <w:vAlign w:val="center"/>
          </w:tcPr>
          <w:p w14:paraId="0F59A720">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Y＜300</w:t>
            </w:r>
          </w:p>
        </w:tc>
      </w:tr>
      <w:tr w14:paraId="786F6ED6">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2689CC47">
            <w:pPr>
              <w:widowControl/>
              <w:rPr>
                <w:rFonts w:hint="eastAsia" w:ascii="宋体" w:hAnsi="宋体" w:eastAsia="宋体" w:cs="宋体"/>
                <w:sz w:val="18"/>
                <w:szCs w:val="18"/>
                <w:highlight w:val="none"/>
              </w:rPr>
            </w:pPr>
          </w:p>
        </w:tc>
        <w:tc>
          <w:tcPr>
            <w:tcW w:w="1369" w:type="dxa"/>
            <w:tcBorders>
              <w:top w:val="nil"/>
              <w:left w:val="nil"/>
              <w:bottom w:val="single" w:color="auto" w:sz="4" w:space="0"/>
              <w:right w:val="single" w:color="auto" w:sz="4" w:space="0"/>
            </w:tcBorders>
            <w:vAlign w:val="center"/>
          </w:tcPr>
          <w:p w14:paraId="01F425F7">
            <w:pPr>
              <w:widowControl/>
              <w:spacing w:line="24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资产总额(Z)</w:t>
            </w:r>
          </w:p>
        </w:tc>
        <w:tc>
          <w:tcPr>
            <w:tcW w:w="709" w:type="dxa"/>
            <w:tcBorders>
              <w:top w:val="nil"/>
              <w:left w:val="nil"/>
              <w:bottom w:val="single" w:color="auto" w:sz="4" w:space="0"/>
              <w:right w:val="single" w:color="auto" w:sz="4" w:space="0"/>
            </w:tcBorders>
            <w:vAlign w:val="center"/>
          </w:tcPr>
          <w:p w14:paraId="750E411D">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万元</w:t>
            </w:r>
          </w:p>
        </w:tc>
        <w:tc>
          <w:tcPr>
            <w:tcW w:w="1125" w:type="dxa"/>
            <w:tcBorders>
              <w:top w:val="nil"/>
              <w:left w:val="nil"/>
              <w:bottom w:val="single" w:color="auto" w:sz="4" w:space="0"/>
              <w:right w:val="single" w:color="auto" w:sz="4" w:space="0"/>
            </w:tcBorders>
            <w:vAlign w:val="center"/>
          </w:tcPr>
          <w:p w14:paraId="21A63488">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Z≥80000</w:t>
            </w:r>
          </w:p>
        </w:tc>
        <w:tc>
          <w:tcPr>
            <w:tcW w:w="1701" w:type="dxa"/>
            <w:tcBorders>
              <w:top w:val="nil"/>
              <w:left w:val="nil"/>
              <w:bottom w:val="single" w:color="auto" w:sz="4" w:space="0"/>
              <w:right w:val="single" w:color="auto" w:sz="4" w:space="0"/>
            </w:tcBorders>
            <w:vAlign w:val="center"/>
          </w:tcPr>
          <w:p w14:paraId="07E5B9CA">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5000≤Z＜80000</w:t>
            </w:r>
          </w:p>
        </w:tc>
        <w:tc>
          <w:tcPr>
            <w:tcW w:w="1426" w:type="dxa"/>
            <w:tcBorders>
              <w:top w:val="nil"/>
              <w:left w:val="nil"/>
              <w:bottom w:val="single" w:color="auto" w:sz="4" w:space="0"/>
              <w:right w:val="single" w:color="auto" w:sz="4" w:space="0"/>
            </w:tcBorders>
            <w:vAlign w:val="center"/>
          </w:tcPr>
          <w:p w14:paraId="3DFF30CC">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 xml:space="preserve"> 300≤Z＜5000</w:t>
            </w:r>
          </w:p>
        </w:tc>
        <w:tc>
          <w:tcPr>
            <w:tcW w:w="992" w:type="dxa"/>
            <w:tcBorders>
              <w:top w:val="nil"/>
              <w:left w:val="nil"/>
              <w:bottom w:val="single" w:color="auto" w:sz="4" w:space="0"/>
              <w:right w:val="nil"/>
            </w:tcBorders>
            <w:vAlign w:val="center"/>
          </w:tcPr>
          <w:p w14:paraId="60FEB03C">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Z＜300</w:t>
            </w:r>
          </w:p>
        </w:tc>
      </w:tr>
      <w:tr w14:paraId="2B207986">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vAlign w:val="center"/>
          </w:tcPr>
          <w:p w14:paraId="09444186">
            <w:pPr>
              <w:widowControl/>
              <w:spacing w:line="240" w:lineRule="exact"/>
              <w:rPr>
                <w:rFonts w:hint="eastAsia" w:ascii="宋体" w:hAnsi="宋体" w:eastAsia="宋体" w:cs="宋体"/>
                <w:sz w:val="18"/>
                <w:szCs w:val="18"/>
                <w:highlight w:val="none"/>
              </w:rPr>
            </w:pPr>
            <w:r>
              <w:rPr>
                <w:rFonts w:hint="eastAsia" w:ascii="宋体" w:hAnsi="宋体" w:eastAsia="宋体" w:cs="宋体"/>
                <w:sz w:val="18"/>
                <w:szCs w:val="18"/>
                <w:highlight w:val="none"/>
              </w:rPr>
              <w:t>批发业</w:t>
            </w:r>
          </w:p>
        </w:tc>
        <w:tc>
          <w:tcPr>
            <w:tcW w:w="1369" w:type="dxa"/>
            <w:tcBorders>
              <w:top w:val="nil"/>
              <w:left w:val="nil"/>
              <w:bottom w:val="nil"/>
              <w:right w:val="single" w:color="auto" w:sz="4" w:space="0"/>
            </w:tcBorders>
            <w:vAlign w:val="center"/>
          </w:tcPr>
          <w:p w14:paraId="0E0C1E93">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从业人员(X)</w:t>
            </w:r>
          </w:p>
        </w:tc>
        <w:tc>
          <w:tcPr>
            <w:tcW w:w="709" w:type="dxa"/>
            <w:tcBorders>
              <w:top w:val="nil"/>
              <w:left w:val="nil"/>
              <w:bottom w:val="nil"/>
              <w:right w:val="single" w:color="auto" w:sz="4" w:space="0"/>
            </w:tcBorders>
            <w:vAlign w:val="center"/>
          </w:tcPr>
          <w:p w14:paraId="033919D3">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人</w:t>
            </w:r>
          </w:p>
        </w:tc>
        <w:tc>
          <w:tcPr>
            <w:tcW w:w="1125" w:type="dxa"/>
            <w:tcBorders>
              <w:top w:val="nil"/>
              <w:left w:val="nil"/>
              <w:bottom w:val="nil"/>
              <w:right w:val="single" w:color="auto" w:sz="4" w:space="0"/>
            </w:tcBorders>
            <w:vAlign w:val="center"/>
          </w:tcPr>
          <w:p w14:paraId="6DFB3002">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X≥200</w:t>
            </w:r>
          </w:p>
        </w:tc>
        <w:tc>
          <w:tcPr>
            <w:tcW w:w="1701" w:type="dxa"/>
            <w:tcBorders>
              <w:top w:val="nil"/>
              <w:left w:val="nil"/>
              <w:bottom w:val="nil"/>
              <w:right w:val="single" w:color="auto" w:sz="4" w:space="0"/>
            </w:tcBorders>
            <w:vAlign w:val="center"/>
          </w:tcPr>
          <w:p w14:paraId="786025E4">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20≤X＜200</w:t>
            </w:r>
          </w:p>
        </w:tc>
        <w:tc>
          <w:tcPr>
            <w:tcW w:w="1426" w:type="dxa"/>
            <w:tcBorders>
              <w:top w:val="nil"/>
              <w:left w:val="nil"/>
              <w:bottom w:val="nil"/>
              <w:right w:val="single" w:color="auto" w:sz="4" w:space="0"/>
            </w:tcBorders>
            <w:vAlign w:val="center"/>
          </w:tcPr>
          <w:p w14:paraId="0B6E44F0">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 xml:space="preserve"> 5≤X＜20</w:t>
            </w:r>
          </w:p>
        </w:tc>
        <w:tc>
          <w:tcPr>
            <w:tcW w:w="992" w:type="dxa"/>
            <w:tcBorders>
              <w:top w:val="nil"/>
              <w:left w:val="nil"/>
              <w:bottom w:val="nil"/>
              <w:right w:val="nil"/>
            </w:tcBorders>
            <w:vAlign w:val="center"/>
          </w:tcPr>
          <w:p w14:paraId="2473A573">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X＜5</w:t>
            </w:r>
          </w:p>
        </w:tc>
      </w:tr>
      <w:tr w14:paraId="48E31B5F">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5B008076">
            <w:pPr>
              <w:widowControl/>
              <w:rPr>
                <w:rFonts w:hint="eastAsia" w:ascii="宋体" w:hAnsi="宋体" w:eastAsia="宋体" w:cs="宋体"/>
                <w:sz w:val="18"/>
                <w:szCs w:val="18"/>
                <w:highlight w:val="none"/>
              </w:rPr>
            </w:pPr>
          </w:p>
        </w:tc>
        <w:tc>
          <w:tcPr>
            <w:tcW w:w="1369" w:type="dxa"/>
            <w:tcBorders>
              <w:top w:val="nil"/>
              <w:left w:val="nil"/>
              <w:bottom w:val="single" w:color="auto" w:sz="4" w:space="0"/>
              <w:right w:val="single" w:color="auto" w:sz="4" w:space="0"/>
            </w:tcBorders>
            <w:vAlign w:val="center"/>
          </w:tcPr>
          <w:p w14:paraId="0F6A20C1">
            <w:pPr>
              <w:widowControl/>
              <w:spacing w:line="24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营业收入(Y)</w:t>
            </w:r>
          </w:p>
        </w:tc>
        <w:tc>
          <w:tcPr>
            <w:tcW w:w="709" w:type="dxa"/>
            <w:tcBorders>
              <w:top w:val="nil"/>
              <w:left w:val="nil"/>
              <w:bottom w:val="single" w:color="auto" w:sz="4" w:space="0"/>
              <w:right w:val="single" w:color="auto" w:sz="4" w:space="0"/>
            </w:tcBorders>
            <w:vAlign w:val="center"/>
          </w:tcPr>
          <w:p w14:paraId="0DB9511F">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万元</w:t>
            </w:r>
          </w:p>
        </w:tc>
        <w:tc>
          <w:tcPr>
            <w:tcW w:w="1125" w:type="dxa"/>
            <w:tcBorders>
              <w:top w:val="nil"/>
              <w:left w:val="nil"/>
              <w:bottom w:val="single" w:color="auto" w:sz="4" w:space="0"/>
              <w:right w:val="single" w:color="auto" w:sz="4" w:space="0"/>
            </w:tcBorders>
            <w:vAlign w:val="center"/>
          </w:tcPr>
          <w:p w14:paraId="35EF4642">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Y≥40000</w:t>
            </w:r>
          </w:p>
        </w:tc>
        <w:tc>
          <w:tcPr>
            <w:tcW w:w="1701" w:type="dxa"/>
            <w:tcBorders>
              <w:top w:val="nil"/>
              <w:left w:val="nil"/>
              <w:bottom w:val="single" w:color="auto" w:sz="4" w:space="0"/>
              <w:right w:val="single" w:color="auto" w:sz="4" w:space="0"/>
            </w:tcBorders>
            <w:vAlign w:val="center"/>
          </w:tcPr>
          <w:p w14:paraId="5518DE25">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5000≤Y＜40000</w:t>
            </w:r>
          </w:p>
        </w:tc>
        <w:tc>
          <w:tcPr>
            <w:tcW w:w="1426" w:type="dxa"/>
            <w:tcBorders>
              <w:top w:val="nil"/>
              <w:left w:val="nil"/>
              <w:bottom w:val="single" w:color="auto" w:sz="4" w:space="0"/>
              <w:right w:val="single" w:color="auto" w:sz="4" w:space="0"/>
            </w:tcBorders>
            <w:vAlign w:val="center"/>
          </w:tcPr>
          <w:p w14:paraId="7A23C156">
            <w:pPr>
              <w:widowControl/>
              <w:ind w:left="-1" w:leftChars="-1" w:hanging="1"/>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1000≤Y＜5000</w:t>
            </w:r>
          </w:p>
        </w:tc>
        <w:tc>
          <w:tcPr>
            <w:tcW w:w="992" w:type="dxa"/>
            <w:tcBorders>
              <w:top w:val="nil"/>
              <w:left w:val="nil"/>
              <w:bottom w:val="single" w:color="auto" w:sz="4" w:space="0"/>
              <w:right w:val="nil"/>
            </w:tcBorders>
            <w:vAlign w:val="center"/>
          </w:tcPr>
          <w:p w14:paraId="0C556E62">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Y＜1000</w:t>
            </w:r>
          </w:p>
        </w:tc>
      </w:tr>
      <w:tr w14:paraId="07B12CD4">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vAlign w:val="center"/>
          </w:tcPr>
          <w:p w14:paraId="79DE0C10">
            <w:pPr>
              <w:widowControl/>
              <w:spacing w:line="240" w:lineRule="exact"/>
              <w:rPr>
                <w:rFonts w:hint="eastAsia" w:ascii="宋体" w:hAnsi="宋体" w:eastAsia="宋体" w:cs="宋体"/>
                <w:sz w:val="18"/>
                <w:szCs w:val="18"/>
                <w:highlight w:val="none"/>
              </w:rPr>
            </w:pPr>
            <w:r>
              <w:rPr>
                <w:rFonts w:hint="eastAsia" w:ascii="宋体" w:hAnsi="宋体" w:eastAsia="宋体" w:cs="宋体"/>
                <w:sz w:val="18"/>
                <w:szCs w:val="18"/>
                <w:highlight w:val="none"/>
              </w:rPr>
              <w:t>零售业</w:t>
            </w:r>
          </w:p>
        </w:tc>
        <w:tc>
          <w:tcPr>
            <w:tcW w:w="1369" w:type="dxa"/>
            <w:tcBorders>
              <w:top w:val="nil"/>
              <w:left w:val="nil"/>
              <w:bottom w:val="nil"/>
              <w:right w:val="single" w:color="auto" w:sz="4" w:space="0"/>
            </w:tcBorders>
            <w:vAlign w:val="center"/>
          </w:tcPr>
          <w:p w14:paraId="68A75EA9">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从业人员(X)</w:t>
            </w:r>
          </w:p>
        </w:tc>
        <w:tc>
          <w:tcPr>
            <w:tcW w:w="709" w:type="dxa"/>
            <w:tcBorders>
              <w:top w:val="nil"/>
              <w:left w:val="nil"/>
              <w:bottom w:val="nil"/>
              <w:right w:val="single" w:color="auto" w:sz="4" w:space="0"/>
            </w:tcBorders>
            <w:vAlign w:val="center"/>
          </w:tcPr>
          <w:p w14:paraId="0743A0D9">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人</w:t>
            </w:r>
          </w:p>
        </w:tc>
        <w:tc>
          <w:tcPr>
            <w:tcW w:w="1125" w:type="dxa"/>
            <w:tcBorders>
              <w:top w:val="nil"/>
              <w:left w:val="nil"/>
              <w:bottom w:val="nil"/>
              <w:right w:val="single" w:color="auto" w:sz="4" w:space="0"/>
            </w:tcBorders>
            <w:vAlign w:val="center"/>
          </w:tcPr>
          <w:p w14:paraId="36103E51">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X≥300</w:t>
            </w:r>
          </w:p>
        </w:tc>
        <w:tc>
          <w:tcPr>
            <w:tcW w:w="1701" w:type="dxa"/>
            <w:tcBorders>
              <w:top w:val="nil"/>
              <w:left w:val="nil"/>
              <w:bottom w:val="nil"/>
              <w:right w:val="single" w:color="auto" w:sz="4" w:space="0"/>
            </w:tcBorders>
            <w:vAlign w:val="center"/>
          </w:tcPr>
          <w:p w14:paraId="4DEBF059">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50≤X＜300</w:t>
            </w:r>
          </w:p>
        </w:tc>
        <w:tc>
          <w:tcPr>
            <w:tcW w:w="1426" w:type="dxa"/>
            <w:tcBorders>
              <w:top w:val="nil"/>
              <w:left w:val="nil"/>
              <w:bottom w:val="nil"/>
              <w:right w:val="single" w:color="auto" w:sz="4" w:space="0"/>
            </w:tcBorders>
            <w:vAlign w:val="center"/>
          </w:tcPr>
          <w:p w14:paraId="00243EFD">
            <w:pPr>
              <w:widowControl/>
              <w:ind w:left="-1" w:leftChars="-1" w:hanging="1"/>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 xml:space="preserve">10≤X＜50 </w:t>
            </w:r>
          </w:p>
        </w:tc>
        <w:tc>
          <w:tcPr>
            <w:tcW w:w="992" w:type="dxa"/>
            <w:tcBorders>
              <w:top w:val="nil"/>
              <w:left w:val="nil"/>
              <w:bottom w:val="nil"/>
              <w:right w:val="nil"/>
            </w:tcBorders>
            <w:vAlign w:val="center"/>
          </w:tcPr>
          <w:p w14:paraId="2AB280E2">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X＜10</w:t>
            </w:r>
          </w:p>
        </w:tc>
      </w:tr>
      <w:tr w14:paraId="68C8E768">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647A8770">
            <w:pPr>
              <w:widowControl/>
              <w:rPr>
                <w:rFonts w:hint="eastAsia" w:ascii="宋体" w:hAnsi="宋体" w:eastAsia="宋体" w:cs="宋体"/>
                <w:sz w:val="18"/>
                <w:szCs w:val="18"/>
                <w:highlight w:val="none"/>
              </w:rPr>
            </w:pPr>
          </w:p>
        </w:tc>
        <w:tc>
          <w:tcPr>
            <w:tcW w:w="1369" w:type="dxa"/>
            <w:tcBorders>
              <w:top w:val="nil"/>
              <w:left w:val="nil"/>
              <w:bottom w:val="single" w:color="auto" w:sz="4" w:space="0"/>
              <w:right w:val="single" w:color="auto" w:sz="4" w:space="0"/>
            </w:tcBorders>
            <w:vAlign w:val="center"/>
          </w:tcPr>
          <w:p w14:paraId="7FCCE099">
            <w:pPr>
              <w:widowControl/>
              <w:spacing w:line="24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营业收入(Y)</w:t>
            </w:r>
          </w:p>
        </w:tc>
        <w:tc>
          <w:tcPr>
            <w:tcW w:w="709" w:type="dxa"/>
            <w:tcBorders>
              <w:top w:val="nil"/>
              <w:left w:val="nil"/>
              <w:bottom w:val="single" w:color="auto" w:sz="4" w:space="0"/>
              <w:right w:val="single" w:color="auto" w:sz="4" w:space="0"/>
            </w:tcBorders>
            <w:vAlign w:val="center"/>
          </w:tcPr>
          <w:p w14:paraId="0ECC898E">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万元</w:t>
            </w:r>
          </w:p>
        </w:tc>
        <w:tc>
          <w:tcPr>
            <w:tcW w:w="1125" w:type="dxa"/>
            <w:tcBorders>
              <w:top w:val="nil"/>
              <w:left w:val="nil"/>
              <w:bottom w:val="single" w:color="auto" w:sz="4" w:space="0"/>
              <w:right w:val="single" w:color="auto" w:sz="4" w:space="0"/>
            </w:tcBorders>
            <w:vAlign w:val="center"/>
          </w:tcPr>
          <w:p w14:paraId="66A2D0FE">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Y≥20000</w:t>
            </w:r>
          </w:p>
        </w:tc>
        <w:tc>
          <w:tcPr>
            <w:tcW w:w="1701" w:type="dxa"/>
            <w:tcBorders>
              <w:top w:val="nil"/>
              <w:left w:val="nil"/>
              <w:bottom w:val="single" w:color="auto" w:sz="4" w:space="0"/>
              <w:right w:val="single" w:color="auto" w:sz="4" w:space="0"/>
            </w:tcBorders>
            <w:vAlign w:val="center"/>
          </w:tcPr>
          <w:p w14:paraId="3C58AE60">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 xml:space="preserve"> 500≤Y＜20000</w:t>
            </w:r>
          </w:p>
        </w:tc>
        <w:tc>
          <w:tcPr>
            <w:tcW w:w="1426" w:type="dxa"/>
            <w:tcBorders>
              <w:top w:val="nil"/>
              <w:left w:val="nil"/>
              <w:bottom w:val="single" w:color="auto" w:sz="4" w:space="0"/>
              <w:right w:val="single" w:color="auto" w:sz="4" w:space="0"/>
            </w:tcBorders>
            <w:vAlign w:val="center"/>
          </w:tcPr>
          <w:p w14:paraId="1EB353C6">
            <w:pPr>
              <w:widowControl/>
              <w:ind w:left="-1" w:leftChars="-1" w:hanging="1"/>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 xml:space="preserve">100≤Y＜500 </w:t>
            </w:r>
          </w:p>
        </w:tc>
        <w:tc>
          <w:tcPr>
            <w:tcW w:w="992" w:type="dxa"/>
            <w:tcBorders>
              <w:top w:val="nil"/>
              <w:left w:val="nil"/>
              <w:bottom w:val="single" w:color="auto" w:sz="4" w:space="0"/>
              <w:right w:val="nil"/>
            </w:tcBorders>
            <w:vAlign w:val="center"/>
          </w:tcPr>
          <w:p w14:paraId="517BFE8A">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Y＜100</w:t>
            </w:r>
          </w:p>
        </w:tc>
      </w:tr>
      <w:tr w14:paraId="3149CF9F">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vAlign w:val="center"/>
          </w:tcPr>
          <w:p w14:paraId="5FD8DDBF">
            <w:pPr>
              <w:widowControl/>
              <w:spacing w:line="240" w:lineRule="exact"/>
              <w:rPr>
                <w:rFonts w:hint="eastAsia" w:ascii="宋体" w:hAnsi="宋体" w:eastAsia="宋体" w:cs="宋体"/>
                <w:sz w:val="18"/>
                <w:szCs w:val="18"/>
                <w:highlight w:val="none"/>
              </w:rPr>
            </w:pPr>
            <w:r>
              <w:rPr>
                <w:rFonts w:hint="eastAsia" w:ascii="宋体" w:hAnsi="宋体" w:eastAsia="宋体" w:cs="宋体"/>
                <w:sz w:val="18"/>
                <w:szCs w:val="18"/>
                <w:highlight w:val="none"/>
              </w:rPr>
              <w:t>交通运输业 *</w:t>
            </w:r>
          </w:p>
        </w:tc>
        <w:tc>
          <w:tcPr>
            <w:tcW w:w="1369" w:type="dxa"/>
            <w:tcBorders>
              <w:top w:val="nil"/>
              <w:left w:val="nil"/>
              <w:bottom w:val="nil"/>
              <w:right w:val="single" w:color="auto" w:sz="4" w:space="0"/>
            </w:tcBorders>
            <w:vAlign w:val="center"/>
          </w:tcPr>
          <w:p w14:paraId="5B3293C2">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从业人员(X)</w:t>
            </w:r>
          </w:p>
        </w:tc>
        <w:tc>
          <w:tcPr>
            <w:tcW w:w="709" w:type="dxa"/>
            <w:tcBorders>
              <w:top w:val="nil"/>
              <w:left w:val="nil"/>
              <w:bottom w:val="nil"/>
              <w:right w:val="single" w:color="auto" w:sz="4" w:space="0"/>
            </w:tcBorders>
            <w:vAlign w:val="center"/>
          </w:tcPr>
          <w:p w14:paraId="749E781C">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人</w:t>
            </w:r>
          </w:p>
        </w:tc>
        <w:tc>
          <w:tcPr>
            <w:tcW w:w="1125" w:type="dxa"/>
            <w:tcBorders>
              <w:top w:val="nil"/>
              <w:left w:val="nil"/>
              <w:bottom w:val="nil"/>
              <w:right w:val="single" w:color="auto" w:sz="4" w:space="0"/>
            </w:tcBorders>
            <w:vAlign w:val="center"/>
          </w:tcPr>
          <w:p w14:paraId="474ABF3F">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X≥1000</w:t>
            </w:r>
          </w:p>
        </w:tc>
        <w:tc>
          <w:tcPr>
            <w:tcW w:w="1701" w:type="dxa"/>
            <w:tcBorders>
              <w:top w:val="nil"/>
              <w:left w:val="nil"/>
              <w:bottom w:val="nil"/>
              <w:right w:val="single" w:color="auto" w:sz="4" w:space="0"/>
            </w:tcBorders>
            <w:vAlign w:val="center"/>
          </w:tcPr>
          <w:p w14:paraId="5745E95F">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300≤X＜1000</w:t>
            </w:r>
          </w:p>
        </w:tc>
        <w:tc>
          <w:tcPr>
            <w:tcW w:w="1426" w:type="dxa"/>
            <w:tcBorders>
              <w:top w:val="nil"/>
              <w:left w:val="nil"/>
              <w:bottom w:val="nil"/>
              <w:right w:val="single" w:color="auto" w:sz="4" w:space="0"/>
            </w:tcBorders>
            <w:vAlign w:val="center"/>
          </w:tcPr>
          <w:p w14:paraId="2066B908">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 xml:space="preserve"> 20≤X＜300</w:t>
            </w:r>
          </w:p>
        </w:tc>
        <w:tc>
          <w:tcPr>
            <w:tcW w:w="992" w:type="dxa"/>
            <w:tcBorders>
              <w:top w:val="nil"/>
              <w:left w:val="nil"/>
              <w:bottom w:val="nil"/>
              <w:right w:val="nil"/>
            </w:tcBorders>
            <w:vAlign w:val="center"/>
          </w:tcPr>
          <w:p w14:paraId="4392E430">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X＜20</w:t>
            </w:r>
          </w:p>
        </w:tc>
      </w:tr>
      <w:tr w14:paraId="69990789">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37015B1A">
            <w:pPr>
              <w:widowControl/>
              <w:rPr>
                <w:rFonts w:hint="eastAsia" w:ascii="宋体" w:hAnsi="宋体" w:eastAsia="宋体" w:cs="宋体"/>
                <w:sz w:val="18"/>
                <w:szCs w:val="18"/>
                <w:highlight w:val="none"/>
              </w:rPr>
            </w:pPr>
          </w:p>
        </w:tc>
        <w:tc>
          <w:tcPr>
            <w:tcW w:w="1369" w:type="dxa"/>
            <w:tcBorders>
              <w:top w:val="nil"/>
              <w:left w:val="nil"/>
              <w:bottom w:val="single" w:color="auto" w:sz="4" w:space="0"/>
              <w:right w:val="single" w:color="auto" w:sz="4" w:space="0"/>
            </w:tcBorders>
            <w:vAlign w:val="center"/>
          </w:tcPr>
          <w:p w14:paraId="0E7F3AC9">
            <w:pPr>
              <w:widowControl/>
              <w:spacing w:line="24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营业收入(Y)</w:t>
            </w:r>
          </w:p>
        </w:tc>
        <w:tc>
          <w:tcPr>
            <w:tcW w:w="709" w:type="dxa"/>
            <w:tcBorders>
              <w:top w:val="nil"/>
              <w:left w:val="nil"/>
              <w:bottom w:val="single" w:color="auto" w:sz="4" w:space="0"/>
              <w:right w:val="single" w:color="auto" w:sz="4" w:space="0"/>
            </w:tcBorders>
            <w:vAlign w:val="center"/>
          </w:tcPr>
          <w:p w14:paraId="113E1AD3">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万元</w:t>
            </w:r>
          </w:p>
        </w:tc>
        <w:tc>
          <w:tcPr>
            <w:tcW w:w="1125" w:type="dxa"/>
            <w:tcBorders>
              <w:top w:val="nil"/>
              <w:left w:val="nil"/>
              <w:bottom w:val="single" w:color="auto" w:sz="4" w:space="0"/>
              <w:right w:val="single" w:color="auto" w:sz="4" w:space="0"/>
            </w:tcBorders>
            <w:vAlign w:val="center"/>
          </w:tcPr>
          <w:p w14:paraId="753CFD25">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Y≥30000</w:t>
            </w:r>
          </w:p>
        </w:tc>
        <w:tc>
          <w:tcPr>
            <w:tcW w:w="1701" w:type="dxa"/>
            <w:tcBorders>
              <w:top w:val="nil"/>
              <w:left w:val="nil"/>
              <w:bottom w:val="single" w:color="auto" w:sz="4" w:space="0"/>
              <w:right w:val="single" w:color="auto" w:sz="4" w:space="0"/>
            </w:tcBorders>
            <w:vAlign w:val="center"/>
          </w:tcPr>
          <w:p w14:paraId="646170CD">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3000≤Y＜30000</w:t>
            </w:r>
          </w:p>
        </w:tc>
        <w:tc>
          <w:tcPr>
            <w:tcW w:w="1426" w:type="dxa"/>
            <w:tcBorders>
              <w:top w:val="nil"/>
              <w:left w:val="nil"/>
              <w:bottom w:val="single" w:color="auto" w:sz="4" w:space="0"/>
              <w:right w:val="single" w:color="auto" w:sz="4" w:space="0"/>
            </w:tcBorders>
            <w:vAlign w:val="center"/>
          </w:tcPr>
          <w:p w14:paraId="16264AC2">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200≤Y＜3000</w:t>
            </w:r>
          </w:p>
        </w:tc>
        <w:tc>
          <w:tcPr>
            <w:tcW w:w="992" w:type="dxa"/>
            <w:tcBorders>
              <w:top w:val="nil"/>
              <w:left w:val="nil"/>
              <w:bottom w:val="single" w:color="auto" w:sz="4" w:space="0"/>
              <w:right w:val="nil"/>
            </w:tcBorders>
            <w:vAlign w:val="center"/>
          </w:tcPr>
          <w:p w14:paraId="1D72E80F">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Y＜200</w:t>
            </w:r>
          </w:p>
        </w:tc>
      </w:tr>
      <w:tr w14:paraId="6A28035B">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vAlign w:val="center"/>
          </w:tcPr>
          <w:p w14:paraId="2547A0F4">
            <w:pPr>
              <w:widowControl/>
              <w:spacing w:line="240" w:lineRule="exact"/>
              <w:rPr>
                <w:rFonts w:hint="eastAsia" w:ascii="宋体" w:hAnsi="宋体" w:eastAsia="宋体" w:cs="宋体"/>
                <w:sz w:val="18"/>
                <w:szCs w:val="18"/>
                <w:highlight w:val="none"/>
              </w:rPr>
            </w:pPr>
            <w:r>
              <w:rPr>
                <w:rFonts w:hint="eastAsia" w:ascii="宋体" w:hAnsi="宋体" w:eastAsia="宋体" w:cs="宋体"/>
                <w:sz w:val="18"/>
                <w:szCs w:val="18"/>
                <w:highlight w:val="none"/>
              </w:rPr>
              <w:t>仓储业*</w:t>
            </w:r>
          </w:p>
        </w:tc>
        <w:tc>
          <w:tcPr>
            <w:tcW w:w="1369" w:type="dxa"/>
            <w:tcBorders>
              <w:top w:val="nil"/>
              <w:left w:val="nil"/>
              <w:bottom w:val="nil"/>
              <w:right w:val="single" w:color="auto" w:sz="4" w:space="0"/>
            </w:tcBorders>
            <w:vAlign w:val="center"/>
          </w:tcPr>
          <w:p w14:paraId="66643638">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从业人员(X)</w:t>
            </w:r>
          </w:p>
        </w:tc>
        <w:tc>
          <w:tcPr>
            <w:tcW w:w="709" w:type="dxa"/>
            <w:tcBorders>
              <w:top w:val="nil"/>
              <w:left w:val="nil"/>
              <w:bottom w:val="nil"/>
              <w:right w:val="single" w:color="auto" w:sz="4" w:space="0"/>
            </w:tcBorders>
            <w:vAlign w:val="center"/>
          </w:tcPr>
          <w:p w14:paraId="62B91F12">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人</w:t>
            </w:r>
          </w:p>
        </w:tc>
        <w:tc>
          <w:tcPr>
            <w:tcW w:w="1125" w:type="dxa"/>
            <w:tcBorders>
              <w:top w:val="nil"/>
              <w:left w:val="nil"/>
              <w:bottom w:val="nil"/>
              <w:right w:val="single" w:color="auto" w:sz="4" w:space="0"/>
            </w:tcBorders>
            <w:vAlign w:val="center"/>
          </w:tcPr>
          <w:p w14:paraId="0C083D3A">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X≥200</w:t>
            </w:r>
          </w:p>
        </w:tc>
        <w:tc>
          <w:tcPr>
            <w:tcW w:w="1701" w:type="dxa"/>
            <w:tcBorders>
              <w:top w:val="nil"/>
              <w:left w:val="nil"/>
              <w:bottom w:val="nil"/>
              <w:right w:val="single" w:color="auto" w:sz="4" w:space="0"/>
            </w:tcBorders>
            <w:vAlign w:val="center"/>
          </w:tcPr>
          <w:p w14:paraId="424DC305">
            <w:pPr>
              <w:widowControl/>
              <w:ind w:left="1" w:leftChars="-51" w:hanging="108" w:hangingChars="60"/>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100≤X＜200</w:t>
            </w:r>
          </w:p>
        </w:tc>
        <w:tc>
          <w:tcPr>
            <w:tcW w:w="1426" w:type="dxa"/>
            <w:tcBorders>
              <w:top w:val="nil"/>
              <w:left w:val="nil"/>
              <w:bottom w:val="nil"/>
              <w:right w:val="single" w:color="auto" w:sz="4" w:space="0"/>
            </w:tcBorders>
            <w:vAlign w:val="center"/>
          </w:tcPr>
          <w:p w14:paraId="3200CB9E">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20≤X＜100</w:t>
            </w:r>
          </w:p>
        </w:tc>
        <w:tc>
          <w:tcPr>
            <w:tcW w:w="992" w:type="dxa"/>
            <w:tcBorders>
              <w:top w:val="nil"/>
              <w:left w:val="nil"/>
              <w:bottom w:val="nil"/>
              <w:right w:val="nil"/>
            </w:tcBorders>
            <w:vAlign w:val="center"/>
          </w:tcPr>
          <w:p w14:paraId="7C5D52A2">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X＜20</w:t>
            </w:r>
          </w:p>
        </w:tc>
      </w:tr>
      <w:tr w14:paraId="73623FAB">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480EAB52">
            <w:pPr>
              <w:widowControl/>
              <w:rPr>
                <w:rFonts w:hint="eastAsia" w:ascii="宋体" w:hAnsi="宋体" w:eastAsia="宋体" w:cs="宋体"/>
                <w:sz w:val="18"/>
                <w:szCs w:val="18"/>
                <w:highlight w:val="none"/>
              </w:rPr>
            </w:pPr>
          </w:p>
        </w:tc>
        <w:tc>
          <w:tcPr>
            <w:tcW w:w="1369" w:type="dxa"/>
            <w:tcBorders>
              <w:top w:val="nil"/>
              <w:left w:val="nil"/>
              <w:bottom w:val="single" w:color="auto" w:sz="4" w:space="0"/>
              <w:right w:val="single" w:color="auto" w:sz="4" w:space="0"/>
            </w:tcBorders>
            <w:vAlign w:val="center"/>
          </w:tcPr>
          <w:p w14:paraId="19B9194E">
            <w:pPr>
              <w:widowControl/>
              <w:spacing w:line="24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营业收入(Y)</w:t>
            </w:r>
          </w:p>
        </w:tc>
        <w:tc>
          <w:tcPr>
            <w:tcW w:w="709" w:type="dxa"/>
            <w:tcBorders>
              <w:top w:val="nil"/>
              <w:left w:val="nil"/>
              <w:bottom w:val="single" w:color="auto" w:sz="4" w:space="0"/>
              <w:right w:val="single" w:color="auto" w:sz="4" w:space="0"/>
            </w:tcBorders>
            <w:vAlign w:val="center"/>
          </w:tcPr>
          <w:p w14:paraId="1C7ED85B">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万元</w:t>
            </w:r>
          </w:p>
        </w:tc>
        <w:tc>
          <w:tcPr>
            <w:tcW w:w="1125" w:type="dxa"/>
            <w:tcBorders>
              <w:top w:val="nil"/>
              <w:left w:val="nil"/>
              <w:bottom w:val="single" w:color="auto" w:sz="4" w:space="0"/>
              <w:right w:val="single" w:color="auto" w:sz="4" w:space="0"/>
            </w:tcBorders>
            <w:vAlign w:val="center"/>
          </w:tcPr>
          <w:p w14:paraId="52FDEBED">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Y≥30000</w:t>
            </w:r>
          </w:p>
        </w:tc>
        <w:tc>
          <w:tcPr>
            <w:tcW w:w="1701" w:type="dxa"/>
            <w:tcBorders>
              <w:top w:val="nil"/>
              <w:left w:val="nil"/>
              <w:bottom w:val="single" w:color="auto" w:sz="4" w:space="0"/>
              <w:right w:val="single" w:color="auto" w:sz="4" w:space="0"/>
            </w:tcBorders>
            <w:vAlign w:val="center"/>
          </w:tcPr>
          <w:p w14:paraId="71EA3024">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1000≤Y＜30000</w:t>
            </w:r>
          </w:p>
        </w:tc>
        <w:tc>
          <w:tcPr>
            <w:tcW w:w="1426" w:type="dxa"/>
            <w:tcBorders>
              <w:top w:val="nil"/>
              <w:left w:val="nil"/>
              <w:bottom w:val="single" w:color="auto" w:sz="4" w:space="0"/>
              <w:right w:val="single" w:color="auto" w:sz="4" w:space="0"/>
            </w:tcBorders>
            <w:vAlign w:val="center"/>
          </w:tcPr>
          <w:p w14:paraId="24C39D2B">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100≤Y＜1000</w:t>
            </w:r>
          </w:p>
        </w:tc>
        <w:tc>
          <w:tcPr>
            <w:tcW w:w="992" w:type="dxa"/>
            <w:tcBorders>
              <w:top w:val="nil"/>
              <w:left w:val="nil"/>
              <w:bottom w:val="single" w:color="auto" w:sz="4" w:space="0"/>
              <w:right w:val="nil"/>
            </w:tcBorders>
            <w:vAlign w:val="center"/>
          </w:tcPr>
          <w:p w14:paraId="4DDA7031">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Y＜100</w:t>
            </w:r>
          </w:p>
        </w:tc>
      </w:tr>
      <w:tr w14:paraId="6E9948ED">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vAlign w:val="center"/>
          </w:tcPr>
          <w:p w14:paraId="1A31C786">
            <w:pPr>
              <w:widowControl/>
              <w:spacing w:line="240" w:lineRule="exact"/>
              <w:rPr>
                <w:rFonts w:hint="eastAsia" w:ascii="宋体" w:hAnsi="宋体" w:eastAsia="宋体" w:cs="宋体"/>
                <w:sz w:val="18"/>
                <w:szCs w:val="18"/>
                <w:highlight w:val="none"/>
              </w:rPr>
            </w:pPr>
            <w:r>
              <w:rPr>
                <w:rFonts w:hint="eastAsia" w:ascii="宋体" w:hAnsi="宋体" w:eastAsia="宋体" w:cs="宋体"/>
                <w:sz w:val="18"/>
                <w:szCs w:val="18"/>
                <w:highlight w:val="none"/>
              </w:rPr>
              <w:t>邮政业</w:t>
            </w:r>
          </w:p>
        </w:tc>
        <w:tc>
          <w:tcPr>
            <w:tcW w:w="1369" w:type="dxa"/>
            <w:tcBorders>
              <w:top w:val="nil"/>
              <w:left w:val="nil"/>
              <w:bottom w:val="nil"/>
              <w:right w:val="single" w:color="auto" w:sz="4" w:space="0"/>
            </w:tcBorders>
            <w:vAlign w:val="center"/>
          </w:tcPr>
          <w:p w14:paraId="475C51DF">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从业人员(X)</w:t>
            </w:r>
          </w:p>
        </w:tc>
        <w:tc>
          <w:tcPr>
            <w:tcW w:w="709" w:type="dxa"/>
            <w:tcBorders>
              <w:top w:val="nil"/>
              <w:left w:val="nil"/>
              <w:bottom w:val="nil"/>
              <w:right w:val="single" w:color="auto" w:sz="4" w:space="0"/>
            </w:tcBorders>
            <w:vAlign w:val="center"/>
          </w:tcPr>
          <w:p w14:paraId="0CC48FCD">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人</w:t>
            </w:r>
          </w:p>
        </w:tc>
        <w:tc>
          <w:tcPr>
            <w:tcW w:w="1125" w:type="dxa"/>
            <w:tcBorders>
              <w:top w:val="nil"/>
              <w:left w:val="nil"/>
              <w:bottom w:val="nil"/>
              <w:right w:val="single" w:color="auto" w:sz="4" w:space="0"/>
            </w:tcBorders>
            <w:vAlign w:val="center"/>
          </w:tcPr>
          <w:p w14:paraId="5E16CAAB">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X≥1000</w:t>
            </w:r>
          </w:p>
        </w:tc>
        <w:tc>
          <w:tcPr>
            <w:tcW w:w="1701" w:type="dxa"/>
            <w:tcBorders>
              <w:top w:val="nil"/>
              <w:left w:val="nil"/>
              <w:bottom w:val="nil"/>
              <w:right w:val="single" w:color="auto" w:sz="4" w:space="0"/>
            </w:tcBorders>
            <w:vAlign w:val="center"/>
          </w:tcPr>
          <w:p w14:paraId="4D58642C">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300≤X＜1000</w:t>
            </w:r>
          </w:p>
        </w:tc>
        <w:tc>
          <w:tcPr>
            <w:tcW w:w="1426" w:type="dxa"/>
            <w:tcBorders>
              <w:top w:val="nil"/>
              <w:left w:val="nil"/>
              <w:bottom w:val="nil"/>
              <w:right w:val="single" w:color="auto" w:sz="4" w:space="0"/>
            </w:tcBorders>
            <w:vAlign w:val="center"/>
          </w:tcPr>
          <w:p w14:paraId="796DE390">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20≤X＜300</w:t>
            </w:r>
          </w:p>
        </w:tc>
        <w:tc>
          <w:tcPr>
            <w:tcW w:w="992" w:type="dxa"/>
            <w:tcBorders>
              <w:top w:val="nil"/>
              <w:left w:val="nil"/>
              <w:bottom w:val="nil"/>
              <w:right w:val="nil"/>
            </w:tcBorders>
            <w:vAlign w:val="center"/>
          </w:tcPr>
          <w:p w14:paraId="3B04A657">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X＜20</w:t>
            </w:r>
          </w:p>
        </w:tc>
      </w:tr>
      <w:tr w14:paraId="3FC1C128">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785F8EA4">
            <w:pPr>
              <w:widowControl/>
              <w:rPr>
                <w:rFonts w:hint="eastAsia" w:ascii="宋体" w:hAnsi="宋体" w:eastAsia="宋体" w:cs="宋体"/>
                <w:sz w:val="18"/>
                <w:szCs w:val="18"/>
                <w:highlight w:val="none"/>
              </w:rPr>
            </w:pPr>
          </w:p>
        </w:tc>
        <w:tc>
          <w:tcPr>
            <w:tcW w:w="1369" w:type="dxa"/>
            <w:tcBorders>
              <w:top w:val="nil"/>
              <w:left w:val="nil"/>
              <w:bottom w:val="single" w:color="auto" w:sz="4" w:space="0"/>
              <w:right w:val="single" w:color="auto" w:sz="4" w:space="0"/>
            </w:tcBorders>
            <w:vAlign w:val="center"/>
          </w:tcPr>
          <w:p w14:paraId="617FE819">
            <w:pPr>
              <w:widowControl/>
              <w:spacing w:line="24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营业收入(Y)</w:t>
            </w:r>
          </w:p>
        </w:tc>
        <w:tc>
          <w:tcPr>
            <w:tcW w:w="709" w:type="dxa"/>
            <w:tcBorders>
              <w:top w:val="nil"/>
              <w:left w:val="nil"/>
              <w:bottom w:val="single" w:color="auto" w:sz="4" w:space="0"/>
              <w:right w:val="single" w:color="auto" w:sz="4" w:space="0"/>
            </w:tcBorders>
            <w:vAlign w:val="center"/>
          </w:tcPr>
          <w:p w14:paraId="3825D79C">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万元</w:t>
            </w:r>
          </w:p>
        </w:tc>
        <w:tc>
          <w:tcPr>
            <w:tcW w:w="1125" w:type="dxa"/>
            <w:tcBorders>
              <w:top w:val="nil"/>
              <w:left w:val="nil"/>
              <w:bottom w:val="single" w:color="auto" w:sz="4" w:space="0"/>
              <w:right w:val="single" w:color="auto" w:sz="4" w:space="0"/>
            </w:tcBorders>
            <w:vAlign w:val="center"/>
          </w:tcPr>
          <w:p w14:paraId="135BE754">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Y≥30000</w:t>
            </w:r>
          </w:p>
        </w:tc>
        <w:tc>
          <w:tcPr>
            <w:tcW w:w="1701" w:type="dxa"/>
            <w:tcBorders>
              <w:top w:val="nil"/>
              <w:left w:val="nil"/>
              <w:bottom w:val="single" w:color="auto" w:sz="4" w:space="0"/>
              <w:right w:val="single" w:color="auto" w:sz="4" w:space="0"/>
            </w:tcBorders>
            <w:vAlign w:val="center"/>
          </w:tcPr>
          <w:p w14:paraId="7DE15158">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2000≤Y＜30000</w:t>
            </w:r>
          </w:p>
        </w:tc>
        <w:tc>
          <w:tcPr>
            <w:tcW w:w="1426" w:type="dxa"/>
            <w:tcBorders>
              <w:top w:val="nil"/>
              <w:left w:val="nil"/>
              <w:bottom w:val="single" w:color="auto" w:sz="4" w:space="0"/>
              <w:right w:val="single" w:color="auto" w:sz="4" w:space="0"/>
            </w:tcBorders>
            <w:vAlign w:val="center"/>
          </w:tcPr>
          <w:p w14:paraId="1F1497B6">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100≤Y＜2000</w:t>
            </w:r>
          </w:p>
        </w:tc>
        <w:tc>
          <w:tcPr>
            <w:tcW w:w="992" w:type="dxa"/>
            <w:tcBorders>
              <w:top w:val="nil"/>
              <w:left w:val="nil"/>
              <w:bottom w:val="single" w:color="auto" w:sz="4" w:space="0"/>
              <w:right w:val="nil"/>
            </w:tcBorders>
            <w:vAlign w:val="center"/>
          </w:tcPr>
          <w:p w14:paraId="15A269D7">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Y＜100</w:t>
            </w:r>
          </w:p>
        </w:tc>
      </w:tr>
      <w:tr w14:paraId="669C5242">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vAlign w:val="center"/>
          </w:tcPr>
          <w:p w14:paraId="4F79D8E2">
            <w:pPr>
              <w:widowControl/>
              <w:spacing w:line="240" w:lineRule="exact"/>
              <w:rPr>
                <w:rFonts w:hint="eastAsia" w:ascii="宋体" w:hAnsi="宋体" w:eastAsia="宋体" w:cs="宋体"/>
                <w:sz w:val="18"/>
                <w:szCs w:val="18"/>
                <w:highlight w:val="none"/>
              </w:rPr>
            </w:pPr>
            <w:r>
              <w:rPr>
                <w:rFonts w:hint="eastAsia" w:ascii="宋体" w:hAnsi="宋体" w:eastAsia="宋体" w:cs="宋体"/>
                <w:sz w:val="18"/>
                <w:szCs w:val="18"/>
                <w:highlight w:val="none"/>
              </w:rPr>
              <w:t>住宿业</w:t>
            </w:r>
          </w:p>
        </w:tc>
        <w:tc>
          <w:tcPr>
            <w:tcW w:w="1369" w:type="dxa"/>
            <w:tcBorders>
              <w:top w:val="nil"/>
              <w:left w:val="nil"/>
              <w:bottom w:val="nil"/>
              <w:right w:val="single" w:color="auto" w:sz="4" w:space="0"/>
            </w:tcBorders>
            <w:vAlign w:val="center"/>
          </w:tcPr>
          <w:p w14:paraId="068A5DCB">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从业人员(X)</w:t>
            </w:r>
          </w:p>
        </w:tc>
        <w:tc>
          <w:tcPr>
            <w:tcW w:w="709" w:type="dxa"/>
            <w:tcBorders>
              <w:top w:val="nil"/>
              <w:left w:val="nil"/>
              <w:bottom w:val="nil"/>
              <w:right w:val="single" w:color="auto" w:sz="4" w:space="0"/>
            </w:tcBorders>
            <w:vAlign w:val="center"/>
          </w:tcPr>
          <w:p w14:paraId="290AAA80">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人</w:t>
            </w:r>
          </w:p>
        </w:tc>
        <w:tc>
          <w:tcPr>
            <w:tcW w:w="1125" w:type="dxa"/>
            <w:tcBorders>
              <w:top w:val="nil"/>
              <w:left w:val="nil"/>
              <w:bottom w:val="nil"/>
              <w:right w:val="single" w:color="auto" w:sz="4" w:space="0"/>
            </w:tcBorders>
            <w:vAlign w:val="center"/>
          </w:tcPr>
          <w:p w14:paraId="48E76BC7">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X≥300</w:t>
            </w:r>
          </w:p>
        </w:tc>
        <w:tc>
          <w:tcPr>
            <w:tcW w:w="1701" w:type="dxa"/>
            <w:tcBorders>
              <w:top w:val="nil"/>
              <w:left w:val="nil"/>
              <w:bottom w:val="nil"/>
              <w:right w:val="single" w:color="auto" w:sz="4" w:space="0"/>
            </w:tcBorders>
            <w:vAlign w:val="center"/>
          </w:tcPr>
          <w:p w14:paraId="657E6414">
            <w:pPr>
              <w:widowControl/>
              <w:ind w:left="1" w:leftChars="-51" w:hanging="108" w:hangingChars="60"/>
              <w:jc w:val="center"/>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rPr>
              <w:t>100≤X＜300</w:t>
            </w:r>
          </w:p>
        </w:tc>
        <w:tc>
          <w:tcPr>
            <w:tcW w:w="1426" w:type="dxa"/>
            <w:tcBorders>
              <w:top w:val="nil"/>
              <w:left w:val="nil"/>
              <w:bottom w:val="nil"/>
              <w:right w:val="single" w:color="auto" w:sz="4" w:space="0"/>
            </w:tcBorders>
            <w:vAlign w:val="center"/>
          </w:tcPr>
          <w:p w14:paraId="7483C86B">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10≤X＜100</w:t>
            </w:r>
          </w:p>
        </w:tc>
        <w:tc>
          <w:tcPr>
            <w:tcW w:w="992" w:type="dxa"/>
            <w:tcBorders>
              <w:top w:val="nil"/>
              <w:left w:val="nil"/>
              <w:bottom w:val="nil"/>
              <w:right w:val="nil"/>
            </w:tcBorders>
            <w:vAlign w:val="center"/>
          </w:tcPr>
          <w:p w14:paraId="2FC0378C">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X＜10</w:t>
            </w:r>
          </w:p>
        </w:tc>
      </w:tr>
      <w:tr w14:paraId="099D0F29">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0F857051">
            <w:pPr>
              <w:widowControl/>
              <w:rPr>
                <w:rFonts w:hint="eastAsia" w:ascii="宋体" w:hAnsi="宋体" w:eastAsia="宋体" w:cs="宋体"/>
                <w:sz w:val="18"/>
                <w:szCs w:val="18"/>
                <w:highlight w:val="none"/>
              </w:rPr>
            </w:pPr>
          </w:p>
        </w:tc>
        <w:tc>
          <w:tcPr>
            <w:tcW w:w="1369" w:type="dxa"/>
            <w:tcBorders>
              <w:top w:val="nil"/>
              <w:left w:val="nil"/>
              <w:bottom w:val="single" w:color="auto" w:sz="4" w:space="0"/>
              <w:right w:val="single" w:color="auto" w:sz="4" w:space="0"/>
            </w:tcBorders>
            <w:vAlign w:val="center"/>
          </w:tcPr>
          <w:p w14:paraId="34C2CF7F">
            <w:pPr>
              <w:widowControl/>
              <w:spacing w:line="24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营业收入(Y)</w:t>
            </w:r>
          </w:p>
        </w:tc>
        <w:tc>
          <w:tcPr>
            <w:tcW w:w="709" w:type="dxa"/>
            <w:tcBorders>
              <w:top w:val="nil"/>
              <w:left w:val="nil"/>
              <w:bottom w:val="single" w:color="auto" w:sz="4" w:space="0"/>
              <w:right w:val="single" w:color="auto" w:sz="4" w:space="0"/>
            </w:tcBorders>
            <w:vAlign w:val="center"/>
          </w:tcPr>
          <w:p w14:paraId="39155D18">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万元</w:t>
            </w:r>
          </w:p>
        </w:tc>
        <w:tc>
          <w:tcPr>
            <w:tcW w:w="1125" w:type="dxa"/>
            <w:tcBorders>
              <w:top w:val="nil"/>
              <w:left w:val="nil"/>
              <w:bottom w:val="single" w:color="auto" w:sz="4" w:space="0"/>
              <w:right w:val="single" w:color="auto" w:sz="4" w:space="0"/>
            </w:tcBorders>
            <w:vAlign w:val="center"/>
          </w:tcPr>
          <w:p w14:paraId="60D0B1B2">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Y≥10000</w:t>
            </w:r>
          </w:p>
        </w:tc>
        <w:tc>
          <w:tcPr>
            <w:tcW w:w="1701" w:type="dxa"/>
            <w:tcBorders>
              <w:top w:val="nil"/>
              <w:left w:val="nil"/>
              <w:bottom w:val="single" w:color="auto" w:sz="4" w:space="0"/>
              <w:right w:val="single" w:color="auto" w:sz="4" w:space="0"/>
            </w:tcBorders>
            <w:vAlign w:val="center"/>
          </w:tcPr>
          <w:p w14:paraId="65A23D3E">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2000≤Y＜10000</w:t>
            </w:r>
          </w:p>
        </w:tc>
        <w:tc>
          <w:tcPr>
            <w:tcW w:w="1426" w:type="dxa"/>
            <w:tcBorders>
              <w:top w:val="nil"/>
              <w:left w:val="nil"/>
              <w:bottom w:val="single" w:color="auto" w:sz="4" w:space="0"/>
              <w:right w:val="single" w:color="auto" w:sz="4" w:space="0"/>
            </w:tcBorders>
            <w:vAlign w:val="center"/>
          </w:tcPr>
          <w:p w14:paraId="7067E09A">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100≤Y＜2000</w:t>
            </w:r>
          </w:p>
        </w:tc>
        <w:tc>
          <w:tcPr>
            <w:tcW w:w="992" w:type="dxa"/>
            <w:tcBorders>
              <w:top w:val="nil"/>
              <w:left w:val="nil"/>
              <w:bottom w:val="single" w:color="auto" w:sz="4" w:space="0"/>
              <w:right w:val="nil"/>
            </w:tcBorders>
            <w:vAlign w:val="center"/>
          </w:tcPr>
          <w:p w14:paraId="6B3849C4">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Y＜100</w:t>
            </w:r>
          </w:p>
        </w:tc>
      </w:tr>
      <w:tr w14:paraId="52A7A932">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vAlign w:val="center"/>
          </w:tcPr>
          <w:p w14:paraId="573A535B">
            <w:pPr>
              <w:widowControl/>
              <w:spacing w:line="240" w:lineRule="exact"/>
              <w:rPr>
                <w:rFonts w:hint="eastAsia" w:ascii="宋体" w:hAnsi="宋体" w:eastAsia="宋体" w:cs="宋体"/>
                <w:sz w:val="18"/>
                <w:szCs w:val="18"/>
                <w:highlight w:val="none"/>
              </w:rPr>
            </w:pPr>
            <w:r>
              <w:rPr>
                <w:rFonts w:hint="eastAsia" w:ascii="宋体" w:hAnsi="宋体" w:eastAsia="宋体" w:cs="宋体"/>
                <w:sz w:val="18"/>
                <w:szCs w:val="18"/>
                <w:highlight w:val="none"/>
              </w:rPr>
              <w:t>餐饮业</w:t>
            </w:r>
          </w:p>
        </w:tc>
        <w:tc>
          <w:tcPr>
            <w:tcW w:w="1369" w:type="dxa"/>
            <w:tcBorders>
              <w:top w:val="nil"/>
              <w:left w:val="nil"/>
              <w:bottom w:val="nil"/>
              <w:right w:val="single" w:color="auto" w:sz="4" w:space="0"/>
            </w:tcBorders>
            <w:vAlign w:val="center"/>
          </w:tcPr>
          <w:p w14:paraId="439BF23C">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从业人员(X)</w:t>
            </w:r>
          </w:p>
        </w:tc>
        <w:tc>
          <w:tcPr>
            <w:tcW w:w="709" w:type="dxa"/>
            <w:tcBorders>
              <w:top w:val="nil"/>
              <w:left w:val="nil"/>
              <w:bottom w:val="nil"/>
              <w:right w:val="single" w:color="auto" w:sz="4" w:space="0"/>
            </w:tcBorders>
            <w:vAlign w:val="center"/>
          </w:tcPr>
          <w:p w14:paraId="783B33E0">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人</w:t>
            </w:r>
          </w:p>
        </w:tc>
        <w:tc>
          <w:tcPr>
            <w:tcW w:w="1125" w:type="dxa"/>
            <w:tcBorders>
              <w:top w:val="nil"/>
              <w:left w:val="nil"/>
              <w:bottom w:val="nil"/>
              <w:right w:val="single" w:color="auto" w:sz="4" w:space="0"/>
            </w:tcBorders>
            <w:vAlign w:val="center"/>
          </w:tcPr>
          <w:p w14:paraId="3FFE9709">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X≥300</w:t>
            </w:r>
          </w:p>
        </w:tc>
        <w:tc>
          <w:tcPr>
            <w:tcW w:w="1701" w:type="dxa"/>
            <w:tcBorders>
              <w:top w:val="nil"/>
              <w:left w:val="nil"/>
              <w:bottom w:val="nil"/>
              <w:right w:val="single" w:color="auto" w:sz="4" w:space="0"/>
            </w:tcBorders>
            <w:vAlign w:val="center"/>
          </w:tcPr>
          <w:p w14:paraId="4CFB868D">
            <w:pPr>
              <w:widowControl/>
              <w:ind w:left="1" w:leftChars="-51" w:hanging="108" w:hangingChars="60"/>
              <w:jc w:val="center"/>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rPr>
              <w:t>100≤X＜300</w:t>
            </w:r>
          </w:p>
        </w:tc>
        <w:tc>
          <w:tcPr>
            <w:tcW w:w="1426" w:type="dxa"/>
            <w:tcBorders>
              <w:top w:val="nil"/>
              <w:left w:val="nil"/>
              <w:bottom w:val="nil"/>
              <w:right w:val="single" w:color="auto" w:sz="4" w:space="0"/>
            </w:tcBorders>
            <w:vAlign w:val="center"/>
          </w:tcPr>
          <w:p w14:paraId="23B82322">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10≤X＜100</w:t>
            </w:r>
          </w:p>
        </w:tc>
        <w:tc>
          <w:tcPr>
            <w:tcW w:w="992" w:type="dxa"/>
            <w:tcBorders>
              <w:top w:val="nil"/>
              <w:left w:val="nil"/>
              <w:bottom w:val="nil"/>
              <w:right w:val="nil"/>
            </w:tcBorders>
            <w:vAlign w:val="center"/>
          </w:tcPr>
          <w:p w14:paraId="0B9D9A0A">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X＜10</w:t>
            </w:r>
          </w:p>
        </w:tc>
      </w:tr>
      <w:tr w14:paraId="1F3AE755">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1B4A3666">
            <w:pPr>
              <w:widowControl/>
              <w:rPr>
                <w:rFonts w:hint="eastAsia" w:ascii="宋体" w:hAnsi="宋体" w:eastAsia="宋体" w:cs="宋体"/>
                <w:sz w:val="18"/>
                <w:szCs w:val="18"/>
                <w:highlight w:val="none"/>
              </w:rPr>
            </w:pPr>
          </w:p>
        </w:tc>
        <w:tc>
          <w:tcPr>
            <w:tcW w:w="1369" w:type="dxa"/>
            <w:tcBorders>
              <w:top w:val="nil"/>
              <w:left w:val="nil"/>
              <w:bottom w:val="single" w:color="auto" w:sz="4" w:space="0"/>
              <w:right w:val="single" w:color="auto" w:sz="4" w:space="0"/>
            </w:tcBorders>
            <w:vAlign w:val="center"/>
          </w:tcPr>
          <w:p w14:paraId="7B4B0D4A">
            <w:pPr>
              <w:widowControl/>
              <w:spacing w:line="24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营业收入(Y)</w:t>
            </w:r>
          </w:p>
        </w:tc>
        <w:tc>
          <w:tcPr>
            <w:tcW w:w="709" w:type="dxa"/>
            <w:tcBorders>
              <w:top w:val="nil"/>
              <w:left w:val="nil"/>
              <w:bottom w:val="single" w:color="auto" w:sz="4" w:space="0"/>
              <w:right w:val="single" w:color="auto" w:sz="4" w:space="0"/>
            </w:tcBorders>
            <w:vAlign w:val="center"/>
          </w:tcPr>
          <w:p w14:paraId="47D06290">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万元</w:t>
            </w:r>
          </w:p>
        </w:tc>
        <w:tc>
          <w:tcPr>
            <w:tcW w:w="1125" w:type="dxa"/>
            <w:tcBorders>
              <w:top w:val="nil"/>
              <w:left w:val="nil"/>
              <w:bottom w:val="single" w:color="auto" w:sz="4" w:space="0"/>
              <w:right w:val="single" w:color="auto" w:sz="4" w:space="0"/>
            </w:tcBorders>
            <w:vAlign w:val="center"/>
          </w:tcPr>
          <w:p w14:paraId="03377D8C">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Y≥10000</w:t>
            </w:r>
          </w:p>
        </w:tc>
        <w:tc>
          <w:tcPr>
            <w:tcW w:w="1701" w:type="dxa"/>
            <w:tcBorders>
              <w:top w:val="nil"/>
              <w:left w:val="nil"/>
              <w:bottom w:val="single" w:color="auto" w:sz="4" w:space="0"/>
              <w:right w:val="single" w:color="auto" w:sz="4" w:space="0"/>
            </w:tcBorders>
            <w:vAlign w:val="center"/>
          </w:tcPr>
          <w:p w14:paraId="78ACEB51">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2000≤Y＜10000</w:t>
            </w:r>
          </w:p>
        </w:tc>
        <w:tc>
          <w:tcPr>
            <w:tcW w:w="1426" w:type="dxa"/>
            <w:tcBorders>
              <w:top w:val="nil"/>
              <w:left w:val="nil"/>
              <w:bottom w:val="single" w:color="auto" w:sz="4" w:space="0"/>
              <w:right w:val="single" w:color="auto" w:sz="4" w:space="0"/>
            </w:tcBorders>
            <w:vAlign w:val="center"/>
          </w:tcPr>
          <w:p w14:paraId="5F6B86F3">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100≤Y＜2000</w:t>
            </w:r>
          </w:p>
        </w:tc>
        <w:tc>
          <w:tcPr>
            <w:tcW w:w="992" w:type="dxa"/>
            <w:tcBorders>
              <w:top w:val="nil"/>
              <w:left w:val="nil"/>
              <w:bottom w:val="single" w:color="auto" w:sz="4" w:space="0"/>
              <w:right w:val="nil"/>
            </w:tcBorders>
            <w:vAlign w:val="center"/>
          </w:tcPr>
          <w:p w14:paraId="57CB6C94">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Y＜100</w:t>
            </w:r>
          </w:p>
        </w:tc>
      </w:tr>
      <w:tr w14:paraId="02715F2F">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vAlign w:val="center"/>
          </w:tcPr>
          <w:p w14:paraId="69D72691">
            <w:pPr>
              <w:widowControl/>
              <w:spacing w:line="240" w:lineRule="exact"/>
              <w:rPr>
                <w:rFonts w:hint="eastAsia" w:ascii="宋体" w:hAnsi="宋体" w:eastAsia="宋体" w:cs="宋体"/>
                <w:sz w:val="18"/>
                <w:szCs w:val="18"/>
                <w:highlight w:val="none"/>
              </w:rPr>
            </w:pPr>
            <w:r>
              <w:rPr>
                <w:rFonts w:hint="eastAsia" w:ascii="宋体" w:hAnsi="宋体" w:eastAsia="宋体" w:cs="宋体"/>
                <w:sz w:val="18"/>
                <w:szCs w:val="18"/>
                <w:highlight w:val="none"/>
              </w:rPr>
              <w:t>信息传输业*</w:t>
            </w:r>
          </w:p>
        </w:tc>
        <w:tc>
          <w:tcPr>
            <w:tcW w:w="1369" w:type="dxa"/>
            <w:tcBorders>
              <w:top w:val="nil"/>
              <w:left w:val="nil"/>
              <w:bottom w:val="nil"/>
              <w:right w:val="single" w:color="auto" w:sz="4" w:space="0"/>
            </w:tcBorders>
            <w:vAlign w:val="center"/>
          </w:tcPr>
          <w:p w14:paraId="3EA46288">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从业人员(X)</w:t>
            </w:r>
          </w:p>
        </w:tc>
        <w:tc>
          <w:tcPr>
            <w:tcW w:w="709" w:type="dxa"/>
            <w:tcBorders>
              <w:top w:val="nil"/>
              <w:left w:val="nil"/>
              <w:bottom w:val="nil"/>
              <w:right w:val="single" w:color="auto" w:sz="4" w:space="0"/>
            </w:tcBorders>
            <w:vAlign w:val="center"/>
          </w:tcPr>
          <w:p w14:paraId="78419C72">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人</w:t>
            </w:r>
          </w:p>
        </w:tc>
        <w:tc>
          <w:tcPr>
            <w:tcW w:w="1125" w:type="dxa"/>
            <w:tcBorders>
              <w:top w:val="nil"/>
              <w:left w:val="nil"/>
              <w:bottom w:val="nil"/>
              <w:right w:val="single" w:color="auto" w:sz="4" w:space="0"/>
            </w:tcBorders>
            <w:vAlign w:val="center"/>
          </w:tcPr>
          <w:p w14:paraId="0799CF5A">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X≥2000</w:t>
            </w:r>
          </w:p>
        </w:tc>
        <w:tc>
          <w:tcPr>
            <w:tcW w:w="1701" w:type="dxa"/>
            <w:tcBorders>
              <w:top w:val="nil"/>
              <w:left w:val="nil"/>
              <w:bottom w:val="nil"/>
              <w:right w:val="single" w:color="auto" w:sz="4" w:space="0"/>
            </w:tcBorders>
            <w:vAlign w:val="center"/>
          </w:tcPr>
          <w:p w14:paraId="34195C5D">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100≤X＜2000</w:t>
            </w:r>
          </w:p>
        </w:tc>
        <w:tc>
          <w:tcPr>
            <w:tcW w:w="1426" w:type="dxa"/>
            <w:tcBorders>
              <w:top w:val="nil"/>
              <w:left w:val="nil"/>
              <w:bottom w:val="nil"/>
              <w:right w:val="single" w:color="auto" w:sz="4" w:space="0"/>
            </w:tcBorders>
            <w:vAlign w:val="center"/>
          </w:tcPr>
          <w:p w14:paraId="62130C10">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10≤X＜100</w:t>
            </w:r>
          </w:p>
        </w:tc>
        <w:tc>
          <w:tcPr>
            <w:tcW w:w="992" w:type="dxa"/>
            <w:tcBorders>
              <w:top w:val="nil"/>
              <w:left w:val="nil"/>
              <w:bottom w:val="nil"/>
              <w:right w:val="nil"/>
            </w:tcBorders>
            <w:vAlign w:val="center"/>
          </w:tcPr>
          <w:p w14:paraId="499C19C5">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X＜10</w:t>
            </w:r>
          </w:p>
        </w:tc>
      </w:tr>
      <w:tr w14:paraId="22454176">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563F5106">
            <w:pPr>
              <w:widowControl/>
              <w:rPr>
                <w:rFonts w:hint="eastAsia" w:ascii="宋体" w:hAnsi="宋体" w:eastAsia="宋体" w:cs="宋体"/>
                <w:sz w:val="18"/>
                <w:szCs w:val="18"/>
                <w:highlight w:val="none"/>
              </w:rPr>
            </w:pPr>
          </w:p>
        </w:tc>
        <w:tc>
          <w:tcPr>
            <w:tcW w:w="1369" w:type="dxa"/>
            <w:tcBorders>
              <w:top w:val="nil"/>
              <w:left w:val="nil"/>
              <w:bottom w:val="single" w:color="auto" w:sz="4" w:space="0"/>
              <w:right w:val="single" w:color="auto" w:sz="4" w:space="0"/>
            </w:tcBorders>
            <w:vAlign w:val="center"/>
          </w:tcPr>
          <w:p w14:paraId="47BE9445">
            <w:pPr>
              <w:widowControl/>
              <w:spacing w:line="24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营业收入(Y)</w:t>
            </w:r>
          </w:p>
        </w:tc>
        <w:tc>
          <w:tcPr>
            <w:tcW w:w="709" w:type="dxa"/>
            <w:tcBorders>
              <w:top w:val="nil"/>
              <w:left w:val="nil"/>
              <w:bottom w:val="single" w:color="auto" w:sz="4" w:space="0"/>
              <w:right w:val="single" w:color="auto" w:sz="4" w:space="0"/>
            </w:tcBorders>
            <w:vAlign w:val="center"/>
          </w:tcPr>
          <w:p w14:paraId="7D299C7E">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万元</w:t>
            </w:r>
          </w:p>
        </w:tc>
        <w:tc>
          <w:tcPr>
            <w:tcW w:w="1125" w:type="dxa"/>
            <w:tcBorders>
              <w:top w:val="nil"/>
              <w:left w:val="nil"/>
              <w:bottom w:val="single" w:color="auto" w:sz="4" w:space="0"/>
              <w:right w:val="single" w:color="auto" w:sz="4" w:space="0"/>
            </w:tcBorders>
            <w:vAlign w:val="center"/>
          </w:tcPr>
          <w:p w14:paraId="25B04266">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Y≥100000</w:t>
            </w:r>
          </w:p>
        </w:tc>
        <w:tc>
          <w:tcPr>
            <w:tcW w:w="1701" w:type="dxa"/>
            <w:tcBorders>
              <w:top w:val="nil"/>
              <w:left w:val="nil"/>
              <w:bottom w:val="single" w:color="auto" w:sz="4" w:space="0"/>
              <w:right w:val="single" w:color="auto" w:sz="4" w:space="0"/>
            </w:tcBorders>
            <w:vAlign w:val="center"/>
          </w:tcPr>
          <w:p w14:paraId="4DD4B12C">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1000≤Y＜100000</w:t>
            </w:r>
          </w:p>
        </w:tc>
        <w:tc>
          <w:tcPr>
            <w:tcW w:w="1426" w:type="dxa"/>
            <w:tcBorders>
              <w:top w:val="nil"/>
              <w:left w:val="nil"/>
              <w:bottom w:val="single" w:color="auto" w:sz="4" w:space="0"/>
              <w:right w:val="single" w:color="auto" w:sz="4" w:space="0"/>
            </w:tcBorders>
            <w:vAlign w:val="center"/>
          </w:tcPr>
          <w:p w14:paraId="0E5D65DA">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100≤Y＜1000</w:t>
            </w:r>
          </w:p>
        </w:tc>
        <w:tc>
          <w:tcPr>
            <w:tcW w:w="992" w:type="dxa"/>
            <w:tcBorders>
              <w:top w:val="nil"/>
              <w:left w:val="nil"/>
              <w:bottom w:val="single" w:color="auto" w:sz="4" w:space="0"/>
              <w:right w:val="nil"/>
            </w:tcBorders>
            <w:vAlign w:val="center"/>
          </w:tcPr>
          <w:p w14:paraId="49E66B66">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Y＜100</w:t>
            </w:r>
          </w:p>
        </w:tc>
      </w:tr>
      <w:tr w14:paraId="5BF0D43A">
        <w:tblPrEx>
          <w:tblCellMar>
            <w:top w:w="0" w:type="dxa"/>
            <w:left w:w="108" w:type="dxa"/>
            <w:bottom w:w="0" w:type="dxa"/>
            <w:right w:w="108" w:type="dxa"/>
          </w:tblCellMar>
        </w:tblPrEx>
        <w:trPr>
          <w:trHeight w:val="340" w:hRule="exact"/>
          <w:jc w:val="center"/>
        </w:trPr>
        <w:tc>
          <w:tcPr>
            <w:tcW w:w="2113" w:type="dxa"/>
            <w:vMerge w:val="restart"/>
            <w:tcBorders>
              <w:top w:val="single" w:color="auto" w:sz="4" w:space="0"/>
              <w:left w:val="nil"/>
              <w:bottom w:val="single" w:color="auto" w:sz="4" w:space="0"/>
              <w:right w:val="single" w:color="auto" w:sz="4" w:space="0"/>
            </w:tcBorders>
            <w:vAlign w:val="center"/>
          </w:tcPr>
          <w:p w14:paraId="4CB55090">
            <w:pPr>
              <w:widowControl/>
              <w:spacing w:line="240" w:lineRule="exact"/>
              <w:rPr>
                <w:rFonts w:hint="eastAsia" w:ascii="宋体" w:hAnsi="宋体" w:eastAsia="宋体" w:cs="宋体"/>
                <w:spacing w:val="-12"/>
                <w:sz w:val="18"/>
                <w:szCs w:val="18"/>
                <w:highlight w:val="none"/>
              </w:rPr>
            </w:pPr>
            <w:r>
              <w:rPr>
                <w:rFonts w:hint="eastAsia" w:ascii="宋体" w:hAnsi="宋体" w:eastAsia="宋体" w:cs="宋体"/>
                <w:spacing w:val="-12"/>
                <w:sz w:val="18"/>
                <w:szCs w:val="18"/>
                <w:highlight w:val="none"/>
              </w:rPr>
              <w:t>软件和信息技术服</w:t>
            </w:r>
            <w:r>
              <w:rPr>
                <w:rFonts w:hint="eastAsia" w:ascii="宋体" w:hAnsi="宋体" w:eastAsia="宋体" w:cs="宋体"/>
                <w:sz w:val="18"/>
                <w:szCs w:val="18"/>
                <w:highlight w:val="none"/>
              </w:rPr>
              <w:t>务业</w:t>
            </w:r>
          </w:p>
        </w:tc>
        <w:tc>
          <w:tcPr>
            <w:tcW w:w="1369" w:type="dxa"/>
            <w:tcBorders>
              <w:top w:val="nil"/>
              <w:left w:val="nil"/>
              <w:bottom w:val="nil"/>
              <w:right w:val="single" w:color="auto" w:sz="4" w:space="0"/>
            </w:tcBorders>
            <w:vAlign w:val="center"/>
          </w:tcPr>
          <w:p w14:paraId="703CEA6D">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从业人员(X)</w:t>
            </w:r>
          </w:p>
        </w:tc>
        <w:tc>
          <w:tcPr>
            <w:tcW w:w="709" w:type="dxa"/>
            <w:tcBorders>
              <w:top w:val="nil"/>
              <w:left w:val="nil"/>
              <w:bottom w:val="nil"/>
              <w:right w:val="single" w:color="auto" w:sz="4" w:space="0"/>
            </w:tcBorders>
            <w:vAlign w:val="center"/>
          </w:tcPr>
          <w:p w14:paraId="6DA47CAF">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人</w:t>
            </w:r>
          </w:p>
        </w:tc>
        <w:tc>
          <w:tcPr>
            <w:tcW w:w="1125" w:type="dxa"/>
            <w:tcBorders>
              <w:top w:val="nil"/>
              <w:left w:val="nil"/>
              <w:bottom w:val="nil"/>
              <w:right w:val="single" w:color="auto" w:sz="4" w:space="0"/>
            </w:tcBorders>
            <w:vAlign w:val="center"/>
          </w:tcPr>
          <w:p w14:paraId="2C66A746">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X≥300</w:t>
            </w:r>
          </w:p>
        </w:tc>
        <w:tc>
          <w:tcPr>
            <w:tcW w:w="1701" w:type="dxa"/>
            <w:tcBorders>
              <w:top w:val="nil"/>
              <w:left w:val="nil"/>
              <w:bottom w:val="nil"/>
              <w:right w:val="single" w:color="auto" w:sz="4" w:space="0"/>
            </w:tcBorders>
            <w:vAlign w:val="center"/>
          </w:tcPr>
          <w:p w14:paraId="6D47B3A6">
            <w:pPr>
              <w:widowControl/>
              <w:ind w:left="1" w:leftChars="-51" w:hanging="108" w:hangingChars="60"/>
              <w:jc w:val="center"/>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rPr>
              <w:t>100≤X＜300</w:t>
            </w:r>
          </w:p>
        </w:tc>
        <w:tc>
          <w:tcPr>
            <w:tcW w:w="1426" w:type="dxa"/>
            <w:tcBorders>
              <w:top w:val="nil"/>
              <w:left w:val="nil"/>
              <w:bottom w:val="nil"/>
              <w:right w:val="single" w:color="auto" w:sz="4" w:space="0"/>
            </w:tcBorders>
            <w:vAlign w:val="center"/>
          </w:tcPr>
          <w:p w14:paraId="705603F3">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10≤X＜100</w:t>
            </w:r>
          </w:p>
        </w:tc>
        <w:tc>
          <w:tcPr>
            <w:tcW w:w="992" w:type="dxa"/>
            <w:tcBorders>
              <w:top w:val="nil"/>
              <w:left w:val="nil"/>
              <w:bottom w:val="nil"/>
              <w:right w:val="nil"/>
            </w:tcBorders>
            <w:vAlign w:val="center"/>
          </w:tcPr>
          <w:p w14:paraId="33E46518">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X＜10</w:t>
            </w:r>
          </w:p>
        </w:tc>
      </w:tr>
      <w:tr w14:paraId="587C0A62">
        <w:tblPrEx>
          <w:tblCellMar>
            <w:top w:w="0" w:type="dxa"/>
            <w:left w:w="108" w:type="dxa"/>
            <w:bottom w:w="0" w:type="dxa"/>
            <w:right w:w="108" w:type="dxa"/>
          </w:tblCellMar>
        </w:tblPrEx>
        <w:trPr>
          <w:trHeight w:val="340" w:hRule="exact"/>
          <w:jc w:val="center"/>
        </w:trPr>
        <w:tc>
          <w:tcPr>
            <w:tcW w:w="2113" w:type="dxa"/>
            <w:vMerge w:val="continue"/>
            <w:tcBorders>
              <w:top w:val="single" w:color="auto" w:sz="4" w:space="0"/>
              <w:left w:val="nil"/>
              <w:bottom w:val="single" w:color="auto" w:sz="4" w:space="0"/>
              <w:right w:val="single" w:color="auto" w:sz="4" w:space="0"/>
            </w:tcBorders>
            <w:vAlign w:val="center"/>
          </w:tcPr>
          <w:p w14:paraId="4613D545">
            <w:pPr>
              <w:widowControl/>
              <w:rPr>
                <w:rFonts w:hint="eastAsia" w:ascii="宋体" w:hAnsi="宋体" w:eastAsia="宋体" w:cs="宋体"/>
                <w:spacing w:val="-12"/>
                <w:sz w:val="18"/>
                <w:szCs w:val="18"/>
                <w:highlight w:val="none"/>
              </w:rPr>
            </w:pPr>
          </w:p>
        </w:tc>
        <w:tc>
          <w:tcPr>
            <w:tcW w:w="1369" w:type="dxa"/>
            <w:tcBorders>
              <w:top w:val="nil"/>
              <w:left w:val="nil"/>
              <w:bottom w:val="single" w:color="auto" w:sz="4" w:space="0"/>
              <w:right w:val="single" w:color="auto" w:sz="4" w:space="0"/>
            </w:tcBorders>
            <w:vAlign w:val="center"/>
          </w:tcPr>
          <w:p w14:paraId="4C8319EC">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营业收入(Y)</w:t>
            </w:r>
          </w:p>
        </w:tc>
        <w:tc>
          <w:tcPr>
            <w:tcW w:w="709" w:type="dxa"/>
            <w:tcBorders>
              <w:top w:val="nil"/>
              <w:left w:val="nil"/>
              <w:bottom w:val="single" w:color="auto" w:sz="4" w:space="0"/>
              <w:right w:val="single" w:color="auto" w:sz="4" w:space="0"/>
            </w:tcBorders>
            <w:vAlign w:val="center"/>
          </w:tcPr>
          <w:p w14:paraId="53162F28">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万元</w:t>
            </w:r>
          </w:p>
        </w:tc>
        <w:tc>
          <w:tcPr>
            <w:tcW w:w="1125" w:type="dxa"/>
            <w:tcBorders>
              <w:top w:val="nil"/>
              <w:left w:val="nil"/>
              <w:bottom w:val="single" w:color="auto" w:sz="4" w:space="0"/>
              <w:right w:val="single" w:color="auto" w:sz="4" w:space="0"/>
            </w:tcBorders>
            <w:vAlign w:val="center"/>
          </w:tcPr>
          <w:p w14:paraId="6D4C766A">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Y≥10000</w:t>
            </w:r>
          </w:p>
        </w:tc>
        <w:tc>
          <w:tcPr>
            <w:tcW w:w="1701" w:type="dxa"/>
            <w:tcBorders>
              <w:top w:val="nil"/>
              <w:left w:val="nil"/>
              <w:bottom w:val="single" w:color="auto" w:sz="4" w:space="0"/>
              <w:right w:val="single" w:color="auto" w:sz="4" w:space="0"/>
            </w:tcBorders>
            <w:vAlign w:val="center"/>
          </w:tcPr>
          <w:p w14:paraId="21726164">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1000≤Y＜10000</w:t>
            </w:r>
          </w:p>
        </w:tc>
        <w:tc>
          <w:tcPr>
            <w:tcW w:w="1426" w:type="dxa"/>
            <w:tcBorders>
              <w:top w:val="nil"/>
              <w:left w:val="nil"/>
              <w:bottom w:val="single" w:color="auto" w:sz="4" w:space="0"/>
              <w:right w:val="single" w:color="auto" w:sz="4" w:space="0"/>
            </w:tcBorders>
            <w:vAlign w:val="center"/>
          </w:tcPr>
          <w:p w14:paraId="6A94E3E3">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50≤Y＜1000</w:t>
            </w:r>
          </w:p>
        </w:tc>
        <w:tc>
          <w:tcPr>
            <w:tcW w:w="992" w:type="dxa"/>
            <w:tcBorders>
              <w:top w:val="nil"/>
              <w:left w:val="nil"/>
              <w:bottom w:val="single" w:color="auto" w:sz="4" w:space="0"/>
              <w:right w:val="nil"/>
            </w:tcBorders>
            <w:vAlign w:val="center"/>
          </w:tcPr>
          <w:p w14:paraId="2D0522A4">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Y＜50</w:t>
            </w:r>
          </w:p>
        </w:tc>
      </w:tr>
      <w:tr w14:paraId="669A5A19">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auto" w:sz="4" w:space="0"/>
              <w:right w:val="single" w:color="auto" w:sz="4" w:space="0"/>
            </w:tcBorders>
            <w:vAlign w:val="center"/>
          </w:tcPr>
          <w:p w14:paraId="090FA65E">
            <w:pPr>
              <w:widowControl/>
              <w:spacing w:line="240" w:lineRule="exact"/>
              <w:rPr>
                <w:rFonts w:hint="eastAsia" w:ascii="宋体" w:hAnsi="宋体" w:eastAsia="宋体" w:cs="宋体"/>
                <w:sz w:val="18"/>
                <w:szCs w:val="18"/>
                <w:highlight w:val="none"/>
              </w:rPr>
            </w:pPr>
            <w:r>
              <w:rPr>
                <w:rFonts w:hint="eastAsia" w:ascii="宋体" w:hAnsi="宋体" w:eastAsia="宋体" w:cs="宋体"/>
                <w:sz w:val="18"/>
                <w:szCs w:val="18"/>
                <w:highlight w:val="none"/>
              </w:rPr>
              <w:t>房地产开发经营</w:t>
            </w:r>
          </w:p>
        </w:tc>
        <w:tc>
          <w:tcPr>
            <w:tcW w:w="1369" w:type="dxa"/>
            <w:tcBorders>
              <w:top w:val="nil"/>
              <w:left w:val="nil"/>
              <w:bottom w:val="nil"/>
              <w:right w:val="single" w:color="auto" w:sz="4" w:space="0"/>
            </w:tcBorders>
            <w:vAlign w:val="center"/>
          </w:tcPr>
          <w:p w14:paraId="1D9043CC">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营业收入(Y)</w:t>
            </w:r>
          </w:p>
        </w:tc>
        <w:tc>
          <w:tcPr>
            <w:tcW w:w="709" w:type="dxa"/>
            <w:tcBorders>
              <w:top w:val="nil"/>
              <w:left w:val="nil"/>
              <w:bottom w:val="nil"/>
              <w:right w:val="single" w:color="auto" w:sz="4" w:space="0"/>
            </w:tcBorders>
            <w:vAlign w:val="center"/>
          </w:tcPr>
          <w:p w14:paraId="4C6242B9">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万元</w:t>
            </w:r>
          </w:p>
        </w:tc>
        <w:tc>
          <w:tcPr>
            <w:tcW w:w="1125" w:type="dxa"/>
            <w:tcBorders>
              <w:top w:val="nil"/>
              <w:left w:val="nil"/>
              <w:bottom w:val="nil"/>
              <w:right w:val="single" w:color="auto" w:sz="4" w:space="0"/>
            </w:tcBorders>
            <w:vAlign w:val="center"/>
          </w:tcPr>
          <w:p w14:paraId="5B87F612">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Y≥200000</w:t>
            </w:r>
          </w:p>
        </w:tc>
        <w:tc>
          <w:tcPr>
            <w:tcW w:w="1701" w:type="dxa"/>
            <w:tcBorders>
              <w:top w:val="nil"/>
              <w:left w:val="nil"/>
              <w:bottom w:val="nil"/>
              <w:right w:val="single" w:color="auto" w:sz="4" w:space="0"/>
            </w:tcBorders>
            <w:vAlign w:val="center"/>
          </w:tcPr>
          <w:p w14:paraId="3851238E">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1000≤Y＜200000</w:t>
            </w:r>
          </w:p>
        </w:tc>
        <w:tc>
          <w:tcPr>
            <w:tcW w:w="1426" w:type="dxa"/>
            <w:tcBorders>
              <w:top w:val="nil"/>
              <w:left w:val="nil"/>
              <w:bottom w:val="nil"/>
              <w:right w:val="single" w:color="auto" w:sz="4" w:space="0"/>
            </w:tcBorders>
            <w:vAlign w:val="center"/>
          </w:tcPr>
          <w:p w14:paraId="4BD4C624">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100≤Y＜1000</w:t>
            </w:r>
          </w:p>
        </w:tc>
        <w:tc>
          <w:tcPr>
            <w:tcW w:w="992" w:type="dxa"/>
            <w:tcBorders>
              <w:top w:val="nil"/>
              <w:left w:val="nil"/>
              <w:bottom w:val="nil"/>
              <w:right w:val="nil"/>
            </w:tcBorders>
            <w:vAlign w:val="center"/>
          </w:tcPr>
          <w:p w14:paraId="6571223D">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Y＜100</w:t>
            </w:r>
          </w:p>
        </w:tc>
      </w:tr>
      <w:tr w14:paraId="0F633F50">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auto" w:sz="4" w:space="0"/>
              <w:right w:val="single" w:color="auto" w:sz="4" w:space="0"/>
            </w:tcBorders>
            <w:vAlign w:val="center"/>
          </w:tcPr>
          <w:p w14:paraId="4148BF2D">
            <w:pPr>
              <w:widowControl/>
              <w:rPr>
                <w:rFonts w:hint="eastAsia" w:ascii="宋体" w:hAnsi="宋体" w:eastAsia="宋体" w:cs="宋体"/>
                <w:sz w:val="18"/>
                <w:szCs w:val="18"/>
                <w:highlight w:val="none"/>
              </w:rPr>
            </w:pPr>
          </w:p>
        </w:tc>
        <w:tc>
          <w:tcPr>
            <w:tcW w:w="1369" w:type="dxa"/>
            <w:tcBorders>
              <w:top w:val="nil"/>
              <w:left w:val="nil"/>
              <w:bottom w:val="single" w:color="auto" w:sz="4" w:space="0"/>
              <w:right w:val="single" w:color="auto" w:sz="4" w:space="0"/>
            </w:tcBorders>
            <w:vAlign w:val="center"/>
          </w:tcPr>
          <w:p w14:paraId="52C2E6B8">
            <w:pPr>
              <w:widowControl/>
              <w:spacing w:line="24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资产总额(Z)</w:t>
            </w:r>
          </w:p>
        </w:tc>
        <w:tc>
          <w:tcPr>
            <w:tcW w:w="709" w:type="dxa"/>
            <w:tcBorders>
              <w:top w:val="nil"/>
              <w:left w:val="nil"/>
              <w:bottom w:val="single" w:color="auto" w:sz="4" w:space="0"/>
              <w:right w:val="single" w:color="auto" w:sz="4" w:space="0"/>
            </w:tcBorders>
            <w:vAlign w:val="center"/>
          </w:tcPr>
          <w:p w14:paraId="312610FF">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万元</w:t>
            </w:r>
          </w:p>
        </w:tc>
        <w:tc>
          <w:tcPr>
            <w:tcW w:w="1125" w:type="dxa"/>
            <w:tcBorders>
              <w:top w:val="nil"/>
              <w:left w:val="nil"/>
              <w:bottom w:val="single" w:color="auto" w:sz="4" w:space="0"/>
              <w:right w:val="single" w:color="auto" w:sz="4" w:space="0"/>
            </w:tcBorders>
            <w:vAlign w:val="center"/>
          </w:tcPr>
          <w:p w14:paraId="24EE5FDE">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Z≥10000</w:t>
            </w:r>
          </w:p>
        </w:tc>
        <w:tc>
          <w:tcPr>
            <w:tcW w:w="1701" w:type="dxa"/>
            <w:tcBorders>
              <w:top w:val="nil"/>
              <w:left w:val="nil"/>
              <w:bottom w:val="single" w:color="auto" w:sz="4" w:space="0"/>
              <w:right w:val="single" w:color="auto" w:sz="4" w:space="0"/>
            </w:tcBorders>
            <w:vAlign w:val="center"/>
          </w:tcPr>
          <w:p w14:paraId="5DB2ED17">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5000≤Z＜10000</w:t>
            </w:r>
          </w:p>
        </w:tc>
        <w:tc>
          <w:tcPr>
            <w:tcW w:w="1426" w:type="dxa"/>
            <w:tcBorders>
              <w:top w:val="nil"/>
              <w:left w:val="nil"/>
              <w:bottom w:val="single" w:color="auto" w:sz="4" w:space="0"/>
              <w:right w:val="single" w:color="auto" w:sz="4" w:space="0"/>
            </w:tcBorders>
            <w:vAlign w:val="center"/>
          </w:tcPr>
          <w:p w14:paraId="43310D01">
            <w:pPr>
              <w:widowControl/>
              <w:jc w:val="center"/>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rPr>
              <w:t>2000≤Z＜5000</w:t>
            </w:r>
          </w:p>
        </w:tc>
        <w:tc>
          <w:tcPr>
            <w:tcW w:w="992" w:type="dxa"/>
            <w:tcBorders>
              <w:top w:val="nil"/>
              <w:left w:val="nil"/>
              <w:bottom w:val="single" w:color="auto" w:sz="4" w:space="0"/>
              <w:right w:val="nil"/>
            </w:tcBorders>
            <w:vAlign w:val="center"/>
          </w:tcPr>
          <w:p w14:paraId="5E648499">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Z＜2000</w:t>
            </w:r>
          </w:p>
        </w:tc>
      </w:tr>
      <w:tr w14:paraId="7BCE2D6C">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auto" w:sz="4" w:space="0"/>
              <w:right w:val="single" w:color="auto" w:sz="4" w:space="0"/>
            </w:tcBorders>
            <w:vAlign w:val="center"/>
          </w:tcPr>
          <w:p w14:paraId="654BDD4E">
            <w:pPr>
              <w:widowControl/>
              <w:spacing w:line="240" w:lineRule="exact"/>
              <w:rPr>
                <w:rFonts w:hint="eastAsia" w:ascii="宋体" w:hAnsi="宋体" w:eastAsia="宋体" w:cs="宋体"/>
                <w:sz w:val="18"/>
                <w:szCs w:val="18"/>
                <w:highlight w:val="none"/>
              </w:rPr>
            </w:pPr>
            <w:r>
              <w:rPr>
                <w:rFonts w:hint="eastAsia" w:ascii="宋体" w:hAnsi="宋体" w:eastAsia="宋体" w:cs="宋体"/>
                <w:sz w:val="18"/>
                <w:szCs w:val="18"/>
                <w:highlight w:val="none"/>
              </w:rPr>
              <w:t>物业管理</w:t>
            </w:r>
          </w:p>
        </w:tc>
        <w:tc>
          <w:tcPr>
            <w:tcW w:w="1369" w:type="dxa"/>
            <w:tcBorders>
              <w:top w:val="nil"/>
              <w:left w:val="nil"/>
              <w:bottom w:val="nil"/>
              <w:right w:val="single" w:color="auto" w:sz="4" w:space="0"/>
            </w:tcBorders>
            <w:vAlign w:val="center"/>
          </w:tcPr>
          <w:p w14:paraId="33C8D668">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从业人员(X)</w:t>
            </w:r>
          </w:p>
        </w:tc>
        <w:tc>
          <w:tcPr>
            <w:tcW w:w="709" w:type="dxa"/>
            <w:tcBorders>
              <w:top w:val="nil"/>
              <w:left w:val="nil"/>
              <w:bottom w:val="nil"/>
              <w:right w:val="single" w:color="auto" w:sz="4" w:space="0"/>
            </w:tcBorders>
            <w:vAlign w:val="center"/>
          </w:tcPr>
          <w:p w14:paraId="06585F49">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人</w:t>
            </w:r>
          </w:p>
        </w:tc>
        <w:tc>
          <w:tcPr>
            <w:tcW w:w="1125" w:type="dxa"/>
            <w:tcBorders>
              <w:top w:val="nil"/>
              <w:left w:val="nil"/>
              <w:bottom w:val="nil"/>
              <w:right w:val="single" w:color="auto" w:sz="4" w:space="0"/>
            </w:tcBorders>
            <w:vAlign w:val="center"/>
          </w:tcPr>
          <w:p w14:paraId="1FABCB52">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X≥1000</w:t>
            </w:r>
          </w:p>
        </w:tc>
        <w:tc>
          <w:tcPr>
            <w:tcW w:w="1701" w:type="dxa"/>
            <w:tcBorders>
              <w:top w:val="nil"/>
              <w:left w:val="nil"/>
              <w:bottom w:val="nil"/>
              <w:right w:val="single" w:color="auto" w:sz="4" w:space="0"/>
            </w:tcBorders>
            <w:vAlign w:val="center"/>
          </w:tcPr>
          <w:p w14:paraId="2590A625">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300≤X＜1000</w:t>
            </w:r>
          </w:p>
        </w:tc>
        <w:tc>
          <w:tcPr>
            <w:tcW w:w="1426" w:type="dxa"/>
            <w:tcBorders>
              <w:top w:val="nil"/>
              <w:left w:val="nil"/>
              <w:bottom w:val="nil"/>
              <w:right w:val="single" w:color="auto" w:sz="4" w:space="0"/>
            </w:tcBorders>
            <w:vAlign w:val="center"/>
          </w:tcPr>
          <w:p w14:paraId="16C8C3CC">
            <w:pPr>
              <w:widowControl/>
              <w:jc w:val="center"/>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rPr>
              <w:t>100≤X＜300</w:t>
            </w:r>
          </w:p>
        </w:tc>
        <w:tc>
          <w:tcPr>
            <w:tcW w:w="992" w:type="dxa"/>
            <w:tcBorders>
              <w:top w:val="nil"/>
              <w:left w:val="nil"/>
              <w:bottom w:val="nil"/>
              <w:right w:val="nil"/>
            </w:tcBorders>
            <w:vAlign w:val="center"/>
          </w:tcPr>
          <w:p w14:paraId="7451D5BE">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X＜100</w:t>
            </w:r>
          </w:p>
        </w:tc>
      </w:tr>
      <w:tr w14:paraId="691896D0">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auto" w:sz="4" w:space="0"/>
              <w:right w:val="single" w:color="auto" w:sz="4" w:space="0"/>
            </w:tcBorders>
            <w:vAlign w:val="center"/>
          </w:tcPr>
          <w:p w14:paraId="4C8724D0">
            <w:pPr>
              <w:widowControl/>
              <w:rPr>
                <w:rFonts w:hint="eastAsia" w:ascii="宋体" w:hAnsi="宋体" w:eastAsia="宋体" w:cs="宋体"/>
                <w:sz w:val="18"/>
                <w:szCs w:val="18"/>
                <w:highlight w:val="none"/>
              </w:rPr>
            </w:pPr>
          </w:p>
        </w:tc>
        <w:tc>
          <w:tcPr>
            <w:tcW w:w="1369" w:type="dxa"/>
            <w:tcBorders>
              <w:top w:val="nil"/>
              <w:left w:val="nil"/>
              <w:bottom w:val="single" w:color="auto" w:sz="4" w:space="0"/>
              <w:right w:val="single" w:color="auto" w:sz="4" w:space="0"/>
            </w:tcBorders>
            <w:vAlign w:val="center"/>
          </w:tcPr>
          <w:p w14:paraId="61138756">
            <w:pPr>
              <w:widowControl/>
              <w:spacing w:line="24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营业收入(Y)</w:t>
            </w:r>
          </w:p>
        </w:tc>
        <w:tc>
          <w:tcPr>
            <w:tcW w:w="709" w:type="dxa"/>
            <w:tcBorders>
              <w:top w:val="nil"/>
              <w:left w:val="nil"/>
              <w:bottom w:val="single" w:color="auto" w:sz="4" w:space="0"/>
              <w:right w:val="single" w:color="auto" w:sz="4" w:space="0"/>
            </w:tcBorders>
            <w:vAlign w:val="center"/>
          </w:tcPr>
          <w:p w14:paraId="013C2677">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万元</w:t>
            </w:r>
          </w:p>
        </w:tc>
        <w:tc>
          <w:tcPr>
            <w:tcW w:w="1125" w:type="dxa"/>
            <w:tcBorders>
              <w:top w:val="nil"/>
              <w:left w:val="nil"/>
              <w:bottom w:val="single" w:color="auto" w:sz="4" w:space="0"/>
              <w:right w:val="single" w:color="auto" w:sz="4" w:space="0"/>
            </w:tcBorders>
            <w:vAlign w:val="center"/>
          </w:tcPr>
          <w:p w14:paraId="64AC6AD2">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Y≥5000</w:t>
            </w:r>
          </w:p>
        </w:tc>
        <w:tc>
          <w:tcPr>
            <w:tcW w:w="1701" w:type="dxa"/>
            <w:tcBorders>
              <w:top w:val="nil"/>
              <w:left w:val="nil"/>
              <w:bottom w:val="single" w:color="auto" w:sz="4" w:space="0"/>
              <w:right w:val="single" w:color="auto" w:sz="4" w:space="0"/>
            </w:tcBorders>
            <w:vAlign w:val="center"/>
          </w:tcPr>
          <w:p w14:paraId="7F060E94">
            <w:pPr>
              <w:widowControl/>
              <w:ind w:left="1" w:leftChars="-51" w:hanging="108" w:hangingChars="60"/>
              <w:jc w:val="center"/>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rPr>
              <w:t>1000≤Y＜5000</w:t>
            </w:r>
          </w:p>
        </w:tc>
        <w:tc>
          <w:tcPr>
            <w:tcW w:w="1426" w:type="dxa"/>
            <w:tcBorders>
              <w:top w:val="nil"/>
              <w:left w:val="nil"/>
              <w:bottom w:val="single" w:color="auto" w:sz="4" w:space="0"/>
              <w:right w:val="single" w:color="auto" w:sz="4" w:space="0"/>
            </w:tcBorders>
            <w:vAlign w:val="center"/>
          </w:tcPr>
          <w:p w14:paraId="0D8A4849">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500≤Y＜1000</w:t>
            </w:r>
          </w:p>
        </w:tc>
        <w:tc>
          <w:tcPr>
            <w:tcW w:w="992" w:type="dxa"/>
            <w:tcBorders>
              <w:top w:val="nil"/>
              <w:left w:val="nil"/>
              <w:bottom w:val="single" w:color="auto" w:sz="4" w:space="0"/>
              <w:right w:val="nil"/>
            </w:tcBorders>
            <w:vAlign w:val="center"/>
          </w:tcPr>
          <w:p w14:paraId="2CF42D67">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Y＜500</w:t>
            </w:r>
          </w:p>
        </w:tc>
      </w:tr>
      <w:tr w14:paraId="71731104">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auto" w:sz="4" w:space="0"/>
              <w:right w:val="single" w:color="auto" w:sz="4" w:space="0"/>
            </w:tcBorders>
            <w:vAlign w:val="center"/>
          </w:tcPr>
          <w:p w14:paraId="1DA4B12B">
            <w:pPr>
              <w:widowControl/>
              <w:spacing w:line="240" w:lineRule="exact"/>
              <w:rPr>
                <w:rFonts w:hint="eastAsia" w:ascii="宋体" w:hAnsi="宋体" w:eastAsia="宋体" w:cs="宋体"/>
                <w:sz w:val="18"/>
                <w:szCs w:val="18"/>
                <w:highlight w:val="none"/>
              </w:rPr>
            </w:pPr>
            <w:r>
              <w:rPr>
                <w:rFonts w:hint="eastAsia" w:ascii="宋体" w:hAnsi="宋体" w:eastAsia="宋体" w:cs="宋体"/>
                <w:sz w:val="18"/>
                <w:szCs w:val="18"/>
                <w:highlight w:val="none"/>
              </w:rPr>
              <w:t>租赁和商务服务业</w:t>
            </w:r>
          </w:p>
        </w:tc>
        <w:tc>
          <w:tcPr>
            <w:tcW w:w="1369" w:type="dxa"/>
            <w:tcBorders>
              <w:top w:val="nil"/>
              <w:left w:val="nil"/>
              <w:bottom w:val="nil"/>
              <w:right w:val="single" w:color="auto" w:sz="4" w:space="0"/>
            </w:tcBorders>
            <w:vAlign w:val="center"/>
          </w:tcPr>
          <w:p w14:paraId="74D4F606">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从业人员(X)</w:t>
            </w:r>
          </w:p>
        </w:tc>
        <w:tc>
          <w:tcPr>
            <w:tcW w:w="709" w:type="dxa"/>
            <w:tcBorders>
              <w:top w:val="nil"/>
              <w:left w:val="nil"/>
              <w:bottom w:val="nil"/>
              <w:right w:val="single" w:color="auto" w:sz="4" w:space="0"/>
            </w:tcBorders>
            <w:vAlign w:val="center"/>
          </w:tcPr>
          <w:p w14:paraId="17CE8312">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人</w:t>
            </w:r>
          </w:p>
        </w:tc>
        <w:tc>
          <w:tcPr>
            <w:tcW w:w="1125" w:type="dxa"/>
            <w:tcBorders>
              <w:top w:val="nil"/>
              <w:left w:val="nil"/>
              <w:bottom w:val="nil"/>
              <w:right w:val="single" w:color="auto" w:sz="4" w:space="0"/>
            </w:tcBorders>
            <w:vAlign w:val="center"/>
          </w:tcPr>
          <w:p w14:paraId="5F046F9E">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X≥300</w:t>
            </w:r>
          </w:p>
        </w:tc>
        <w:tc>
          <w:tcPr>
            <w:tcW w:w="1701" w:type="dxa"/>
            <w:tcBorders>
              <w:top w:val="nil"/>
              <w:left w:val="nil"/>
              <w:bottom w:val="nil"/>
              <w:right w:val="single" w:color="auto" w:sz="4" w:space="0"/>
            </w:tcBorders>
            <w:vAlign w:val="center"/>
          </w:tcPr>
          <w:p w14:paraId="7A5359C7">
            <w:pPr>
              <w:widowControl/>
              <w:ind w:left="1" w:leftChars="-51" w:hanging="108" w:hangingChars="60"/>
              <w:jc w:val="center"/>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rPr>
              <w:t>100≤X＜300</w:t>
            </w:r>
          </w:p>
        </w:tc>
        <w:tc>
          <w:tcPr>
            <w:tcW w:w="1426" w:type="dxa"/>
            <w:tcBorders>
              <w:top w:val="nil"/>
              <w:left w:val="nil"/>
              <w:bottom w:val="nil"/>
              <w:right w:val="single" w:color="auto" w:sz="4" w:space="0"/>
            </w:tcBorders>
            <w:vAlign w:val="center"/>
          </w:tcPr>
          <w:p w14:paraId="07966492">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10≤X＜100</w:t>
            </w:r>
          </w:p>
        </w:tc>
        <w:tc>
          <w:tcPr>
            <w:tcW w:w="992" w:type="dxa"/>
            <w:tcBorders>
              <w:top w:val="nil"/>
              <w:left w:val="nil"/>
              <w:bottom w:val="nil"/>
              <w:right w:val="nil"/>
            </w:tcBorders>
            <w:vAlign w:val="center"/>
          </w:tcPr>
          <w:p w14:paraId="1D5D95FB">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X＜10</w:t>
            </w:r>
          </w:p>
        </w:tc>
      </w:tr>
      <w:tr w14:paraId="4FE6363D">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auto" w:sz="4" w:space="0"/>
              <w:right w:val="single" w:color="auto" w:sz="4" w:space="0"/>
            </w:tcBorders>
            <w:vAlign w:val="center"/>
          </w:tcPr>
          <w:p w14:paraId="0BC4E20A">
            <w:pPr>
              <w:widowControl/>
              <w:rPr>
                <w:rFonts w:hint="eastAsia" w:ascii="宋体" w:hAnsi="宋体" w:eastAsia="宋体" w:cs="宋体"/>
                <w:sz w:val="18"/>
                <w:szCs w:val="18"/>
                <w:highlight w:val="none"/>
              </w:rPr>
            </w:pPr>
          </w:p>
        </w:tc>
        <w:tc>
          <w:tcPr>
            <w:tcW w:w="1369" w:type="dxa"/>
            <w:tcBorders>
              <w:top w:val="nil"/>
              <w:left w:val="nil"/>
              <w:bottom w:val="single" w:color="auto" w:sz="4" w:space="0"/>
              <w:right w:val="single" w:color="auto" w:sz="4" w:space="0"/>
            </w:tcBorders>
            <w:vAlign w:val="center"/>
          </w:tcPr>
          <w:p w14:paraId="12B264A9">
            <w:pPr>
              <w:widowControl/>
              <w:spacing w:line="24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资产总额(Z)</w:t>
            </w:r>
          </w:p>
        </w:tc>
        <w:tc>
          <w:tcPr>
            <w:tcW w:w="709" w:type="dxa"/>
            <w:tcBorders>
              <w:top w:val="nil"/>
              <w:left w:val="nil"/>
              <w:bottom w:val="single" w:color="auto" w:sz="4" w:space="0"/>
              <w:right w:val="single" w:color="auto" w:sz="4" w:space="0"/>
            </w:tcBorders>
            <w:vAlign w:val="center"/>
          </w:tcPr>
          <w:p w14:paraId="7FD48666">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万元</w:t>
            </w:r>
          </w:p>
        </w:tc>
        <w:tc>
          <w:tcPr>
            <w:tcW w:w="1125" w:type="dxa"/>
            <w:tcBorders>
              <w:top w:val="nil"/>
              <w:left w:val="nil"/>
              <w:bottom w:val="single" w:color="auto" w:sz="4" w:space="0"/>
              <w:right w:val="single" w:color="auto" w:sz="4" w:space="0"/>
            </w:tcBorders>
            <w:vAlign w:val="center"/>
          </w:tcPr>
          <w:p w14:paraId="01364FE2">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Z≥120000</w:t>
            </w:r>
          </w:p>
        </w:tc>
        <w:tc>
          <w:tcPr>
            <w:tcW w:w="1701" w:type="dxa"/>
            <w:tcBorders>
              <w:top w:val="nil"/>
              <w:left w:val="nil"/>
              <w:bottom w:val="single" w:color="auto" w:sz="4" w:space="0"/>
              <w:right w:val="single" w:color="auto" w:sz="4" w:space="0"/>
            </w:tcBorders>
            <w:vAlign w:val="center"/>
          </w:tcPr>
          <w:p w14:paraId="6F032750">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8000≤Z＜120000</w:t>
            </w:r>
          </w:p>
        </w:tc>
        <w:tc>
          <w:tcPr>
            <w:tcW w:w="1426" w:type="dxa"/>
            <w:tcBorders>
              <w:top w:val="nil"/>
              <w:left w:val="nil"/>
              <w:bottom w:val="single" w:color="auto" w:sz="4" w:space="0"/>
              <w:right w:val="single" w:color="auto" w:sz="4" w:space="0"/>
            </w:tcBorders>
            <w:vAlign w:val="center"/>
          </w:tcPr>
          <w:p w14:paraId="1C390838">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100≤Z＜8000</w:t>
            </w:r>
          </w:p>
        </w:tc>
        <w:tc>
          <w:tcPr>
            <w:tcW w:w="992" w:type="dxa"/>
            <w:tcBorders>
              <w:top w:val="nil"/>
              <w:left w:val="nil"/>
              <w:bottom w:val="single" w:color="auto" w:sz="4" w:space="0"/>
              <w:right w:val="nil"/>
            </w:tcBorders>
            <w:vAlign w:val="center"/>
          </w:tcPr>
          <w:p w14:paraId="67BD013C">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Z＜100</w:t>
            </w:r>
          </w:p>
        </w:tc>
      </w:tr>
      <w:tr w14:paraId="611641C3">
        <w:tblPrEx>
          <w:tblCellMar>
            <w:top w:w="0" w:type="dxa"/>
            <w:left w:w="108" w:type="dxa"/>
            <w:bottom w:w="0" w:type="dxa"/>
            <w:right w:w="108" w:type="dxa"/>
          </w:tblCellMar>
        </w:tblPrEx>
        <w:trPr>
          <w:trHeight w:val="397" w:hRule="exact"/>
          <w:jc w:val="center"/>
        </w:trPr>
        <w:tc>
          <w:tcPr>
            <w:tcW w:w="2113" w:type="dxa"/>
            <w:tcBorders>
              <w:top w:val="nil"/>
              <w:left w:val="nil"/>
              <w:bottom w:val="single" w:color="auto" w:sz="4" w:space="0"/>
              <w:right w:val="single" w:color="auto" w:sz="4" w:space="0"/>
            </w:tcBorders>
            <w:vAlign w:val="center"/>
          </w:tcPr>
          <w:p w14:paraId="414C7B33">
            <w:pPr>
              <w:widowControl/>
              <w:spacing w:line="240" w:lineRule="exact"/>
              <w:rPr>
                <w:rFonts w:hint="eastAsia" w:ascii="宋体" w:hAnsi="宋体" w:eastAsia="宋体" w:cs="宋体"/>
                <w:sz w:val="18"/>
                <w:szCs w:val="18"/>
                <w:highlight w:val="none"/>
              </w:rPr>
            </w:pPr>
            <w:r>
              <w:rPr>
                <w:rFonts w:hint="eastAsia" w:ascii="宋体" w:hAnsi="宋体" w:eastAsia="宋体" w:cs="宋体"/>
                <w:sz w:val="18"/>
                <w:szCs w:val="18"/>
                <w:highlight w:val="none"/>
              </w:rPr>
              <w:t>其他未列明行业*</w:t>
            </w:r>
          </w:p>
        </w:tc>
        <w:tc>
          <w:tcPr>
            <w:tcW w:w="1369" w:type="dxa"/>
            <w:tcBorders>
              <w:top w:val="nil"/>
              <w:left w:val="nil"/>
              <w:bottom w:val="single" w:color="auto" w:sz="4" w:space="0"/>
              <w:right w:val="single" w:color="auto" w:sz="4" w:space="0"/>
            </w:tcBorders>
            <w:vAlign w:val="center"/>
          </w:tcPr>
          <w:p w14:paraId="21AA9065">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从业人员(X)</w:t>
            </w:r>
          </w:p>
        </w:tc>
        <w:tc>
          <w:tcPr>
            <w:tcW w:w="709" w:type="dxa"/>
            <w:tcBorders>
              <w:top w:val="nil"/>
              <w:left w:val="nil"/>
              <w:bottom w:val="single" w:color="auto" w:sz="4" w:space="0"/>
              <w:right w:val="single" w:color="auto" w:sz="4" w:space="0"/>
            </w:tcBorders>
            <w:vAlign w:val="center"/>
          </w:tcPr>
          <w:p w14:paraId="7F632A76">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人</w:t>
            </w:r>
          </w:p>
        </w:tc>
        <w:tc>
          <w:tcPr>
            <w:tcW w:w="1125" w:type="dxa"/>
            <w:tcBorders>
              <w:top w:val="nil"/>
              <w:left w:val="nil"/>
              <w:bottom w:val="single" w:color="auto" w:sz="4" w:space="0"/>
              <w:right w:val="single" w:color="auto" w:sz="4" w:space="0"/>
            </w:tcBorders>
            <w:vAlign w:val="center"/>
          </w:tcPr>
          <w:p w14:paraId="5F98EF59">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X≥300</w:t>
            </w:r>
          </w:p>
        </w:tc>
        <w:tc>
          <w:tcPr>
            <w:tcW w:w="1701" w:type="dxa"/>
            <w:tcBorders>
              <w:top w:val="nil"/>
              <w:left w:val="nil"/>
              <w:bottom w:val="single" w:color="auto" w:sz="4" w:space="0"/>
              <w:right w:val="single" w:color="auto" w:sz="4" w:space="0"/>
            </w:tcBorders>
            <w:vAlign w:val="center"/>
          </w:tcPr>
          <w:p w14:paraId="7DC4B189">
            <w:pPr>
              <w:widowControl/>
              <w:ind w:left="1" w:leftChars="-51" w:hanging="108" w:hangingChars="60"/>
              <w:jc w:val="center"/>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rPr>
              <w:t>100≤X＜300</w:t>
            </w:r>
          </w:p>
        </w:tc>
        <w:tc>
          <w:tcPr>
            <w:tcW w:w="1426" w:type="dxa"/>
            <w:tcBorders>
              <w:top w:val="nil"/>
              <w:left w:val="nil"/>
              <w:bottom w:val="single" w:color="auto" w:sz="4" w:space="0"/>
              <w:right w:val="single" w:color="auto" w:sz="4" w:space="0"/>
            </w:tcBorders>
            <w:vAlign w:val="center"/>
          </w:tcPr>
          <w:p w14:paraId="4DDB51B3">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10≤X＜100</w:t>
            </w:r>
          </w:p>
        </w:tc>
        <w:tc>
          <w:tcPr>
            <w:tcW w:w="992" w:type="dxa"/>
            <w:tcBorders>
              <w:top w:val="nil"/>
              <w:left w:val="nil"/>
              <w:bottom w:val="single" w:color="auto" w:sz="4" w:space="0"/>
              <w:right w:val="nil"/>
            </w:tcBorders>
            <w:vAlign w:val="center"/>
          </w:tcPr>
          <w:p w14:paraId="774EAA07">
            <w:pPr>
              <w:widowControl/>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X＜10</w:t>
            </w:r>
          </w:p>
        </w:tc>
      </w:tr>
    </w:tbl>
    <w:p w14:paraId="4A661EA8">
      <w:pPr>
        <w:adjustRightInd w:val="0"/>
        <w:snapToGrid w:val="0"/>
        <w:spacing w:line="360" w:lineRule="auto"/>
        <w:ind w:right="105" w:rightChars="50"/>
        <w:rPr>
          <w:rFonts w:hint="eastAsia" w:ascii="宋体" w:hAnsi="宋体" w:eastAsia="宋体" w:cs="宋体"/>
          <w:szCs w:val="21"/>
          <w:highlight w:val="none"/>
        </w:rPr>
      </w:pPr>
      <w:r>
        <w:rPr>
          <w:rFonts w:hint="eastAsia" w:ascii="宋体" w:hAnsi="宋体" w:eastAsia="宋体" w:cs="宋体"/>
          <w:szCs w:val="21"/>
          <w:highlight w:val="none"/>
        </w:rPr>
        <w:t>说明：</w:t>
      </w:r>
    </w:p>
    <w:p w14:paraId="2F80B08C">
      <w:pPr>
        <w:adjustRightInd w:val="0"/>
        <w:snapToGrid w:val="0"/>
        <w:spacing w:line="360" w:lineRule="auto"/>
        <w:ind w:right="105" w:rightChars="50" w:firstLine="420" w:firstLineChars="200"/>
        <w:rPr>
          <w:rFonts w:hint="eastAsia" w:ascii="宋体" w:hAnsi="宋体" w:eastAsia="宋体" w:cs="宋体"/>
          <w:szCs w:val="21"/>
          <w:highlight w:val="none"/>
        </w:rPr>
      </w:pPr>
      <w:r>
        <w:rPr>
          <w:rFonts w:hint="eastAsia" w:ascii="宋体" w:hAnsi="宋体" w:eastAsia="宋体" w:cs="宋体"/>
          <w:szCs w:val="21"/>
          <w:highlight w:val="none"/>
        </w:rPr>
        <w:t>1.大型、中型和小型企业须同时满足所列指标的下限，否则下划一档；微型企业只</w:t>
      </w:r>
      <w:r>
        <w:rPr>
          <w:rFonts w:hint="eastAsia" w:ascii="宋体" w:hAnsi="宋体" w:cs="宋体"/>
          <w:szCs w:val="21"/>
          <w:highlight w:val="none"/>
          <w:lang w:eastAsia="zh-CN"/>
        </w:rPr>
        <w:t>需</w:t>
      </w:r>
      <w:r>
        <w:rPr>
          <w:rFonts w:hint="eastAsia" w:ascii="宋体" w:hAnsi="宋体" w:eastAsia="宋体" w:cs="宋体"/>
          <w:szCs w:val="21"/>
          <w:highlight w:val="none"/>
        </w:rPr>
        <w:t>满足所列指标中的一项即可。</w:t>
      </w:r>
    </w:p>
    <w:p w14:paraId="0C6C0A5B">
      <w:pPr>
        <w:adjustRightInd w:val="0"/>
        <w:snapToGrid w:val="0"/>
        <w:spacing w:line="360" w:lineRule="auto"/>
        <w:ind w:right="105" w:rightChars="50" w:firstLine="420" w:firstLineChars="200"/>
        <w:rPr>
          <w:rFonts w:hint="eastAsia" w:ascii="宋体" w:hAnsi="宋体" w:eastAsia="宋体" w:cs="宋体"/>
          <w:szCs w:val="21"/>
          <w:highlight w:val="none"/>
        </w:rPr>
      </w:pPr>
      <w:r>
        <w:rPr>
          <w:rFonts w:hint="eastAsia" w:ascii="宋体" w:hAnsi="宋体" w:eastAsia="宋体" w:cs="宋体"/>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64909A5">
      <w:pPr>
        <w:adjustRightInd w:val="0"/>
        <w:snapToGrid w:val="0"/>
        <w:spacing w:line="360" w:lineRule="auto"/>
        <w:ind w:right="105" w:rightChars="50" w:firstLine="420" w:firstLineChars="200"/>
        <w:rPr>
          <w:rFonts w:hint="eastAsia" w:ascii="宋体" w:hAnsi="宋体" w:eastAsia="宋体" w:cs="宋体"/>
          <w:color w:val="auto"/>
          <w:kern w:val="2"/>
          <w:szCs w:val="21"/>
          <w:highlight w:val="none"/>
        </w:rPr>
      </w:pPr>
      <w:r>
        <w:rPr>
          <w:rFonts w:hint="eastAsia" w:ascii="宋体" w:hAnsi="宋体" w:eastAsia="宋体" w:cs="宋体"/>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r>
        <w:rPr>
          <w:rFonts w:hint="eastAsia" w:ascii="宋体" w:hAnsi="宋体" w:eastAsia="宋体" w:cs="宋体"/>
          <w:color w:val="auto"/>
          <w:kern w:val="2"/>
          <w:szCs w:val="21"/>
          <w:highlight w:val="none"/>
        </w:rPr>
        <w:br w:type="page"/>
      </w:r>
    </w:p>
    <w:p w14:paraId="1421C6E4">
      <w:pPr>
        <w:rPr>
          <w:rFonts w:hint="eastAsia" w:ascii="宋体" w:hAnsi="宋体" w:eastAsia="宋体" w:cs="宋体"/>
          <w:color w:val="auto"/>
          <w:kern w:val="2"/>
          <w:szCs w:val="21"/>
          <w:highlight w:val="none"/>
        </w:rPr>
        <w:sectPr>
          <w:footerReference r:id="rId11" w:type="default"/>
          <w:pgSz w:w="11907" w:h="16839"/>
          <w:pgMar w:top="1440" w:right="1080" w:bottom="1440" w:left="1080" w:header="0" w:footer="991" w:gutter="0"/>
          <w:pgNumType w:fmt="decimal"/>
          <w:cols w:space="720" w:num="1"/>
        </w:sectPr>
      </w:pPr>
    </w:p>
    <w:p w14:paraId="7A03C467">
      <w:pPr>
        <w:keepNext w:val="0"/>
        <w:keepLines w:val="0"/>
        <w:pageBreakBefore w:val="0"/>
        <w:widowControl w:val="0"/>
        <w:kinsoku/>
        <w:wordWrap/>
        <w:overflowPunct/>
        <w:topLinePunct w:val="0"/>
        <w:autoSpaceDE/>
        <w:autoSpaceDN/>
        <w:bidi w:val="0"/>
        <w:adjustRightInd/>
        <w:snapToGrid/>
        <w:spacing w:before="72" w:line="480" w:lineRule="auto"/>
        <w:jc w:val="center"/>
        <w:textAlignment w:val="auto"/>
        <w:outlineLvl w:val="6"/>
        <w:rPr>
          <w:rFonts w:hint="eastAsia" w:ascii="宋体" w:hAnsi="宋体" w:eastAsia="宋体" w:cs="宋体"/>
          <w:b/>
          <w:bCs/>
          <w:sz w:val="28"/>
          <w:szCs w:val="28"/>
          <w:highlight w:val="none"/>
        </w:rPr>
      </w:pPr>
      <w:r>
        <w:rPr>
          <w:rFonts w:hint="eastAsia" w:ascii="宋体" w:hAnsi="宋体" w:eastAsia="宋体" w:cs="宋体"/>
          <w:b/>
          <w:bCs/>
          <w:sz w:val="28"/>
          <w:szCs w:val="28"/>
          <w:highlight w:val="none"/>
          <w:lang w:eastAsia="zh-CN"/>
        </w:rPr>
        <w:t>（</w:t>
      </w:r>
      <w:r>
        <w:rPr>
          <w:rFonts w:hint="eastAsia" w:ascii="宋体" w:hAnsi="宋体" w:eastAsia="宋体" w:cs="宋体"/>
          <w:b/>
          <w:bCs/>
          <w:sz w:val="28"/>
          <w:szCs w:val="28"/>
          <w:highlight w:val="none"/>
          <w:lang w:val="en-US" w:eastAsia="zh-CN"/>
        </w:rPr>
        <w:t>二</w:t>
      </w:r>
      <w:r>
        <w:rPr>
          <w:rFonts w:hint="eastAsia" w:ascii="宋体" w:hAnsi="宋体" w:eastAsia="宋体" w:cs="宋体"/>
          <w:b/>
          <w:bCs/>
          <w:sz w:val="28"/>
          <w:szCs w:val="28"/>
          <w:highlight w:val="none"/>
          <w:lang w:eastAsia="zh-CN"/>
        </w:rPr>
        <w:t>）</w:t>
      </w:r>
      <w:r>
        <w:rPr>
          <w:rFonts w:hint="eastAsia" w:ascii="宋体" w:hAnsi="宋体" w:eastAsia="宋体" w:cs="宋体"/>
          <w:b/>
          <w:bCs/>
          <w:sz w:val="28"/>
          <w:szCs w:val="28"/>
          <w:highlight w:val="none"/>
        </w:rPr>
        <w:t>残疾人福利性单位声明函</w:t>
      </w:r>
    </w:p>
    <w:p w14:paraId="60FF8D57">
      <w:pPr>
        <w:keepNext w:val="0"/>
        <w:keepLines w:val="0"/>
        <w:pageBreakBefore w:val="0"/>
        <w:widowControl w:val="0"/>
        <w:tabs>
          <w:tab w:val="left" w:pos="840"/>
        </w:tabs>
        <w:kinsoku/>
        <w:wordWrap/>
        <w:overflowPunct/>
        <w:topLinePunct w:val="0"/>
        <w:autoSpaceDE/>
        <w:autoSpaceDN/>
        <w:bidi w:val="0"/>
        <w:adjustRightInd/>
        <w:snapToGrid/>
        <w:spacing w:line="480" w:lineRule="auto"/>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（属于残疾人福利性单位的填写，不属于的无需填写此项内容）</w:t>
      </w:r>
    </w:p>
    <w:p w14:paraId="6762E594">
      <w:pPr>
        <w:keepNext w:val="0"/>
        <w:keepLines w:val="0"/>
        <w:pageBreakBefore w:val="0"/>
        <w:widowControl w:val="0"/>
        <w:tabs>
          <w:tab w:val="left" w:pos="840"/>
        </w:tabs>
        <w:kinsoku/>
        <w:wordWrap/>
        <w:overflowPunct/>
        <w:topLinePunct w:val="0"/>
        <w:autoSpaceDE/>
        <w:autoSpaceDN/>
        <w:bidi w:val="0"/>
        <w:adjustRightInd/>
        <w:snapToGrid/>
        <w:spacing w:line="48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718844F">
      <w:pPr>
        <w:keepNext w:val="0"/>
        <w:keepLines w:val="0"/>
        <w:pageBreakBefore w:val="0"/>
        <w:widowControl w:val="0"/>
        <w:tabs>
          <w:tab w:val="left" w:pos="840"/>
        </w:tabs>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本单位对上述声明的真实性负责。如有虚假，将依法承担相应责任。</w:t>
      </w:r>
    </w:p>
    <w:p w14:paraId="102E6034">
      <w:pPr>
        <w:keepNext w:val="0"/>
        <w:keepLines w:val="0"/>
        <w:pageBreakBefore w:val="0"/>
        <w:widowControl w:val="0"/>
        <w:tabs>
          <w:tab w:val="left" w:pos="840"/>
        </w:tabs>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auto"/>
          <w:szCs w:val="21"/>
          <w:highlight w:val="none"/>
        </w:rPr>
      </w:pPr>
    </w:p>
    <w:p w14:paraId="7E5C1F49">
      <w:pPr>
        <w:keepNext w:val="0"/>
        <w:keepLines w:val="0"/>
        <w:pageBreakBefore w:val="0"/>
        <w:widowControl w:val="0"/>
        <w:kinsoku/>
        <w:wordWrap/>
        <w:overflowPunct/>
        <w:topLinePunct w:val="0"/>
        <w:autoSpaceDE/>
        <w:autoSpaceDN/>
        <w:bidi w:val="0"/>
        <w:adjustRightInd/>
        <w:snapToGrid/>
        <w:spacing w:line="480" w:lineRule="auto"/>
        <w:ind w:firstLine="420"/>
        <w:textAlignment w:val="auto"/>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企业名称：</w:t>
      </w:r>
      <w:r>
        <w:rPr>
          <w:rFonts w:hint="eastAsia" w:ascii="宋体" w:hAnsi="宋体" w:eastAsia="宋体" w:cs="宋体"/>
          <w:color w:val="auto"/>
          <w:kern w:val="2"/>
          <w:szCs w:val="21"/>
          <w:highlight w:val="none"/>
          <w:u w:val="single"/>
        </w:rPr>
        <w:t>　</w:t>
      </w:r>
      <w:r>
        <w:rPr>
          <w:rFonts w:hint="eastAsia" w:ascii="宋体" w:hAnsi="宋体" w:eastAsia="宋体" w:cs="宋体"/>
          <w:color w:val="auto"/>
          <w:kern w:val="2"/>
          <w:szCs w:val="21"/>
          <w:highlight w:val="none"/>
          <w:u w:val="single"/>
          <w:lang w:val="en-US" w:eastAsia="zh-CN"/>
        </w:rPr>
        <w:t xml:space="preserve">               </w:t>
      </w:r>
      <w:r>
        <w:rPr>
          <w:rFonts w:hint="eastAsia" w:ascii="宋体" w:hAnsi="宋体" w:eastAsia="宋体" w:cs="宋体"/>
          <w:color w:val="auto"/>
          <w:kern w:val="1"/>
          <w:szCs w:val="21"/>
          <w:highlight w:val="none"/>
        </w:rPr>
        <w:t>（</w:t>
      </w:r>
      <w:r>
        <w:rPr>
          <w:rFonts w:hint="eastAsia" w:ascii="宋体" w:hAnsi="宋体" w:eastAsia="宋体" w:cs="宋体"/>
          <w:color w:val="auto"/>
          <w:kern w:val="1"/>
          <w:szCs w:val="21"/>
          <w:highlight w:val="none"/>
          <w:lang w:val="en-US" w:eastAsia="zh-CN"/>
        </w:rPr>
        <w:t>企业</w:t>
      </w:r>
      <w:r>
        <w:rPr>
          <w:rFonts w:hint="eastAsia" w:ascii="宋体" w:hAnsi="宋体" w:eastAsia="宋体" w:cs="宋体"/>
          <w:szCs w:val="21"/>
          <w:highlight w:val="none"/>
        </w:rPr>
        <w:t>电子签章</w:t>
      </w:r>
      <w:r>
        <w:rPr>
          <w:rFonts w:hint="eastAsia" w:ascii="宋体" w:hAnsi="宋体" w:eastAsia="宋体" w:cs="宋体"/>
          <w:color w:val="auto"/>
          <w:kern w:val="1"/>
          <w:szCs w:val="21"/>
          <w:highlight w:val="none"/>
        </w:rPr>
        <w:t>）</w:t>
      </w:r>
    </w:p>
    <w:p w14:paraId="7F410D8A">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20" w:firstLineChars="200"/>
        <w:textAlignment w:val="auto"/>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日 </w:t>
      </w:r>
      <w:r>
        <w:rPr>
          <w:rFonts w:hint="eastAsia" w:ascii="宋体" w:hAnsi="宋体" w:eastAsia="宋体" w:cs="宋体"/>
          <w:color w:val="auto"/>
          <w:kern w:val="2"/>
          <w:szCs w:val="21"/>
          <w:highlight w:val="none"/>
          <w:lang w:val="en-US" w:eastAsia="zh-CN"/>
        </w:rPr>
        <w:t xml:space="preserve">  </w:t>
      </w:r>
      <w:r>
        <w:rPr>
          <w:rFonts w:hint="eastAsia" w:ascii="宋体" w:hAnsi="宋体" w:eastAsia="宋体" w:cs="宋体"/>
          <w:color w:val="auto"/>
          <w:kern w:val="2"/>
          <w:szCs w:val="21"/>
          <w:highlight w:val="none"/>
        </w:rPr>
        <w:t>期：</w:t>
      </w:r>
    </w:p>
    <w:p w14:paraId="57BCF02A">
      <w:pPr>
        <w:rPr>
          <w:rFonts w:hint="eastAsia" w:ascii="宋体" w:hAnsi="宋体" w:eastAsia="宋体" w:cs="宋体"/>
          <w:highlight w:val="none"/>
        </w:rPr>
      </w:pPr>
      <w:r>
        <w:rPr>
          <w:rFonts w:hint="eastAsia" w:ascii="宋体" w:hAnsi="宋体" w:eastAsia="宋体" w:cs="宋体"/>
          <w:highlight w:val="none"/>
        </w:rPr>
        <w:br w:type="page"/>
      </w:r>
    </w:p>
    <w:p w14:paraId="402D0391">
      <w:pPr>
        <w:numPr>
          <w:ilvl w:val="0"/>
          <w:numId w:val="12"/>
        </w:numPr>
        <w:spacing w:before="72" w:line="360" w:lineRule="auto"/>
        <w:jc w:val="center"/>
        <w:outlineLvl w:val="6"/>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监狱企业证明文件</w:t>
      </w:r>
    </w:p>
    <w:p w14:paraId="4B1757BA">
      <w:pPr>
        <w:numPr>
          <w:ilvl w:val="0"/>
          <w:numId w:val="0"/>
        </w:numPr>
        <w:spacing w:before="72" w:line="360" w:lineRule="auto"/>
        <w:ind w:firstLine="220" w:firstLineChars="100"/>
        <w:jc w:val="center"/>
        <w:outlineLvl w:val="6"/>
        <w:rPr>
          <w:rFonts w:hint="eastAsia" w:ascii="宋体" w:hAnsi="宋体" w:eastAsia="宋体" w:cs="宋体"/>
          <w:sz w:val="22"/>
          <w:szCs w:val="22"/>
          <w:highlight w:val="none"/>
        </w:rPr>
      </w:pPr>
      <w:r>
        <w:rPr>
          <w:rFonts w:hint="eastAsia" w:ascii="宋体" w:hAnsi="宋体" w:eastAsia="宋体" w:cs="宋体"/>
          <w:sz w:val="22"/>
          <w:szCs w:val="22"/>
          <w:highlight w:val="none"/>
        </w:rPr>
        <w:t>(如有可提供，如无不需提供)</w:t>
      </w:r>
    </w:p>
    <w:p w14:paraId="75A0800E">
      <w:pPr>
        <w:spacing w:line="359" w:lineRule="auto"/>
        <w:rPr>
          <w:rFonts w:hint="eastAsia" w:ascii="宋体" w:hAnsi="宋体" w:eastAsia="宋体" w:cs="宋体"/>
          <w:highlight w:val="none"/>
        </w:rPr>
      </w:pPr>
    </w:p>
    <w:p w14:paraId="585CD044">
      <w:pPr>
        <w:spacing w:line="360" w:lineRule="auto"/>
        <w:ind w:firstLine="420" w:firstLineChars="20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由供应商提供由省级以上监狱管理局、戒毒管理局（含新疆生产建设兵团）出具的属于监狱企业的证明文件。</w:t>
      </w:r>
    </w:p>
    <w:p w14:paraId="6A488525">
      <w:pPr>
        <w:spacing w:before="69" w:line="360" w:lineRule="auto"/>
        <w:ind w:left="515"/>
        <w:rPr>
          <w:rFonts w:hint="eastAsia" w:ascii="宋体" w:hAnsi="宋体" w:eastAsia="宋体" w:cs="宋体"/>
          <w:szCs w:val="21"/>
          <w:highlight w:val="none"/>
        </w:rPr>
      </w:pPr>
    </w:p>
    <w:p w14:paraId="29FE973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B4546">
    <w:pPr>
      <w:pStyle w:val="1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24D97B">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324D97B">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7B25B">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FB466D">
                          <w:pPr>
                            <w:pStyle w:val="14"/>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9FB466D">
                    <w:pPr>
                      <w:pStyle w:val="14"/>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28C43">
    <w:pPr>
      <w:pStyle w:val="14"/>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C23CF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EC23CFE">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rStyle w:val="23"/>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F345D">
    <w:pPr>
      <w:pStyle w:val="14"/>
      <w:framePr w:wrap="around" w:vAnchor="text" w:hAnchor="margin" w:xAlign="center" w:y="1"/>
      <w:rPr>
        <w:rStyle w:val="23"/>
      </w:rPr>
    </w:pPr>
    <w:r>
      <w:fldChar w:fldCharType="begin"/>
    </w:r>
    <w:r>
      <w:rPr>
        <w:rStyle w:val="23"/>
      </w:rPr>
      <w:instrText xml:space="preserve">PAGE  </w:instrText>
    </w:r>
    <w:r>
      <w:fldChar w:fldCharType="separate"/>
    </w:r>
    <w:r>
      <w:fldChar w:fldCharType="end"/>
    </w:r>
  </w:p>
  <w:p w14:paraId="6BBC2449">
    <w:pPr>
      <w:pStyle w:val="1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237E4">
    <w:pPr>
      <w:pStyle w:val="14"/>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738583">
                          <w:pPr>
                            <w:pStyle w:val="14"/>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C738583">
                    <w:pPr>
                      <w:pStyle w:val="14"/>
                    </w:pPr>
                    <w:r>
                      <w:fldChar w:fldCharType="begin"/>
                    </w:r>
                    <w:r>
                      <w:instrText xml:space="preserve"> PAGE  \* MERGEFORMAT </w:instrText>
                    </w:r>
                    <w:r>
                      <w:fldChar w:fldCharType="separate"/>
                    </w:r>
                    <w:r>
                      <w:t>32</w:t>
                    </w:r>
                    <w:r>
                      <w:fldChar w:fldCharType="end"/>
                    </w:r>
                  </w:p>
                </w:txbxContent>
              </v:textbox>
            </v:shape>
          </w:pict>
        </mc:Fallback>
      </mc:AlternateContent>
    </w:r>
    <w:r>
      <w:rPr>
        <w:rFonts w:hint="eastAsia"/>
      </w:rPr>
      <w:t xml:space="preserve"> </w:t>
    </w:r>
    <w:r>
      <w:rPr>
        <w:rFonts w:hint="eastAsia"/>
        <w:b/>
        <w:bCs/>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878AB">
    <w:pPr>
      <w:spacing w:line="186" w:lineRule="auto"/>
      <w:ind w:left="4776"/>
      <w:rPr>
        <w:rFonts w:eastAsia="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53F983">
                          <w:pPr>
                            <w:pStyle w:val="14"/>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D53F983">
                    <w:pPr>
                      <w:pStyle w:val="14"/>
                    </w:pPr>
                    <w:r>
                      <w:fldChar w:fldCharType="begin"/>
                    </w:r>
                    <w:r>
                      <w:instrText xml:space="preserve"> PAGE  \* MERGEFORMAT </w:instrText>
                    </w:r>
                    <w:r>
                      <w:fldChar w:fldCharType="separate"/>
                    </w:r>
                    <w:r>
                      <w:t>45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A5579">
    <w:pPr>
      <w:pBdr>
        <w:bottom w:val="none" w:color="auto" w:sz="0" w:space="1"/>
      </w:pBdr>
      <w:ind w:right="210"/>
      <w:jc w:val="right"/>
      <w:rPr>
        <w:u w:val="single"/>
      </w:rPr>
    </w:pPr>
    <w:r>
      <w:rPr>
        <w:rFonts w:hint="eastAsia"/>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6BE2D">
    <w:pPr>
      <w:pStyle w:val="1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FE735">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FEED52"/>
    <w:multiLevelType w:val="singleLevel"/>
    <w:tmpl w:val="92FEED52"/>
    <w:lvl w:ilvl="0" w:tentative="0">
      <w:start w:val="1"/>
      <w:numFmt w:val="decimal"/>
      <w:lvlText w:val="(%1)"/>
      <w:lvlJc w:val="left"/>
      <w:pPr>
        <w:ind w:left="425" w:hanging="425"/>
      </w:pPr>
      <w:rPr>
        <w:rFonts w:hint="default"/>
      </w:rPr>
    </w:lvl>
  </w:abstractNum>
  <w:abstractNum w:abstractNumId="1">
    <w:nsid w:val="9419E9B9"/>
    <w:multiLevelType w:val="singleLevel"/>
    <w:tmpl w:val="9419E9B9"/>
    <w:lvl w:ilvl="0" w:tentative="0">
      <w:start w:val="1"/>
      <w:numFmt w:val="chineseCounting"/>
      <w:suff w:val="nothing"/>
      <w:lvlText w:val="%1、"/>
      <w:lvlJc w:val="left"/>
      <w:rPr>
        <w:rFonts w:hint="eastAsia"/>
      </w:rPr>
    </w:lvl>
  </w:abstractNum>
  <w:abstractNum w:abstractNumId="2">
    <w:nsid w:val="973DD820"/>
    <w:multiLevelType w:val="multilevel"/>
    <w:tmpl w:val="973DD820"/>
    <w:lvl w:ilvl="0" w:tentative="0">
      <w:start w:val="1"/>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BD2723EC"/>
    <w:multiLevelType w:val="singleLevel"/>
    <w:tmpl w:val="BD2723EC"/>
    <w:lvl w:ilvl="0" w:tentative="0">
      <w:start w:val="3"/>
      <w:numFmt w:val="chineseCounting"/>
      <w:suff w:val="space"/>
      <w:lvlText w:val="第%1章"/>
      <w:lvlJc w:val="left"/>
      <w:rPr>
        <w:rFonts w:hint="eastAsia"/>
      </w:rPr>
    </w:lvl>
  </w:abstractNum>
  <w:abstractNum w:abstractNumId="4">
    <w:nsid w:val="BEEAD16D"/>
    <w:multiLevelType w:val="singleLevel"/>
    <w:tmpl w:val="BEEAD16D"/>
    <w:lvl w:ilvl="0" w:tentative="0">
      <w:start w:val="1"/>
      <w:numFmt w:val="decimal"/>
      <w:suff w:val="nothing"/>
      <w:lvlText w:val="%1、"/>
      <w:lvlJc w:val="left"/>
    </w:lvl>
  </w:abstractNum>
  <w:abstractNum w:abstractNumId="5">
    <w:nsid w:val="CD806B66"/>
    <w:multiLevelType w:val="singleLevel"/>
    <w:tmpl w:val="CD806B66"/>
    <w:lvl w:ilvl="0" w:tentative="0">
      <w:start w:val="1"/>
      <w:numFmt w:val="decimal"/>
      <w:lvlText w:val="(%1)"/>
      <w:lvlJc w:val="left"/>
      <w:pPr>
        <w:ind w:left="425" w:hanging="425"/>
      </w:pPr>
      <w:rPr>
        <w:rFonts w:hint="default"/>
      </w:rPr>
    </w:lvl>
  </w:abstractNum>
  <w:abstractNum w:abstractNumId="6">
    <w:nsid w:val="D678C8A3"/>
    <w:multiLevelType w:val="singleLevel"/>
    <w:tmpl w:val="D678C8A3"/>
    <w:lvl w:ilvl="0" w:tentative="0">
      <w:start w:val="1"/>
      <w:numFmt w:val="decimal"/>
      <w:suff w:val="nothing"/>
      <w:lvlText w:val="%1、"/>
      <w:lvlJc w:val="left"/>
    </w:lvl>
  </w:abstractNum>
  <w:abstractNum w:abstractNumId="7">
    <w:nsid w:val="E90FF52F"/>
    <w:multiLevelType w:val="singleLevel"/>
    <w:tmpl w:val="E90FF52F"/>
    <w:lvl w:ilvl="0" w:tentative="0">
      <w:start w:val="3"/>
      <w:numFmt w:val="chineseCounting"/>
      <w:suff w:val="nothing"/>
      <w:lvlText w:val="（%1）"/>
      <w:lvlJc w:val="left"/>
      <w:rPr>
        <w:rFonts w:hint="eastAsia"/>
      </w:rPr>
    </w:lvl>
  </w:abstractNum>
  <w:abstractNum w:abstractNumId="8">
    <w:nsid w:val="2D6A2507"/>
    <w:multiLevelType w:val="singleLevel"/>
    <w:tmpl w:val="2D6A2507"/>
    <w:lvl w:ilvl="0" w:tentative="0">
      <w:start w:val="1"/>
      <w:numFmt w:val="decimal"/>
      <w:lvlText w:val="(%1)"/>
      <w:lvlJc w:val="left"/>
      <w:pPr>
        <w:ind w:left="425" w:hanging="425"/>
      </w:pPr>
      <w:rPr>
        <w:rFonts w:hint="default"/>
      </w:rPr>
    </w:lvl>
  </w:abstractNum>
  <w:abstractNum w:abstractNumId="9">
    <w:nsid w:val="2E9F7553"/>
    <w:multiLevelType w:val="singleLevel"/>
    <w:tmpl w:val="2E9F7553"/>
    <w:lvl w:ilvl="0" w:tentative="0">
      <w:start w:val="6"/>
      <w:numFmt w:val="chineseCounting"/>
      <w:suff w:val="space"/>
      <w:lvlText w:val="第%1章"/>
      <w:lvlJc w:val="left"/>
      <w:rPr>
        <w:rFonts w:hint="eastAsia"/>
      </w:rPr>
    </w:lvl>
  </w:abstractNum>
  <w:abstractNum w:abstractNumId="10">
    <w:nsid w:val="636E47B0"/>
    <w:multiLevelType w:val="multilevel"/>
    <w:tmpl w:val="636E47B0"/>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77A3072A"/>
    <w:multiLevelType w:val="singleLevel"/>
    <w:tmpl w:val="77A3072A"/>
    <w:lvl w:ilvl="0" w:tentative="0">
      <w:start w:val="1"/>
      <w:numFmt w:val="decimal"/>
      <w:lvlText w:val="(%1)"/>
      <w:lvlJc w:val="left"/>
      <w:pPr>
        <w:ind w:left="425" w:hanging="425"/>
      </w:pPr>
      <w:rPr>
        <w:rFonts w:hint="default"/>
      </w:rPr>
    </w:lvl>
  </w:abstractNum>
  <w:num w:numId="1">
    <w:abstractNumId w:val="3"/>
  </w:num>
  <w:num w:numId="2">
    <w:abstractNumId w:val="2"/>
  </w:num>
  <w:num w:numId="3">
    <w:abstractNumId w:val="8"/>
  </w:num>
  <w:num w:numId="4">
    <w:abstractNumId w:val="5"/>
  </w:num>
  <w:num w:numId="5">
    <w:abstractNumId w:val="11"/>
  </w:num>
  <w:num w:numId="6">
    <w:abstractNumId w:val="0"/>
  </w:num>
  <w:num w:numId="7">
    <w:abstractNumId w:val="1"/>
  </w:num>
  <w:num w:numId="8">
    <w:abstractNumId w:val="4"/>
  </w:num>
  <w:num w:numId="9">
    <w:abstractNumId w:val="6"/>
  </w:num>
  <w:num w:numId="10">
    <w:abstractNumId w:val="9"/>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04061A"/>
    <w:rsid w:val="016200A6"/>
    <w:rsid w:val="01E776EF"/>
    <w:rsid w:val="022E44A8"/>
    <w:rsid w:val="04DC4690"/>
    <w:rsid w:val="06F537E7"/>
    <w:rsid w:val="098F7F23"/>
    <w:rsid w:val="099F1D48"/>
    <w:rsid w:val="0D007BE0"/>
    <w:rsid w:val="1212646A"/>
    <w:rsid w:val="146E0EF0"/>
    <w:rsid w:val="15202377"/>
    <w:rsid w:val="159B0632"/>
    <w:rsid w:val="16E54CDA"/>
    <w:rsid w:val="1C8D3F3C"/>
    <w:rsid w:val="1D374A0D"/>
    <w:rsid w:val="1F8A4FBC"/>
    <w:rsid w:val="22280ABD"/>
    <w:rsid w:val="22C37B09"/>
    <w:rsid w:val="2301620F"/>
    <w:rsid w:val="25A14E24"/>
    <w:rsid w:val="292D0766"/>
    <w:rsid w:val="29EF720D"/>
    <w:rsid w:val="2A3B55D9"/>
    <w:rsid w:val="2DAC07F4"/>
    <w:rsid w:val="2FAC3E51"/>
    <w:rsid w:val="32470AEB"/>
    <w:rsid w:val="345E0A7B"/>
    <w:rsid w:val="351D5D56"/>
    <w:rsid w:val="36DA4EDD"/>
    <w:rsid w:val="3B04061A"/>
    <w:rsid w:val="3BEA2D4B"/>
    <w:rsid w:val="3CA8662A"/>
    <w:rsid w:val="3FB84DD6"/>
    <w:rsid w:val="3FED44BD"/>
    <w:rsid w:val="40394D95"/>
    <w:rsid w:val="458A21D7"/>
    <w:rsid w:val="47013507"/>
    <w:rsid w:val="477439FE"/>
    <w:rsid w:val="4A9F106C"/>
    <w:rsid w:val="4AE22A0E"/>
    <w:rsid w:val="4B1707A8"/>
    <w:rsid w:val="4D97626C"/>
    <w:rsid w:val="4DA150FB"/>
    <w:rsid w:val="51667774"/>
    <w:rsid w:val="538F3C48"/>
    <w:rsid w:val="542D76E9"/>
    <w:rsid w:val="574A6C36"/>
    <w:rsid w:val="57530502"/>
    <w:rsid w:val="583354EA"/>
    <w:rsid w:val="58966990"/>
    <w:rsid w:val="5A9A1850"/>
    <w:rsid w:val="5C49708A"/>
    <w:rsid w:val="5CD63DFB"/>
    <w:rsid w:val="5D3A2C25"/>
    <w:rsid w:val="5FC52ECB"/>
    <w:rsid w:val="63747675"/>
    <w:rsid w:val="656B5B4F"/>
    <w:rsid w:val="66CE2B13"/>
    <w:rsid w:val="67E72D40"/>
    <w:rsid w:val="6AE2678E"/>
    <w:rsid w:val="6C1256EA"/>
    <w:rsid w:val="6C983716"/>
    <w:rsid w:val="6D2A7B11"/>
    <w:rsid w:val="6D45389E"/>
    <w:rsid w:val="6DA34120"/>
    <w:rsid w:val="6DBD0671"/>
    <w:rsid w:val="6ECA6E08"/>
    <w:rsid w:val="70A628A5"/>
    <w:rsid w:val="71144B5C"/>
    <w:rsid w:val="71FA5C5D"/>
    <w:rsid w:val="72D61D67"/>
    <w:rsid w:val="75EF6915"/>
    <w:rsid w:val="7A0A576F"/>
    <w:rsid w:val="7C8F7446"/>
    <w:rsid w:val="7D187ED9"/>
    <w:rsid w:val="7DED767B"/>
    <w:rsid w:val="7ED065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line="360" w:lineRule="auto"/>
      <w:outlineLvl w:val="0"/>
    </w:pPr>
    <w:rPr>
      <w:b/>
      <w:kern w:val="44"/>
      <w:sz w:val="32"/>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link w:val="32"/>
    <w:qFormat/>
    <w:uiPriority w:val="0"/>
    <w:pPr>
      <w:keepNext/>
      <w:keepLines/>
      <w:adjustRightInd w:val="0"/>
      <w:snapToGrid w:val="0"/>
      <w:spacing w:line="360" w:lineRule="auto"/>
      <w:outlineLvl w:val="2"/>
    </w:pPr>
    <w:rPr>
      <w:b/>
      <w:bCs/>
      <w:sz w:val="24"/>
      <w:szCs w:val="24"/>
    </w:rPr>
  </w:style>
  <w:style w:type="paragraph" w:styleId="5">
    <w:name w:val="heading 4"/>
    <w:basedOn w:val="1"/>
    <w:next w:val="1"/>
    <w:qFormat/>
    <w:uiPriority w:val="0"/>
    <w:pPr>
      <w:keepNext/>
      <w:keepLines/>
      <w:spacing w:line="360" w:lineRule="auto"/>
      <w:outlineLvl w:val="3"/>
    </w:pPr>
    <w:rPr>
      <w:rFonts w:ascii="Arial" w:hAnsi="Arial"/>
      <w:b/>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6">
    <w:name w:val="table of authorities"/>
    <w:basedOn w:val="1"/>
    <w:next w:val="1"/>
    <w:qFormat/>
    <w:uiPriority w:val="99"/>
    <w:pPr>
      <w:ind w:left="420" w:leftChars="200"/>
    </w:pPr>
  </w:style>
  <w:style w:type="paragraph" w:styleId="7">
    <w:name w:val="caption"/>
    <w:basedOn w:val="1"/>
    <w:next w:val="1"/>
    <w:qFormat/>
    <w:uiPriority w:val="0"/>
    <w:pPr>
      <w:spacing w:line="240" w:lineRule="auto"/>
      <w:ind w:firstLine="0" w:firstLineChars="0"/>
    </w:pPr>
    <w:rPr>
      <w:rFonts w:ascii="Cambria" w:hAnsi="Cambria" w:eastAsia="黑体"/>
      <w:kern w:val="0"/>
      <w:sz w:val="20"/>
      <w:szCs w:val="20"/>
    </w:rPr>
  </w:style>
  <w:style w:type="paragraph" w:styleId="8">
    <w:name w:val="annotation text"/>
    <w:basedOn w:val="1"/>
    <w:qFormat/>
    <w:uiPriority w:val="0"/>
    <w:pPr>
      <w:jc w:val="left"/>
    </w:pPr>
  </w:style>
  <w:style w:type="paragraph" w:styleId="9">
    <w:name w:val="Body Text"/>
    <w:basedOn w:val="1"/>
    <w:qFormat/>
    <w:uiPriority w:val="0"/>
    <w:pPr>
      <w:spacing w:line="480" w:lineRule="exact"/>
    </w:pPr>
    <w:rPr>
      <w:rFonts w:ascii="宋体"/>
      <w:sz w:val="24"/>
      <w:szCs w:val="24"/>
    </w:rPr>
  </w:style>
  <w:style w:type="paragraph" w:styleId="10">
    <w:name w:val="Body Text Indent"/>
    <w:basedOn w:val="1"/>
    <w:qFormat/>
    <w:uiPriority w:val="0"/>
    <w:pPr>
      <w:ind w:firstLine="640" w:firstLineChars="200"/>
    </w:pPr>
    <w:rPr>
      <w:rFonts w:ascii="宋体" w:hAnsi="宋体"/>
      <w:sz w:val="32"/>
    </w:rPr>
  </w:style>
  <w:style w:type="paragraph" w:styleId="11">
    <w:name w:val="List Continue"/>
    <w:basedOn w:val="1"/>
    <w:qFormat/>
    <w:uiPriority w:val="0"/>
    <w:pPr>
      <w:spacing w:after="120"/>
      <w:ind w:left="420"/>
    </w:pPr>
    <w:rPr>
      <w:rFonts w:eastAsia="楷体_GB2312"/>
      <w:sz w:val="32"/>
      <w:szCs w:val="20"/>
    </w:rPr>
  </w:style>
  <w:style w:type="paragraph" w:styleId="12">
    <w:name w:val="toc 3"/>
    <w:basedOn w:val="1"/>
    <w:next w:val="1"/>
    <w:qFormat/>
    <w:uiPriority w:val="0"/>
    <w:pPr>
      <w:ind w:left="840" w:leftChars="400"/>
    </w:pPr>
  </w:style>
  <w:style w:type="paragraph" w:styleId="13">
    <w:name w:val="Plain Text"/>
    <w:basedOn w:val="1"/>
    <w:qFormat/>
    <w:uiPriority w:val="0"/>
    <w:rPr>
      <w:rFonts w:ascii="宋体" w:hAnsi="Courier New"/>
      <w:szCs w:val="21"/>
    </w:rPr>
  </w:style>
  <w:style w:type="paragraph" w:styleId="14">
    <w:name w:val="footer"/>
    <w:basedOn w:val="1"/>
    <w:unhideWhenUsed/>
    <w:qFormat/>
    <w:uiPriority w:val="99"/>
    <w:pPr>
      <w:tabs>
        <w:tab w:val="center" w:pos="4153"/>
        <w:tab w:val="right" w:pos="8306"/>
      </w:tabs>
      <w:snapToGrid w:val="0"/>
      <w:jc w:val="left"/>
    </w:pPr>
    <w:rPr>
      <w:sz w:val="18"/>
      <w:szCs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toc 1"/>
    <w:basedOn w:val="1"/>
    <w:next w:val="1"/>
    <w:qFormat/>
    <w:uiPriority w:val="0"/>
  </w:style>
  <w:style w:type="paragraph" w:styleId="17">
    <w:name w:val="toc 2"/>
    <w:basedOn w:val="1"/>
    <w:next w:val="1"/>
    <w:qFormat/>
    <w:uiPriority w:val="0"/>
    <w:pPr>
      <w:ind w:left="420" w:leftChars="200"/>
    </w:pPr>
  </w:style>
  <w:style w:type="paragraph" w:styleId="18">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19">
    <w:name w:val="Body Text First Indent"/>
    <w:basedOn w:val="9"/>
    <w:qFormat/>
    <w:uiPriority w:val="0"/>
    <w:pPr>
      <w:ind w:firstLine="360"/>
    </w:pPr>
  </w:style>
  <w:style w:type="table" w:styleId="21">
    <w:name w:val="Table Grid"/>
    <w:basedOn w:val="2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3">
    <w:name w:val="page number"/>
    <w:basedOn w:val="22"/>
    <w:qFormat/>
    <w:uiPriority w:val="0"/>
  </w:style>
  <w:style w:type="character" w:styleId="24">
    <w:name w:val="Hyperlink"/>
    <w:basedOn w:val="22"/>
    <w:qFormat/>
    <w:uiPriority w:val="0"/>
    <w:rPr>
      <w:color w:val="444444"/>
      <w:sz w:val="16"/>
      <w:szCs w:val="16"/>
      <w:u w:val="none"/>
    </w:rPr>
  </w:style>
  <w:style w:type="paragraph" w:customStyle="1" w:styleId="25">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26">
    <w:name w:val="No Spacing1"/>
    <w:basedOn w:val="1"/>
    <w:autoRedefine/>
    <w:qFormat/>
    <w:uiPriority w:val="0"/>
    <w:pPr>
      <w:spacing w:line="400" w:lineRule="exact"/>
    </w:pPr>
    <w:rPr>
      <w:sz w:val="24"/>
    </w:rPr>
  </w:style>
  <w:style w:type="paragraph" w:customStyle="1" w:styleId="27">
    <w:name w:val="无间隔1"/>
    <w:basedOn w:val="28"/>
    <w:next w:val="7"/>
    <w:autoRedefine/>
    <w:qFormat/>
    <w:uiPriority w:val="1"/>
    <w:pPr>
      <w:spacing w:line="400" w:lineRule="exact"/>
    </w:pPr>
    <w:rPr>
      <w:rFonts w:ascii="Times New Roman" w:hAnsi="Times New Roman"/>
      <w:szCs w:val="24"/>
    </w:rPr>
  </w:style>
  <w:style w:type="paragraph" w:customStyle="1" w:styleId="28">
    <w:name w:val="正文_1"/>
    <w:next w:val="1"/>
    <w:autoRedefine/>
    <w:qFormat/>
    <w:uiPriority w:val="0"/>
    <w:pPr>
      <w:widowControl w:val="0"/>
      <w:jc w:val="both"/>
    </w:pPr>
    <w:rPr>
      <w:rFonts w:ascii="Calibri" w:hAnsi="Calibri" w:eastAsia="宋体" w:cs="Times New Roman"/>
      <w:lang w:val="en-US" w:eastAsia="zh-CN" w:bidi="ar-SA"/>
    </w:rPr>
  </w:style>
  <w:style w:type="paragraph" w:customStyle="1" w:styleId="29">
    <w:name w:val="Table Paragraph"/>
    <w:basedOn w:val="1"/>
    <w:autoRedefine/>
    <w:qFormat/>
    <w:uiPriority w:val="1"/>
  </w:style>
  <w:style w:type="paragraph" w:customStyle="1" w:styleId="30">
    <w:name w:val="列表段落1"/>
    <w:basedOn w:val="1"/>
    <w:autoRedefine/>
    <w:qFormat/>
    <w:uiPriority w:val="99"/>
    <w:pPr>
      <w:ind w:firstLine="420" w:firstLineChars="200"/>
    </w:pPr>
  </w:style>
  <w:style w:type="paragraph" w:customStyle="1" w:styleId="31">
    <w:name w:val="文档正文"/>
    <w:basedOn w:val="1"/>
    <w:autoRedefine/>
    <w:qFormat/>
    <w:uiPriority w:val="0"/>
    <w:pPr>
      <w:adjustRightInd w:val="0"/>
      <w:spacing w:line="480" w:lineRule="atLeast"/>
      <w:ind w:firstLine="567"/>
      <w:textAlignment w:val="baseline"/>
    </w:pPr>
    <w:rPr>
      <w:rFonts w:ascii="仿宋_GB2312" w:eastAsia="仿宋_GB2312"/>
      <w:kern w:val="0"/>
      <w:sz w:val="28"/>
    </w:rPr>
  </w:style>
  <w:style w:type="character" w:customStyle="1" w:styleId="32">
    <w:name w:val="标题 3 Char"/>
    <w:link w:val="4"/>
    <w:autoRedefine/>
    <w:qFormat/>
    <w:uiPriority w:val="0"/>
    <w:rPr>
      <w:b/>
      <w:bCs/>
      <w:sz w:val="24"/>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57</Pages>
  <Words>3599</Words>
  <Characters>4300</Characters>
  <Lines>0</Lines>
  <Paragraphs>0</Paragraphs>
  <TotalTime>0</TotalTime>
  <ScaleCrop>false</ScaleCrop>
  <LinksUpToDate>false</LinksUpToDate>
  <CharactersWithSpaces>4378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2025-04-17T01:10:00Z</dcterms:created>
  <dc:creator>琳</dc:creator>
  <cp:lastModifiedBy>琳</cp:lastModifiedBy>
  <dcterms:modified xsi:type="dcterms:W3CDTF">2025-07-25T07:40:50Z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3456D49B915E432EA5E782ACCB89E20F_11</vt:lpwstr>
  </property>
  <property fmtid="{D5CDD505-2E9C-101B-9397-08002B2CF9AE}" pid="4" name="KSOTemplateDocerSaveRecord">
    <vt:lpwstr>eyJoZGlkIjoiYzkwOTNmNWE0OGM5NjFhYmE3YjlmYzQxNTQ3ZDRkYmQiLCJ1c2VySWQiOiIzNjI2Njg1MzQifQ==</vt:lpwstr>
  </property>
</Properties>
</file>